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65" w:rsidRPr="000E366D" w:rsidRDefault="00361665" w:rsidP="000E366D">
      <w:pPr>
        <w:spacing w:before="240"/>
        <w:rPr>
          <w:rFonts w:ascii="Goudy Old Style" w:hAnsi="Goudy Old Style"/>
          <w:sz w:val="25"/>
          <w:szCs w:val="25"/>
        </w:rPr>
      </w:pPr>
      <w:bookmarkStart w:id="0" w:name="_GoBack"/>
      <w:bookmarkEnd w:id="0"/>
      <w:r w:rsidRPr="000E366D">
        <w:rPr>
          <w:rFonts w:ascii="Goudy Old Style" w:hAnsi="Goudy Old Style"/>
          <w:sz w:val="25"/>
          <w:szCs w:val="25"/>
        </w:rPr>
        <w:t xml:space="preserve">The </w:t>
      </w:r>
      <w:r w:rsidRPr="000E366D">
        <w:rPr>
          <w:rFonts w:ascii="Goudy Old Style" w:hAnsi="Goudy Old Style"/>
          <w:i/>
          <w:sz w:val="25"/>
          <w:szCs w:val="25"/>
        </w:rPr>
        <w:t>201</w:t>
      </w:r>
      <w:r w:rsidR="00551E79" w:rsidRPr="000E366D">
        <w:rPr>
          <w:rFonts w:ascii="Goudy Old Style" w:hAnsi="Goudy Old Style"/>
          <w:i/>
          <w:sz w:val="25"/>
          <w:szCs w:val="25"/>
        </w:rPr>
        <w:t>4</w:t>
      </w:r>
      <w:r w:rsidRPr="000E366D">
        <w:rPr>
          <w:rFonts w:ascii="Goudy Old Style" w:hAnsi="Goudy Old Style"/>
          <w:i/>
          <w:sz w:val="25"/>
          <w:szCs w:val="25"/>
        </w:rPr>
        <w:t xml:space="preserve"> Indigenous Expenditure Report</w:t>
      </w:r>
      <w:r w:rsidRPr="000E366D">
        <w:rPr>
          <w:rFonts w:ascii="Goudy Old Style" w:hAnsi="Goudy Old Style"/>
          <w:sz w:val="25"/>
          <w:szCs w:val="25"/>
        </w:rPr>
        <w:t xml:space="preserve"> was released on </w:t>
      </w:r>
      <w:r w:rsidR="00E41DB2" w:rsidRPr="000E366D">
        <w:rPr>
          <w:rFonts w:ascii="Goudy Old Style" w:hAnsi="Goudy Old Style"/>
          <w:b/>
          <w:sz w:val="25"/>
          <w:szCs w:val="25"/>
        </w:rPr>
        <w:t>12</w:t>
      </w:r>
      <w:r w:rsidRPr="000E366D">
        <w:rPr>
          <w:rFonts w:ascii="Goudy Old Style" w:hAnsi="Goudy Old Style"/>
          <w:b/>
          <w:sz w:val="25"/>
          <w:szCs w:val="25"/>
        </w:rPr>
        <w:t xml:space="preserve"> </w:t>
      </w:r>
      <w:r w:rsidR="00E41DB2" w:rsidRPr="000E366D">
        <w:rPr>
          <w:rFonts w:ascii="Goudy Old Style" w:hAnsi="Goudy Old Style"/>
          <w:b/>
          <w:sz w:val="25"/>
          <w:szCs w:val="25"/>
        </w:rPr>
        <w:t>December</w:t>
      </w:r>
      <w:r w:rsidRPr="000E366D">
        <w:rPr>
          <w:rFonts w:ascii="Goudy Old Style" w:hAnsi="Goudy Old Style"/>
          <w:b/>
          <w:sz w:val="25"/>
          <w:szCs w:val="25"/>
        </w:rPr>
        <w:t xml:space="preserve"> 201</w:t>
      </w:r>
      <w:r w:rsidR="00551E79" w:rsidRPr="000E366D">
        <w:rPr>
          <w:rFonts w:ascii="Goudy Old Style" w:hAnsi="Goudy Old Style"/>
          <w:b/>
          <w:sz w:val="25"/>
          <w:szCs w:val="25"/>
        </w:rPr>
        <w:t>4</w:t>
      </w:r>
      <w:r w:rsidRPr="000E366D">
        <w:rPr>
          <w:rFonts w:ascii="Goudy Old Style" w:hAnsi="Goudy Old Style"/>
          <w:sz w:val="25"/>
          <w:szCs w:val="25"/>
        </w:rPr>
        <w:t xml:space="preserve">. The Report is the </w:t>
      </w:r>
      <w:r w:rsidR="007E1BB1" w:rsidRPr="000E366D">
        <w:rPr>
          <w:rFonts w:ascii="Goudy Old Style" w:hAnsi="Goudy Old Style"/>
          <w:sz w:val="25"/>
          <w:szCs w:val="25"/>
        </w:rPr>
        <w:t xml:space="preserve">third </w:t>
      </w:r>
      <w:r w:rsidRPr="000E366D">
        <w:rPr>
          <w:rFonts w:ascii="Goudy Old Style" w:hAnsi="Goudy Old Style"/>
          <w:sz w:val="25"/>
          <w:szCs w:val="25"/>
        </w:rPr>
        <w:t>in a series that provides estimates of expenditure on services provided to Aboriginal and Torres Strait Islander people by the Australian Government, and State and Territory governments.</w:t>
      </w:r>
    </w:p>
    <w:p w:rsidR="00120A25" w:rsidRPr="006C336B" w:rsidRDefault="00361665" w:rsidP="000E366D">
      <w:pPr>
        <w:spacing w:before="120"/>
        <w:rPr>
          <w:rFonts w:ascii="Goudy Old Style" w:hAnsi="Goudy Old Style"/>
          <w:sz w:val="25"/>
          <w:szCs w:val="25"/>
        </w:rPr>
      </w:pPr>
      <w:r w:rsidRPr="000E366D">
        <w:rPr>
          <w:rFonts w:ascii="Goudy Old Style" w:hAnsi="Goudy Old Style"/>
          <w:sz w:val="25"/>
          <w:szCs w:val="25"/>
        </w:rPr>
        <w:t xml:space="preserve">The </w:t>
      </w:r>
      <w:r w:rsidR="008F63DE" w:rsidRPr="000E366D">
        <w:rPr>
          <w:rFonts w:ascii="Goudy Old Style" w:hAnsi="Goudy Old Style"/>
          <w:sz w:val="25"/>
          <w:szCs w:val="25"/>
        </w:rPr>
        <w:t>R</w:t>
      </w:r>
      <w:r w:rsidRPr="000E366D">
        <w:rPr>
          <w:rFonts w:ascii="Goudy Old Style" w:hAnsi="Goudy Old Style"/>
          <w:sz w:val="25"/>
          <w:szCs w:val="25"/>
        </w:rPr>
        <w:t>eport provides an overview of six broad areas of expenditure — early child development and education and training; healthy lives; economic participation; home environment; safe and supportive communities; an</w:t>
      </w:r>
      <w:r w:rsidR="00120A25" w:rsidRPr="000E366D">
        <w:rPr>
          <w:rFonts w:ascii="Goudy Old Style" w:hAnsi="Goudy Old Style"/>
          <w:sz w:val="25"/>
          <w:szCs w:val="25"/>
        </w:rPr>
        <w:t xml:space="preserve">d other government </w:t>
      </w:r>
      <w:r w:rsidR="00B01DB0" w:rsidRPr="000E366D">
        <w:rPr>
          <w:rFonts w:ascii="Goudy Old Style" w:hAnsi="Goudy Old Style"/>
          <w:sz w:val="25"/>
          <w:szCs w:val="25"/>
        </w:rPr>
        <w:t>services</w:t>
      </w:r>
      <w:r w:rsidR="00120A25" w:rsidRPr="000E366D">
        <w:rPr>
          <w:rFonts w:ascii="Goudy Old Style" w:hAnsi="Goudy Old Style"/>
          <w:sz w:val="25"/>
          <w:szCs w:val="25"/>
        </w:rPr>
        <w:t>.</w:t>
      </w:r>
    </w:p>
    <w:p w:rsidR="00361665" w:rsidRPr="006C336B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 xml:space="preserve">More detailed estimates </w:t>
      </w:r>
      <w:r w:rsidR="000C1CCB" w:rsidRPr="006C336B">
        <w:rPr>
          <w:rFonts w:ascii="Goudy Old Style" w:hAnsi="Goudy Old Style"/>
          <w:sz w:val="25"/>
          <w:szCs w:val="25"/>
        </w:rPr>
        <w:t xml:space="preserve">and data for previous years </w:t>
      </w:r>
      <w:r w:rsidRPr="006C336B">
        <w:rPr>
          <w:rFonts w:ascii="Goudy Old Style" w:hAnsi="Goudy Old Style"/>
          <w:sz w:val="25"/>
          <w:szCs w:val="25"/>
        </w:rPr>
        <w:t>are available from the project website.</w:t>
      </w:r>
    </w:p>
    <w:p w:rsidR="008379F7" w:rsidRPr="006C336B" w:rsidRDefault="008379F7" w:rsidP="00DA3950">
      <w:pPr>
        <w:spacing w:before="360"/>
        <w:rPr>
          <w:rFonts w:ascii="Goudy Old Style" w:hAnsi="Goudy Old Style"/>
          <w:b/>
          <w:color w:val="800000"/>
          <w:sz w:val="28"/>
        </w:rPr>
      </w:pPr>
      <w:r w:rsidRPr="006C336B">
        <w:rPr>
          <w:rFonts w:ascii="Goudy Old Style" w:hAnsi="Goudy Old Style"/>
          <w:b/>
          <w:color w:val="800000"/>
          <w:sz w:val="28"/>
        </w:rPr>
        <w:t xml:space="preserve">Interpreting the results </w:t>
      </w:r>
    </w:p>
    <w:p w:rsidR="008379F7" w:rsidRPr="006C336B" w:rsidRDefault="008379F7" w:rsidP="001027B3">
      <w:pPr>
        <w:spacing w:before="12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>Estimating the Indigenous component of expenditure — especially for mainstream services — is complex, and many data quality and methodological challenges are yet to be resolved. Some of these challenges are state</w:t>
      </w:r>
      <w:r w:rsidR="00D4563C">
        <w:rPr>
          <w:rFonts w:ascii="Goudy Old Style" w:hAnsi="Goudy Old Style"/>
          <w:sz w:val="25"/>
          <w:szCs w:val="25"/>
        </w:rPr>
        <w:t xml:space="preserve"> and territory </w:t>
      </w:r>
      <w:r w:rsidRPr="006C336B">
        <w:rPr>
          <w:rFonts w:ascii="Goudy Old Style" w:hAnsi="Goudy Old Style"/>
          <w:sz w:val="25"/>
          <w:szCs w:val="25"/>
        </w:rPr>
        <w:t>specific. The Report provides information to assis</w:t>
      </w:r>
      <w:r w:rsidR="00914AB2">
        <w:rPr>
          <w:rFonts w:ascii="Goudy Old Style" w:hAnsi="Goudy Old Style"/>
          <w:sz w:val="25"/>
          <w:szCs w:val="25"/>
        </w:rPr>
        <w:t>t in interpreting the estimates</w:t>
      </w:r>
      <w:r w:rsidRPr="006C336B">
        <w:rPr>
          <w:rFonts w:ascii="Goudy Old Style" w:hAnsi="Goudy Old Style"/>
          <w:sz w:val="25"/>
          <w:szCs w:val="25"/>
        </w:rPr>
        <w:t xml:space="preserve">, including the strengths and limitations of the data and method and the context in which services are provided. </w:t>
      </w:r>
    </w:p>
    <w:p w:rsidR="002A4A56" w:rsidRPr="006C336B" w:rsidRDefault="00361665" w:rsidP="00DA3950">
      <w:pPr>
        <w:spacing w:before="360" w:after="240"/>
        <w:rPr>
          <w:rFonts w:ascii="Goudy Old Style" w:hAnsi="Goudy Old Style"/>
          <w:b/>
          <w:color w:val="800000"/>
          <w:sz w:val="28"/>
        </w:rPr>
      </w:pPr>
      <w:r w:rsidRPr="006C336B">
        <w:rPr>
          <w:rFonts w:ascii="Goudy Old Style" w:hAnsi="Goudy Old Style"/>
          <w:b/>
          <w:color w:val="800000"/>
          <w:sz w:val="28"/>
        </w:rPr>
        <w:t>E</w:t>
      </w:r>
      <w:r w:rsidR="002A4A56" w:rsidRPr="006C336B">
        <w:rPr>
          <w:rFonts w:ascii="Goudy Old Style" w:hAnsi="Goudy Old Style"/>
          <w:b/>
          <w:color w:val="800000"/>
          <w:sz w:val="28"/>
        </w:rPr>
        <w:t xml:space="preserve">xpenditure patterns </w:t>
      </w:r>
      <w:r w:rsidR="007D0332" w:rsidRPr="006C336B">
        <w:rPr>
          <w:rFonts w:ascii="Goudy Old Style" w:hAnsi="Goudy Old Style"/>
          <w:b/>
          <w:color w:val="800000"/>
          <w:sz w:val="28"/>
        </w:rPr>
        <w:t xml:space="preserve">in </w:t>
      </w:r>
      <w:r w:rsidR="005808BD" w:rsidRPr="005808BD">
        <w:rPr>
          <w:rFonts w:ascii="Goudy Old Style" w:hAnsi="Goudy Old Style"/>
          <w:b/>
          <w:color w:val="800000"/>
          <w:sz w:val="28"/>
        </w:rPr>
        <w:t xml:space="preserve">Queensland </w:t>
      </w:r>
      <w:r w:rsidR="008379F7" w:rsidRPr="006C336B">
        <w:rPr>
          <w:rFonts w:ascii="Goudy Old Style" w:hAnsi="Goudy Old Style"/>
          <w:b/>
          <w:color w:val="800000"/>
          <w:sz w:val="28"/>
        </w:rPr>
        <w:t>in 2012-13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7142C" w:rsidRPr="00DA3950" w:rsidTr="0097142C">
        <w:trPr>
          <w:trHeight w:val="519"/>
        </w:trPr>
        <w:tc>
          <w:tcPr>
            <w:tcW w:w="3473" w:type="dxa"/>
          </w:tcPr>
          <w:p w:rsidR="0097142C" w:rsidRPr="00DA3950" w:rsidRDefault="008379F7" w:rsidP="008379F7">
            <w:pPr>
              <w:pStyle w:val="ListBullet"/>
              <w:ind w:left="993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DA3950">
              <w:rPr>
                <w:rFonts w:ascii="Goudy Old Style" w:hAnsi="Goudy Old Style"/>
                <w:b/>
                <w:color w:val="800000"/>
                <w:sz w:val="24"/>
              </w:rPr>
              <w:t>Figure 1.</w:t>
            </w:r>
            <w:r w:rsidRPr="00DA3950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DA3950">
              <w:rPr>
                <w:rFonts w:ascii="Goudy Old Style" w:hAnsi="Goudy Old Style"/>
                <w:b/>
                <w:color w:val="800000"/>
                <w:sz w:val="24"/>
              </w:rPr>
              <w:t>Total government direct expenditure</w:t>
            </w:r>
          </w:p>
        </w:tc>
        <w:tc>
          <w:tcPr>
            <w:tcW w:w="3473" w:type="dxa"/>
          </w:tcPr>
          <w:p w:rsidR="00616442" w:rsidRPr="00DA3950" w:rsidRDefault="008379F7" w:rsidP="001027B3">
            <w:pPr>
              <w:pStyle w:val="ListBullet"/>
              <w:ind w:left="922" w:right="-74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DA3950">
              <w:rPr>
                <w:rFonts w:ascii="Goudy Old Style" w:hAnsi="Goudy Old Style"/>
                <w:b/>
                <w:color w:val="800000"/>
                <w:sz w:val="24"/>
              </w:rPr>
              <w:t>Figure 2.</w:t>
            </w:r>
            <w:r w:rsidRPr="00DA3950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DA3950">
              <w:rPr>
                <w:rFonts w:ascii="Goudy Old Style" w:hAnsi="Goudy Old Style"/>
                <w:b/>
                <w:color w:val="800000"/>
                <w:sz w:val="24"/>
              </w:rPr>
              <w:t>Funding source of total government direct expenditure</w:t>
            </w:r>
          </w:p>
        </w:tc>
        <w:tc>
          <w:tcPr>
            <w:tcW w:w="3474" w:type="dxa"/>
          </w:tcPr>
          <w:p w:rsidR="0097142C" w:rsidRPr="00DA3950" w:rsidRDefault="00ED5509" w:rsidP="00C428BA">
            <w:pPr>
              <w:pStyle w:val="ListBullet"/>
              <w:ind w:left="992" w:hanging="992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DA3950">
              <w:rPr>
                <w:rFonts w:ascii="Goudy Old Style" w:hAnsi="Goudy Old Style"/>
                <w:b/>
                <w:color w:val="800000"/>
                <w:sz w:val="24"/>
              </w:rPr>
              <w:t>Figure 3</w:t>
            </w:r>
            <w:r w:rsidRPr="00DA3950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5118FF" w:rsidRPr="00DA3950">
              <w:rPr>
                <w:rFonts w:ascii="Goudy Old Style" w:hAnsi="Goudy Old Style"/>
                <w:b/>
                <w:color w:val="800000"/>
                <w:sz w:val="24"/>
              </w:rPr>
              <w:t>Composition of</w:t>
            </w:r>
            <w:r w:rsidR="0097142C" w:rsidRPr="00DA3950">
              <w:rPr>
                <w:rFonts w:ascii="Goudy Old Style" w:hAnsi="Goudy Old Style"/>
                <w:b/>
                <w:color w:val="800000"/>
                <w:sz w:val="24"/>
              </w:rPr>
              <w:t xml:space="preserve"> </w:t>
            </w:r>
            <w:r w:rsidR="005118FF" w:rsidRPr="00DA3950">
              <w:rPr>
                <w:rFonts w:ascii="Goudy Old Style" w:hAnsi="Goudy Old Style"/>
                <w:b/>
                <w:color w:val="800000"/>
                <w:sz w:val="24"/>
              </w:rPr>
              <w:t xml:space="preserve">direct </w:t>
            </w:r>
            <w:r w:rsidR="00B1124D" w:rsidRPr="00DA3950">
              <w:rPr>
                <w:rFonts w:ascii="Goudy Old Style" w:hAnsi="Goudy Old Style"/>
                <w:b/>
                <w:color w:val="800000"/>
                <w:sz w:val="24"/>
              </w:rPr>
              <w:t xml:space="preserve">Indigenous </w:t>
            </w:r>
            <w:r w:rsidR="0097142C" w:rsidRPr="00DA3950">
              <w:rPr>
                <w:rFonts w:ascii="Goudy Old Style" w:hAnsi="Goudy Old Style"/>
                <w:b/>
                <w:color w:val="800000"/>
                <w:sz w:val="24"/>
              </w:rPr>
              <w:t>expenditure</w:t>
            </w:r>
          </w:p>
        </w:tc>
      </w:tr>
      <w:tr w:rsidR="005E6DC2" w:rsidRPr="006C336B" w:rsidTr="006C336B">
        <w:trPr>
          <w:trHeight w:val="2031"/>
        </w:trPr>
        <w:tc>
          <w:tcPr>
            <w:tcW w:w="3473" w:type="dxa"/>
            <w:vAlign w:val="center"/>
          </w:tcPr>
          <w:p w:rsidR="0097142C" w:rsidRPr="006C336B" w:rsidRDefault="00A84834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6E127EE0">
                  <wp:extent cx="1889760" cy="1353185"/>
                  <wp:effectExtent l="0" t="0" r="0" b="0"/>
                  <wp:docPr id="1" name="Picture 1" descr="Figure 1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97142C" w:rsidRPr="006C336B" w:rsidRDefault="00A84834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7B7A9AC4">
                  <wp:extent cx="1871345" cy="1365885"/>
                  <wp:effectExtent l="0" t="0" r="0" b="0"/>
                  <wp:docPr id="3" name="Picture 3" descr="Figure 2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97142C" w:rsidRPr="006C336B" w:rsidRDefault="00A84834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6E55D364">
                  <wp:extent cx="1871345" cy="1353185"/>
                  <wp:effectExtent l="0" t="0" r="0" b="0"/>
                  <wp:docPr id="4" name="Picture 4" descr="Figure 3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9F7" w:rsidRPr="006C336B" w:rsidTr="00776694">
        <w:trPr>
          <w:trHeight w:val="1487"/>
        </w:trPr>
        <w:tc>
          <w:tcPr>
            <w:tcW w:w="3473" w:type="dxa"/>
          </w:tcPr>
          <w:p w:rsidR="008379F7" w:rsidRPr="006C336B" w:rsidRDefault="008379F7" w:rsidP="00A966F2">
            <w:pPr>
              <w:spacing w:before="120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6C336B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 xml:space="preserve">Total </w:t>
            </w:r>
            <w:r w:rsidR="00067BFB" w:rsidRPr="006C336B">
              <w:rPr>
                <w:rFonts w:ascii="Goudy Old Style" w:hAnsi="Goudy Old Style"/>
                <w:color w:val="000000" w:themeColor="text1"/>
                <w:sz w:val="22"/>
                <w:szCs w:val="22"/>
              </w:rPr>
              <w:t>government direct Indigenous expenditure was estimated to be $7.6 billion, accounting for 7.3 per cent of total government direct expenditure in Queensland.</w:t>
            </w:r>
          </w:p>
        </w:tc>
        <w:tc>
          <w:tcPr>
            <w:tcW w:w="3473" w:type="dxa"/>
          </w:tcPr>
          <w:p w:rsidR="008379F7" w:rsidRPr="006C336B" w:rsidRDefault="008379F7" w:rsidP="0068255C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6C336B">
              <w:rPr>
                <w:rFonts w:ascii="Goudy Old Style" w:hAnsi="Goudy Old Style"/>
                <w:sz w:val="22"/>
                <w:szCs w:val="22"/>
              </w:rPr>
              <w:t xml:space="preserve">The </w:t>
            </w:r>
            <w:r w:rsidR="00067BFB" w:rsidRPr="006C336B">
              <w:rPr>
                <w:rFonts w:ascii="Goudy Old Style" w:hAnsi="Goudy Old Style"/>
                <w:sz w:val="22"/>
                <w:szCs w:val="22"/>
              </w:rPr>
              <w:t>Australian Government accounted for $3.6  billion (47 per cent) of direct Indigenous expenditure, with the remaining $4.0 billion (53 per cent) provided by the Queensland Government</w:t>
            </w:r>
            <w:r w:rsidRPr="006C336B">
              <w:rPr>
                <w:rFonts w:ascii="Goudy Old Style" w:hAnsi="Goudy Old Style"/>
                <w:sz w:val="22"/>
                <w:szCs w:val="22"/>
              </w:rPr>
              <w:t>.</w:t>
            </w:r>
          </w:p>
        </w:tc>
        <w:tc>
          <w:tcPr>
            <w:tcW w:w="3474" w:type="dxa"/>
          </w:tcPr>
          <w:p w:rsidR="008379F7" w:rsidRPr="006C336B" w:rsidRDefault="008379F7" w:rsidP="00D4563C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6C336B">
              <w:rPr>
                <w:rFonts w:ascii="Goudy Old Style" w:hAnsi="Goudy Old Style"/>
                <w:sz w:val="22"/>
                <w:szCs w:val="22"/>
              </w:rPr>
              <w:t xml:space="preserve">Mainstream </w:t>
            </w:r>
            <w:r w:rsidR="00067BFB" w:rsidRPr="006C336B">
              <w:rPr>
                <w:rFonts w:ascii="Goudy Old Style" w:hAnsi="Goudy Old Style"/>
                <w:sz w:val="22"/>
                <w:szCs w:val="22"/>
              </w:rPr>
              <w:t>services accounted for $6.4  billion (84 per cent) of direct Indigenous expenditure, with the remaining $1.2 billion (16 per cent) provided through Indigenous specific (targeted) services.</w:t>
            </w:r>
          </w:p>
        </w:tc>
      </w:tr>
    </w:tbl>
    <w:p w:rsidR="005118FF" w:rsidRPr="006C336B" w:rsidRDefault="005118FF">
      <w:pPr>
        <w:rPr>
          <w:rFonts w:ascii="GoudyOlSt BT" w:hAnsi="GoudyOlSt BT"/>
          <w:sz w:val="25"/>
          <w:szCs w:val="25"/>
        </w:rPr>
      </w:pPr>
      <w:r w:rsidRPr="006C336B">
        <w:rPr>
          <w:rFonts w:ascii="GoudyOlSt BT" w:hAnsi="GoudyOlSt BT"/>
          <w:sz w:val="25"/>
          <w:szCs w:val="25"/>
        </w:rPr>
        <w:br w:type="page"/>
      </w:r>
    </w:p>
    <w:p w:rsidR="008379F7" w:rsidRPr="006C336B" w:rsidRDefault="008379F7" w:rsidP="00E47831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6C336B">
        <w:rPr>
          <w:rFonts w:ascii="Goudy Old Style" w:hAnsi="Goudy Old Style"/>
          <w:b/>
          <w:color w:val="800000"/>
          <w:sz w:val="28"/>
        </w:rPr>
        <w:lastRenderedPageBreak/>
        <w:t xml:space="preserve">Expenditure per </w:t>
      </w:r>
      <w:r w:rsidR="0068255C" w:rsidRPr="006C336B">
        <w:rPr>
          <w:rFonts w:ascii="Goudy Old Style" w:hAnsi="Goudy Old Style"/>
          <w:b/>
          <w:color w:val="800000"/>
          <w:sz w:val="28"/>
        </w:rPr>
        <w:t>person</w:t>
      </w:r>
      <w:r w:rsidR="007C19B4" w:rsidRPr="007C19B4">
        <w:rPr>
          <w:rFonts w:ascii="Goudy Old Style" w:hAnsi="Goudy Old Style"/>
          <w:b/>
          <w:color w:val="800000"/>
          <w:sz w:val="28"/>
        </w:rPr>
        <w:t xml:space="preserve"> </w:t>
      </w:r>
      <w:r w:rsidR="007C19B4" w:rsidRPr="006C336B">
        <w:rPr>
          <w:rFonts w:ascii="Goudy Old Style" w:hAnsi="Goudy Old Style"/>
          <w:b/>
          <w:color w:val="800000"/>
          <w:sz w:val="28"/>
        </w:rPr>
        <w:t xml:space="preserve">in </w:t>
      </w:r>
      <w:r w:rsidR="007C19B4" w:rsidRPr="005808BD">
        <w:rPr>
          <w:rFonts w:ascii="Goudy Old Style" w:hAnsi="Goudy Old Style"/>
          <w:b/>
          <w:color w:val="800000"/>
          <w:sz w:val="28"/>
        </w:rPr>
        <w:t>Queensland</w:t>
      </w:r>
    </w:p>
    <w:p w:rsidR="008379F7" w:rsidRPr="00EA75EB" w:rsidRDefault="00067BFB" w:rsidP="001027B3">
      <w:pPr>
        <w:spacing w:before="120"/>
        <w:rPr>
          <w:rFonts w:ascii="Goudy Old Style" w:hAnsi="Goudy Old Style"/>
          <w:sz w:val="25"/>
          <w:szCs w:val="25"/>
        </w:rPr>
      </w:pPr>
      <w:r w:rsidRPr="00EA75EB">
        <w:rPr>
          <w:rFonts w:ascii="Goudy Old Style" w:hAnsi="Goudy Old Style"/>
          <w:sz w:val="25"/>
          <w:szCs w:val="25"/>
        </w:rPr>
        <w:t xml:space="preserve">Aboriginal and Torres Strait Islander Australians </w:t>
      </w:r>
      <w:r w:rsidR="00957C9C">
        <w:rPr>
          <w:rFonts w:ascii="Goudy Old Style" w:hAnsi="Goudy Old Style"/>
          <w:sz w:val="25"/>
          <w:szCs w:val="25"/>
        </w:rPr>
        <w:t>mad</w:t>
      </w:r>
      <w:r w:rsidR="00957C9C" w:rsidRPr="008172A5">
        <w:rPr>
          <w:rFonts w:ascii="Goudy Old Style" w:hAnsi="Goudy Old Style"/>
          <w:sz w:val="25"/>
          <w:szCs w:val="25"/>
        </w:rPr>
        <w:t xml:space="preserve">e </w:t>
      </w:r>
      <w:r w:rsidRPr="00EA75EB">
        <w:rPr>
          <w:rFonts w:ascii="Goudy Old Style" w:hAnsi="Goudy Old Style"/>
          <w:sz w:val="25"/>
          <w:szCs w:val="25"/>
        </w:rPr>
        <w:t>up 4.3 per cent of the Queensland population</w:t>
      </w:r>
      <w:r w:rsidR="00957C9C" w:rsidRPr="008172A5">
        <w:rPr>
          <w:rFonts w:ascii="Goudy Old Style" w:hAnsi="Goudy Old Style"/>
          <w:sz w:val="25"/>
          <w:szCs w:val="25"/>
        </w:rPr>
        <w:t xml:space="preserve"> </w:t>
      </w:r>
      <w:r w:rsidR="00C726B8">
        <w:rPr>
          <w:rFonts w:ascii="Goudy Old Style" w:hAnsi="Goudy Old Style"/>
          <w:sz w:val="25"/>
          <w:szCs w:val="25"/>
        </w:rPr>
        <w:t>at 30 June 2013.</w:t>
      </w:r>
    </w:p>
    <w:p w:rsidR="00755897" w:rsidRPr="000E366D" w:rsidRDefault="00D55F21" w:rsidP="000E366D">
      <w:pPr>
        <w:spacing w:before="120" w:after="12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 xml:space="preserve">Estimated </w:t>
      </w:r>
      <w:r w:rsidRPr="000E366D">
        <w:rPr>
          <w:rFonts w:ascii="Goudy Old Style" w:hAnsi="Goudy Old Style"/>
          <w:sz w:val="25"/>
          <w:szCs w:val="25"/>
        </w:rPr>
        <w:t xml:space="preserve">expenditure per </w:t>
      </w:r>
      <w:r w:rsidR="003E0732" w:rsidRPr="000E366D">
        <w:rPr>
          <w:rFonts w:ascii="Goudy Old Style" w:hAnsi="Goudy Old Style"/>
          <w:sz w:val="25"/>
          <w:szCs w:val="25"/>
        </w:rPr>
        <w:t>person</w:t>
      </w:r>
      <w:r w:rsidRPr="000E366D">
        <w:rPr>
          <w:rFonts w:ascii="Goudy Old Style" w:hAnsi="Goudy Old Style"/>
          <w:sz w:val="25"/>
          <w:szCs w:val="25"/>
        </w:rPr>
        <w:t xml:space="preserve"> </w:t>
      </w:r>
      <w:r w:rsidR="005F5CD6" w:rsidRPr="000E366D">
        <w:rPr>
          <w:rFonts w:ascii="Goudy Old Style" w:hAnsi="Goudy Old Style"/>
          <w:sz w:val="25"/>
          <w:szCs w:val="25"/>
        </w:rPr>
        <w:t xml:space="preserve">in 2012-13 </w:t>
      </w:r>
      <w:r w:rsidRPr="000E366D">
        <w:rPr>
          <w:rFonts w:ascii="Goudy Old Style" w:hAnsi="Goudy Old Style"/>
          <w:sz w:val="25"/>
          <w:szCs w:val="25"/>
        </w:rPr>
        <w:t>was $38 5</w:t>
      </w:r>
      <w:r w:rsidR="000A0805" w:rsidRPr="000E366D">
        <w:rPr>
          <w:rFonts w:ascii="Goudy Old Style" w:hAnsi="Goudy Old Style"/>
          <w:sz w:val="25"/>
          <w:szCs w:val="25"/>
        </w:rPr>
        <w:t>40</w:t>
      </w:r>
      <w:r w:rsidRPr="000E366D">
        <w:rPr>
          <w:rFonts w:ascii="Goudy Old Style" w:hAnsi="Goudy Old Style"/>
          <w:sz w:val="25"/>
          <w:szCs w:val="25"/>
        </w:rPr>
        <w:t xml:space="preserve"> for Aboriginal and Torres Strait Islander Australians, compared with $21 602 for non</w:t>
      </w:r>
      <w:r w:rsidRPr="000E366D">
        <w:rPr>
          <w:rFonts w:ascii="Goudy Old Style" w:hAnsi="Goudy Old Style"/>
          <w:sz w:val="25"/>
          <w:szCs w:val="25"/>
        </w:rPr>
        <w:noBreakHyphen/>
        <w:t xml:space="preserve">Indigenous Australians (a ratio </w:t>
      </w:r>
      <w:r w:rsidR="005F5CD6" w:rsidRPr="000E366D">
        <w:rPr>
          <w:rFonts w:ascii="Goudy Old Style" w:hAnsi="Goudy Old Style"/>
          <w:sz w:val="25"/>
          <w:szCs w:val="25"/>
        </w:rPr>
        <w:t>of 1.78:1). Between</w:t>
      </w:r>
      <w:r w:rsidR="005F5CD6" w:rsidRPr="000E366D">
        <w:rPr>
          <w:rFonts w:ascii="Goudy Old Style" w:hAnsi="Goudy Old Style"/>
          <w:sz w:val="25"/>
          <w:szCs w:val="25"/>
        </w:rPr>
        <w:br/>
      </w:r>
      <w:r w:rsidR="00B07E87" w:rsidRPr="000E366D">
        <w:rPr>
          <w:rFonts w:ascii="Goudy Old Style" w:hAnsi="Goudy Old Style"/>
          <w:sz w:val="25"/>
          <w:szCs w:val="25"/>
        </w:rPr>
        <w:t>2008-09 and</w:t>
      </w:r>
      <w:r w:rsidR="005F5CD6" w:rsidRPr="000E366D">
        <w:rPr>
          <w:rFonts w:ascii="Goudy Old Style" w:hAnsi="Goudy Old Style"/>
          <w:sz w:val="25"/>
          <w:szCs w:val="25"/>
        </w:rPr>
        <w:t xml:space="preserve"> </w:t>
      </w:r>
      <w:r w:rsidRPr="000E366D">
        <w:rPr>
          <w:rFonts w:ascii="Goudy Old Style" w:hAnsi="Goudy Old Style"/>
          <w:sz w:val="25"/>
          <w:szCs w:val="25"/>
        </w:rPr>
        <w:t>2012-13, total government direct Indigenous expenditure increased by $1.1 billion (17 per cent) in real terms, equivalent to an increase of $215</w:t>
      </w:r>
      <w:r w:rsidR="000A0805" w:rsidRPr="000E366D">
        <w:rPr>
          <w:rFonts w:ascii="Goudy Old Style" w:hAnsi="Goudy Old Style"/>
          <w:sz w:val="25"/>
          <w:szCs w:val="25"/>
        </w:rPr>
        <w:t>9</w:t>
      </w:r>
      <w:r w:rsidRPr="000E366D">
        <w:rPr>
          <w:rFonts w:ascii="Goudy Old Style" w:hAnsi="Goudy Old Style"/>
          <w:sz w:val="25"/>
          <w:szCs w:val="25"/>
        </w:rPr>
        <w:t xml:space="preserve"> per </w:t>
      </w:r>
      <w:r w:rsidR="003E0732" w:rsidRPr="000E366D">
        <w:rPr>
          <w:rFonts w:ascii="Goudy Old Style" w:hAnsi="Goudy Old Style"/>
          <w:sz w:val="25"/>
          <w:szCs w:val="25"/>
        </w:rPr>
        <w:t>person</w:t>
      </w:r>
      <w:r w:rsidR="0010510D" w:rsidRPr="000E366D">
        <w:rPr>
          <w:rFonts w:ascii="Goudy Old Style" w:hAnsi="Goudy Old Style"/>
          <w:sz w:val="25"/>
          <w:szCs w:val="25"/>
        </w:rPr>
        <w:t xml:space="preserve"> (see figure 4).</w:t>
      </w:r>
    </w:p>
    <w:p w:rsidR="00DA3950" w:rsidRPr="000E366D" w:rsidRDefault="00DA3950" w:rsidP="000E366D">
      <w:pPr>
        <w:pStyle w:val="FigureTitle"/>
        <w:spacing w:before="120" w:after="60"/>
        <w:ind w:left="1418" w:right="-2" w:hanging="1418"/>
        <w:rPr>
          <w:sz w:val="24"/>
        </w:rPr>
      </w:pPr>
      <w:r w:rsidRPr="000E366D">
        <w:rPr>
          <w:rFonts w:ascii="Goudy Old Style" w:hAnsi="Goudy Old Style"/>
          <w:sz w:val="24"/>
        </w:rPr>
        <w:t>Figure 4.</w:t>
      </w:r>
      <w:r w:rsidRPr="000E366D">
        <w:rPr>
          <w:rFonts w:ascii="Goudy Old Style" w:hAnsi="Goudy Old Style"/>
          <w:sz w:val="24"/>
        </w:rPr>
        <w:tab/>
        <w:t xml:space="preserve">Total government direct expenditure per person in Queensland </w:t>
      </w:r>
      <w:r w:rsidRPr="000E366D">
        <w:rPr>
          <w:rFonts w:ascii="Goudy Old Style" w:hAnsi="Goudy Old Style"/>
          <w:sz w:val="24"/>
          <w:vertAlign w:val="superscript"/>
        </w:rPr>
        <w:t>a, b, c</w:t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A3950" w:rsidRPr="000E366D" w:rsidTr="00DA3950">
        <w:trPr>
          <w:trHeight w:val="2456"/>
        </w:trPr>
        <w:tc>
          <w:tcPr>
            <w:tcW w:w="10206" w:type="dxa"/>
            <w:vAlign w:val="center"/>
          </w:tcPr>
          <w:p w:rsidR="006851C5" w:rsidRPr="000E366D" w:rsidRDefault="006851C5" w:rsidP="000E366D">
            <w:pPr>
              <w:pStyle w:val="TableBodyText"/>
              <w:spacing w:before="120" w:after="120"/>
              <w:ind w:left="113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593A380">
                  <wp:extent cx="3780155" cy="1597025"/>
                  <wp:effectExtent l="0" t="0" r="0" b="3175"/>
                  <wp:docPr id="2" name="Picture 2" descr="Figure 4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950" w:rsidRPr="000E366D" w:rsidRDefault="00DA3950" w:rsidP="000E366D">
      <w:pPr>
        <w:pStyle w:val="Note"/>
        <w:spacing w:after="120"/>
        <w:ind w:right="-2"/>
        <w:rPr>
          <w:sz w:val="16"/>
          <w:szCs w:val="16"/>
        </w:rPr>
      </w:pPr>
      <w:r w:rsidRPr="000E366D">
        <w:rPr>
          <w:rStyle w:val="NoteLabel"/>
          <w:sz w:val="16"/>
          <w:szCs w:val="16"/>
        </w:rPr>
        <w:t>a</w:t>
      </w:r>
      <w:r w:rsidRPr="000E366D">
        <w:rPr>
          <w:sz w:val="16"/>
          <w:szCs w:val="16"/>
        </w:rPr>
        <w:t> </w:t>
      </w:r>
      <w:r w:rsidRPr="000E366D">
        <w:rPr>
          <w:i/>
          <w:sz w:val="16"/>
          <w:szCs w:val="16"/>
        </w:rPr>
        <w:t>Direct expenditure</w:t>
      </w:r>
      <w:r w:rsidRPr="000E366D">
        <w:rPr>
          <w:sz w:val="16"/>
          <w:szCs w:val="16"/>
        </w:rPr>
        <w:t xml:space="preserve"> includes government outlays on services and programs (including income support) that are paid directly to individuals, non-government service providers, or local governments. </w:t>
      </w:r>
      <w:r w:rsidRPr="000E366D">
        <w:rPr>
          <w:b/>
          <w:color w:val="000000" w:themeColor="text1"/>
          <w:position w:val="6"/>
          <w:szCs w:val="18"/>
          <w:lang w:eastAsia="en-US"/>
        </w:rPr>
        <w:t>b</w:t>
      </w:r>
      <w:r w:rsidRPr="000E366D">
        <w:rPr>
          <w:color w:val="000000" w:themeColor="text1"/>
          <w:szCs w:val="18"/>
          <w:lang w:eastAsia="en-US"/>
        </w:rPr>
        <w:t> Per head of population expenditure is not the same as expenditure per user, and should not be interpreted as a proxy for unit cost.</w:t>
      </w:r>
      <w:r w:rsidRPr="000E366D">
        <w:rPr>
          <w:b/>
          <w:color w:val="000000" w:themeColor="text1"/>
          <w:position w:val="6"/>
          <w:szCs w:val="18"/>
          <w:lang w:eastAsia="en-US"/>
        </w:rPr>
        <w:t xml:space="preserve"> </w:t>
      </w:r>
      <w:r w:rsidRPr="000E366D">
        <w:rPr>
          <w:rStyle w:val="NoteLabel"/>
          <w:sz w:val="16"/>
          <w:szCs w:val="16"/>
        </w:rPr>
        <w:t>c</w:t>
      </w:r>
      <w:r w:rsidRPr="000E366D">
        <w:rPr>
          <w:sz w:val="16"/>
          <w:szCs w:val="16"/>
        </w:rPr>
        <w:t> Expenditure for 2008-09 and 2010-11 has been expressed in real (constant 2012-13 dollars) terms using the General Government Final Consumption Expenditure deflator (chain price index).</w:t>
      </w:r>
    </w:p>
    <w:p w:rsidR="00DA3950" w:rsidRPr="000E366D" w:rsidRDefault="00DA3950" w:rsidP="000E366D">
      <w:pPr>
        <w:pStyle w:val="Source"/>
        <w:keepLines w:val="0"/>
        <w:widowControl w:val="0"/>
        <w:spacing w:after="0"/>
        <w:rPr>
          <w:rFonts w:ascii="GoudyOlSt BT" w:hAnsi="GoudyOlSt BT"/>
          <w:sz w:val="25"/>
          <w:szCs w:val="25"/>
        </w:rPr>
      </w:pPr>
      <w:r w:rsidRPr="000E366D">
        <w:rPr>
          <w:i/>
        </w:rPr>
        <w:t>Source</w:t>
      </w:r>
      <w:r w:rsidRPr="000E366D">
        <w:t xml:space="preserve">: </w:t>
      </w:r>
      <w:r w:rsidRPr="000E366D">
        <w:rPr>
          <w:i/>
        </w:rPr>
        <w:t>2014 Indigenous Expenditure Report</w:t>
      </w:r>
      <w:r w:rsidRPr="000E366D">
        <w:t xml:space="preserve"> database</w:t>
      </w:r>
      <w:r w:rsidRPr="000E366D">
        <w:rPr>
          <w:rFonts w:ascii="Goudy Old Style" w:hAnsi="Goudy Old Style"/>
          <w:b/>
          <w:sz w:val="20"/>
          <w:u w:val="dotted"/>
        </w:rPr>
        <w:t xml:space="preserve"> </w:t>
      </w:r>
    </w:p>
    <w:p w:rsidR="002A4A56" w:rsidRPr="000E366D" w:rsidRDefault="00D55F21" w:rsidP="000E366D">
      <w:pPr>
        <w:spacing w:before="120"/>
        <w:rPr>
          <w:rFonts w:ascii="Goudy Old Style" w:hAnsi="Goudy Old Style"/>
          <w:sz w:val="25"/>
          <w:szCs w:val="25"/>
        </w:rPr>
      </w:pPr>
      <w:r w:rsidRPr="000E366D">
        <w:rPr>
          <w:rFonts w:ascii="Goudy Old Style" w:hAnsi="Goudy Old Style"/>
          <w:sz w:val="25"/>
          <w:szCs w:val="25"/>
        </w:rPr>
        <w:t>The $16 93</w:t>
      </w:r>
      <w:r w:rsidR="000A0805" w:rsidRPr="000E366D">
        <w:rPr>
          <w:rFonts w:ascii="Goudy Old Style" w:hAnsi="Goudy Old Style"/>
          <w:sz w:val="25"/>
          <w:szCs w:val="25"/>
        </w:rPr>
        <w:t>8</w:t>
      </w:r>
      <w:r w:rsidRPr="000E366D">
        <w:rPr>
          <w:rFonts w:ascii="Goudy Old Style" w:hAnsi="Goudy Old Style"/>
          <w:sz w:val="25"/>
          <w:szCs w:val="25"/>
        </w:rPr>
        <w:t xml:space="preserve"> per person </w:t>
      </w:r>
      <w:r w:rsidR="002A4A56" w:rsidRPr="000E366D">
        <w:rPr>
          <w:rFonts w:ascii="Goudy Old Style" w:hAnsi="Goudy Old Style"/>
          <w:sz w:val="25"/>
          <w:szCs w:val="25"/>
        </w:rPr>
        <w:t xml:space="preserve">difference </w:t>
      </w:r>
      <w:r w:rsidR="00755897" w:rsidRPr="000E366D">
        <w:rPr>
          <w:rFonts w:ascii="Goudy Old Style" w:hAnsi="Goudy Old Style"/>
          <w:sz w:val="25"/>
          <w:szCs w:val="25"/>
        </w:rPr>
        <w:t>in</w:t>
      </w:r>
      <w:r w:rsidR="001435CF" w:rsidRPr="000E366D">
        <w:rPr>
          <w:rFonts w:ascii="Goudy Old Style" w:hAnsi="Goudy Old Style"/>
          <w:sz w:val="25"/>
          <w:szCs w:val="25"/>
        </w:rPr>
        <w:t xml:space="preserve"> expenditure </w:t>
      </w:r>
      <w:r w:rsidR="00C876C4" w:rsidRPr="000E366D">
        <w:rPr>
          <w:rFonts w:ascii="Goudy Old Style" w:hAnsi="Goudy Old Style"/>
          <w:sz w:val="25"/>
          <w:szCs w:val="25"/>
        </w:rPr>
        <w:t>between Aboriginal and Torres Strait Islander Australians and non</w:t>
      </w:r>
      <w:r w:rsidR="00C876C4" w:rsidRPr="000E366D">
        <w:rPr>
          <w:rFonts w:ascii="Goudy Old Style" w:hAnsi="Goudy Old Style"/>
          <w:sz w:val="25"/>
          <w:szCs w:val="25"/>
        </w:rPr>
        <w:noBreakHyphen/>
        <w:t xml:space="preserve">Indigenous Australians </w:t>
      </w:r>
      <w:r w:rsidR="001435CF" w:rsidRPr="000E366D">
        <w:rPr>
          <w:rFonts w:ascii="Goudy Old Style" w:hAnsi="Goudy Old Style"/>
          <w:sz w:val="25"/>
          <w:szCs w:val="25"/>
        </w:rPr>
        <w:t>in</w:t>
      </w:r>
      <w:r w:rsidR="00755897" w:rsidRPr="000E366D">
        <w:rPr>
          <w:rFonts w:ascii="Goudy Old Style" w:hAnsi="Goudy Old Style"/>
          <w:sz w:val="25"/>
          <w:szCs w:val="25"/>
        </w:rPr>
        <w:t xml:space="preserve"> 2012-13 </w:t>
      </w:r>
      <w:r w:rsidR="002A4A56" w:rsidRPr="000E366D">
        <w:rPr>
          <w:rFonts w:ascii="Goudy Old Style" w:hAnsi="Goudy Old Style"/>
          <w:sz w:val="25"/>
          <w:szCs w:val="25"/>
        </w:rPr>
        <w:t>reflected the combined effects of:</w:t>
      </w:r>
    </w:p>
    <w:p w:rsidR="002A4A56" w:rsidRPr="000E366D" w:rsidRDefault="002A4A56" w:rsidP="000E366D">
      <w:pPr>
        <w:pStyle w:val="ListBullet"/>
        <w:numPr>
          <w:ilvl w:val="0"/>
          <w:numId w:val="4"/>
        </w:numPr>
        <w:spacing w:before="60"/>
        <w:rPr>
          <w:rFonts w:ascii="Goudy Old Style" w:hAnsi="Goudy Old Style"/>
          <w:sz w:val="25"/>
          <w:szCs w:val="25"/>
        </w:rPr>
      </w:pPr>
      <w:r w:rsidRPr="000E366D">
        <w:rPr>
          <w:rFonts w:ascii="Goudy Old Style" w:hAnsi="Goudy Old Style"/>
          <w:i/>
          <w:sz w:val="25"/>
          <w:szCs w:val="25"/>
        </w:rPr>
        <w:t>greater intensity of service use</w:t>
      </w:r>
      <w:r w:rsidRPr="000E366D">
        <w:rPr>
          <w:rFonts w:ascii="Goudy Old Style" w:hAnsi="Goudy Old Style"/>
          <w:sz w:val="25"/>
          <w:szCs w:val="25"/>
        </w:rPr>
        <w:t xml:space="preserve"> </w:t>
      </w:r>
      <w:r w:rsidR="00D4563C">
        <w:rPr>
          <w:rFonts w:ascii="Goudy Old Style" w:hAnsi="Goudy Old Style"/>
          <w:sz w:val="25"/>
          <w:szCs w:val="25"/>
        </w:rPr>
        <w:t>($11 352 or 67 </w:t>
      </w:r>
      <w:r w:rsidR="00D55F21" w:rsidRPr="000E366D">
        <w:rPr>
          <w:rFonts w:ascii="Goudy Old Style" w:hAnsi="Goudy Old Style"/>
          <w:sz w:val="25"/>
          <w:szCs w:val="25"/>
        </w:rPr>
        <w:t>per cent)</w:t>
      </w:r>
      <w:r w:rsidRPr="000E366D">
        <w:rPr>
          <w:rFonts w:ascii="Goudy Old Style" w:hAnsi="Goudy Old Style"/>
          <w:sz w:val="25"/>
          <w:szCs w:val="25"/>
        </w:rPr>
        <w:t xml:space="preserve"> — </w:t>
      </w:r>
      <w:r w:rsidR="00D703AC" w:rsidRPr="000E366D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0E366D">
        <w:rPr>
          <w:rFonts w:ascii="Goudy Old Style" w:hAnsi="Goudy Old Style"/>
          <w:sz w:val="25"/>
          <w:szCs w:val="25"/>
        </w:rPr>
        <w:t>Australians</w:t>
      </w:r>
      <w:r w:rsidR="008C648C" w:rsidRPr="000E366D">
        <w:rPr>
          <w:rFonts w:ascii="Goudy Old Style" w:hAnsi="Goudy Old Style"/>
          <w:sz w:val="25"/>
          <w:szCs w:val="25"/>
        </w:rPr>
        <w:t>, on average,</w:t>
      </w:r>
      <w:r w:rsidRPr="000E366D">
        <w:rPr>
          <w:rFonts w:ascii="Goudy Old Style" w:hAnsi="Goudy Old Style"/>
          <w:sz w:val="25"/>
          <w:szCs w:val="25"/>
        </w:rPr>
        <w:t xml:space="preserve"> use more services per </w:t>
      </w:r>
      <w:r w:rsidR="00BE7810">
        <w:rPr>
          <w:rFonts w:ascii="Goudy Old Style" w:hAnsi="Goudy Old Style"/>
          <w:sz w:val="25"/>
          <w:szCs w:val="25"/>
        </w:rPr>
        <w:t>person</w:t>
      </w:r>
      <w:r w:rsidR="00BE7810" w:rsidRPr="00EA3882">
        <w:rPr>
          <w:rFonts w:ascii="Goudy Old Style" w:hAnsi="Goudy Old Style"/>
          <w:sz w:val="25"/>
          <w:szCs w:val="25"/>
        </w:rPr>
        <w:t xml:space="preserve"> </w:t>
      </w:r>
      <w:r w:rsidRPr="000E366D">
        <w:rPr>
          <w:rFonts w:ascii="Goudy Old Style" w:hAnsi="Goudy Old Style"/>
          <w:sz w:val="25"/>
          <w:szCs w:val="25"/>
        </w:rPr>
        <w:t xml:space="preserve">because of greater need, and because of population characteristics such as the younger age profile of the </w:t>
      </w:r>
      <w:r w:rsidR="00D703AC" w:rsidRPr="000E366D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0E366D">
        <w:rPr>
          <w:rFonts w:ascii="Goudy Old Style" w:hAnsi="Goudy Old Style"/>
          <w:sz w:val="25"/>
          <w:szCs w:val="25"/>
        </w:rPr>
        <w:t>population</w:t>
      </w:r>
    </w:p>
    <w:p w:rsidR="00757DCA" w:rsidRPr="000E366D" w:rsidRDefault="008C648C" w:rsidP="000E366D">
      <w:pPr>
        <w:pStyle w:val="ListBullet"/>
        <w:numPr>
          <w:ilvl w:val="0"/>
          <w:numId w:val="4"/>
        </w:numPr>
        <w:rPr>
          <w:rFonts w:ascii="Goudy Old Style" w:hAnsi="Goudy Old Style"/>
          <w:sz w:val="25"/>
          <w:szCs w:val="25"/>
        </w:rPr>
      </w:pPr>
      <w:r w:rsidRPr="000E366D">
        <w:rPr>
          <w:rFonts w:ascii="Goudy Old Style" w:hAnsi="Goudy Old Style"/>
          <w:i/>
          <w:sz w:val="25"/>
          <w:szCs w:val="25"/>
        </w:rPr>
        <w:t xml:space="preserve">higher </w:t>
      </w:r>
      <w:r w:rsidR="002A4A56" w:rsidRPr="000E366D">
        <w:rPr>
          <w:rFonts w:ascii="Goudy Old Style" w:hAnsi="Goudy Old Style"/>
          <w:i/>
          <w:sz w:val="25"/>
          <w:szCs w:val="25"/>
        </w:rPr>
        <w:t>costs of providing services</w:t>
      </w:r>
      <w:r w:rsidR="002A4A56" w:rsidRPr="000E366D">
        <w:rPr>
          <w:rFonts w:ascii="Goudy Old Style" w:hAnsi="Goudy Old Style"/>
          <w:sz w:val="25"/>
          <w:szCs w:val="25"/>
        </w:rPr>
        <w:t xml:space="preserve"> </w:t>
      </w:r>
      <w:r w:rsidR="00D55F21" w:rsidRPr="000E366D">
        <w:rPr>
          <w:rFonts w:ascii="Goudy Old Style" w:hAnsi="Goudy Old Style"/>
          <w:sz w:val="25"/>
          <w:szCs w:val="25"/>
        </w:rPr>
        <w:t>($558</w:t>
      </w:r>
      <w:r w:rsidR="000A0805" w:rsidRPr="000E366D">
        <w:rPr>
          <w:rFonts w:ascii="Goudy Old Style" w:hAnsi="Goudy Old Style"/>
          <w:sz w:val="25"/>
          <w:szCs w:val="25"/>
        </w:rPr>
        <w:t>6</w:t>
      </w:r>
      <w:r w:rsidR="00D55F21" w:rsidRPr="000E366D">
        <w:rPr>
          <w:rFonts w:ascii="Goudy Old Style" w:hAnsi="Goudy Old Style"/>
          <w:sz w:val="25"/>
          <w:szCs w:val="25"/>
        </w:rPr>
        <w:t xml:space="preserve"> or 33 per cent)</w:t>
      </w:r>
      <w:r w:rsidR="002A4A56" w:rsidRPr="000E366D">
        <w:rPr>
          <w:rFonts w:ascii="Goudy Old Style" w:hAnsi="Goudy Old Style"/>
          <w:sz w:val="25"/>
          <w:szCs w:val="25"/>
        </w:rPr>
        <w:t xml:space="preserve"> — it can cost more to provide services to </w:t>
      </w:r>
      <w:r w:rsidR="00D703AC" w:rsidRPr="000E366D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0E366D">
        <w:rPr>
          <w:rFonts w:ascii="Goudy Old Style" w:hAnsi="Goudy Old Style"/>
          <w:sz w:val="25"/>
          <w:szCs w:val="25"/>
        </w:rPr>
        <w:t xml:space="preserve">Australians if mainstream services are more expensive to provide (for example, because of location), or if </w:t>
      </w:r>
      <w:r w:rsidR="00D703AC" w:rsidRPr="000E366D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0E366D">
        <w:rPr>
          <w:rFonts w:ascii="Goudy Old Style" w:hAnsi="Goudy Old Style"/>
          <w:sz w:val="25"/>
          <w:szCs w:val="25"/>
        </w:rPr>
        <w:t>Australians receive targeted services in addition to mainstream services</w:t>
      </w:r>
      <w:r w:rsidR="00FB53FA" w:rsidRPr="000E366D">
        <w:rPr>
          <w:rFonts w:ascii="Goudy Old Style" w:hAnsi="Goudy Old Style"/>
          <w:sz w:val="25"/>
          <w:szCs w:val="25"/>
        </w:rPr>
        <w:t xml:space="preserve"> (for example</w:t>
      </w:r>
      <w:r w:rsidR="00D30FC9" w:rsidRPr="000E366D">
        <w:rPr>
          <w:rFonts w:ascii="Goudy Old Style" w:hAnsi="Goudy Old Style"/>
          <w:sz w:val="25"/>
          <w:szCs w:val="25"/>
        </w:rPr>
        <w:t>,</w:t>
      </w:r>
      <w:r w:rsidR="00FB53FA" w:rsidRPr="000E366D">
        <w:rPr>
          <w:rFonts w:ascii="Goudy Old Style" w:hAnsi="Goudy Old Style"/>
          <w:sz w:val="25"/>
          <w:szCs w:val="25"/>
        </w:rPr>
        <w:t xml:space="preserve"> liaison officers in hospitals</w:t>
      </w:r>
      <w:r w:rsidR="00D30FC9" w:rsidRPr="000E366D">
        <w:rPr>
          <w:rFonts w:ascii="Goudy Old Style" w:hAnsi="Goudy Old Style"/>
          <w:sz w:val="25"/>
          <w:szCs w:val="25"/>
        </w:rPr>
        <w:t>)</w:t>
      </w:r>
      <w:r w:rsidR="002A4A56" w:rsidRPr="000E366D">
        <w:rPr>
          <w:rFonts w:ascii="Goudy Old Style" w:hAnsi="Goudy Old Style"/>
          <w:sz w:val="25"/>
          <w:szCs w:val="25"/>
        </w:rPr>
        <w:t>.</w:t>
      </w:r>
    </w:p>
    <w:p w:rsidR="001435CF" w:rsidRPr="000E366D" w:rsidRDefault="001435CF" w:rsidP="000E366D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0E366D">
        <w:rPr>
          <w:rFonts w:ascii="Goudy Old Style" w:hAnsi="Goudy Old Style"/>
          <w:b/>
          <w:color w:val="800000"/>
          <w:sz w:val="28"/>
        </w:rPr>
        <w:t xml:space="preserve">Variations in expenditure in </w:t>
      </w:r>
      <w:r w:rsidR="005808BD" w:rsidRPr="000E366D">
        <w:rPr>
          <w:rFonts w:ascii="Goudy Old Style" w:hAnsi="Goudy Old Style"/>
          <w:b/>
          <w:color w:val="800000"/>
          <w:sz w:val="28"/>
        </w:rPr>
        <w:t xml:space="preserve">Queensland </w:t>
      </w:r>
      <w:r w:rsidRPr="000E366D">
        <w:rPr>
          <w:rFonts w:ascii="Goudy Old Style" w:hAnsi="Goudy Old Style"/>
          <w:b/>
          <w:color w:val="800000"/>
          <w:sz w:val="28"/>
        </w:rPr>
        <w:t>over the six broad areas</w:t>
      </w:r>
    </w:p>
    <w:p w:rsidR="009055BA" w:rsidRPr="006C336B" w:rsidRDefault="00757DCA" w:rsidP="000E366D">
      <w:pPr>
        <w:spacing w:before="120"/>
        <w:rPr>
          <w:rFonts w:ascii="Goudy Old Style" w:hAnsi="Goudy Old Style"/>
          <w:sz w:val="25"/>
          <w:szCs w:val="25"/>
        </w:rPr>
      </w:pPr>
      <w:r w:rsidRPr="000E366D">
        <w:rPr>
          <w:rFonts w:ascii="Goudy Old Style" w:hAnsi="Goudy Old Style"/>
          <w:sz w:val="25"/>
          <w:szCs w:val="25"/>
        </w:rPr>
        <w:t>There were significant variations in levels and patterns of expenditure across expenditure categories</w:t>
      </w:r>
      <w:r w:rsidR="00493621" w:rsidRPr="006C336B">
        <w:rPr>
          <w:rFonts w:ascii="Goudy Old Style" w:hAnsi="Goudy Old Style"/>
          <w:sz w:val="25"/>
          <w:szCs w:val="25"/>
        </w:rPr>
        <w:t xml:space="preserve"> i</w:t>
      </w:r>
      <w:r w:rsidR="00185F09" w:rsidRPr="006C336B">
        <w:rPr>
          <w:rFonts w:ascii="Goudy Old Style" w:hAnsi="Goudy Old Style"/>
          <w:sz w:val="25"/>
          <w:szCs w:val="25"/>
        </w:rPr>
        <w:t>n 2012-13</w:t>
      </w:r>
      <w:r w:rsidR="001435CF" w:rsidRPr="006C336B">
        <w:rPr>
          <w:rFonts w:ascii="Goudy Old Style" w:hAnsi="Goudy Old Style"/>
          <w:sz w:val="25"/>
          <w:szCs w:val="25"/>
        </w:rPr>
        <w:t>.</w:t>
      </w:r>
    </w:p>
    <w:p w:rsidR="001435CF" w:rsidRPr="006C336B" w:rsidRDefault="001435CF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6C336B">
        <w:rPr>
          <w:rFonts w:ascii="Goudy Old Style" w:hAnsi="Goudy Old Style"/>
          <w:b/>
          <w:color w:val="800000"/>
          <w:szCs w:val="26"/>
        </w:rPr>
        <w:t>Early child development, and education and training</w:t>
      </w:r>
    </w:p>
    <w:p w:rsidR="009B50C8" w:rsidRPr="006C336B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 xml:space="preserve">This includes expenditure on preschool and childcare; school education; and tertiary education. </w:t>
      </w:r>
    </w:p>
    <w:p w:rsidR="009B50C8" w:rsidRPr="006C336B" w:rsidRDefault="005808BD" w:rsidP="000E366D">
      <w:pPr>
        <w:spacing w:before="120"/>
        <w:rPr>
          <w:rFonts w:ascii="Goudy Old Style" w:hAnsi="Goudy Old Style"/>
          <w:sz w:val="25"/>
          <w:szCs w:val="25"/>
        </w:rPr>
      </w:pPr>
      <w:r w:rsidRPr="000E366D">
        <w:rPr>
          <w:rFonts w:ascii="Goudy Old Style" w:hAnsi="Goudy Old Style"/>
          <w:sz w:val="25"/>
          <w:szCs w:val="25"/>
        </w:rPr>
        <w:lastRenderedPageBreak/>
        <w:t xml:space="preserve">The ratio of Indigenous to </w:t>
      </w:r>
      <w:r w:rsidR="00D82536" w:rsidRPr="000E366D">
        <w:rPr>
          <w:rFonts w:ascii="Goudy Old Style" w:hAnsi="Goudy Old Style"/>
          <w:sz w:val="25"/>
          <w:szCs w:val="25"/>
        </w:rPr>
        <w:t>non</w:t>
      </w:r>
      <w:r w:rsidR="00D82536" w:rsidRPr="000E366D">
        <w:rPr>
          <w:rFonts w:ascii="Goudy Old Style" w:hAnsi="Goudy Old Style"/>
          <w:sz w:val="25"/>
          <w:szCs w:val="25"/>
        </w:rPr>
        <w:noBreakHyphen/>
      </w:r>
      <w:r w:rsidRPr="000E366D">
        <w:rPr>
          <w:rFonts w:ascii="Goudy Old Style" w:hAnsi="Goudy Old Style"/>
          <w:sz w:val="25"/>
          <w:szCs w:val="25"/>
        </w:rPr>
        <w:t xml:space="preserve">Indigenous expenditure per </w:t>
      </w:r>
      <w:r w:rsidR="003E0732" w:rsidRPr="000E366D">
        <w:rPr>
          <w:rFonts w:ascii="Goudy Old Style" w:hAnsi="Goudy Old Style"/>
          <w:sz w:val="25"/>
          <w:szCs w:val="25"/>
        </w:rPr>
        <w:t>person</w:t>
      </w:r>
      <w:r w:rsidRPr="000E366D">
        <w:rPr>
          <w:rFonts w:ascii="Goudy Old Style" w:hAnsi="Goudy Old Style"/>
          <w:sz w:val="25"/>
          <w:szCs w:val="25"/>
        </w:rPr>
        <w:t xml:space="preserve"> in Queensland was 1.9</w:t>
      </w:r>
      <w:r w:rsidR="000A0805" w:rsidRPr="000E366D">
        <w:rPr>
          <w:rFonts w:ascii="Goudy Old Style" w:hAnsi="Goudy Old Style"/>
          <w:sz w:val="25"/>
          <w:szCs w:val="25"/>
        </w:rPr>
        <w:t>4</w:t>
      </w:r>
      <w:r w:rsidRPr="000E366D">
        <w:rPr>
          <w:rFonts w:ascii="Goudy Old Style" w:hAnsi="Goudy Old Style"/>
          <w:sz w:val="25"/>
          <w:szCs w:val="25"/>
        </w:rPr>
        <w:t>:1 ($586</w:t>
      </w:r>
      <w:r w:rsidR="000A0805" w:rsidRPr="000E366D">
        <w:rPr>
          <w:rFonts w:ascii="Goudy Old Style" w:hAnsi="Goudy Old Style"/>
          <w:sz w:val="25"/>
          <w:szCs w:val="25"/>
        </w:rPr>
        <w:t>9</w:t>
      </w:r>
      <w:r w:rsidRPr="000E366D">
        <w:rPr>
          <w:rFonts w:ascii="Goudy Old Style" w:hAnsi="Goudy Old Style"/>
          <w:sz w:val="25"/>
          <w:szCs w:val="25"/>
        </w:rPr>
        <w:t xml:space="preserve"> per Aboriginal and Torres Strait Islander Australian compared with $3026 per </w:t>
      </w:r>
      <w:r w:rsidR="00D82536" w:rsidRPr="000E366D">
        <w:rPr>
          <w:rFonts w:ascii="Goudy Old Style" w:hAnsi="Goudy Old Style"/>
          <w:sz w:val="25"/>
          <w:szCs w:val="25"/>
        </w:rPr>
        <w:t>non</w:t>
      </w:r>
      <w:r w:rsidR="00D82536" w:rsidRPr="000E366D">
        <w:rPr>
          <w:rFonts w:ascii="Goudy Old Style" w:hAnsi="Goudy Old Style"/>
          <w:sz w:val="25"/>
          <w:szCs w:val="25"/>
        </w:rPr>
        <w:noBreakHyphen/>
      </w:r>
      <w:r w:rsidRPr="000E366D">
        <w:rPr>
          <w:rFonts w:ascii="Goudy Old Style" w:hAnsi="Goudy Old Style"/>
          <w:sz w:val="25"/>
          <w:szCs w:val="25"/>
        </w:rPr>
        <w:t>Indigenous Australian).</w:t>
      </w:r>
    </w:p>
    <w:p w:rsidR="009B50C8" w:rsidRPr="006C336B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6C336B">
        <w:rPr>
          <w:rFonts w:ascii="Goudy Old Style" w:hAnsi="Goudy Old Style"/>
          <w:b/>
          <w:color w:val="800000"/>
          <w:szCs w:val="26"/>
        </w:rPr>
        <w:t>Healthy lives</w:t>
      </w:r>
    </w:p>
    <w:p w:rsidR="009B50C8" w:rsidRPr="006C336B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 xml:space="preserve">This includes expenditure on hospital services; public and community health services; and other health care subsidies and support services. </w:t>
      </w:r>
    </w:p>
    <w:p w:rsidR="009B50C8" w:rsidRPr="006C336B" w:rsidRDefault="00D55F21" w:rsidP="001027B3">
      <w:pPr>
        <w:spacing w:before="12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 xml:space="preserve">The ratio of Indigenous to </w:t>
      </w:r>
      <w:r w:rsidR="00D82536" w:rsidRPr="006C336B">
        <w:rPr>
          <w:rFonts w:ascii="Goudy Old Style" w:hAnsi="Goudy Old Style"/>
          <w:sz w:val="25"/>
          <w:szCs w:val="25"/>
        </w:rPr>
        <w:t>non</w:t>
      </w:r>
      <w:r w:rsidR="00D82536" w:rsidRPr="006C336B">
        <w:rPr>
          <w:rFonts w:ascii="Goudy Old Style" w:hAnsi="Goudy Old Style"/>
          <w:sz w:val="25"/>
          <w:szCs w:val="25"/>
        </w:rPr>
        <w:noBreakHyphen/>
      </w:r>
      <w:r w:rsidRPr="006C336B">
        <w:rPr>
          <w:rFonts w:ascii="Goudy Old Style" w:hAnsi="Goudy Old Style"/>
          <w:sz w:val="25"/>
          <w:szCs w:val="25"/>
        </w:rPr>
        <w:t xml:space="preserve">Indigenous expenditure per </w:t>
      </w:r>
      <w:r w:rsidR="003E0732">
        <w:rPr>
          <w:rFonts w:ascii="Goudy Old Style" w:hAnsi="Goudy Old Style"/>
          <w:sz w:val="25"/>
          <w:szCs w:val="25"/>
        </w:rPr>
        <w:t>person</w:t>
      </w:r>
      <w:r w:rsidRPr="006C336B">
        <w:rPr>
          <w:rFonts w:ascii="Goudy Old Style" w:hAnsi="Goudy Old Style"/>
          <w:sz w:val="25"/>
          <w:szCs w:val="25"/>
        </w:rPr>
        <w:t xml:space="preserve"> in Queensland was </w:t>
      </w:r>
      <w:r w:rsidR="00B859AD" w:rsidRPr="00B859AD">
        <w:rPr>
          <w:rFonts w:ascii="Goudy Old Style" w:hAnsi="Goudy Old Style"/>
          <w:sz w:val="25"/>
          <w:szCs w:val="25"/>
        </w:rPr>
        <w:t xml:space="preserve">1.70:1 ($7411 per Aboriginal and Torres Strait Islander Australian compared with $4352 </w:t>
      </w:r>
      <w:r w:rsidRPr="006C336B">
        <w:rPr>
          <w:rFonts w:ascii="Goudy Old Style" w:hAnsi="Goudy Old Style"/>
          <w:sz w:val="25"/>
          <w:szCs w:val="25"/>
        </w:rPr>
        <w:t>per non</w:t>
      </w:r>
      <w:r w:rsidR="006C336B" w:rsidRPr="006C336B">
        <w:rPr>
          <w:rFonts w:ascii="Goudy Old Style" w:hAnsi="Goudy Old Style"/>
          <w:sz w:val="25"/>
          <w:szCs w:val="25"/>
        </w:rPr>
        <w:noBreakHyphen/>
      </w:r>
      <w:r w:rsidRPr="006C336B">
        <w:rPr>
          <w:rFonts w:ascii="Goudy Old Style" w:hAnsi="Goudy Old Style"/>
          <w:sz w:val="25"/>
          <w:szCs w:val="25"/>
        </w:rPr>
        <w:t>Indigenous Australian).</w:t>
      </w:r>
    </w:p>
    <w:p w:rsidR="009B50C8" w:rsidRPr="006C336B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6C336B">
        <w:rPr>
          <w:rFonts w:ascii="Goudy Old Style" w:hAnsi="Goudy Old Style"/>
          <w:b/>
          <w:color w:val="800000"/>
          <w:szCs w:val="26"/>
        </w:rPr>
        <w:t>Economic participation</w:t>
      </w:r>
    </w:p>
    <w:p w:rsidR="009B50C8" w:rsidRPr="006C336B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>This includes expenditure on labour and employment services and social security support.</w:t>
      </w:r>
    </w:p>
    <w:p w:rsidR="009B50C8" w:rsidRPr="006C336B" w:rsidRDefault="00D55F21" w:rsidP="001027B3">
      <w:pPr>
        <w:spacing w:before="12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 xml:space="preserve">The ratio of Indigenous to </w:t>
      </w:r>
      <w:r w:rsidR="00D82536" w:rsidRPr="006C336B">
        <w:rPr>
          <w:rFonts w:ascii="Goudy Old Style" w:hAnsi="Goudy Old Style"/>
          <w:sz w:val="25"/>
          <w:szCs w:val="25"/>
        </w:rPr>
        <w:t>non</w:t>
      </w:r>
      <w:r w:rsidR="00D82536" w:rsidRPr="006C336B">
        <w:rPr>
          <w:rFonts w:ascii="Goudy Old Style" w:hAnsi="Goudy Old Style"/>
          <w:sz w:val="25"/>
          <w:szCs w:val="25"/>
        </w:rPr>
        <w:noBreakHyphen/>
      </w:r>
      <w:r w:rsidRPr="006C336B">
        <w:rPr>
          <w:rFonts w:ascii="Goudy Old Style" w:hAnsi="Goudy Old Style"/>
          <w:sz w:val="25"/>
          <w:szCs w:val="25"/>
        </w:rPr>
        <w:t xml:space="preserve">Indigenous expenditure per </w:t>
      </w:r>
      <w:r w:rsidR="003E0732">
        <w:rPr>
          <w:rFonts w:ascii="Goudy Old Style" w:hAnsi="Goudy Old Style"/>
          <w:sz w:val="25"/>
          <w:szCs w:val="25"/>
        </w:rPr>
        <w:t>person</w:t>
      </w:r>
      <w:r w:rsidRPr="006C336B">
        <w:rPr>
          <w:rFonts w:ascii="Goudy Old Style" w:hAnsi="Goudy Old Style"/>
          <w:sz w:val="25"/>
          <w:szCs w:val="25"/>
        </w:rPr>
        <w:t xml:space="preserve"> in Queensland was </w:t>
      </w:r>
      <w:r w:rsidR="00B859AD" w:rsidRPr="00B859AD">
        <w:rPr>
          <w:rFonts w:ascii="Goudy Old Style" w:hAnsi="Goudy Old Style"/>
          <w:sz w:val="25"/>
          <w:szCs w:val="25"/>
        </w:rPr>
        <w:t>1.58:1 ($7447 per Aboriginal and Torres Strait Islander Australian compared with $4720</w:t>
      </w:r>
      <w:r w:rsidRPr="006C336B">
        <w:rPr>
          <w:rFonts w:ascii="Goudy Old Style" w:hAnsi="Goudy Old Style"/>
          <w:sz w:val="25"/>
          <w:szCs w:val="25"/>
        </w:rPr>
        <w:t xml:space="preserve"> per non</w:t>
      </w:r>
      <w:r w:rsidRPr="006C336B">
        <w:rPr>
          <w:rFonts w:ascii="Goudy Old Style" w:hAnsi="Goudy Old Style"/>
          <w:sz w:val="25"/>
          <w:szCs w:val="25"/>
        </w:rPr>
        <w:noBreakHyphen/>
        <w:t>Indigenous Australian)</w:t>
      </w:r>
      <w:r w:rsidR="009B50C8" w:rsidRPr="006C336B">
        <w:rPr>
          <w:rFonts w:ascii="Goudy Old Style" w:hAnsi="Goudy Old Style"/>
          <w:sz w:val="25"/>
          <w:szCs w:val="25"/>
        </w:rPr>
        <w:t>.</w:t>
      </w:r>
    </w:p>
    <w:p w:rsidR="009B50C8" w:rsidRPr="006C336B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6C336B">
        <w:rPr>
          <w:rFonts w:ascii="Goudy Old Style" w:hAnsi="Goudy Old Style"/>
          <w:b/>
          <w:color w:val="800000"/>
          <w:szCs w:val="26"/>
        </w:rPr>
        <w:t>Home environment</w:t>
      </w:r>
    </w:p>
    <w:p w:rsidR="009B50C8" w:rsidRPr="006C336B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 xml:space="preserve">This includes expenditure on housing services; community and environment services; and transport and communications services. </w:t>
      </w:r>
    </w:p>
    <w:p w:rsidR="009B50C8" w:rsidRPr="006C336B" w:rsidRDefault="006C336B" w:rsidP="001027B3">
      <w:pPr>
        <w:spacing w:before="12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>The ratio of Indigenous to non</w:t>
      </w:r>
      <w:r w:rsidRPr="006C336B">
        <w:rPr>
          <w:rFonts w:ascii="Goudy Old Style" w:hAnsi="Goudy Old Style"/>
          <w:sz w:val="25"/>
          <w:szCs w:val="25"/>
        </w:rPr>
        <w:noBreakHyphen/>
        <w:t xml:space="preserve">Indigenous expenditure per </w:t>
      </w:r>
      <w:r w:rsidR="003E0732">
        <w:rPr>
          <w:rFonts w:ascii="Goudy Old Style" w:hAnsi="Goudy Old Style"/>
          <w:sz w:val="25"/>
          <w:szCs w:val="25"/>
        </w:rPr>
        <w:t>person</w:t>
      </w:r>
      <w:r w:rsidRPr="006C336B">
        <w:rPr>
          <w:rFonts w:ascii="Goudy Old Style" w:hAnsi="Goudy Old Style"/>
          <w:sz w:val="25"/>
          <w:szCs w:val="25"/>
        </w:rPr>
        <w:t xml:space="preserve"> in Queensland was 1.60:1 ($3985 per Aboriginal and Torres Strait Islander Australian compared with $2487 per non</w:t>
      </w:r>
      <w:r w:rsidRPr="006C336B">
        <w:rPr>
          <w:rFonts w:ascii="Goudy Old Style" w:hAnsi="Goudy Old Style"/>
          <w:sz w:val="25"/>
          <w:szCs w:val="25"/>
        </w:rPr>
        <w:noBreakHyphen/>
        <w:t>Indigenous Australian)</w:t>
      </w:r>
      <w:r w:rsidR="009B50C8" w:rsidRPr="006C336B">
        <w:rPr>
          <w:rFonts w:ascii="Goudy Old Style" w:hAnsi="Goudy Old Style"/>
          <w:sz w:val="25"/>
          <w:szCs w:val="25"/>
        </w:rPr>
        <w:t>.</w:t>
      </w:r>
    </w:p>
    <w:p w:rsidR="009B50C8" w:rsidRPr="006C336B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6C336B">
        <w:rPr>
          <w:rFonts w:ascii="Goudy Old Style" w:hAnsi="Goudy Old Style"/>
          <w:b/>
          <w:color w:val="800000"/>
          <w:szCs w:val="26"/>
        </w:rPr>
        <w:t>Safe and supportive communities</w:t>
      </w:r>
    </w:p>
    <w:p w:rsidR="009B50C8" w:rsidRPr="006C336B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 xml:space="preserve">This includes expenditure on public order and safety; community support and welfare; and recreation and culture. </w:t>
      </w:r>
    </w:p>
    <w:p w:rsidR="009B50C8" w:rsidRPr="006C336B" w:rsidRDefault="006C336B" w:rsidP="001027B3">
      <w:pPr>
        <w:spacing w:before="12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 xml:space="preserve">The ratio of Indigenous to </w:t>
      </w:r>
      <w:r w:rsidR="00D82536" w:rsidRPr="006C336B">
        <w:rPr>
          <w:rFonts w:ascii="Goudy Old Style" w:hAnsi="Goudy Old Style"/>
          <w:sz w:val="25"/>
          <w:szCs w:val="25"/>
        </w:rPr>
        <w:t>non</w:t>
      </w:r>
      <w:r w:rsidR="00D82536" w:rsidRPr="006C336B">
        <w:rPr>
          <w:rFonts w:ascii="Goudy Old Style" w:hAnsi="Goudy Old Style"/>
          <w:sz w:val="25"/>
          <w:szCs w:val="25"/>
        </w:rPr>
        <w:noBreakHyphen/>
      </w:r>
      <w:r w:rsidRPr="006C336B">
        <w:rPr>
          <w:rFonts w:ascii="Goudy Old Style" w:hAnsi="Goudy Old Style"/>
          <w:sz w:val="25"/>
          <w:szCs w:val="25"/>
        </w:rPr>
        <w:t xml:space="preserve">Indigenous expenditure per </w:t>
      </w:r>
      <w:r w:rsidR="003E0732">
        <w:rPr>
          <w:rFonts w:ascii="Goudy Old Style" w:hAnsi="Goudy Old Style"/>
          <w:sz w:val="25"/>
          <w:szCs w:val="25"/>
        </w:rPr>
        <w:t>person</w:t>
      </w:r>
      <w:r w:rsidRPr="006C336B">
        <w:rPr>
          <w:rFonts w:ascii="Goudy Old Style" w:hAnsi="Goudy Old Style"/>
          <w:sz w:val="25"/>
          <w:szCs w:val="25"/>
        </w:rPr>
        <w:t xml:space="preserve"> in Queensland was 3.64:1 ($9293 per Aboriginal and Torres Strait Islander Australian compared with $2553 per non</w:t>
      </w:r>
      <w:r w:rsidRPr="006C336B">
        <w:rPr>
          <w:rFonts w:ascii="Goudy Old Style" w:hAnsi="Goudy Old Style"/>
          <w:sz w:val="25"/>
          <w:szCs w:val="25"/>
        </w:rPr>
        <w:noBreakHyphen/>
        <w:t>Indigenous Australian)</w:t>
      </w:r>
      <w:r w:rsidR="009B50C8" w:rsidRPr="006C336B">
        <w:rPr>
          <w:rFonts w:ascii="Goudy Old Style" w:hAnsi="Goudy Old Style"/>
          <w:sz w:val="25"/>
          <w:szCs w:val="25"/>
        </w:rPr>
        <w:t>.</w:t>
      </w:r>
    </w:p>
    <w:p w:rsidR="009B50C8" w:rsidRPr="006C336B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6C336B">
        <w:rPr>
          <w:rFonts w:ascii="Goudy Old Style" w:hAnsi="Goudy Old Style"/>
          <w:b/>
          <w:color w:val="800000"/>
          <w:szCs w:val="26"/>
        </w:rPr>
        <w:t>Other government expenditure</w:t>
      </w:r>
    </w:p>
    <w:p w:rsidR="009B50C8" w:rsidRPr="006C336B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 xml:space="preserve">This includes expenditure on general government (such as the operations of legislative and executive affairs and defence services); and support to industry. </w:t>
      </w:r>
    </w:p>
    <w:p w:rsidR="008379F7" w:rsidRPr="006C336B" w:rsidRDefault="006C336B" w:rsidP="001027B3">
      <w:pPr>
        <w:spacing w:before="120"/>
        <w:rPr>
          <w:rFonts w:ascii="Goudy Old Style" w:hAnsi="Goudy Old Style"/>
          <w:sz w:val="25"/>
          <w:szCs w:val="25"/>
        </w:rPr>
      </w:pPr>
      <w:r w:rsidRPr="006C336B">
        <w:rPr>
          <w:rFonts w:ascii="Goudy Old Style" w:hAnsi="Goudy Old Style"/>
          <w:sz w:val="25"/>
          <w:szCs w:val="25"/>
        </w:rPr>
        <w:t xml:space="preserve">The ratio of Indigenous to </w:t>
      </w:r>
      <w:r w:rsidR="00D82536" w:rsidRPr="006C336B">
        <w:rPr>
          <w:rFonts w:ascii="Goudy Old Style" w:hAnsi="Goudy Old Style"/>
          <w:sz w:val="25"/>
          <w:szCs w:val="25"/>
        </w:rPr>
        <w:t>non</w:t>
      </w:r>
      <w:r w:rsidR="00D82536" w:rsidRPr="006C336B">
        <w:rPr>
          <w:rFonts w:ascii="Goudy Old Style" w:hAnsi="Goudy Old Style"/>
          <w:sz w:val="25"/>
          <w:szCs w:val="25"/>
        </w:rPr>
        <w:noBreakHyphen/>
      </w:r>
      <w:r w:rsidRPr="006C336B">
        <w:rPr>
          <w:rFonts w:ascii="Goudy Old Style" w:hAnsi="Goudy Old Style"/>
          <w:sz w:val="25"/>
          <w:szCs w:val="25"/>
        </w:rPr>
        <w:t xml:space="preserve">Indigenous expenditure per </w:t>
      </w:r>
      <w:r w:rsidR="003E0732">
        <w:rPr>
          <w:rFonts w:ascii="Goudy Old Style" w:hAnsi="Goudy Old Style"/>
          <w:sz w:val="25"/>
          <w:szCs w:val="25"/>
        </w:rPr>
        <w:t>person</w:t>
      </w:r>
      <w:r w:rsidRPr="006C336B">
        <w:rPr>
          <w:rFonts w:ascii="Goudy Old Style" w:hAnsi="Goudy Old Style"/>
          <w:sz w:val="25"/>
          <w:szCs w:val="25"/>
        </w:rPr>
        <w:t xml:space="preserve"> in Queensland was 1.02:1 ($4535 per Aboriginal and Torres Strait Islander Australian compared with $4463 per non</w:t>
      </w:r>
      <w:r w:rsidRPr="006C336B">
        <w:rPr>
          <w:rFonts w:ascii="Goudy Old Style" w:hAnsi="Goudy Old Style"/>
          <w:sz w:val="25"/>
          <w:szCs w:val="25"/>
        </w:rPr>
        <w:noBreakHyphen/>
        <w:t>Indigenous Australian).</w:t>
      </w:r>
      <w:r w:rsidR="008379F7" w:rsidRPr="006C336B">
        <w:rPr>
          <w:rFonts w:ascii="GoudyOlSt BT" w:hAnsi="GoudyOlSt BT"/>
          <w:sz w:val="25"/>
          <w:szCs w:val="25"/>
        </w:rPr>
        <w:br w:type="page"/>
      </w:r>
    </w:p>
    <w:p w:rsidR="00067BFB" w:rsidRPr="001921A7" w:rsidRDefault="00067BFB" w:rsidP="0072519C">
      <w:pPr>
        <w:pStyle w:val="FigureTitle"/>
        <w:spacing w:before="180" w:line="240" w:lineRule="atLeast"/>
        <w:ind w:left="1134" w:hanging="1134"/>
        <w:rPr>
          <w:rStyle w:val="NoteLabel"/>
          <w:b/>
          <w:sz w:val="24"/>
        </w:rPr>
      </w:pPr>
      <w:r w:rsidRPr="001921A7">
        <w:rPr>
          <w:sz w:val="24"/>
        </w:rPr>
        <w:lastRenderedPageBreak/>
        <w:t>Table 1</w:t>
      </w:r>
      <w:r w:rsidRPr="001921A7">
        <w:rPr>
          <w:sz w:val="24"/>
        </w:rPr>
        <w:tab/>
        <w:t xml:space="preserve">Australian Government </w:t>
      </w:r>
      <w:r w:rsidRPr="001921A7">
        <w:rPr>
          <w:i/>
          <w:sz w:val="24"/>
        </w:rPr>
        <w:t>plus</w:t>
      </w:r>
      <w:r w:rsidRPr="001921A7">
        <w:rPr>
          <w:sz w:val="24"/>
        </w:rPr>
        <w:t xml:space="preserve"> </w:t>
      </w:r>
      <w:r w:rsidR="00C428BA" w:rsidRPr="001921A7">
        <w:rPr>
          <w:sz w:val="24"/>
        </w:rPr>
        <w:t xml:space="preserve">Queensland </w:t>
      </w:r>
      <w:r w:rsidRPr="001921A7">
        <w:rPr>
          <w:sz w:val="24"/>
        </w:rPr>
        <w:t>Government direct expenditure, Queensland, 2012</w:t>
      </w:r>
      <w:r w:rsidRPr="001921A7">
        <w:rPr>
          <w:sz w:val="24"/>
        </w:rPr>
        <w:noBreakHyphen/>
        <w:t>13</w:t>
      </w:r>
      <w:r w:rsidRPr="001921A7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067BFB" w:rsidRPr="006C336B" w:rsidTr="00067BFB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  <w:r w:rsidRPr="006C336B">
              <w:rPr>
                <w:iCs/>
              </w:rPr>
              <w:t xml:space="preserve">Total </w:t>
            </w:r>
            <w:r w:rsidRPr="006C336B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  <w:r w:rsidRPr="006C336B">
              <w:rPr>
                <w:iCs/>
              </w:rPr>
              <w:t xml:space="preserve">Expenditure per head </w:t>
            </w:r>
            <w:r w:rsidRPr="006C336B">
              <w:rPr>
                <w:iCs/>
              </w:rPr>
              <w:br/>
              <w:t>of population</w:t>
            </w:r>
            <w:r w:rsidRPr="006C336B">
              <w:rPr>
                <w:rStyle w:val="NoteLabel"/>
                <w:i w:val="0"/>
              </w:rPr>
              <w:t>d</w:t>
            </w:r>
          </w:p>
        </w:tc>
      </w:tr>
      <w:tr w:rsidR="00067BFB" w:rsidRPr="006C336B" w:rsidTr="00067BFB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proofErr w:type="spellStart"/>
            <w:r w:rsidRPr="006C336B">
              <w:t>Indig</w:t>
            </w:r>
            <w:proofErr w:type="spellEnd"/>
            <w:r w:rsidRPr="006C336B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r w:rsidRPr="006C336B">
              <w:t>Non-</w:t>
            </w:r>
            <w:proofErr w:type="spellStart"/>
            <w:r w:rsidRPr="006C336B">
              <w:t>Indig</w:t>
            </w:r>
            <w:proofErr w:type="spellEnd"/>
            <w:r w:rsidRPr="006C336B"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r w:rsidRPr="006C336B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proofErr w:type="spellStart"/>
            <w:r w:rsidRPr="006C336B">
              <w:rPr>
                <w:iCs/>
              </w:rPr>
              <w:t>Indig</w:t>
            </w:r>
            <w:proofErr w:type="spellEnd"/>
            <w:r w:rsidRPr="006C336B">
              <w:rPr>
                <w:iCs/>
              </w:rPr>
              <w:t xml:space="preserve">. </w:t>
            </w:r>
            <w:r w:rsidRPr="006C336B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proofErr w:type="spellStart"/>
            <w:r w:rsidRPr="006C336B">
              <w:t>Indig</w:t>
            </w:r>
            <w:proofErr w:type="spellEnd"/>
            <w:r w:rsidRPr="006C336B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r w:rsidRPr="006C336B">
              <w:t>Non-</w:t>
            </w:r>
            <w:proofErr w:type="spellStart"/>
            <w:r w:rsidRPr="006C336B">
              <w:t>Indig</w:t>
            </w:r>
            <w:proofErr w:type="spellEnd"/>
            <w:r w:rsidRPr="006C336B">
              <w:t>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r w:rsidRPr="006C336B">
              <w:rPr>
                <w:iCs/>
              </w:rPr>
              <w:t>Ratio</w:t>
            </w:r>
            <w:r w:rsidRPr="006C336B">
              <w:rPr>
                <w:rStyle w:val="NoteLabel"/>
                <w:i w:val="0"/>
              </w:rPr>
              <w:t>e</w:t>
            </w:r>
          </w:p>
        </w:tc>
      </w:tr>
      <w:tr w:rsidR="00067BFB" w:rsidRPr="006C336B" w:rsidTr="00067BFB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067BFB" w:rsidRPr="006C336B" w:rsidRDefault="00067BFB" w:rsidP="00067BFB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ratio</w:t>
            </w:r>
          </w:p>
        </w:tc>
      </w:tr>
      <w:tr w:rsidR="00067BFB" w:rsidRPr="006C336B" w:rsidTr="00067BFB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067BFB" w:rsidRPr="006C336B" w:rsidRDefault="00067BFB" w:rsidP="00067BFB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C336B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Early childhood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1 267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1 361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6.9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1.67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School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913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8 822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9 736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9.4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4 609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1 979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2.33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Tertiary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3 404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3 560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785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763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1.03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1 163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13 493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14 657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7.9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5 869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3 026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1.94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C336B">
              <w:rPr>
                <w:rFonts w:cs="Arial"/>
                <w:b/>
                <w:iCs/>
              </w:rPr>
              <w:t>Healthy lives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Hospital services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686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8 144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8 831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7.8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3 463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1 827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1.90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 xml:space="preserve">Public and community health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510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3 662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13.9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2 571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707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3.64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Health care subsidies &amp;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8 109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8 382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1 376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1 819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0.76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1 469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19 406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20 874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7 411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4 352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1.70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C336B">
              <w:rPr>
                <w:rFonts w:cs="Arial"/>
                <w:b/>
                <w:iCs/>
              </w:rPr>
              <w:t>Economic participation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 xml:space="preserve">Labour &amp; employment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2 050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12.2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1 261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3.12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Social security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19 244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20 470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6 186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4 316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1.43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1 476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21 044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22 520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6.6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7 447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4 720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1.58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C336B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Housing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1 684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2 032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17.1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1 755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378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4.65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Community and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2 981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3 155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5.5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878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668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1.31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Transport &amp; communications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6 425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6 693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1 351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1 441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0.94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790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11 089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11 879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6.6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3 985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2 487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1.60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C336B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Public order and safety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743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3 968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4 711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15.8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3 748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890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4.21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Community support &amp; welfare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989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6 839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14.5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4 990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1 312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3.80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Recreation and culture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1 566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1 676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6.6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554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351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1.58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1 842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11 385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13 226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13.9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9 293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2 553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3.64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6C336B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 xml:space="preserve">General </w:t>
            </w:r>
            <w:proofErr w:type="spellStart"/>
            <w:r w:rsidRPr="006C336B">
              <w:rPr>
                <w:rFonts w:cs="Arial"/>
              </w:rPr>
              <w:t>govt</w:t>
            </w:r>
            <w:proofErr w:type="spellEnd"/>
            <w:r w:rsidRPr="006C336B">
              <w:rPr>
                <w:rFonts w:cs="Arial"/>
              </w:rPr>
              <w:t xml:space="preserve"> and defence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803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17 819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18 622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4 052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3 997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1.01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Support to industry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2 079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2 175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466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1.04</w:t>
            </w:r>
          </w:p>
        </w:tc>
      </w:tr>
      <w:tr w:rsidR="00DB2FC6" w:rsidRPr="006C336B" w:rsidTr="00067BFB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899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19 898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20 797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4.3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4 535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4 463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DB2FC6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1.02</w:t>
            </w:r>
          </w:p>
        </w:tc>
      </w:tr>
      <w:tr w:rsidR="005313CD" w:rsidRPr="006C336B" w:rsidTr="000E366D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313CD" w:rsidRPr="006C336B" w:rsidRDefault="005313CD" w:rsidP="00067BFB">
            <w:pPr>
              <w:pStyle w:val="TableBodyText"/>
              <w:spacing w:before="20" w:after="20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 EXPENDITURE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313CD" w:rsidRDefault="005313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7 639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313CD" w:rsidRDefault="005313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96 315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313CD" w:rsidRDefault="005313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103 953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313CD" w:rsidRDefault="005313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7.3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313CD" w:rsidRDefault="005313CD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313CD" w:rsidRDefault="005313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38 540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313CD" w:rsidRDefault="005313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21 602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313CD" w:rsidRDefault="005313C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1.78</w:t>
            </w:r>
          </w:p>
        </w:tc>
      </w:tr>
    </w:tbl>
    <w:p w:rsidR="00067BFB" w:rsidRPr="006C336B" w:rsidRDefault="00067BFB" w:rsidP="00067BFB">
      <w:pPr>
        <w:pStyle w:val="Source"/>
        <w:keepLines w:val="0"/>
        <w:widowControl w:val="0"/>
      </w:pPr>
      <w:r w:rsidRPr="006C336B">
        <w:rPr>
          <w:rStyle w:val="NoteLabel"/>
        </w:rPr>
        <w:t>a</w:t>
      </w:r>
      <w:r w:rsidRPr="006C336B">
        <w:t> </w:t>
      </w:r>
      <w:r w:rsidRPr="006C336B">
        <w:rPr>
          <w:i/>
        </w:rPr>
        <w:t>Direct expenditure</w:t>
      </w:r>
      <w:r w:rsidRPr="006C336B">
        <w:t xml:space="preserve"> includes government outlays on services and programs (including income support) that are paid directly to individuals, non-government service providers, or local governments. </w:t>
      </w:r>
      <w:r w:rsidRPr="006C336B">
        <w:rPr>
          <w:rStyle w:val="NoteLabel"/>
        </w:rPr>
        <w:t>b</w:t>
      </w:r>
      <w:r w:rsidRPr="006C336B">
        <w:t xml:space="preserve"> Refer to the Report for more detail on the estimates and specific guidelines for the use and interpretation of these data. </w:t>
      </w:r>
      <w:r w:rsidRPr="006C336B">
        <w:rPr>
          <w:rStyle w:val="NoteLabel"/>
        </w:rPr>
        <w:t>c</w:t>
      </w:r>
      <w:r w:rsidRPr="006C336B">
        <w:t xml:space="preserve"> Totals may not sum due to rounding. </w:t>
      </w:r>
      <w:r w:rsidRPr="006C336B">
        <w:rPr>
          <w:rStyle w:val="NoteLabel"/>
        </w:rPr>
        <w:t>d</w:t>
      </w:r>
      <w:r w:rsidRPr="006C336B">
        <w:t xml:space="preserve"> Per head of population expenditure is not the same as expenditure per user, and should not be interpreted as a proxy for unit cost. </w:t>
      </w:r>
      <w:r w:rsidRPr="006C336B">
        <w:rPr>
          <w:rStyle w:val="NoteLabel"/>
        </w:rPr>
        <w:t>e</w:t>
      </w:r>
      <w:r w:rsidRPr="006C336B">
        <w:t xml:space="preserve"> The ratio of total Indigenous expenditure per person to total non-Indigenous expenditure per person. </w:t>
      </w:r>
    </w:p>
    <w:p w:rsidR="001921A7" w:rsidRPr="00BC065A" w:rsidRDefault="001921A7" w:rsidP="001921A7">
      <w:pPr>
        <w:pStyle w:val="Source"/>
        <w:keepLines w:val="0"/>
        <w:widowControl w:val="0"/>
        <w:spacing w:after="0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067BFB" w:rsidRPr="001921A7" w:rsidRDefault="00067BFB" w:rsidP="0072519C">
      <w:pPr>
        <w:pStyle w:val="FigureTitle"/>
        <w:spacing w:line="240" w:lineRule="atLeast"/>
        <w:ind w:left="1134" w:hanging="1134"/>
        <w:rPr>
          <w:rStyle w:val="NoteLabel"/>
          <w:b/>
          <w:sz w:val="24"/>
        </w:rPr>
      </w:pPr>
      <w:r w:rsidRPr="001921A7">
        <w:rPr>
          <w:sz w:val="24"/>
        </w:rPr>
        <w:lastRenderedPageBreak/>
        <w:t>Table 2</w:t>
      </w:r>
      <w:r w:rsidRPr="001921A7">
        <w:rPr>
          <w:sz w:val="24"/>
        </w:rPr>
        <w:tab/>
        <w:t xml:space="preserve">Australian Government and </w:t>
      </w:r>
      <w:r w:rsidR="00C428BA" w:rsidRPr="001921A7">
        <w:rPr>
          <w:sz w:val="24"/>
        </w:rPr>
        <w:t xml:space="preserve">Queensland </w:t>
      </w:r>
      <w:r w:rsidRPr="001921A7">
        <w:rPr>
          <w:sz w:val="24"/>
        </w:rPr>
        <w:t>Government direct expenditure, Queensland, 2012</w:t>
      </w:r>
      <w:r w:rsidRPr="001921A7">
        <w:rPr>
          <w:sz w:val="24"/>
        </w:rPr>
        <w:noBreakHyphen/>
        <w:t>13</w:t>
      </w:r>
      <w:r w:rsidRPr="001921A7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067BFB" w:rsidRPr="006C336B" w:rsidTr="00067BFB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  <w:r w:rsidRPr="006C336B">
              <w:rPr>
                <w:iCs/>
              </w:rPr>
              <w:t xml:space="preserve">Total </w:t>
            </w:r>
            <w:r w:rsidRPr="006C336B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  <w:r w:rsidRPr="006C336B">
              <w:rPr>
                <w:iCs/>
              </w:rPr>
              <w:t xml:space="preserve">Expenditure per head </w:t>
            </w:r>
            <w:r w:rsidRPr="006C336B">
              <w:rPr>
                <w:iCs/>
              </w:rPr>
              <w:br/>
              <w:t>of population</w:t>
            </w:r>
            <w:r w:rsidRPr="006C336B">
              <w:rPr>
                <w:rStyle w:val="NoteLabel"/>
                <w:i w:val="0"/>
              </w:rPr>
              <w:t>d</w:t>
            </w:r>
          </w:p>
        </w:tc>
      </w:tr>
      <w:tr w:rsidR="00067BFB" w:rsidRPr="006C336B" w:rsidTr="00067BFB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proofErr w:type="spellStart"/>
            <w:r w:rsidRPr="006C336B">
              <w:t>Indig</w:t>
            </w:r>
            <w:proofErr w:type="spellEnd"/>
            <w:r w:rsidRPr="006C336B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r w:rsidRPr="006C336B">
              <w:t>Non-</w:t>
            </w:r>
            <w:proofErr w:type="spellStart"/>
            <w:r w:rsidRPr="006C336B">
              <w:t>Indig</w:t>
            </w:r>
            <w:proofErr w:type="spellEnd"/>
            <w:r w:rsidRPr="006C336B"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r w:rsidRPr="006C336B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proofErr w:type="spellStart"/>
            <w:r w:rsidRPr="006C336B">
              <w:rPr>
                <w:iCs/>
              </w:rPr>
              <w:t>Indig</w:t>
            </w:r>
            <w:proofErr w:type="spellEnd"/>
            <w:r w:rsidRPr="006C336B">
              <w:rPr>
                <w:iCs/>
              </w:rPr>
              <w:t xml:space="preserve">. </w:t>
            </w:r>
            <w:r w:rsidRPr="006C336B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proofErr w:type="spellStart"/>
            <w:r w:rsidRPr="006C336B">
              <w:t>Indig</w:t>
            </w:r>
            <w:proofErr w:type="spellEnd"/>
            <w:r w:rsidRPr="006C336B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r w:rsidRPr="006C336B">
              <w:t>Non-</w:t>
            </w:r>
            <w:proofErr w:type="spellStart"/>
            <w:r w:rsidRPr="006C336B">
              <w:t>Indig</w:t>
            </w:r>
            <w:proofErr w:type="spellEnd"/>
            <w:r w:rsidRPr="006C336B">
              <w:t>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r w:rsidRPr="006C336B">
              <w:rPr>
                <w:iCs/>
              </w:rPr>
              <w:t>Ratio</w:t>
            </w:r>
            <w:r w:rsidRPr="006C336B">
              <w:rPr>
                <w:rStyle w:val="NoteLabel"/>
                <w:i w:val="0"/>
              </w:rPr>
              <w:t>e</w:t>
            </w:r>
          </w:p>
        </w:tc>
      </w:tr>
      <w:tr w:rsidR="00067BFB" w:rsidRPr="006C336B" w:rsidTr="00067BFB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067BFB" w:rsidRPr="006C336B" w:rsidRDefault="00067BFB" w:rsidP="00067BFB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</w:pPr>
            <w:r w:rsidRPr="006C336B">
              <w:t>ratio</w:t>
            </w:r>
          </w:p>
        </w:tc>
      </w:tr>
      <w:tr w:rsidR="00067BFB" w:rsidRPr="006C336B" w:rsidTr="00067BFB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067BFB" w:rsidRPr="006C336B" w:rsidRDefault="00067BFB" w:rsidP="00067BFB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C336B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DB2FC6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257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3 624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3 881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Pr="00DB2FC6" w:rsidRDefault="00DB2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1 299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813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1.60</w:t>
            </w:r>
          </w:p>
        </w:tc>
      </w:tr>
      <w:tr w:rsidR="00DB2FC6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Qld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906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9 870</w:t>
            </w:r>
          </w:p>
        </w:tc>
        <w:tc>
          <w:tcPr>
            <w:tcW w:w="992" w:type="dxa"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10 775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Pr="00DB2FC6" w:rsidRDefault="00DB2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4 570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2 214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Pr="00DB2FC6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2.06</w:t>
            </w:r>
          </w:p>
        </w:tc>
      </w:tr>
      <w:tr w:rsidR="000E366D" w:rsidRPr="006C336B" w:rsidTr="00610720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0E366D" w:rsidRPr="006C336B" w:rsidRDefault="000E366D" w:rsidP="00345F95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 w:rsidP="00345F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1 163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0E366D" w:rsidRPr="00DB2FC6" w:rsidRDefault="000E366D" w:rsidP="00345F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13 493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 w:rsidP="00345F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14 657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0E366D" w:rsidRPr="00DB2FC6" w:rsidRDefault="000E366D" w:rsidP="00345F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0E366D" w:rsidRPr="00DB2FC6" w:rsidRDefault="000E366D" w:rsidP="00345F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 w:rsidP="00345F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5 869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0E366D" w:rsidRPr="00DB2FC6" w:rsidRDefault="000E366D" w:rsidP="00345F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3 026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0E366D" w:rsidRPr="00DB2FC6" w:rsidRDefault="000E366D" w:rsidP="00345F9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1.94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C336B">
              <w:rPr>
                <w:rFonts w:cs="Arial"/>
                <w:b/>
                <w:iCs/>
              </w:rPr>
              <w:t xml:space="preserve">Healthy lives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466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8 474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8 941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2 354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1 901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Qld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1 002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10 931</w:t>
            </w:r>
          </w:p>
        </w:tc>
        <w:tc>
          <w:tcPr>
            <w:tcW w:w="992" w:type="dxa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11 934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5 058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2 452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2.06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1 469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19 406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20 874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7 411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4 352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1.70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C336B">
              <w:rPr>
                <w:rFonts w:cs="Arial"/>
                <w:b/>
                <w:iCs/>
              </w:rPr>
              <w:t xml:space="preserve">Economic participation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1 455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20 783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22 238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7 342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4 661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1.58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Qld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261</w:t>
            </w:r>
          </w:p>
        </w:tc>
        <w:tc>
          <w:tcPr>
            <w:tcW w:w="992" w:type="dxa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281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104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1.79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1 476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21 044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22 520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7 447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4 720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1.58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C336B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195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2 956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3 150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983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663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Qld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595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8 134</w:t>
            </w:r>
          </w:p>
        </w:tc>
        <w:tc>
          <w:tcPr>
            <w:tcW w:w="992" w:type="dxa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8 729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3 002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1 824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1.65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790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11 089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11 879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3 985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2 487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1.60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C336B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592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4 920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5 511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2 984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1 103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2.70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Qld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1 250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6 465</w:t>
            </w:r>
          </w:p>
        </w:tc>
        <w:tc>
          <w:tcPr>
            <w:tcW w:w="992" w:type="dxa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7 715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6 308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1 450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4.35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1 842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11 385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13 226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9 293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2 553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3.64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6C336B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633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13 921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14 554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3 195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3 122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1.02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Qld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 266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5 977</w:t>
            </w:r>
          </w:p>
        </w:tc>
        <w:tc>
          <w:tcPr>
            <w:tcW w:w="992" w:type="dxa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6 242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1 341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1 340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899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19 898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20 797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4 535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4 463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</w:t>
            </w: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jc w:val="left"/>
              <w:rPr>
                <w:rFonts w:cs="Arial"/>
                <w:b/>
              </w:rPr>
            </w:pPr>
            <w:r w:rsidRPr="006C336B">
              <w:rPr>
                <w:rFonts w:cs="Arial"/>
                <w:b/>
              </w:rPr>
              <w:t>All direct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66D" w:rsidRPr="006C336B" w:rsidTr="00DB2FC6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3 599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54 678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58 276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18 156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</w:tr>
      <w:tr w:rsidR="000E366D" w:rsidRPr="006C336B" w:rsidTr="000E366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0E366D" w:rsidRPr="006C336B" w:rsidRDefault="000E366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Qld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4 040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41 637</w:t>
            </w:r>
          </w:p>
        </w:tc>
        <w:tc>
          <w:tcPr>
            <w:tcW w:w="992" w:type="dxa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45 677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0E366D" w:rsidRPr="00DB2FC6" w:rsidRDefault="000E36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20 384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 xml:space="preserve"> 9 339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66D" w:rsidRPr="00DB2FC6" w:rsidRDefault="000E36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color w:val="000000"/>
                <w:sz w:val="20"/>
                <w:szCs w:val="20"/>
              </w:rPr>
              <w:t>2.18</w:t>
            </w:r>
          </w:p>
        </w:tc>
      </w:tr>
      <w:tr w:rsidR="000E366D" w:rsidRPr="006C336B" w:rsidTr="000E366D">
        <w:trPr>
          <w:trHeight w:val="282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0E366D" w:rsidRPr="006C336B" w:rsidRDefault="000E366D" w:rsidP="00B56605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0E366D" w:rsidRPr="00DB2FC6" w:rsidRDefault="000E366D" w:rsidP="00B5660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7 639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0E366D" w:rsidRPr="00DB2FC6" w:rsidRDefault="000E366D" w:rsidP="00B5660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96 315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0E366D" w:rsidRPr="00DB2FC6" w:rsidRDefault="000E366D" w:rsidP="00B5660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103 953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0E366D" w:rsidRPr="00DB2FC6" w:rsidRDefault="000E366D" w:rsidP="00B5660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0E366D" w:rsidRPr="00DB2FC6" w:rsidRDefault="000E366D" w:rsidP="00B5660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0E366D" w:rsidRPr="00DB2FC6" w:rsidRDefault="000E366D" w:rsidP="00B5660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38 540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0E366D" w:rsidRPr="00DB2FC6" w:rsidRDefault="000E366D" w:rsidP="00B5660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21 602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0E366D" w:rsidRPr="00DB2FC6" w:rsidRDefault="000E366D" w:rsidP="00B5660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1.78</w:t>
            </w:r>
          </w:p>
        </w:tc>
      </w:tr>
    </w:tbl>
    <w:p w:rsidR="00067BFB" w:rsidRPr="006C336B" w:rsidRDefault="00067BFB" w:rsidP="00067BFB">
      <w:pPr>
        <w:pStyle w:val="Source"/>
        <w:keepNext/>
      </w:pPr>
      <w:r w:rsidRPr="006C336B">
        <w:rPr>
          <w:rStyle w:val="NoteLabel"/>
        </w:rPr>
        <w:t>a</w:t>
      </w:r>
      <w:r w:rsidRPr="006C336B">
        <w:t> </w:t>
      </w:r>
      <w:r w:rsidRPr="006C336B">
        <w:rPr>
          <w:i/>
        </w:rPr>
        <w:t>Direct expenditure</w:t>
      </w:r>
      <w:r w:rsidRPr="006C336B">
        <w:t xml:space="preserve"> includes government outlays on services and programs (including income support) that are paid directly to individuals, non-government service providers, or local governments. </w:t>
      </w:r>
      <w:r w:rsidRPr="006C336B">
        <w:rPr>
          <w:rStyle w:val="NoteLabel"/>
        </w:rPr>
        <w:t>b</w:t>
      </w:r>
      <w:r w:rsidRPr="006C336B">
        <w:t xml:space="preserve"> Refer to the Report for more detail on the estimates and specific guidelines for the use and interpretation of these data. </w:t>
      </w:r>
      <w:r w:rsidRPr="006C336B">
        <w:rPr>
          <w:rStyle w:val="NoteLabel"/>
        </w:rPr>
        <w:t>c</w:t>
      </w:r>
      <w:r w:rsidRPr="006C336B">
        <w:t xml:space="preserve"> Totals may not sum due to rounding. </w:t>
      </w:r>
      <w:r w:rsidRPr="006C336B">
        <w:rPr>
          <w:rStyle w:val="NoteLabel"/>
        </w:rPr>
        <w:t>d</w:t>
      </w:r>
      <w:r w:rsidRPr="006C336B">
        <w:t xml:space="preserve"> Per head of population expenditure is not the same as expenditure per user, and should not be interpreted as a proxy for unit cost. </w:t>
      </w:r>
      <w:r w:rsidRPr="006C336B">
        <w:rPr>
          <w:rStyle w:val="NoteLabel"/>
        </w:rPr>
        <w:t>e</w:t>
      </w:r>
      <w:r w:rsidRPr="006C336B">
        <w:t xml:space="preserve"> The ratio of total Indigenous expenditure per person to total non-Indigenous expenditure per person. </w:t>
      </w:r>
    </w:p>
    <w:p w:rsidR="001921A7" w:rsidRPr="00BC065A" w:rsidRDefault="001921A7" w:rsidP="001921A7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067BFB" w:rsidRPr="006C336B" w:rsidRDefault="00067BFB" w:rsidP="00067BFB">
      <w:pPr>
        <w:pStyle w:val="Source"/>
      </w:pPr>
      <w:r w:rsidRPr="006C336B">
        <w:br w:type="page"/>
      </w:r>
    </w:p>
    <w:p w:rsidR="00067BFB" w:rsidRPr="001921A7" w:rsidRDefault="00067BFB" w:rsidP="0072519C">
      <w:pPr>
        <w:pStyle w:val="FigureTitle"/>
        <w:spacing w:line="240" w:lineRule="atLeast"/>
        <w:ind w:left="1134" w:hanging="1134"/>
        <w:rPr>
          <w:rStyle w:val="NoteLabel"/>
          <w:b/>
          <w:sz w:val="24"/>
        </w:rPr>
      </w:pPr>
      <w:r w:rsidRPr="001921A7">
        <w:rPr>
          <w:sz w:val="24"/>
        </w:rPr>
        <w:lastRenderedPageBreak/>
        <w:t>Table 3</w:t>
      </w:r>
      <w:r w:rsidRPr="001921A7">
        <w:rPr>
          <w:sz w:val="24"/>
        </w:rPr>
        <w:tab/>
      </w:r>
      <w:r w:rsidR="007A16C9" w:rsidRPr="001921A7">
        <w:rPr>
          <w:sz w:val="24"/>
        </w:rPr>
        <w:t xml:space="preserve">Real </w:t>
      </w:r>
      <w:r w:rsidRPr="001921A7">
        <w:rPr>
          <w:sz w:val="24"/>
        </w:rPr>
        <w:t xml:space="preserve">Australian Government and </w:t>
      </w:r>
      <w:r w:rsidR="00C428BA" w:rsidRPr="001921A7">
        <w:rPr>
          <w:sz w:val="24"/>
        </w:rPr>
        <w:t xml:space="preserve">Queensland </w:t>
      </w:r>
      <w:r w:rsidRPr="001921A7">
        <w:rPr>
          <w:sz w:val="24"/>
        </w:rPr>
        <w:t>Government direct expenditure, Queensland, 2008</w:t>
      </w:r>
      <w:r w:rsidRPr="001921A7">
        <w:rPr>
          <w:sz w:val="24"/>
        </w:rPr>
        <w:noBreakHyphen/>
        <w:t>09, 2010</w:t>
      </w:r>
      <w:r w:rsidRPr="001921A7">
        <w:rPr>
          <w:sz w:val="24"/>
        </w:rPr>
        <w:noBreakHyphen/>
        <w:t>11, 2012</w:t>
      </w:r>
      <w:r w:rsidRPr="001921A7">
        <w:rPr>
          <w:sz w:val="24"/>
        </w:rPr>
        <w:noBreakHyphen/>
        <w:t>13</w:t>
      </w:r>
      <w:r w:rsidR="007A16C9" w:rsidRPr="001921A7">
        <w:rPr>
          <w:sz w:val="24"/>
        </w:rPr>
        <w:t xml:space="preserve"> (2012</w:t>
      </w:r>
      <w:r w:rsidR="007A16C9" w:rsidRPr="001921A7">
        <w:rPr>
          <w:sz w:val="24"/>
        </w:rPr>
        <w:noBreakHyphen/>
        <w:t>13 dollars)</w:t>
      </w:r>
      <w:r w:rsidRPr="001921A7">
        <w:rPr>
          <w:rStyle w:val="NoteLabel"/>
          <w:b/>
          <w:sz w:val="24"/>
          <w:vertAlign w:val="superscript"/>
        </w:rPr>
        <w:t>a, b, c</w:t>
      </w:r>
      <w:r w:rsidRPr="001921A7">
        <w:rPr>
          <w:rStyle w:val="NoteLabel"/>
          <w:b/>
          <w:sz w:val="24"/>
        </w:rPr>
        <w:t xml:space="preserve">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067BFB" w:rsidRPr="006C336B" w:rsidTr="00067BFB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  <w:r w:rsidRPr="006C336B">
              <w:rPr>
                <w:iCs/>
              </w:rPr>
              <w:t xml:space="preserve">Total </w:t>
            </w:r>
            <w:r w:rsidRPr="006C336B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  <w:r w:rsidRPr="006C336B">
              <w:rPr>
                <w:iCs/>
              </w:rPr>
              <w:t xml:space="preserve">Expenditure per head </w:t>
            </w:r>
            <w:r w:rsidRPr="006C336B">
              <w:rPr>
                <w:iCs/>
              </w:rPr>
              <w:br/>
              <w:t>of population</w:t>
            </w:r>
            <w:r w:rsidRPr="006C336B">
              <w:rPr>
                <w:rStyle w:val="NoteLabel"/>
                <w:i w:val="0"/>
              </w:rPr>
              <w:t>d</w:t>
            </w:r>
          </w:p>
        </w:tc>
      </w:tr>
      <w:tr w:rsidR="00067BFB" w:rsidRPr="006C336B" w:rsidTr="00067BFB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proofErr w:type="spellStart"/>
            <w:r w:rsidRPr="006C336B">
              <w:t>Indig</w:t>
            </w:r>
            <w:proofErr w:type="spellEnd"/>
            <w:r w:rsidRPr="006C336B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r w:rsidRPr="006C336B">
              <w:t>Non-</w:t>
            </w:r>
            <w:proofErr w:type="spellStart"/>
            <w:r w:rsidRPr="006C336B">
              <w:t>Indig</w:t>
            </w:r>
            <w:proofErr w:type="spellEnd"/>
            <w:r w:rsidRPr="006C336B"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r w:rsidRPr="006C336B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proofErr w:type="spellStart"/>
            <w:r w:rsidRPr="006C336B">
              <w:rPr>
                <w:iCs/>
              </w:rPr>
              <w:t>Indig</w:t>
            </w:r>
            <w:proofErr w:type="spellEnd"/>
            <w:r w:rsidRPr="006C336B">
              <w:rPr>
                <w:iCs/>
              </w:rPr>
              <w:t xml:space="preserve">. </w:t>
            </w:r>
            <w:r w:rsidRPr="006C336B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proofErr w:type="spellStart"/>
            <w:r w:rsidRPr="006C336B">
              <w:t>Indig</w:t>
            </w:r>
            <w:proofErr w:type="spellEnd"/>
            <w:r w:rsidRPr="006C336B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r w:rsidRPr="006C336B">
              <w:t>Non-</w:t>
            </w:r>
            <w:proofErr w:type="spellStart"/>
            <w:r w:rsidRPr="006C336B">
              <w:t>Indig</w:t>
            </w:r>
            <w:proofErr w:type="spellEnd"/>
            <w:r w:rsidRPr="006C336B">
              <w:t>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67BFB" w:rsidRPr="006C336B" w:rsidRDefault="00067BFB" w:rsidP="00067BFB">
            <w:pPr>
              <w:pStyle w:val="TableColumnHeading"/>
              <w:spacing w:before="40" w:after="40"/>
            </w:pPr>
            <w:r w:rsidRPr="006C336B">
              <w:rPr>
                <w:iCs/>
              </w:rPr>
              <w:t>Ratio</w:t>
            </w:r>
            <w:r w:rsidRPr="006C336B">
              <w:rPr>
                <w:rStyle w:val="NoteLabel"/>
                <w:i w:val="0"/>
              </w:rPr>
              <w:t>e</w:t>
            </w:r>
          </w:p>
        </w:tc>
      </w:tr>
      <w:tr w:rsidR="00067BFB" w:rsidRPr="006C336B" w:rsidTr="00067BFB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  <w:rPr>
                <w:rFonts w:cs="Arial"/>
              </w:rPr>
            </w:pPr>
            <w:r w:rsidRPr="006C336B">
              <w:rPr>
                <w:rFonts w:cs="Arial"/>
              </w:rPr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  <w:rPr>
                <w:rFonts w:cs="Arial"/>
              </w:rPr>
            </w:pPr>
            <w:r w:rsidRPr="006C336B">
              <w:rPr>
                <w:rFonts w:cs="Arial"/>
              </w:rPr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  <w:rPr>
                <w:rFonts w:cs="Arial"/>
              </w:rPr>
            </w:pPr>
            <w:r w:rsidRPr="006C336B">
              <w:rPr>
                <w:rFonts w:cs="Arial"/>
              </w:rPr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  <w:rPr>
                <w:rFonts w:cs="Arial"/>
              </w:rPr>
            </w:pPr>
            <w:r w:rsidRPr="006C336B">
              <w:rPr>
                <w:rFonts w:cs="Arial"/>
              </w:rPr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  <w:rPr>
                <w:rFonts w:cs="Arial"/>
              </w:rPr>
            </w:pPr>
            <w:r w:rsidRPr="006C336B">
              <w:rPr>
                <w:rFonts w:cs="Arial"/>
              </w:rPr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  <w:rPr>
                <w:rFonts w:cs="Arial"/>
              </w:rPr>
            </w:pPr>
            <w:r w:rsidRPr="006C336B">
              <w:rPr>
                <w:rFonts w:cs="Arial"/>
              </w:rPr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7BFB" w:rsidRPr="006C336B" w:rsidRDefault="00067BFB" w:rsidP="00067BFB">
            <w:pPr>
              <w:pStyle w:val="TableUnitsRow"/>
              <w:spacing w:before="30" w:after="30"/>
              <w:rPr>
                <w:rFonts w:cs="Arial"/>
              </w:rPr>
            </w:pPr>
            <w:r w:rsidRPr="006C336B">
              <w:rPr>
                <w:rFonts w:cs="Arial"/>
              </w:rPr>
              <w:t>ratio</w:t>
            </w:r>
          </w:p>
        </w:tc>
      </w:tr>
      <w:tr w:rsidR="00067BFB" w:rsidRPr="006C336B" w:rsidTr="00067BFB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067BFB" w:rsidRPr="006C336B" w:rsidRDefault="00067BFB" w:rsidP="0093720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C336B">
              <w:rPr>
                <w:rFonts w:cs="Arial"/>
                <w:b/>
                <w:iCs/>
              </w:rPr>
              <w:t>All direct expenditure 2008-09</w:t>
            </w:r>
            <w:r w:rsidR="00937202">
              <w:rPr>
                <w:rStyle w:val="NoteLabel"/>
              </w:rPr>
              <w:t>f</w:t>
            </w:r>
            <w:r w:rsidRPr="006C336B">
              <w:rPr>
                <w:rFonts w:cs="Arial"/>
                <w:b/>
                <w:iCs/>
              </w:rPr>
              <w:t xml:space="preserve"> </w:t>
            </w:r>
          </w:p>
        </w:tc>
      </w:tr>
      <w:tr w:rsidR="00DB2FC6" w:rsidRPr="006C336B" w:rsidTr="00F067A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2 919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50 210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53 128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Pr="00F067AD" w:rsidRDefault="00DB2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16 218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12 102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>1.34</w:t>
            </w:r>
          </w:p>
        </w:tc>
      </w:tr>
      <w:tr w:rsidR="00DB2FC6" w:rsidRPr="006C336B" w:rsidTr="00F067A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Qld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3 628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37 123</w:t>
            </w:r>
          </w:p>
        </w:tc>
        <w:tc>
          <w:tcPr>
            <w:tcW w:w="992" w:type="dxa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40 751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DB2FC6" w:rsidRPr="00F067AD" w:rsidRDefault="00DB2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20 163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8 948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>2.25</w:t>
            </w:r>
          </w:p>
        </w:tc>
      </w:tr>
      <w:tr w:rsidR="00DB2FC6" w:rsidRPr="006C336B" w:rsidTr="00F067AD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DB2FC6" w:rsidRPr="006C336B" w:rsidRDefault="00DB2FC6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6 547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87 333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93 880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DB2FC6" w:rsidRPr="00F067AD" w:rsidRDefault="00DB2F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36 381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21 050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DB2FC6" w:rsidRPr="00F067AD" w:rsidRDefault="00DB2F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1.73</w:t>
            </w:r>
          </w:p>
        </w:tc>
      </w:tr>
      <w:tr w:rsidR="00DB2FC6" w:rsidRPr="006C336B" w:rsidTr="00067BFB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DB2FC6" w:rsidRPr="00F067AD" w:rsidRDefault="00DB2FC6" w:rsidP="00067BFB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DB2FC6" w:rsidRPr="006C336B" w:rsidTr="00067BFB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DB2FC6" w:rsidRPr="00F067AD" w:rsidRDefault="00DB2FC6" w:rsidP="00067BFB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DB2FC6" w:rsidRPr="006C336B" w:rsidTr="00067BFB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DB2FC6" w:rsidRPr="00F067AD" w:rsidRDefault="00DB2FC6" w:rsidP="00067BFB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F067AD">
              <w:rPr>
                <w:rFonts w:cs="Arial"/>
                <w:b/>
                <w:iCs/>
              </w:rPr>
              <w:t>All direct expenditure 2010-11</w:t>
            </w:r>
            <w:r w:rsidRPr="00F067AD">
              <w:rPr>
                <w:rStyle w:val="NoteLabel"/>
                <w:rFonts w:cs="Arial"/>
                <w:sz w:val="20"/>
              </w:rPr>
              <w:t>f</w:t>
            </w:r>
          </w:p>
        </w:tc>
      </w:tr>
      <w:tr w:rsidR="00F067AD" w:rsidRPr="006C336B" w:rsidTr="00F067A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067AD" w:rsidRPr="006C336B" w:rsidRDefault="00F067A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3 187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50 108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53 295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067AD" w:rsidRPr="00F067AD" w:rsidRDefault="00F06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16 869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11 686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>1.44</w:t>
            </w:r>
          </w:p>
        </w:tc>
      </w:tr>
      <w:tr w:rsidR="00F067AD" w:rsidRPr="006C336B" w:rsidTr="00F067A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067AD" w:rsidRPr="006C336B" w:rsidRDefault="00F067A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Qld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3 945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40 810</w:t>
            </w:r>
          </w:p>
        </w:tc>
        <w:tc>
          <w:tcPr>
            <w:tcW w:w="992" w:type="dxa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44 754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067AD" w:rsidRPr="00F067AD" w:rsidRDefault="00F067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20 877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9 518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>2.19</w:t>
            </w:r>
          </w:p>
        </w:tc>
      </w:tr>
      <w:tr w:rsidR="00F067AD" w:rsidRPr="006C336B" w:rsidTr="00F067AD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F067AD" w:rsidRPr="006C336B" w:rsidRDefault="00F067A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7 132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90 918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98 050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F067AD" w:rsidRPr="00F067AD" w:rsidRDefault="00F067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37 746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21 204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F067AD" w:rsidRPr="00F067AD" w:rsidRDefault="00F067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1.78</w:t>
            </w:r>
          </w:p>
        </w:tc>
      </w:tr>
      <w:tr w:rsidR="00F067AD" w:rsidRPr="006C336B" w:rsidTr="00067BFB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F067AD" w:rsidRPr="00F067AD" w:rsidRDefault="00F067AD" w:rsidP="00067BFB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F067AD" w:rsidRPr="006C336B" w:rsidTr="00067BFB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F067AD" w:rsidRPr="00F067AD" w:rsidRDefault="00F067AD" w:rsidP="00067BFB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F067AD" w:rsidRPr="006C336B" w:rsidTr="00067BFB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F067AD" w:rsidRPr="00F067AD" w:rsidRDefault="00F067AD" w:rsidP="0093720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F067AD">
              <w:rPr>
                <w:rFonts w:cs="Arial"/>
                <w:b/>
                <w:iCs/>
              </w:rPr>
              <w:t>All direct expenditure 2012-13</w:t>
            </w:r>
          </w:p>
        </w:tc>
      </w:tr>
      <w:tr w:rsidR="00F067AD" w:rsidRPr="006C336B" w:rsidTr="00F067A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067AD" w:rsidRPr="006C336B" w:rsidRDefault="00F067A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3 599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54 678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58 276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067AD" w:rsidRPr="00F067AD" w:rsidRDefault="00F067AD" w:rsidP="00DB2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18 156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12 263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</w:tr>
      <w:tr w:rsidR="00F067AD" w:rsidRPr="006C336B" w:rsidTr="000E366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067AD" w:rsidRPr="006C336B" w:rsidRDefault="00F067AD" w:rsidP="00067BFB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C336B">
              <w:rPr>
                <w:rFonts w:cs="Arial"/>
              </w:rPr>
              <w:t>Qld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4 040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41 637</w:t>
            </w:r>
          </w:p>
        </w:tc>
        <w:tc>
          <w:tcPr>
            <w:tcW w:w="992" w:type="dxa"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45 677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067AD" w:rsidRPr="00F067AD" w:rsidRDefault="00F067AD" w:rsidP="00DB2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20 384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 xml:space="preserve"> 9 339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7AD" w:rsidRPr="00F067AD" w:rsidRDefault="00F067AD" w:rsidP="00DB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color w:val="000000"/>
                <w:sz w:val="20"/>
                <w:szCs w:val="20"/>
              </w:rPr>
              <w:t>2.18</w:t>
            </w:r>
          </w:p>
        </w:tc>
      </w:tr>
      <w:tr w:rsidR="000E366D" w:rsidRPr="006C336B" w:rsidTr="000E366D">
        <w:trPr>
          <w:trHeight w:val="282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0E366D" w:rsidRPr="006C336B" w:rsidRDefault="000E366D" w:rsidP="00AE3E4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C336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0E366D" w:rsidRPr="00F067AD" w:rsidRDefault="000E366D" w:rsidP="002E49B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7 639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0E366D" w:rsidRPr="00F067AD" w:rsidRDefault="000E366D" w:rsidP="002E49B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96 315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0E366D" w:rsidRPr="00F067AD" w:rsidRDefault="000E366D" w:rsidP="002E49B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103 953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0E366D" w:rsidRPr="00F067AD" w:rsidRDefault="000E366D" w:rsidP="002E49B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0E366D" w:rsidRPr="00F067AD" w:rsidRDefault="000E366D" w:rsidP="002E49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0E366D" w:rsidRPr="00F067AD" w:rsidRDefault="000E366D" w:rsidP="002E49B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38 540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0E366D" w:rsidRPr="00F067AD" w:rsidRDefault="000E366D" w:rsidP="002E49B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21 602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0E366D" w:rsidRPr="00F067AD" w:rsidRDefault="000E366D" w:rsidP="002E49B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67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1.78</w:t>
            </w:r>
          </w:p>
        </w:tc>
      </w:tr>
    </w:tbl>
    <w:p w:rsidR="001921A7" w:rsidRPr="00BC065A" w:rsidRDefault="001921A7" w:rsidP="000E366D">
      <w:pPr>
        <w:pStyle w:val="Source"/>
        <w:keepNext/>
      </w:pPr>
      <w:r w:rsidRPr="00BC065A">
        <w:rPr>
          <w:rStyle w:val="NoteLabel"/>
        </w:rPr>
        <w:t>a</w:t>
      </w:r>
      <w:r w:rsidRPr="00BC065A">
        <w:t> </w:t>
      </w:r>
      <w:r w:rsidRPr="00BC065A">
        <w:rPr>
          <w:i/>
        </w:rPr>
        <w:t>Direct expenditure</w:t>
      </w:r>
      <w:r w:rsidRPr="00BC065A">
        <w:t xml:space="preserve"> includes government outlays on services and programs (including income support) that are paid directly to individuals, non-government service providers, or local governments. </w:t>
      </w:r>
      <w:r w:rsidRPr="00BC065A">
        <w:rPr>
          <w:rStyle w:val="NoteLabel"/>
        </w:rPr>
        <w:t>b</w:t>
      </w:r>
      <w:r w:rsidRPr="00BC065A">
        <w:t xml:space="preserve"> Refer to the Report for more detail on the estimates and specific guidelines for the use and interpretation of these data. </w:t>
      </w:r>
      <w:r w:rsidRPr="00BC065A">
        <w:rPr>
          <w:rStyle w:val="NoteLabel"/>
        </w:rPr>
        <w:t>c</w:t>
      </w:r>
      <w:r w:rsidRPr="00BC065A">
        <w:t xml:space="preserve"> Totals may not sum due to rounding. </w:t>
      </w:r>
      <w:r w:rsidRPr="00BC065A">
        <w:rPr>
          <w:rStyle w:val="NoteLabel"/>
        </w:rPr>
        <w:t>d</w:t>
      </w:r>
      <w:r w:rsidRPr="00BC065A">
        <w:t xml:space="preserve"> Per head of population expenditure is not the same as expenditure per user, and should not be interpreted as a proxy for unit cost. </w:t>
      </w:r>
      <w:r w:rsidRPr="00BC065A">
        <w:rPr>
          <w:rStyle w:val="NoteLabel"/>
        </w:rPr>
        <w:t>e</w:t>
      </w:r>
      <w:r w:rsidRPr="00BC065A">
        <w:t xml:space="preserve"> The ratio of total Indigenous expenditure per person to total non-Indigenous expenditure per person. </w:t>
      </w:r>
      <w:r>
        <w:rPr>
          <w:rStyle w:val="NoteLabel"/>
        </w:rPr>
        <w:t>f</w:t>
      </w:r>
      <w:r>
        <w:t> </w:t>
      </w:r>
      <w:r w:rsidRPr="007C4450">
        <w:t>Expenditure for 2008-09 and 2010-11 has been expressed in real (constant 2012-13 dollars) terms using the General Government Final Consumption Expenditure deflator</w:t>
      </w:r>
      <w:r>
        <w:t xml:space="preserve"> (chain price index)</w:t>
      </w:r>
      <w:r w:rsidRPr="007C4450">
        <w:t>.</w:t>
      </w:r>
    </w:p>
    <w:p w:rsidR="001921A7" w:rsidRDefault="001921A7" w:rsidP="000E366D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sectPr w:rsidR="001921A7" w:rsidSect="00CF37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C6" w:rsidRDefault="00DB2FC6">
      <w:r>
        <w:separator/>
      </w:r>
    </w:p>
  </w:endnote>
  <w:endnote w:type="continuationSeparator" w:id="0">
    <w:p w:rsidR="00DB2FC6" w:rsidRDefault="00DB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C6" w:rsidRPr="00556877" w:rsidRDefault="00DB2FC6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0"/>
      <w:gridCol w:w="7614"/>
    </w:tblGrid>
    <w:tr w:rsidR="00DB2FC6" w:rsidRPr="00B141C3" w:rsidTr="00B141C3">
      <w:trPr>
        <w:cantSplit/>
      </w:trPr>
      <w:tc>
        <w:tcPr>
          <w:tcW w:w="2552" w:type="dxa"/>
          <w:shd w:val="clear" w:color="auto" w:fill="auto"/>
          <w:vAlign w:val="center"/>
        </w:tcPr>
        <w:p w:rsidR="00DB2FC6" w:rsidRPr="00B141C3" w:rsidRDefault="00DB2FC6" w:rsidP="00B141C3">
          <w:pPr>
            <w:pStyle w:val="Footertext2"/>
            <w:jc w:val="left"/>
            <w:rPr>
              <w:rFonts w:cs="Arial"/>
              <w:sz w:val="110"/>
              <w:szCs w:val="110"/>
            </w:rPr>
          </w:pPr>
          <w:r w:rsidRPr="00B141C3">
            <w:rPr>
              <w:rFonts w:cs="Arial"/>
              <w:sz w:val="110"/>
              <w:szCs w:val="110"/>
            </w:rPr>
            <w:t>2010</w:t>
          </w:r>
        </w:p>
      </w:tc>
      <w:tc>
        <w:tcPr>
          <w:tcW w:w="7504" w:type="dxa"/>
          <w:shd w:val="clear" w:color="auto" w:fill="auto"/>
          <w:vAlign w:val="center"/>
        </w:tcPr>
        <w:p w:rsidR="00DB2FC6" w:rsidRPr="00F70F36" w:rsidRDefault="00DB2FC6" w:rsidP="003F30DF">
          <w:pPr>
            <w:pStyle w:val="Footertext"/>
          </w:pPr>
          <w:r w:rsidRPr="00F70F36">
            <w:t xml:space="preserve">Information in this </w:t>
          </w:r>
          <w:r>
            <w:t>factsheet</w:t>
          </w:r>
          <w:r w:rsidRPr="00F70F36">
            <w:t xml:space="preserve"> is from the </w:t>
          </w:r>
          <w:r w:rsidRPr="00B141C3">
            <w:rPr>
              <w:i/>
            </w:rPr>
            <w:t>2010 Indigenous Expenditure Report</w:t>
          </w:r>
          <w:r w:rsidRPr="00F70F36">
            <w:t xml:space="preserve">, published by the Indigenous Expenditure Report Steering Committee. The Report can be found on the project website: www.pc.gov.au/ier. Printed copies of the report are available from </w:t>
          </w:r>
          <w:proofErr w:type="spellStart"/>
          <w:r w:rsidRPr="00F70F36">
            <w:t>Canprint</w:t>
          </w:r>
          <w:proofErr w:type="spellEnd"/>
          <w:r w:rsidRPr="00F70F36">
            <w:t xml:space="preserve"> Communication (</w:t>
          </w:r>
          <w:proofErr w:type="spellStart"/>
          <w:r w:rsidRPr="00F70F36">
            <w:t>ph</w:t>
          </w:r>
          <w:proofErr w:type="spellEnd"/>
          <w:r w:rsidRPr="00F70F36">
            <w:t xml:space="preserve"> 1300 889 873 or email: sales@infoservices.com.au). </w:t>
          </w:r>
        </w:p>
        <w:p w:rsidR="00DB2FC6" w:rsidRPr="00B141C3" w:rsidRDefault="00DB2FC6" w:rsidP="00B141C3">
          <w:pPr>
            <w:pStyle w:val="Footertext"/>
            <w:spacing w:before="40"/>
            <w:rPr>
              <w:rFonts w:cs="Arial"/>
            </w:rPr>
          </w:pPr>
          <w:r w:rsidRPr="00B141C3">
            <w:rPr>
              <w:rFonts w:cs="Arial"/>
            </w:rPr>
            <w:t>For further information contact the Secretariat: (03) 9653 2100.</w:t>
          </w:r>
        </w:p>
      </w:tc>
    </w:tr>
  </w:tbl>
  <w:p w:rsidR="00DB2FC6" w:rsidRPr="00556877" w:rsidRDefault="00DB2FC6" w:rsidP="003F30DF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C6" w:rsidRPr="00556877" w:rsidRDefault="00DB2FC6" w:rsidP="00EE7E02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DB2FC6" w:rsidRPr="00B141C3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DB2FC6" w:rsidRPr="00B141C3" w:rsidRDefault="00DB2FC6" w:rsidP="00446B0D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D44287" w:rsidRDefault="00D44287" w:rsidP="00D44287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>
            <w:rPr>
              <w:color w:val="FFFFFF"/>
              <w:szCs w:val="17"/>
            </w:rPr>
            <w:t>Canprint</w:t>
          </w:r>
          <w:proofErr w:type="spellEnd"/>
          <w:r>
            <w:rPr>
              <w:color w:val="FFFFFF"/>
              <w:szCs w:val="17"/>
            </w:rPr>
            <w:t xml:space="preserve"> Communications (</w:t>
          </w:r>
          <w:proofErr w:type="spellStart"/>
          <w:r>
            <w:rPr>
              <w:color w:val="FFFFFF"/>
              <w:szCs w:val="17"/>
            </w:rPr>
            <w:t>ph</w:t>
          </w:r>
          <w:proofErr w:type="spellEnd"/>
          <w:r>
            <w:rPr>
              <w:color w:val="FFFFFF"/>
              <w:szCs w:val="17"/>
            </w:rPr>
            <w:t xml:space="preserve"> 1300 889 873 or email: sales@infoservices.com.au). </w:t>
          </w:r>
        </w:p>
        <w:p w:rsidR="00DB2FC6" w:rsidRPr="00B141C3" w:rsidRDefault="00D44287" w:rsidP="00D44287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DB2FC6" w:rsidRPr="00AD6F22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DB2FC6" w:rsidRPr="00AD6F22" w:rsidRDefault="00DB2FC6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DB2FC6" w:rsidRPr="00AD6F22" w:rsidRDefault="00DB2FC6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B539FE">
            <w:rPr>
              <w:noProof/>
              <w:sz w:val="16"/>
              <w:szCs w:val="16"/>
            </w:rPr>
            <w:t>6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DB2FC6" w:rsidRPr="00556877" w:rsidRDefault="00DB2FC6" w:rsidP="00556877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C6" w:rsidRPr="00556877" w:rsidRDefault="00DB2FC6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DB2FC6" w:rsidRPr="00B141C3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DB2FC6" w:rsidRPr="00B141C3" w:rsidRDefault="00DB2FC6" w:rsidP="007A13A9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D44287" w:rsidRDefault="00D44287" w:rsidP="00D44287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>
            <w:rPr>
              <w:color w:val="FFFFFF"/>
              <w:szCs w:val="17"/>
            </w:rPr>
            <w:t>Canprint</w:t>
          </w:r>
          <w:proofErr w:type="spellEnd"/>
          <w:r>
            <w:rPr>
              <w:color w:val="FFFFFF"/>
              <w:szCs w:val="17"/>
            </w:rPr>
            <w:t xml:space="preserve"> Communications (</w:t>
          </w:r>
          <w:proofErr w:type="spellStart"/>
          <w:r>
            <w:rPr>
              <w:color w:val="FFFFFF"/>
              <w:szCs w:val="17"/>
            </w:rPr>
            <w:t>ph</w:t>
          </w:r>
          <w:proofErr w:type="spellEnd"/>
          <w:r>
            <w:rPr>
              <w:color w:val="FFFFFF"/>
              <w:szCs w:val="17"/>
            </w:rPr>
            <w:t xml:space="preserve"> 1300 889 873 or email: sales@infoservices.com.au). </w:t>
          </w:r>
        </w:p>
        <w:p w:rsidR="00DB2FC6" w:rsidRPr="00B141C3" w:rsidRDefault="00D44287" w:rsidP="00D44287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DB2FC6" w:rsidRPr="00AD6F22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DB2FC6" w:rsidRPr="00AD6F22" w:rsidRDefault="00DB2FC6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DB2FC6" w:rsidRPr="00AD6F22" w:rsidRDefault="00DB2FC6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B539FE">
            <w:rPr>
              <w:noProof/>
              <w:sz w:val="16"/>
              <w:szCs w:val="16"/>
            </w:rPr>
            <w:t>1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DB2FC6" w:rsidRPr="00556877" w:rsidRDefault="00DB2FC6" w:rsidP="003F30D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C6" w:rsidRDefault="00DB2FC6">
      <w:r>
        <w:separator/>
      </w:r>
    </w:p>
  </w:footnote>
  <w:footnote w:type="continuationSeparator" w:id="0">
    <w:p w:rsidR="00DB2FC6" w:rsidRDefault="00DB2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7684"/>
    </w:tblGrid>
    <w:tr w:rsidR="00DB2FC6" w:rsidRPr="00B141C3" w:rsidTr="00B141C3">
      <w:trPr>
        <w:cantSplit/>
      </w:trPr>
      <w:tc>
        <w:tcPr>
          <w:tcW w:w="2520" w:type="dxa"/>
          <w:shd w:val="clear" w:color="auto" w:fill="auto"/>
        </w:tcPr>
        <w:p w:rsidR="00DB2FC6" w:rsidRPr="00B141C3" w:rsidRDefault="00DB2FC6" w:rsidP="00B141C3">
          <w:pPr>
            <w:pStyle w:val="Headertext1"/>
            <w:spacing w:before="80"/>
            <w:rPr>
              <w:rFonts w:ascii="GoudyOlSt BT" w:hAnsi="GoudyOlSt BT"/>
              <w:i/>
              <w:sz w:val="40"/>
              <w:szCs w:val="40"/>
            </w:rPr>
          </w:pPr>
        </w:p>
      </w:tc>
      <w:tc>
        <w:tcPr>
          <w:tcW w:w="7684" w:type="dxa"/>
          <w:shd w:val="clear" w:color="auto" w:fill="auto"/>
        </w:tcPr>
        <w:p w:rsidR="00DB2FC6" w:rsidRPr="00B141C3" w:rsidRDefault="00DB2FC6" w:rsidP="003F30DF">
          <w:pPr>
            <w:pStyle w:val="Headertext2"/>
            <w:rPr>
              <w:sz w:val="40"/>
              <w:szCs w:val="40"/>
            </w:rPr>
          </w:pPr>
          <w:r w:rsidRPr="00B141C3">
            <w:rPr>
              <w:sz w:val="40"/>
              <w:szCs w:val="40"/>
            </w:rPr>
            <w:t>Education &amp; Training</w:t>
          </w:r>
        </w:p>
      </w:tc>
    </w:tr>
  </w:tbl>
  <w:p w:rsidR="00DB2FC6" w:rsidRPr="00AB160F" w:rsidRDefault="00DB2FC6" w:rsidP="003F30DF">
    <w:pPr>
      <w:rPr>
        <w:sz w:val="4"/>
        <w:szCs w:val="4"/>
      </w:rPr>
    </w:pPr>
  </w:p>
  <w:p w:rsidR="00DB2FC6" w:rsidRPr="00AB160F" w:rsidRDefault="00DB2FC6" w:rsidP="003F30D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4"/>
    </w:tblGrid>
    <w:tr w:rsidR="00DB2FC6" w:rsidRPr="00B141C3" w:rsidTr="00B141C3">
      <w:trPr>
        <w:cantSplit/>
      </w:trPr>
      <w:tc>
        <w:tcPr>
          <w:tcW w:w="10204" w:type="dxa"/>
          <w:shd w:val="clear" w:color="auto" w:fill="800000"/>
        </w:tcPr>
        <w:p w:rsidR="00DB2FC6" w:rsidRPr="00B141C3" w:rsidRDefault="00DB2FC6" w:rsidP="000E366D">
          <w:pPr>
            <w:pStyle w:val="Headertext2"/>
            <w:rPr>
              <w:color w:val="FFFFFF"/>
              <w:sz w:val="44"/>
              <w:szCs w:val="44"/>
            </w:rPr>
          </w:pPr>
          <w:r>
            <w:rPr>
              <w:color w:val="FFFFFF"/>
              <w:sz w:val="44"/>
              <w:szCs w:val="44"/>
            </w:rPr>
            <w:t>Queensland</w:t>
          </w:r>
        </w:p>
      </w:tc>
    </w:tr>
  </w:tbl>
  <w:p w:rsidR="00DB2FC6" w:rsidRPr="00180415" w:rsidRDefault="00DB2FC6" w:rsidP="00AD6F22">
    <w:pPr>
      <w:pStyle w:val="HeadingSpaceAfter"/>
      <w:spacing w:after="180"/>
      <w:rPr>
        <w:vanish w:val="0"/>
      </w:rPr>
    </w:pPr>
  </w:p>
  <w:p w:rsidR="00DB2FC6" w:rsidRPr="00AB160F" w:rsidRDefault="00DB2FC6" w:rsidP="00F75728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  <w:gridCol w:w="7652"/>
    </w:tblGrid>
    <w:tr w:rsidR="00DB2FC6" w:rsidRPr="00DD7438" w:rsidTr="004D1CC4">
      <w:trPr>
        <w:cantSplit/>
        <w:trHeight w:val="581"/>
      </w:trPr>
      <w:tc>
        <w:tcPr>
          <w:tcW w:w="2552" w:type="dxa"/>
          <w:vMerge w:val="restart"/>
          <w:shd w:val="clear" w:color="auto" w:fill="800000"/>
          <w:vAlign w:val="bottom"/>
        </w:tcPr>
        <w:p w:rsidR="00DB2FC6" w:rsidRPr="004D1CC4" w:rsidRDefault="00DB2FC6" w:rsidP="00945669">
          <w:pPr>
            <w:pStyle w:val="Headertext2"/>
            <w:ind w:left="142"/>
            <w:jc w:val="left"/>
            <w:rPr>
              <w:color w:val="FFFFFF"/>
              <w:sz w:val="36"/>
              <w:szCs w:val="36"/>
            </w:rPr>
          </w:pPr>
          <w:r w:rsidRPr="004D1CC4">
            <w:rPr>
              <w:color w:val="FFFFFF"/>
              <w:sz w:val="36"/>
              <w:szCs w:val="36"/>
            </w:rPr>
            <w:t>201</w:t>
          </w:r>
          <w:r>
            <w:rPr>
              <w:color w:val="FFFFFF"/>
              <w:sz w:val="36"/>
              <w:szCs w:val="36"/>
            </w:rPr>
            <w:t>4</w:t>
          </w:r>
          <w:r w:rsidRPr="004D1CC4">
            <w:rPr>
              <w:color w:val="FFFFFF"/>
              <w:sz w:val="36"/>
              <w:szCs w:val="36"/>
            </w:rPr>
            <w:t xml:space="preserve"> Indigenous Expenditure Report</w:t>
          </w:r>
        </w:p>
      </w:tc>
      <w:tc>
        <w:tcPr>
          <w:tcW w:w="7652" w:type="dxa"/>
          <w:shd w:val="clear" w:color="auto" w:fill="800000"/>
        </w:tcPr>
        <w:p w:rsidR="00DB2FC6" w:rsidRPr="00791BC3" w:rsidRDefault="00DB2FC6" w:rsidP="000E366D">
          <w:pPr>
            <w:pStyle w:val="Headertext2"/>
            <w:rPr>
              <w:color w:val="FFFFFF"/>
              <w:sz w:val="36"/>
              <w:szCs w:val="36"/>
            </w:rPr>
          </w:pPr>
          <w:r w:rsidRPr="00791BC3">
            <w:rPr>
              <w:smallCaps/>
              <w:color w:val="FFFFFF"/>
              <w:sz w:val="36"/>
              <w:szCs w:val="36"/>
            </w:rPr>
            <w:t>Factsheet</w:t>
          </w:r>
        </w:p>
      </w:tc>
    </w:tr>
    <w:tr w:rsidR="00DB2FC6" w:rsidRPr="00DD7438" w:rsidTr="004D1CC4">
      <w:trPr>
        <w:cantSplit/>
        <w:trHeight w:val="580"/>
      </w:trPr>
      <w:tc>
        <w:tcPr>
          <w:tcW w:w="2552" w:type="dxa"/>
          <w:vMerge/>
          <w:shd w:val="clear" w:color="auto" w:fill="800000"/>
        </w:tcPr>
        <w:p w:rsidR="00DB2FC6" w:rsidRPr="004D1CC4" w:rsidRDefault="00DB2FC6" w:rsidP="009D7E03">
          <w:pPr>
            <w:pStyle w:val="Headertext2"/>
            <w:rPr>
              <w:color w:val="FFFFFF"/>
              <w:sz w:val="36"/>
              <w:szCs w:val="36"/>
            </w:rPr>
          </w:pPr>
        </w:p>
      </w:tc>
      <w:tc>
        <w:tcPr>
          <w:tcW w:w="7652" w:type="dxa"/>
          <w:shd w:val="clear" w:color="auto" w:fill="800000"/>
        </w:tcPr>
        <w:p w:rsidR="00DB2FC6" w:rsidRPr="00791BC3" w:rsidRDefault="00DB2FC6" w:rsidP="00DA3950">
          <w:pPr>
            <w:pStyle w:val="Headertext2"/>
            <w:spacing w:before="240"/>
            <w:rPr>
              <w:color w:val="FFFFFF"/>
              <w:sz w:val="44"/>
              <w:szCs w:val="44"/>
            </w:rPr>
          </w:pPr>
          <w:r w:rsidRPr="006C336B">
            <w:rPr>
              <w:color w:val="FFFFFF"/>
              <w:sz w:val="44"/>
              <w:szCs w:val="44"/>
            </w:rPr>
            <w:t>Queensland</w:t>
          </w:r>
        </w:p>
      </w:tc>
    </w:tr>
  </w:tbl>
  <w:p w:rsidR="00DB2FC6" w:rsidRPr="00180415" w:rsidRDefault="00DB2FC6" w:rsidP="00AD6F22">
    <w:pPr>
      <w:pStyle w:val="HeadingSpaceAfter"/>
      <w:spacing w:after="180"/>
      <w:rPr>
        <w:vanish w:val="0"/>
      </w:rPr>
    </w:pPr>
  </w:p>
  <w:p w:rsidR="00DB2FC6" w:rsidRPr="00AB160F" w:rsidRDefault="00DB2FC6" w:rsidP="003F30DF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39CC5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9A61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3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5">
    <w:nsid w:val="54382D6E"/>
    <w:multiLevelType w:val="singleLevel"/>
    <w:tmpl w:val="315ABD1E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6">
    <w:nsid w:val="62150005"/>
    <w:multiLevelType w:val="hybridMultilevel"/>
    <w:tmpl w:val="0A7699BE"/>
    <w:lvl w:ilvl="0" w:tplc="830CF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4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5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64"/>
    <w:rsid w:val="00001A32"/>
    <w:rsid w:val="00001A71"/>
    <w:rsid w:val="0001608B"/>
    <w:rsid w:val="00016421"/>
    <w:rsid w:val="00017E11"/>
    <w:rsid w:val="00020207"/>
    <w:rsid w:val="00023DD1"/>
    <w:rsid w:val="00032702"/>
    <w:rsid w:val="000362EF"/>
    <w:rsid w:val="000370B5"/>
    <w:rsid w:val="00041A86"/>
    <w:rsid w:val="00042CAE"/>
    <w:rsid w:val="000463DE"/>
    <w:rsid w:val="000475F7"/>
    <w:rsid w:val="00061466"/>
    <w:rsid w:val="00066E4D"/>
    <w:rsid w:val="00067BFB"/>
    <w:rsid w:val="0007148E"/>
    <w:rsid w:val="0007259A"/>
    <w:rsid w:val="000727C0"/>
    <w:rsid w:val="000774A4"/>
    <w:rsid w:val="00077DA8"/>
    <w:rsid w:val="00081FB9"/>
    <w:rsid w:val="00085EC4"/>
    <w:rsid w:val="000944C0"/>
    <w:rsid w:val="000A0805"/>
    <w:rsid w:val="000A40C9"/>
    <w:rsid w:val="000B2F78"/>
    <w:rsid w:val="000C048F"/>
    <w:rsid w:val="000C1CCB"/>
    <w:rsid w:val="000C5E06"/>
    <w:rsid w:val="000D1D4F"/>
    <w:rsid w:val="000D3C2F"/>
    <w:rsid w:val="000E366D"/>
    <w:rsid w:val="000E5F1D"/>
    <w:rsid w:val="001027B3"/>
    <w:rsid w:val="00102B61"/>
    <w:rsid w:val="0010510D"/>
    <w:rsid w:val="00112E76"/>
    <w:rsid w:val="00120A25"/>
    <w:rsid w:val="00124908"/>
    <w:rsid w:val="00131F0F"/>
    <w:rsid w:val="00134117"/>
    <w:rsid w:val="00136113"/>
    <w:rsid w:val="001435CF"/>
    <w:rsid w:val="001560BE"/>
    <w:rsid w:val="00156485"/>
    <w:rsid w:val="00157FE9"/>
    <w:rsid w:val="00164EA6"/>
    <w:rsid w:val="001725D3"/>
    <w:rsid w:val="00174548"/>
    <w:rsid w:val="00176DDE"/>
    <w:rsid w:val="00180415"/>
    <w:rsid w:val="00180D1E"/>
    <w:rsid w:val="00181904"/>
    <w:rsid w:val="00184147"/>
    <w:rsid w:val="00185F09"/>
    <w:rsid w:val="001911C8"/>
    <w:rsid w:val="001921A7"/>
    <w:rsid w:val="00194D56"/>
    <w:rsid w:val="0019639E"/>
    <w:rsid w:val="001B1164"/>
    <w:rsid w:val="001B3426"/>
    <w:rsid w:val="001C020A"/>
    <w:rsid w:val="001F6C41"/>
    <w:rsid w:val="00205042"/>
    <w:rsid w:val="002078BC"/>
    <w:rsid w:val="00215383"/>
    <w:rsid w:val="002252E7"/>
    <w:rsid w:val="00234F1D"/>
    <w:rsid w:val="00235968"/>
    <w:rsid w:val="00236E70"/>
    <w:rsid w:val="00243ADC"/>
    <w:rsid w:val="00245C31"/>
    <w:rsid w:val="00252279"/>
    <w:rsid w:val="002661A3"/>
    <w:rsid w:val="00280A5C"/>
    <w:rsid w:val="0028160E"/>
    <w:rsid w:val="002A1B40"/>
    <w:rsid w:val="002A4A56"/>
    <w:rsid w:val="002B012C"/>
    <w:rsid w:val="002B4421"/>
    <w:rsid w:val="002C004B"/>
    <w:rsid w:val="002C13E9"/>
    <w:rsid w:val="002D1EC9"/>
    <w:rsid w:val="002D7A0E"/>
    <w:rsid w:val="003112D2"/>
    <w:rsid w:val="00340874"/>
    <w:rsid w:val="0035602A"/>
    <w:rsid w:val="00356CD7"/>
    <w:rsid w:val="00361665"/>
    <w:rsid w:val="00363839"/>
    <w:rsid w:val="0037098D"/>
    <w:rsid w:val="003713AE"/>
    <w:rsid w:val="0037243E"/>
    <w:rsid w:val="003B2D4A"/>
    <w:rsid w:val="003B7145"/>
    <w:rsid w:val="003C6B01"/>
    <w:rsid w:val="003E0732"/>
    <w:rsid w:val="003E0F12"/>
    <w:rsid w:val="003E1456"/>
    <w:rsid w:val="003E1B3A"/>
    <w:rsid w:val="003F30DF"/>
    <w:rsid w:val="00400EA4"/>
    <w:rsid w:val="00402D6B"/>
    <w:rsid w:val="004172A5"/>
    <w:rsid w:val="00443165"/>
    <w:rsid w:val="00446B0D"/>
    <w:rsid w:val="00457BF2"/>
    <w:rsid w:val="00457E96"/>
    <w:rsid w:val="00463178"/>
    <w:rsid w:val="0046646D"/>
    <w:rsid w:val="00477041"/>
    <w:rsid w:val="00481F7C"/>
    <w:rsid w:val="004825D6"/>
    <w:rsid w:val="004871DB"/>
    <w:rsid w:val="00491203"/>
    <w:rsid w:val="00492234"/>
    <w:rsid w:val="00492BE9"/>
    <w:rsid w:val="00493621"/>
    <w:rsid w:val="004960B1"/>
    <w:rsid w:val="004A2C67"/>
    <w:rsid w:val="004B45BB"/>
    <w:rsid w:val="004C6077"/>
    <w:rsid w:val="004D1678"/>
    <w:rsid w:val="004D1CC4"/>
    <w:rsid w:val="004D3A59"/>
    <w:rsid w:val="004D5E49"/>
    <w:rsid w:val="004F0DB4"/>
    <w:rsid w:val="004F2661"/>
    <w:rsid w:val="004F3157"/>
    <w:rsid w:val="005118FF"/>
    <w:rsid w:val="00513280"/>
    <w:rsid w:val="00513CC6"/>
    <w:rsid w:val="005154F6"/>
    <w:rsid w:val="005243A4"/>
    <w:rsid w:val="0053004B"/>
    <w:rsid w:val="005313CD"/>
    <w:rsid w:val="005364C0"/>
    <w:rsid w:val="00536A17"/>
    <w:rsid w:val="00536BAA"/>
    <w:rsid w:val="00544B02"/>
    <w:rsid w:val="00546119"/>
    <w:rsid w:val="0054701F"/>
    <w:rsid w:val="00551E79"/>
    <w:rsid w:val="005529ED"/>
    <w:rsid w:val="00556877"/>
    <w:rsid w:val="00570A6F"/>
    <w:rsid w:val="00571C29"/>
    <w:rsid w:val="00572481"/>
    <w:rsid w:val="00574866"/>
    <w:rsid w:val="005808BD"/>
    <w:rsid w:val="0059179F"/>
    <w:rsid w:val="00597917"/>
    <w:rsid w:val="005A6E09"/>
    <w:rsid w:val="005A78AA"/>
    <w:rsid w:val="005B2EFE"/>
    <w:rsid w:val="005C554D"/>
    <w:rsid w:val="005D4B93"/>
    <w:rsid w:val="005E26E6"/>
    <w:rsid w:val="005E6DC2"/>
    <w:rsid w:val="005F5940"/>
    <w:rsid w:val="005F5CD6"/>
    <w:rsid w:val="005F5F15"/>
    <w:rsid w:val="005F6598"/>
    <w:rsid w:val="00602DC8"/>
    <w:rsid w:val="00603105"/>
    <w:rsid w:val="00616442"/>
    <w:rsid w:val="00625735"/>
    <w:rsid w:val="00645022"/>
    <w:rsid w:val="0066470D"/>
    <w:rsid w:val="00674252"/>
    <w:rsid w:val="00681994"/>
    <w:rsid w:val="0068255C"/>
    <w:rsid w:val="006851C5"/>
    <w:rsid w:val="00694815"/>
    <w:rsid w:val="006A3448"/>
    <w:rsid w:val="006C336B"/>
    <w:rsid w:val="006C374C"/>
    <w:rsid w:val="006D657E"/>
    <w:rsid w:val="00705227"/>
    <w:rsid w:val="00705385"/>
    <w:rsid w:val="0070580B"/>
    <w:rsid w:val="00707235"/>
    <w:rsid w:val="00712A61"/>
    <w:rsid w:val="007156FA"/>
    <w:rsid w:val="0071780B"/>
    <w:rsid w:val="0072519C"/>
    <w:rsid w:val="00741E6D"/>
    <w:rsid w:val="00755618"/>
    <w:rsid w:val="00755897"/>
    <w:rsid w:val="00757DCA"/>
    <w:rsid w:val="00761D9A"/>
    <w:rsid w:val="00761EB5"/>
    <w:rsid w:val="00764C99"/>
    <w:rsid w:val="00776694"/>
    <w:rsid w:val="00785C79"/>
    <w:rsid w:val="00791BC3"/>
    <w:rsid w:val="007A13A9"/>
    <w:rsid w:val="007A16C9"/>
    <w:rsid w:val="007A3A66"/>
    <w:rsid w:val="007A558E"/>
    <w:rsid w:val="007A56E7"/>
    <w:rsid w:val="007A6216"/>
    <w:rsid w:val="007A77E8"/>
    <w:rsid w:val="007C19B4"/>
    <w:rsid w:val="007C2122"/>
    <w:rsid w:val="007C6E88"/>
    <w:rsid w:val="007D01CF"/>
    <w:rsid w:val="007D0332"/>
    <w:rsid w:val="007D1989"/>
    <w:rsid w:val="007E1BB1"/>
    <w:rsid w:val="007E7827"/>
    <w:rsid w:val="00800E14"/>
    <w:rsid w:val="008252C7"/>
    <w:rsid w:val="008379F7"/>
    <w:rsid w:val="008407AF"/>
    <w:rsid w:val="0085030F"/>
    <w:rsid w:val="00857D55"/>
    <w:rsid w:val="00861E26"/>
    <w:rsid w:val="0086783B"/>
    <w:rsid w:val="00867B7C"/>
    <w:rsid w:val="008861CF"/>
    <w:rsid w:val="00890BE7"/>
    <w:rsid w:val="00892B00"/>
    <w:rsid w:val="00893460"/>
    <w:rsid w:val="008A479B"/>
    <w:rsid w:val="008B03FB"/>
    <w:rsid w:val="008B2885"/>
    <w:rsid w:val="008C648C"/>
    <w:rsid w:val="008D29AF"/>
    <w:rsid w:val="008D6A54"/>
    <w:rsid w:val="008D700E"/>
    <w:rsid w:val="008F63DE"/>
    <w:rsid w:val="009012B3"/>
    <w:rsid w:val="009055BA"/>
    <w:rsid w:val="00914AB2"/>
    <w:rsid w:val="00937202"/>
    <w:rsid w:val="00945669"/>
    <w:rsid w:val="00947295"/>
    <w:rsid w:val="00951FFA"/>
    <w:rsid w:val="0095346F"/>
    <w:rsid w:val="00953A76"/>
    <w:rsid w:val="00957C9C"/>
    <w:rsid w:val="009644C5"/>
    <w:rsid w:val="0097142C"/>
    <w:rsid w:val="00984859"/>
    <w:rsid w:val="009919F6"/>
    <w:rsid w:val="0099540F"/>
    <w:rsid w:val="0099654C"/>
    <w:rsid w:val="009A0E99"/>
    <w:rsid w:val="009A6CDA"/>
    <w:rsid w:val="009B50C8"/>
    <w:rsid w:val="009B53E3"/>
    <w:rsid w:val="009C355D"/>
    <w:rsid w:val="009C5EE1"/>
    <w:rsid w:val="009C76EA"/>
    <w:rsid w:val="009C7A67"/>
    <w:rsid w:val="009D7E03"/>
    <w:rsid w:val="009E12D1"/>
    <w:rsid w:val="009E3969"/>
    <w:rsid w:val="00A008EF"/>
    <w:rsid w:val="00A11819"/>
    <w:rsid w:val="00A1257E"/>
    <w:rsid w:val="00A4030B"/>
    <w:rsid w:val="00A4287F"/>
    <w:rsid w:val="00A463C0"/>
    <w:rsid w:val="00A66811"/>
    <w:rsid w:val="00A73FB7"/>
    <w:rsid w:val="00A770DD"/>
    <w:rsid w:val="00A818D3"/>
    <w:rsid w:val="00A84834"/>
    <w:rsid w:val="00A90938"/>
    <w:rsid w:val="00A9187B"/>
    <w:rsid w:val="00A92B4E"/>
    <w:rsid w:val="00A966F2"/>
    <w:rsid w:val="00AB0871"/>
    <w:rsid w:val="00AB160F"/>
    <w:rsid w:val="00AB7B6A"/>
    <w:rsid w:val="00AD1CD7"/>
    <w:rsid w:val="00AD3129"/>
    <w:rsid w:val="00AD6F22"/>
    <w:rsid w:val="00AE014C"/>
    <w:rsid w:val="00AF2F0D"/>
    <w:rsid w:val="00B01DB0"/>
    <w:rsid w:val="00B06F34"/>
    <w:rsid w:val="00B07E87"/>
    <w:rsid w:val="00B1124D"/>
    <w:rsid w:val="00B141C3"/>
    <w:rsid w:val="00B20C8F"/>
    <w:rsid w:val="00B27B2C"/>
    <w:rsid w:val="00B35A83"/>
    <w:rsid w:val="00B43665"/>
    <w:rsid w:val="00B539FE"/>
    <w:rsid w:val="00B53B3D"/>
    <w:rsid w:val="00B6092B"/>
    <w:rsid w:val="00B62748"/>
    <w:rsid w:val="00B81AB4"/>
    <w:rsid w:val="00B859AD"/>
    <w:rsid w:val="00B914C3"/>
    <w:rsid w:val="00BA0E27"/>
    <w:rsid w:val="00BB1147"/>
    <w:rsid w:val="00BB354D"/>
    <w:rsid w:val="00BB44F7"/>
    <w:rsid w:val="00BB5A02"/>
    <w:rsid w:val="00BC3BC0"/>
    <w:rsid w:val="00BC51DD"/>
    <w:rsid w:val="00BE09B2"/>
    <w:rsid w:val="00BE3D4E"/>
    <w:rsid w:val="00BE7810"/>
    <w:rsid w:val="00C01635"/>
    <w:rsid w:val="00C023E5"/>
    <w:rsid w:val="00C26DBF"/>
    <w:rsid w:val="00C271D2"/>
    <w:rsid w:val="00C30E55"/>
    <w:rsid w:val="00C36593"/>
    <w:rsid w:val="00C41A9B"/>
    <w:rsid w:val="00C428BA"/>
    <w:rsid w:val="00C61170"/>
    <w:rsid w:val="00C67FB2"/>
    <w:rsid w:val="00C726B8"/>
    <w:rsid w:val="00C876C4"/>
    <w:rsid w:val="00CA0B43"/>
    <w:rsid w:val="00CB4ADD"/>
    <w:rsid w:val="00CC2786"/>
    <w:rsid w:val="00CC7D7D"/>
    <w:rsid w:val="00CE69B4"/>
    <w:rsid w:val="00CF3765"/>
    <w:rsid w:val="00CF7684"/>
    <w:rsid w:val="00D0022D"/>
    <w:rsid w:val="00D15326"/>
    <w:rsid w:val="00D22472"/>
    <w:rsid w:val="00D30FC9"/>
    <w:rsid w:val="00D43864"/>
    <w:rsid w:val="00D44287"/>
    <w:rsid w:val="00D4563C"/>
    <w:rsid w:val="00D52BE1"/>
    <w:rsid w:val="00D55F21"/>
    <w:rsid w:val="00D603AF"/>
    <w:rsid w:val="00D67F49"/>
    <w:rsid w:val="00D703AC"/>
    <w:rsid w:val="00D82536"/>
    <w:rsid w:val="00DA3950"/>
    <w:rsid w:val="00DB2FC6"/>
    <w:rsid w:val="00DC65DF"/>
    <w:rsid w:val="00DD1FBF"/>
    <w:rsid w:val="00DD7438"/>
    <w:rsid w:val="00DF6415"/>
    <w:rsid w:val="00E36A37"/>
    <w:rsid w:val="00E41DB2"/>
    <w:rsid w:val="00E42608"/>
    <w:rsid w:val="00E45601"/>
    <w:rsid w:val="00E458B4"/>
    <w:rsid w:val="00E47831"/>
    <w:rsid w:val="00E56637"/>
    <w:rsid w:val="00E56838"/>
    <w:rsid w:val="00E64091"/>
    <w:rsid w:val="00E64176"/>
    <w:rsid w:val="00E85BE5"/>
    <w:rsid w:val="00E86A26"/>
    <w:rsid w:val="00E87557"/>
    <w:rsid w:val="00E9256B"/>
    <w:rsid w:val="00EA75EB"/>
    <w:rsid w:val="00EB42F1"/>
    <w:rsid w:val="00EC4BB0"/>
    <w:rsid w:val="00ED5509"/>
    <w:rsid w:val="00EE4463"/>
    <w:rsid w:val="00EE6821"/>
    <w:rsid w:val="00EE7E02"/>
    <w:rsid w:val="00EF5FCF"/>
    <w:rsid w:val="00F067AD"/>
    <w:rsid w:val="00F301D8"/>
    <w:rsid w:val="00F40389"/>
    <w:rsid w:val="00F41D76"/>
    <w:rsid w:val="00F5744B"/>
    <w:rsid w:val="00F6086E"/>
    <w:rsid w:val="00F62759"/>
    <w:rsid w:val="00F6416D"/>
    <w:rsid w:val="00F70F36"/>
    <w:rsid w:val="00F75728"/>
    <w:rsid w:val="00F84A76"/>
    <w:rsid w:val="00F85B03"/>
    <w:rsid w:val="00F90586"/>
    <w:rsid w:val="00FA7405"/>
    <w:rsid w:val="00FB150A"/>
    <w:rsid w:val="00FB2FFB"/>
    <w:rsid w:val="00FB3976"/>
    <w:rsid w:val="00FB53FA"/>
    <w:rsid w:val="00FB56E8"/>
    <w:rsid w:val="00FE6261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1FAD-141F-423C-9F8F-B8A89C9E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2055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QLD</vt:lpstr>
    </vt:vector>
  </TitlesOfParts>
  <Company>Productivity Commission</Company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QLD</dc:title>
  <dc:creator>Steering Committee for the Review of Government Service Provision</dc:creator>
  <cp:lastModifiedBy>Steering Committee for the Review </cp:lastModifiedBy>
  <cp:revision>48</cp:revision>
  <cp:lastPrinted>2014-08-13T01:35:00Z</cp:lastPrinted>
  <dcterms:created xsi:type="dcterms:W3CDTF">2014-08-13T04:16:00Z</dcterms:created>
  <dcterms:modified xsi:type="dcterms:W3CDTF">2014-12-08T07:56:00Z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