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4B1" w:rsidRPr="005442C6" w:rsidRDefault="006C54B1" w:rsidP="00544DC0">
      <w:pPr>
        <w:spacing w:before="240"/>
        <w:rPr>
          <w:rFonts w:ascii="Goudy Old Style" w:hAnsi="Goudy Old Style"/>
          <w:b/>
          <w:color w:val="800000"/>
          <w:sz w:val="28"/>
        </w:rPr>
      </w:pPr>
      <w:bookmarkStart w:id="0" w:name="_GoBack"/>
      <w:bookmarkEnd w:id="0"/>
      <w:r w:rsidRPr="005442C6">
        <w:rPr>
          <w:rFonts w:ascii="Goudy Old Style" w:hAnsi="Goudy Old Style"/>
          <w:b/>
          <w:color w:val="800000"/>
          <w:sz w:val="28"/>
        </w:rPr>
        <w:t>What is the purpose of the Indigenous Expenditure Report?</w:t>
      </w:r>
      <w:r w:rsidR="00EA7F51" w:rsidRPr="005442C6">
        <w:rPr>
          <w:rFonts w:ascii="Goudy Old Style" w:hAnsi="Goudy Old Style"/>
          <w:b/>
          <w:color w:val="800000"/>
          <w:sz w:val="28"/>
        </w:rPr>
        <w:t xml:space="preserve"> </w:t>
      </w:r>
      <w:r w:rsidR="0032359E" w:rsidRPr="005442C6">
        <w:rPr>
          <w:rFonts w:ascii="Goudy Old Style" w:hAnsi="Goudy Old Style"/>
          <w:b/>
          <w:color w:val="800000"/>
          <w:sz w:val="28"/>
        </w:rPr>
        <w:t xml:space="preserve"> </w:t>
      </w:r>
    </w:p>
    <w:p w:rsidR="00E40061" w:rsidRPr="00C77CAB" w:rsidRDefault="00E40061" w:rsidP="00C77CAB">
      <w:pPr>
        <w:spacing w:before="120"/>
        <w:rPr>
          <w:rFonts w:ascii="Goudy Old Style" w:hAnsi="Goudy Old Style"/>
          <w:sz w:val="25"/>
          <w:szCs w:val="25"/>
        </w:rPr>
      </w:pPr>
      <w:r w:rsidRPr="00C77CAB">
        <w:rPr>
          <w:rFonts w:ascii="Goudy Old Style" w:hAnsi="Goudy Old Style"/>
          <w:sz w:val="25"/>
          <w:szCs w:val="25"/>
        </w:rPr>
        <w:t xml:space="preserve">The Indigenous Expenditure Report aims to contribute to better policy making and improved outcomes for Indigenous Australians, by reporting on expenditure on services which support </w:t>
      </w:r>
      <w:r w:rsidR="00E52015" w:rsidRPr="00C77CAB">
        <w:rPr>
          <w:rFonts w:ascii="Goudy Old Style" w:hAnsi="Goudy Old Style"/>
          <w:sz w:val="25"/>
          <w:szCs w:val="25"/>
        </w:rPr>
        <w:t>Aboriginal and Torres Strait Islander</w:t>
      </w:r>
      <w:r w:rsidRPr="00C77CAB">
        <w:rPr>
          <w:rFonts w:ascii="Goudy Old Style" w:hAnsi="Goudy Old Style"/>
          <w:sz w:val="25"/>
          <w:szCs w:val="25"/>
        </w:rPr>
        <w:t xml:space="preserve"> Australians and promoting the collection and reporting of robust Indigenous expenditure data.</w:t>
      </w:r>
    </w:p>
    <w:p w:rsidR="00D605C9" w:rsidRPr="00C77CAB" w:rsidRDefault="00D01BB2" w:rsidP="00C77CAB">
      <w:pPr>
        <w:spacing w:before="120"/>
        <w:rPr>
          <w:rFonts w:ascii="Goudy Old Style" w:hAnsi="Goudy Old Style"/>
          <w:sz w:val="25"/>
          <w:szCs w:val="25"/>
        </w:rPr>
      </w:pPr>
      <w:r w:rsidRPr="00C77CAB">
        <w:rPr>
          <w:rFonts w:ascii="Goudy Old Style" w:hAnsi="Goudy Old Style"/>
          <w:sz w:val="25"/>
          <w:szCs w:val="25"/>
        </w:rPr>
        <w:t xml:space="preserve">The </w:t>
      </w:r>
      <w:r w:rsidR="00E36C8D" w:rsidRPr="00C77CAB">
        <w:rPr>
          <w:rFonts w:ascii="Goudy Old Style" w:hAnsi="Goudy Old Style"/>
          <w:sz w:val="25"/>
          <w:szCs w:val="25"/>
        </w:rPr>
        <w:t xml:space="preserve">2014 Indigenous Expenditure Report </w:t>
      </w:r>
      <w:r w:rsidRPr="00C77CAB">
        <w:rPr>
          <w:rFonts w:ascii="Goudy Old Style" w:hAnsi="Goudy Old Style"/>
          <w:sz w:val="25"/>
          <w:szCs w:val="25"/>
        </w:rPr>
        <w:t xml:space="preserve">is the third in a series that provides estimates of </w:t>
      </w:r>
      <w:r w:rsidR="00BA7BC0" w:rsidRPr="00C77CAB">
        <w:rPr>
          <w:rFonts w:ascii="Goudy Old Style" w:hAnsi="Goudy Old Style"/>
          <w:sz w:val="25"/>
          <w:szCs w:val="25"/>
        </w:rPr>
        <w:t xml:space="preserve">government </w:t>
      </w:r>
      <w:r w:rsidRPr="00C77CAB">
        <w:rPr>
          <w:rFonts w:ascii="Goudy Old Style" w:hAnsi="Goudy Old Style"/>
          <w:sz w:val="25"/>
          <w:szCs w:val="25"/>
        </w:rPr>
        <w:t xml:space="preserve">expenditure on services provided to Aboriginal and Torres Strait Islander </w:t>
      </w:r>
      <w:r w:rsidR="009A7094" w:rsidRPr="00C77CAB">
        <w:rPr>
          <w:rFonts w:ascii="Goudy Old Style" w:hAnsi="Goudy Old Style"/>
          <w:sz w:val="25"/>
          <w:szCs w:val="25"/>
        </w:rPr>
        <w:t>Australians</w:t>
      </w:r>
      <w:r w:rsidRPr="00C77CAB">
        <w:rPr>
          <w:rFonts w:ascii="Goudy Old Style" w:hAnsi="Goudy Old Style"/>
          <w:sz w:val="25"/>
          <w:szCs w:val="25"/>
        </w:rPr>
        <w:t>. Estimates are provided for each level of government, Australia as a whole, and on a state and territory geographical basis, for 2008-09, 2010-11 and 2012-13.</w:t>
      </w:r>
    </w:p>
    <w:p w:rsidR="00D605C9" w:rsidRPr="004247EA" w:rsidRDefault="00224588" w:rsidP="00C77CAB">
      <w:pPr>
        <w:spacing w:before="240"/>
        <w:rPr>
          <w:rFonts w:ascii="Goudy Old Style" w:hAnsi="Goudy Old Style"/>
          <w:sz w:val="25"/>
          <w:szCs w:val="25"/>
        </w:rPr>
      </w:pPr>
      <w:r w:rsidRPr="00C77CAB">
        <w:rPr>
          <w:rFonts w:ascii="Goudy Old Style" w:hAnsi="Goudy Old Style"/>
          <w:sz w:val="25"/>
          <w:szCs w:val="25"/>
        </w:rPr>
        <w:t>The Report</w:t>
      </w:r>
      <w:r w:rsidR="007F7A75" w:rsidRPr="00C77CAB">
        <w:rPr>
          <w:rFonts w:ascii="Goudy Old Style" w:hAnsi="Goudy Old Style"/>
          <w:sz w:val="25"/>
          <w:szCs w:val="25"/>
        </w:rPr>
        <w:t xml:space="preserve"> provide</w:t>
      </w:r>
      <w:r w:rsidRPr="00C77CAB">
        <w:rPr>
          <w:rFonts w:ascii="Goudy Old Style" w:hAnsi="Goudy Old Style"/>
          <w:sz w:val="25"/>
          <w:szCs w:val="25"/>
        </w:rPr>
        <w:t>s estimates for</w:t>
      </w:r>
      <w:r w:rsidR="007F7A75" w:rsidRPr="00C77CAB">
        <w:rPr>
          <w:rFonts w:ascii="Goudy Old Style" w:hAnsi="Goudy Old Style"/>
          <w:sz w:val="25"/>
          <w:szCs w:val="25"/>
        </w:rPr>
        <w:t xml:space="preserve"> </w:t>
      </w:r>
      <w:r w:rsidR="00704101" w:rsidRPr="00C77CAB">
        <w:rPr>
          <w:rFonts w:ascii="Goudy Old Style" w:hAnsi="Goudy Old Style"/>
          <w:sz w:val="25"/>
          <w:szCs w:val="25"/>
        </w:rPr>
        <w:t>1</w:t>
      </w:r>
      <w:r w:rsidR="009B5C19" w:rsidRPr="00C77CAB">
        <w:rPr>
          <w:rFonts w:ascii="Goudy Old Style" w:hAnsi="Goudy Old Style"/>
          <w:sz w:val="25"/>
          <w:szCs w:val="25"/>
        </w:rPr>
        <w:t>59</w:t>
      </w:r>
      <w:r w:rsidR="007F7A75" w:rsidRPr="00C77CAB">
        <w:rPr>
          <w:rFonts w:ascii="Goudy Old Style" w:hAnsi="Goudy Old Style"/>
          <w:sz w:val="25"/>
          <w:szCs w:val="25"/>
        </w:rPr>
        <w:t xml:space="preserve"> expenditure categories, mapped to six broad service areas — early child development and education and training; healthy lives; economic participation; home</w:t>
      </w:r>
      <w:r w:rsidR="007F7A75" w:rsidRPr="004247EA">
        <w:rPr>
          <w:rFonts w:ascii="Goudy Old Style" w:hAnsi="Goudy Old Style"/>
          <w:sz w:val="25"/>
          <w:szCs w:val="25"/>
        </w:rPr>
        <w:t xml:space="preserve"> environment; safe and supportive communities; and other government </w:t>
      </w:r>
      <w:r w:rsidR="00FB4430" w:rsidRPr="004247EA">
        <w:rPr>
          <w:rFonts w:ascii="Goudy Old Style" w:hAnsi="Goudy Old Style"/>
          <w:sz w:val="25"/>
          <w:szCs w:val="25"/>
        </w:rPr>
        <w:t>services</w:t>
      </w:r>
      <w:r w:rsidR="007F7A75" w:rsidRPr="004247EA">
        <w:rPr>
          <w:rFonts w:ascii="Goudy Old Style" w:hAnsi="Goudy Old Style"/>
          <w:sz w:val="25"/>
          <w:szCs w:val="25"/>
        </w:rPr>
        <w:t xml:space="preserve"> — that align, at a high level, to </w:t>
      </w:r>
      <w:r w:rsidR="00AB5FCB" w:rsidRPr="004247EA">
        <w:rPr>
          <w:rFonts w:ascii="Goudy Old Style" w:hAnsi="Goudy Old Style"/>
          <w:sz w:val="25"/>
          <w:szCs w:val="25"/>
        </w:rPr>
        <w:t xml:space="preserve">the </w:t>
      </w:r>
      <w:r w:rsidR="007F7A75" w:rsidRPr="004247EA">
        <w:rPr>
          <w:rFonts w:ascii="Goudy Old Style" w:hAnsi="Goudy Old Style"/>
          <w:sz w:val="25"/>
          <w:szCs w:val="25"/>
        </w:rPr>
        <w:t>building blocks</w:t>
      </w:r>
      <w:r w:rsidR="00704101" w:rsidRPr="004247EA">
        <w:rPr>
          <w:rFonts w:ascii="Goudy Old Style" w:hAnsi="Goudy Old Style"/>
          <w:sz w:val="25"/>
          <w:szCs w:val="25"/>
        </w:rPr>
        <w:t xml:space="preserve"> in the National Indigenous Reform Agreement</w:t>
      </w:r>
      <w:r w:rsidR="007F7A75" w:rsidRPr="004247EA">
        <w:rPr>
          <w:rFonts w:ascii="Goudy Old Style" w:hAnsi="Goudy Old Style"/>
          <w:sz w:val="25"/>
          <w:szCs w:val="25"/>
        </w:rPr>
        <w:t>.</w:t>
      </w:r>
    </w:p>
    <w:p w:rsidR="006C54B1" w:rsidRPr="005442C6" w:rsidRDefault="006C54B1" w:rsidP="00C77CAB">
      <w:pPr>
        <w:spacing w:before="240"/>
        <w:rPr>
          <w:rFonts w:ascii="Goudy Old Style" w:hAnsi="Goudy Old Style"/>
          <w:b/>
          <w:color w:val="800000"/>
          <w:sz w:val="28"/>
        </w:rPr>
      </w:pPr>
      <w:r w:rsidRPr="005442C6">
        <w:rPr>
          <w:rFonts w:ascii="Goudy Old Style" w:hAnsi="Goudy Old Style"/>
          <w:b/>
          <w:color w:val="800000"/>
          <w:sz w:val="28"/>
        </w:rPr>
        <w:t xml:space="preserve">How </w:t>
      </w:r>
      <w:r w:rsidR="00621EF0" w:rsidRPr="005442C6">
        <w:rPr>
          <w:rFonts w:ascii="Goudy Old Style" w:hAnsi="Goudy Old Style"/>
          <w:b/>
          <w:color w:val="800000"/>
          <w:sz w:val="28"/>
        </w:rPr>
        <w:t xml:space="preserve">will </w:t>
      </w:r>
      <w:r w:rsidRPr="005442C6">
        <w:rPr>
          <w:rFonts w:ascii="Goudy Old Style" w:hAnsi="Goudy Old Style"/>
          <w:b/>
          <w:color w:val="800000"/>
          <w:sz w:val="28"/>
        </w:rPr>
        <w:t xml:space="preserve">the Indigenous Expenditure Report </w:t>
      </w:r>
      <w:r w:rsidR="001667C8" w:rsidRPr="005442C6">
        <w:rPr>
          <w:rFonts w:ascii="Goudy Old Style" w:hAnsi="Goudy Old Style"/>
          <w:b/>
          <w:color w:val="800000"/>
          <w:sz w:val="28"/>
        </w:rPr>
        <w:t xml:space="preserve">make a difference to </w:t>
      </w:r>
      <w:r w:rsidR="009A7094" w:rsidRPr="005442C6">
        <w:rPr>
          <w:rFonts w:ascii="Goudy Old Style" w:hAnsi="Goudy Old Style"/>
          <w:b/>
          <w:color w:val="800000"/>
          <w:sz w:val="28"/>
        </w:rPr>
        <w:t>Aboriginal and Torres Strait Islander</w:t>
      </w:r>
      <w:r w:rsidR="00BD399C" w:rsidRPr="005442C6">
        <w:rPr>
          <w:rFonts w:ascii="Goudy Old Style" w:hAnsi="Goudy Old Style"/>
          <w:b/>
          <w:color w:val="800000"/>
          <w:sz w:val="28"/>
        </w:rPr>
        <w:t xml:space="preserve"> Australians</w:t>
      </w:r>
      <w:r w:rsidR="001667C8" w:rsidRPr="005442C6">
        <w:rPr>
          <w:rFonts w:ascii="Goudy Old Style" w:hAnsi="Goudy Old Style"/>
          <w:b/>
          <w:color w:val="800000"/>
          <w:sz w:val="28"/>
        </w:rPr>
        <w:t>?</w:t>
      </w:r>
    </w:p>
    <w:p w:rsidR="0084039C" w:rsidRPr="004247EA" w:rsidRDefault="0084039C" w:rsidP="00F90E15">
      <w:pPr>
        <w:spacing w:before="120"/>
        <w:rPr>
          <w:rFonts w:ascii="Goudy Old Style" w:hAnsi="Goudy Old Style"/>
          <w:sz w:val="25"/>
          <w:szCs w:val="25"/>
        </w:rPr>
      </w:pPr>
      <w:r w:rsidRPr="004247EA">
        <w:rPr>
          <w:rFonts w:ascii="Goudy Old Style" w:hAnsi="Goudy Old Style"/>
          <w:sz w:val="25"/>
          <w:szCs w:val="25"/>
        </w:rPr>
        <w:t xml:space="preserve">The </w:t>
      </w:r>
      <w:r w:rsidR="00786B1A" w:rsidRPr="004247EA">
        <w:rPr>
          <w:rFonts w:ascii="Goudy Old Style" w:hAnsi="Goudy Old Style"/>
          <w:sz w:val="25"/>
          <w:szCs w:val="25"/>
        </w:rPr>
        <w:t xml:space="preserve">Report </w:t>
      </w:r>
      <w:r w:rsidRPr="004247EA">
        <w:rPr>
          <w:rFonts w:ascii="Goudy Old Style" w:hAnsi="Goudy Old Style"/>
          <w:sz w:val="25"/>
          <w:szCs w:val="25"/>
        </w:rPr>
        <w:t>is not expected to a</w:t>
      </w:r>
      <w:r w:rsidR="006B24EA" w:rsidRPr="004247EA">
        <w:rPr>
          <w:rFonts w:ascii="Goudy Old Style" w:hAnsi="Goudy Old Style"/>
          <w:sz w:val="25"/>
          <w:szCs w:val="25"/>
        </w:rPr>
        <w:t xml:space="preserve">ffect outcomes for </w:t>
      </w:r>
      <w:r w:rsidR="009A7094" w:rsidRPr="004247EA">
        <w:rPr>
          <w:rFonts w:ascii="Goudy Old Style" w:hAnsi="Goudy Old Style"/>
          <w:sz w:val="25"/>
          <w:szCs w:val="25"/>
        </w:rPr>
        <w:t xml:space="preserve">Aboriginal and Torres Strait Islander </w:t>
      </w:r>
      <w:r w:rsidR="006B24EA" w:rsidRPr="004247EA">
        <w:rPr>
          <w:rFonts w:ascii="Goudy Old Style" w:hAnsi="Goudy Old Style"/>
          <w:sz w:val="25"/>
          <w:szCs w:val="25"/>
        </w:rPr>
        <w:t>Australians</w:t>
      </w:r>
      <w:r w:rsidR="00FE4FAD" w:rsidRPr="004247EA">
        <w:rPr>
          <w:rFonts w:ascii="Goudy Old Style" w:hAnsi="Goudy Old Style"/>
          <w:sz w:val="25"/>
          <w:szCs w:val="25"/>
        </w:rPr>
        <w:t xml:space="preserve"> </w:t>
      </w:r>
      <w:r w:rsidR="00AB5FCB" w:rsidRPr="004247EA">
        <w:rPr>
          <w:rFonts w:ascii="Goudy Old Style" w:hAnsi="Goudy Old Style"/>
          <w:sz w:val="25"/>
          <w:szCs w:val="25"/>
        </w:rPr>
        <w:t xml:space="preserve">directly </w:t>
      </w:r>
      <w:r w:rsidRPr="004247EA">
        <w:rPr>
          <w:rFonts w:ascii="Goudy Old Style" w:hAnsi="Goudy Old Style"/>
          <w:sz w:val="25"/>
          <w:szCs w:val="25"/>
        </w:rPr>
        <w:t xml:space="preserve">— rather, it provides an additional tool </w:t>
      </w:r>
      <w:r w:rsidR="006B24EA" w:rsidRPr="004247EA">
        <w:rPr>
          <w:rFonts w:ascii="Goudy Old Style" w:hAnsi="Goudy Old Style"/>
          <w:sz w:val="25"/>
          <w:szCs w:val="25"/>
        </w:rPr>
        <w:t xml:space="preserve">to </w:t>
      </w:r>
      <w:r w:rsidRPr="004247EA">
        <w:rPr>
          <w:rFonts w:ascii="Goudy Old Style" w:hAnsi="Goudy Old Style"/>
          <w:sz w:val="25"/>
          <w:szCs w:val="25"/>
        </w:rPr>
        <w:t>assist poli</w:t>
      </w:r>
      <w:r w:rsidR="000177C4" w:rsidRPr="004247EA">
        <w:rPr>
          <w:rFonts w:ascii="Goudy Old Style" w:hAnsi="Goudy Old Style"/>
          <w:sz w:val="25"/>
          <w:szCs w:val="25"/>
        </w:rPr>
        <w:t xml:space="preserve">cy </w:t>
      </w:r>
      <w:r w:rsidR="006B24EA" w:rsidRPr="004247EA">
        <w:rPr>
          <w:rFonts w:ascii="Goudy Old Style" w:hAnsi="Goudy Old Style"/>
          <w:sz w:val="25"/>
          <w:szCs w:val="25"/>
        </w:rPr>
        <w:t xml:space="preserve">makers </w:t>
      </w:r>
      <w:r w:rsidR="00AB5FCB" w:rsidRPr="004247EA">
        <w:rPr>
          <w:rFonts w:ascii="Goudy Old Style" w:hAnsi="Goudy Old Style"/>
          <w:sz w:val="25"/>
          <w:szCs w:val="25"/>
        </w:rPr>
        <w:t xml:space="preserve">to </w:t>
      </w:r>
      <w:r w:rsidR="0005218B" w:rsidRPr="004247EA">
        <w:rPr>
          <w:rFonts w:ascii="Goudy Old Style" w:hAnsi="Goudy Old Style"/>
          <w:sz w:val="25"/>
          <w:szCs w:val="25"/>
        </w:rPr>
        <w:t>shap</w:t>
      </w:r>
      <w:r w:rsidR="00AB5FCB" w:rsidRPr="004247EA">
        <w:rPr>
          <w:rFonts w:ascii="Goudy Old Style" w:hAnsi="Goudy Old Style"/>
          <w:sz w:val="25"/>
          <w:szCs w:val="25"/>
        </w:rPr>
        <w:t>e</w:t>
      </w:r>
      <w:r w:rsidRPr="004247EA">
        <w:rPr>
          <w:rFonts w:ascii="Goudy Old Style" w:hAnsi="Goudy Old Style"/>
          <w:sz w:val="25"/>
          <w:szCs w:val="25"/>
        </w:rPr>
        <w:t xml:space="preserve"> </w:t>
      </w:r>
      <w:r w:rsidR="007E7E76" w:rsidRPr="004247EA">
        <w:rPr>
          <w:rFonts w:ascii="Goudy Old Style" w:hAnsi="Goudy Old Style"/>
          <w:sz w:val="25"/>
          <w:szCs w:val="25"/>
        </w:rPr>
        <w:t xml:space="preserve">government </w:t>
      </w:r>
      <w:r w:rsidR="006B24EA" w:rsidRPr="004247EA">
        <w:rPr>
          <w:rFonts w:ascii="Goudy Old Style" w:hAnsi="Goudy Old Style"/>
          <w:sz w:val="25"/>
          <w:szCs w:val="25"/>
        </w:rPr>
        <w:t>policy</w:t>
      </w:r>
      <w:r w:rsidR="00AB5FCB" w:rsidRPr="004247EA">
        <w:rPr>
          <w:rFonts w:ascii="Goudy Old Style" w:hAnsi="Goudy Old Style"/>
          <w:sz w:val="25"/>
          <w:szCs w:val="25"/>
        </w:rPr>
        <w:t>, and to allow other interested parties to hold governments to account.</w:t>
      </w:r>
    </w:p>
    <w:p w:rsidR="0084039C" w:rsidRPr="004247EA" w:rsidRDefault="006B24EA" w:rsidP="00F90E15">
      <w:pPr>
        <w:spacing w:before="240"/>
        <w:rPr>
          <w:rFonts w:ascii="Goudy Old Style" w:hAnsi="Goudy Old Style"/>
          <w:sz w:val="25"/>
          <w:szCs w:val="25"/>
        </w:rPr>
      </w:pPr>
      <w:r w:rsidRPr="004247EA">
        <w:rPr>
          <w:rFonts w:ascii="Goudy Old Style" w:hAnsi="Goudy Old Style"/>
          <w:sz w:val="25"/>
          <w:szCs w:val="25"/>
        </w:rPr>
        <w:t xml:space="preserve">The </w:t>
      </w:r>
      <w:r w:rsidR="00786B1A" w:rsidRPr="004247EA">
        <w:rPr>
          <w:rFonts w:ascii="Goudy Old Style" w:hAnsi="Goudy Old Style"/>
          <w:sz w:val="25"/>
          <w:szCs w:val="25"/>
        </w:rPr>
        <w:t xml:space="preserve">Report </w:t>
      </w:r>
      <w:r w:rsidRPr="004247EA">
        <w:rPr>
          <w:rFonts w:ascii="Goudy Old Style" w:hAnsi="Goudy Old Style"/>
          <w:sz w:val="25"/>
          <w:szCs w:val="25"/>
        </w:rPr>
        <w:t>provide</w:t>
      </w:r>
      <w:r w:rsidR="007E7E76" w:rsidRPr="004247EA">
        <w:rPr>
          <w:rFonts w:ascii="Goudy Old Style" w:hAnsi="Goudy Old Style"/>
          <w:sz w:val="25"/>
          <w:szCs w:val="25"/>
        </w:rPr>
        <w:t>s</w:t>
      </w:r>
      <w:r w:rsidRPr="004247EA">
        <w:rPr>
          <w:rFonts w:ascii="Goudy Old Style" w:hAnsi="Goudy Old Style"/>
          <w:sz w:val="25"/>
          <w:szCs w:val="25"/>
        </w:rPr>
        <w:t xml:space="preserve"> estimates of government expenditure </w:t>
      </w:r>
      <w:r w:rsidR="00321B4C" w:rsidRPr="004247EA">
        <w:rPr>
          <w:rFonts w:ascii="Goudy Old Style" w:hAnsi="Goudy Old Style"/>
          <w:sz w:val="25"/>
          <w:szCs w:val="25"/>
        </w:rPr>
        <w:t>across</w:t>
      </w:r>
      <w:r w:rsidR="00FE4FAD" w:rsidRPr="004247EA">
        <w:rPr>
          <w:rFonts w:ascii="Goudy Old Style" w:hAnsi="Goudy Old Style"/>
          <w:sz w:val="25"/>
          <w:szCs w:val="25"/>
        </w:rPr>
        <w:t xml:space="preserve"> </w:t>
      </w:r>
      <w:r w:rsidRPr="004247EA">
        <w:rPr>
          <w:rFonts w:ascii="Goudy Old Style" w:hAnsi="Goudy Old Style"/>
          <w:sz w:val="25"/>
          <w:szCs w:val="25"/>
        </w:rPr>
        <w:t xml:space="preserve">key outcome areas such as: education; justice; health; housing, community services; employment; and other </w:t>
      </w:r>
      <w:r w:rsidR="00AB5FCB" w:rsidRPr="004247EA">
        <w:rPr>
          <w:rFonts w:ascii="Goudy Old Style" w:hAnsi="Goudy Old Style"/>
          <w:sz w:val="25"/>
          <w:szCs w:val="25"/>
        </w:rPr>
        <w:t xml:space="preserve">government </w:t>
      </w:r>
      <w:r w:rsidR="00FB4430" w:rsidRPr="004247EA">
        <w:rPr>
          <w:rFonts w:ascii="Goudy Old Style" w:hAnsi="Goudy Old Style"/>
          <w:sz w:val="25"/>
          <w:szCs w:val="25"/>
        </w:rPr>
        <w:t>services</w:t>
      </w:r>
      <w:r w:rsidRPr="004247EA">
        <w:rPr>
          <w:rFonts w:ascii="Goudy Old Style" w:hAnsi="Goudy Old Style"/>
          <w:sz w:val="25"/>
          <w:szCs w:val="25"/>
        </w:rPr>
        <w:t xml:space="preserve">. </w:t>
      </w:r>
      <w:r w:rsidR="00AB5FCB" w:rsidRPr="004247EA">
        <w:rPr>
          <w:rFonts w:ascii="Goudy Old Style" w:hAnsi="Goudy Old Style"/>
          <w:sz w:val="25"/>
          <w:szCs w:val="25"/>
        </w:rPr>
        <w:t>Information</w:t>
      </w:r>
      <w:r w:rsidRPr="004247EA">
        <w:rPr>
          <w:rFonts w:ascii="Goudy Old Style" w:hAnsi="Goudy Old Style"/>
          <w:sz w:val="25"/>
          <w:szCs w:val="25"/>
        </w:rPr>
        <w:t xml:space="preserve"> </w:t>
      </w:r>
      <w:r w:rsidR="00FE4FAD" w:rsidRPr="004247EA">
        <w:rPr>
          <w:rFonts w:ascii="Goudy Old Style" w:hAnsi="Goudy Old Style"/>
          <w:sz w:val="25"/>
          <w:szCs w:val="25"/>
        </w:rPr>
        <w:t xml:space="preserve">about the </w:t>
      </w:r>
      <w:r w:rsidRPr="004247EA">
        <w:rPr>
          <w:rFonts w:ascii="Goudy Old Style" w:hAnsi="Goudy Old Style"/>
          <w:sz w:val="25"/>
          <w:szCs w:val="25"/>
        </w:rPr>
        <w:t>level</w:t>
      </w:r>
      <w:r w:rsidR="00FB4430" w:rsidRPr="004247EA">
        <w:rPr>
          <w:rFonts w:ascii="Goudy Old Style" w:hAnsi="Goudy Old Style"/>
          <w:sz w:val="25"/>
          <w:szCs w:val="25"/>
        </w:rPr>
        <w:t>s</w:t>
      </w:r>
      <w:r w:rsidRPr="004247EA">
        <w:rPr>
          <w:rFonts w:ascii="Goudy Old Style" w:hAnsi="Goudy Old Style"/>
          <w:sz w:val="25"/>
          <w:szCs w:val="25"/>
        </w:rPr>
        <w:t xml:space="preserve"> and patterns of </w:t>
      </w:r>
      <w:r w:rsidR="007E7E76" w:rsidRPr="004247EA">
        <w:rPr>
          <w:rFonts w:ascii="Goudy Old Style" w:hAnsi="Goudy Old Style"/>
          <w:sz w:val="25"/>
          <w:szCs w:val="25"/>
        </w:rPr>
        <w:t xml:space="preserve">government </w:t>
      </w:r>
      <w:r w:rsidRPr="004247EA">
        <w:rPr>
          <w:rFonts w:ascii="Goudy Old Style" w:hAnsi="Goudy Old Style"/>
          <w:sz w:val="25"/>
          <w:szCs w:val="25"/>
        </w:rPr>
        <w:t xml:space="preserve">expenditure on services </w:t>
      </w:r>
      <w:r w:rsidR="00AB5FCB" w:rsidRPr="004247EA">
        <w:rPr>
          <w:rFonts w:ascii="Goudy Old Style" w:hAnsi="Goudy Old Style"/>
          <w:sz w:val="25"/>
          <w:szCs w:val="25"/>
        </w:rPr>
        <w:t>can help those</w:t>
      </w:r>
      <w:r w:rsidR="00FE4FAD" w:rsidRPr="004247EA">
        <w:rPr>
          <w:rFonts w:ascii="Goudy Old Style" w:hAnsi="Goudy Old Style"/>
          <w:sz w:val="25"/>
          <w:szCs w:val="25"/>
        </w:rPr>
        <w:t xml:space="preserve"> </w:t>
      </w:r>
      <w:r w:rsidR="00786B1A" w:rsidRPr="004247EA">
        <w:rPr>
          <w:rFonts w:ascii="Goudy Old Style" w:hAnsi="Goudy Old Style"/>
          <w:sz w:val="25"/>
          <w:szCs w:val="25"/>
        </w:rPr>
        <w:t>develop</w:t>
      </w:r>
      <w:r w:rsidR="007E7E76" w:rsidRPr="004247EA">
        <w:rPr>
          <w:rFonts w:ascii="Goudy Old Style" w:hAnsi="Goudy Old Style"/>
          <w:sz w:val="25"/>
          <w:szCs w:val="25"/>
        </w:rPr>
        <w:t>ing</w:t>
      </w:r>
      <w:r w:rsidR="00FE4FAD" w:rsidRPr="004247EA">
        <w:rPr>
          <w:rFonts w:ascii="Goudy Old Style" w:hAnsi="Goudy Old Style"/>
          <w:sz w:val="25"/>
          <w:szCs w:val="25"/>
        </w:rPr>
        <w:t xml:space="preserve"> </w:t>
      </w:r>
      <w:r w:rsidR="00E33019" w:rsidRPr="004247EA">
        <w:rPr>
          <w:rFonts w:ascii="Goudy Old Style" w:hAnsi="Goudy Old Style"/>
          <w:sz w:val="25"/>
          <w:szCs w:val="25"/>
        </w:rPr>
        <w:t xml:space="preserve">and assessing </w:t>
      </w:r>
      <w:r w:rsidR="00345600" w:rsidRPr="004247EA">
        <w:rPr>
          <w:rFonts w:ascii="Goudy Old Style" w:hAnsi="Goudy Old Style"/>
          <w:sz w:val="25"/>
          <w:szCs w:val="25"/>
        </w:rPr>
        <w:t xml:space="preserve">policies </w:t>
      </w:r>
      <w:r w:rsidR="00786B1A" w:rsidRPr="004247EA">
        <w:rPr>
          <w:rFonts w:ascii="Goudy Old Style" w:hAnsi="Goudy Old Style"/>
          <w:sz w:val="25"/>
          <w:szCs w:val="25"/>
        </w:rPr>
        <w:t xml:space="preserve">to </w:t>
      </w:r>
      <w:r w:rsidR="00DE5EAE" w:rsidRPr="004247EA">
        <w:rPr>
          <w:rFonts w:ascii="Goudy Old Style" w:hAnsi="Goudy Old Style"/>
          <w:sz w:val="25"/>
          <w:szCs w:val="25"/>
        </w:rPr>
        <w:t xml:space="preserve">Close </w:t>
      </w:r>
      <w:r w:rsidR="00345600" w:rsidRPr="004247EA">
        <w:rPr>
          <w:rFonts w:ascii="Goudy Old Style" w:hAnsi="Goudy Old Style"/>
          <w:sz w:val="25"/>
          <w:szCs w:val="25"/>
        </w:rPr>
        <w:t xml:space="preserve">the </w:t>
      </w:r>
      <w:r w:rsidR="00DE5EAE" w:rsidRPr="004247EA">
        <w:rPr>
          <w:rFonts w:ascii="Goudy Old Style" w:hAnsi="Goudy Old Style"/>
          <w:sz w:val="25"/>
          <w:szCs w:val="25"/>
        </w:rPr>
        <w:t xml:space="preserve">Gap </w:t>
      </w:r>
      <w:r w:rsidR="00345600" w:rsidRPr="004247EA">
        <w:rPr>
          <w:rFonts w:ascii="Goudy Old Style" w:hAnsi="Goudy Old Style"/>
          <w:sz w:val="25"/>
          <w:szCs w:val="25"/>
        </w:rPr>
        <w:t xml:space="preserve">in Indigenous disadvantage. </w:t>
      </w:r>
    </w:p>
    <w:p w:rsidR="00D962CB" w:rsidRPr="005442C6" w:rsidRDefault="00D962CB" w:rsidP="00544DC0">
      <w:pPr>
        <w:spacing w:before="240"/>
        <w:rPr>
          <w:rFonts w:ascii="Goudy Old Style" w:hAnsi="Goudy Old Style"/>
          <w:b/>
          <w:color w:val="800000"/>
          <w:sz w:val="28"/>
        </w:rPr>
      </w:pPr>
      <w:r w:rsidRPr="005442C6">
        <w:rPr>
          <w:rFonts w:ascii="Goudy Old Style" w:hAnsi="Goudy Old Style"/>
          <w:b/>
          <w:color w:val="800000"/>
          <w:sz w:val="28"/>
        </w:rPr>
        <w:t>How is the Indigenous Expenditure Report</w:t>
      </w:r>
      <w:r w:rsidR="00AD371C">
        <w:rPr>
          <w:rFonts w:ascii="Goudy Old Style" w:hAnsi="Goudy Old Style"/>
          <w:b/>
          <w:color w:val="800000"/>
          <w:sz w:val="28"/>
        </w:rPr>
        <w:t xml:space="preserve"> different from other reports?</w:t>
      </w:r>
    </w:p>
    <w:p w:rsidR="00D962CB" w:rsidRDefault="00D962CB" w:rsidP="00D962CB">
      <w:pPr>
        <w:rPr>
          <w:rFonts w:ascii="GoudyOlSt BT" w:hAnsi="GoudyOlSt BT"/>
          <w:sz w:val="25"/>
          <w:szCs w:val="25"/>
        </w:rPr>
      </w:pPr>
      <w:r w:rsidRPr="004F128E">
        <w:rPr>
          <w:rFonts w:ascii="Goudy Old Style" w:hAnsi="Goudy Old Style"/>
          <w:sz w:val="25"/>
          <w:szCs w:val="25"/>
        </w:rPr>
        <w:t xml:space="preserve">The Indigenous Expenditure Report is designed to complement other reporting initiatives and to contribute information that is not otherwise available. The Indigenous Expenditure Report provides estimates of government expenditure on services for Aboriginal and Torres Strait Islander Australians across key outcome areas such as: education; health; housing; employment; community services; justice; and other government services, mapped at a high level to the Overcoming Indigenous Disadvantage strategic areas for action. The Overcoming Indigenous Disadvantage report provides information about the disparities in outcomes </w:t>
      </w:r>
      <w:r w:rsidR="005D47CF">
        <w:rPr>
          <w:rFonts w:ascii="Goudy Old Style" w:hAnsi="Goudy Old Style"/>
          <w:sz w:val="25"/>
          <w:szCs w:val="25"/>
        </w:rPr>
        <w:t>between</w:t>
      </w:r>
      <w:r w:rsidRPr="004F128E">
        <w:rPr>
          <w:rFonts w:ascii="Goudy Old Style" w:hAnsi="Goudy Old Style"/>
          <w:sz w:val="25"/>
          <w:szCs w:val="25"/>
        </w:rPr>
        <w:t xml:space="preserve"> Aboriginal and Torres Strait Islander Australians</w:t>
      </w:r>
      <w:r w:rsidR="005D47CF">
        <w:rPr>
          <w:rFonts w:ascii="Goudy Old Style" w:hAnsi="Goudy Old Style"/>
          <w:sz w:val="25"/>
          <w:szCs w:val="25"/>
        </w:rPr>
        <w:t xml:space="preserve"> and non</w:t>
      </w:r>
      <w:r w:rsidR="005D47CF">
        <w:rPr>
          <w:rFonts w:ascii="Goudy Old Style" w:hAnsi="Goudy Old Style"/>
          <w:sz w:val="25"/>
          <w:szCs w:val="25"/>
        </w:rPr>
        <w:noBreakHyphen/>
      </w:r>
      <w:r w:rsidR="005D47CF" w:rsidRPr="004F128E">
        <w:rPr>
          <w:rFonts w:ascii="Goudy Old Style" w:hAnsi="Goudy Old Style"/>
          <w:sz w:val="25"/>
          <w:szCs w:val="25"/>
        </w:rPr>
        <w:t>Indigenous</w:t>
      </w:r>
      <w:r w:rsidR="005D47CF">
        <w:rPr>
          <w:rFonts w:ascii="Goudy Old Style" w:hAnsi="Goudy Old Style"/>
          <w:sz w:val="25"/>
          <w:szCs w:val="25"/>
        </w:rPr>
        <w:t xml:space="preserve"> Australians</w:t>
      </w:r>
      <w:r w:rsidRPr="004F128E">
        <w:rPr>
          <w:rFonts w:ascii="Goudy Old Style" w:hAnsi="Goudy Old Style"/>
          <w:sz w:val="25"/>
          <w:szCs w:val="25"/>
        </w:rPr>
        <w:t>. In combination, the information from both reports will allow high level comparisons of changes in expenditure levels and changes in key outcomes. This will provide a basis for richer assessment of policies designed to Close the Gap in Indigenous disadvantage.</w:t>
      </w:r>
    </w:p>
    <w:p w:rsidR="007C3794" w:rsidRPr="005442C6" w:rsidRDefault="006C54B1" w:rsidP="005442C6">
      <w:pPr>
        <w:spacing w:before="360"/>
        <w:rPr>
          <w:rFonts w:ascii="Goudy Old Style" w:hAnsi="Goudy Old Style"/>
          <w:b/>
          <w:color w:val="800000"/>
          <w:sz w:val="28"/>
        </w:rPr>
      </w:pPr>
      <w:r w:rsidRPr="005442C6">
        <w:rPr>
          <w:rFonts w:ascii="Goudy Old Style" w:hAnsi="Goudy Old Style"/>
          <w:b/>
          <w:color w:val="800000"/>
          <w:sz w:val="28"/>
        </w:rPr>
        <w:lastRenderedPageBreak/>
        <w:t xml:space="preserve">How does the </w:t>
      </w:r>
      <w:r w:rsidR="00166822" w:rsidRPr="005442C6">
        <w:rPr>
          <w:rFonts w:ascii="Goudy Old Style" w:hAnsi="Goudy Old Style"/>
          <w:b/>
          <w:color w:val="800000"/>
          <w:sz w:val="28"/>
        </w:rPr>
        <w:t>Report</w:t>
      </w:r>
      <w:r w:rsidRPr="005442C6">
        <w:rPr>
          <w:rFonts w:ascii="Goudy Old Style" w:hAnsi="Goudy Old Style"/>
          <w:b/>
          <w:color w:val="800000"/>
          <w:sz w:val="28"/>
        </w:rPr>
        <w:t xml:space="preserve"> </w:t>
      </w:r>
      <w:r w:rsidR="00DD21CF" w:rsidRPr="005442C6">
        <w:rPr>
          <w:rFonts w:ascii="Goudy Old Style" w:hAnsi="Goudy Old Style"/>
          <w:b/>
          <w:color w:val="800000"/>
          <w:sz w:val="28"/>
        </w:rPr>
        <w:t>estimate</w:t>
      </w:r>
      <w:r w:rsidRPr="005442C6">
        <w:rPr>
          <w:rFonts w:ascii="Goudy Old Style" w:hAnsi="Goudy Old Style"/>
          <w:b/>
          <w:color w:val="800000"/>
          <w:sz w:val="28"/>
        </w:rPr>
        <w:t xml:space="preserve"> Indigenous expenditure?</w:t>
      </w:r>
    </w:p>
    <w:p w:rsidR="006C54B1" w:rsidRPr="00C77CAB" w:rsidRDefault="006C54B1" w:rsidP="00C77CAB">
      <w:pPr>
        <w:spacing w:before="120"/>
      </w:pPr>
      <w:r w:rsidRPr="00C77CAB">
        <w:rPr>
          <w:rFonts w:ascii="Goudy Old Style" w:hAnsi="Goudy Old Style"/>
          <w:sz w:val="25"/>
          <w:szCs w:val="25"/>
        </w:rPr>
        <w:t xml:space="preserve">Government services related to </w:t>
      </w:r>
      <w:r w:rsidR="009A7094" w:rsidRPr="00C77CAB">
        <w:rPr>
          <w:rFonts w:ascii="Goudy Old Style" w:hAnsi="Goudy Old Style"/>
          <w:sz w:val="25"/>
          <w:szCs w:val="25"/>
        </w:rPr>
        <w:t>Aboriginal and Torres Strait Islander</w:t>
      </w:r>
      <w:r w:rsidRPr="00C77CAB">
        <w:rPr>
          <w:rFonts w:ascii="Goudy Old Style" w:hAnsi="Goudy Old Style"/>
          <w:sz w:val="25"/>
          <w:szCs w:val="25"/>
        </w:rPr>
        <w:t xml:space="preserve"> Australians are provided through a combination of Indigenous specific (targeted) and mainstream (available to all Australians) services. While</w:t>
      </w:r>
      <w:r w:rsidR="0035432D" w:rsidRPr="00C77CAB">
        <w:rPr>
          <w:rFonts w:ascii="Goudy Old Style" w:hAnsi="Goudy Old Style"/>
          <w:sz w:val="25"/>
          <w:szCs w:val="25"/>
        </w:rPr>
        <w:t xml:space="preserve"> </w:t>
      </w:r>
      <w:r w:rsidRPr="00C77CAB">
        <w:rPr>
          <w:rFonts w:ascii="Goudy Old Style" w:hAnsi="Goudy Old Style"/>
          <w:sz w:val="25"/>
          <w:szCs w:val="25"/>
        </w:rPr>
        <w:t xml:space="preserve">expenditure on Indigenous specific services can generally be assumed to relate exclusively to </w:t>
      </w:r>
      <w:r w:rsidR="009A7094" w:rsidRPr="00C77CAB">
        <w:rPr>
          <w:rFonts w:ascii="Goudy Old Style" w:hAnsi="Goudy Old Style"/>
          <w:sz w:val="25"/>
          <w:szCs w:val="25"/>
        </w:rPr>
        <w:t>Aboriginal and Torres Strait Islander</w:t>
      </w:r>
      <w:r w:rsidRPr="00C77CAB">
        <w:rPr>
          <w:rFonts w:ascii="Goudy Old Style" w:hAnsi="Goudy Old Style"/>
          <w:sz w:val="25"/>
          <w:szCs w:val="25"/>
        </w:rPr>
        <w:t xml:space="preserve"> Australians, the proportion of expenditure on mainstream services that relates to </w:t>
      </w:r>
      <w:r w:rsidR="009A7094" w:rsidRPr="00C77CAB">
        <w:rPr>
          <w:rFonts w:ascii="Goudy Old Style" w:hAnsi="Goudy Old Style"/>
          <w:sz w:val="25"/>
          <w:szCs w:val="25"/>
        </w:rPr>
        <w:t>Aboriginal and Torres Strait Islander</w:t>
      </w:r>
      <w:r w:rsidRPr="00C77CAB">
        <w:rPr>
          <w:rFonts w:ascii="Goudy Old Style" w:hAnsi="Goudy Old Style"/>
          <w:sz w:val="25"/>
          <w:szCs w:val="25"/>
        </w:rPr>
        <w:t xml:space="preserve"> Australians is not recorded systematically, and has been estimated for the purpose of </w:t>
      </w:r>
      <w:r w:rsidR="00166822" w:rsidRPr="00C77CAB">
        <w:rPr>
          <w:rFonts w:ascii="Goudy Old Style" w:hAnsi="Goudy Old Style"/>
          <w:sz w:val="25"/>
          <w:szCs w:val="25"/>
        </w:rPr>
        <w:t>the</w:t>
      </w:r>
      <w:r w:rsidRPr="00C77CAB">
        <w:rPr>
          <w:rFonts w:ascii="Goudy Old Style" w:hAnsi="Goudy Old Style"/>
          <w:sz w:val="25"/>
          <w:szCs w:val="25"/>
        </w:rPr>
        <w:t xml:space="preserve"> </w:t>
      </w:r>
      <w:r w:rsidR="00166822" w:rsidRPr="00C77CAB">
        <w:rPr>
          <w:rFonts w:ascii="Goudy Old Style" w:hAnsi="Goudy Old Style"/>
          <w:sz w:val="25"/>
          <w:szCs w:val="25"/>
        </w:rPr>
        <w:t>R</w:t>
      </w:r>
      <w:r w:rsidRPr="00C77CAB">
        <w:rPr>
          <w:rFonts w:ascii="Goudy Old Style" w:hAnsi="Goudy Old Style"/>
          <w:sz w:val="25"/>
          <w:szCs w:val="25"/>
        </w:rPr>
        <w:t>eport.</w:t>
      </w:r>
      <w:r w:rsidR="00AF264C" w:rsidRPr="00C77CAB">
        <w:rPr>
          <w:rFonts w:ascii="Goudy Old Style" w:hAnsi="Goudy Old Style"/>
          <w:sz w:val="25"/>
          <w:szCs w:val="25"/>
        </w:rPr>
        <w:t xml:space="preserve"> Although the report itself does not attempt to assess the adequacy, effectiveness or efficiency of government expenditure, when combined with other data, the estimates can provide a better understanding of such government expenditure.</w:t>
      </w:r>
    </w:p>
    <w:p w:rsidR="006C54B1" w:rsidRPr="00C77CAB" w:rsidRDefault="006C54B1" w:rsidP="00C77CAB">
      <w:pPr>
        <w:spacing w:before="240"/>
        <w:rPr>
          <w:rFonts w:ascii="Goudy Old Style" w:hAnsi="Goudy Old Style"/>
          <w:sz w:val="25"/>
          <w:szCs w:val="25"/>
        </w:rPr>
      </w:pPr>
      <w:r w:rsidRPr="00C77CAB">
        <w:rPr>
          <w:rFonts w:ascii="Goudy Old Style" w:hAnsi="Goudy Old Style"/>
          <w:sz w:val="25"/>
          <w:szCs w:val="25"/>
        </w:rPr>
        <w:t>The approach to estimating expenditure</w:t>
      </w:r>
      <w:r w:rsidR="00F26292" w:rsidRPr="00C77CAB">
        <w:rPr>
          <w:rFonts w:ascii="Goudy Old Style" w:hAnsi="Goudy Old Style"/>
          <w:sz w:val="25"/>
          <w:szCs w:val="25"/>
        </w:rPr>
        <w:t xml:space="preserve"> </w:t>
      </w:r>
      <w:r w:rsidRPr="00C77CAB">
        <w:rPr>
          <w:rFonts w:ascii="Goudy Old Style" w:hAnsi="Goudy Old Style"/>
          <w:sz w:val="25"/>
          <w:szCs w:val="25"/>
        </w:rPr>
        <w:t>involves two stages:</w:t>
      </w:r>
    </w:p>
    <w:p w:rsidR="006C54B1" w:rsidRPr="00C77CAB" w:rsidRDefault="006E1E20" w:rsidP="00C77CAB">
      <w:pPr>
        <w:pStyle w:val="ListBullet"/>
        <w:spacing w:before="120"/>
        <w:rPr>
          <w:rFonts w:ascii="Goudy Old Style" w:hAnsi="Goudy Old Style"/>
          <w:sz w:val="25"/>
          <w:szCs w:val="25"/>
        </w:rPr>
      </w:pPr>
      <w:r w:rsidRPr="00C77CAB">
        <w:rPr>
          <w:rFonts w:ascii="Goudy Old Style" w:hAnsi="Goudy Old Style"/>
          <w:sz w:val="25"/>
          <w:szCs w:val="25"/>
        </w:rPr>
        <w:t xml:space="preserve">identification of </w:t>
      </w:r>
      <w:r w:rsidR="006C54B1" w:rsidRPr="00C77CAB">
        <w:rPr>
          <w:rFonts w:ascii="Goudy Old Style" w:hAnsi="Goudy Old Style"/>
          <w:sz w:val="25"/>
          <w:szCs w:val="25"/>
        </w:rPr>
        <w:t>total expenditure by service area and</w:t>
      </w:r>
      <w:r w:rsidR="00FE4FAD" w:rsidRPr="00C77CAB">
        <w:rPr>
          <w:rFonts w:ascii="Goudy Old Style" w:hAnsi="Goudy Old Style"/>
          <w:sz w:val="25"/>
          <w:szCs w:val="25"/>
        </w:rPr>
        <w:t>,</w:t>
      </w:r>
      <w:r w:rsidR="006C54B1" w:rsidRPr="00C77CAB">
        <w:rPr>
          <w:rFonts w:ascii="Goudy Old Style" w:hAnsi="Goudy Old Style"/>
          <w:sz w:val="25"/>
          <w:szCs w:val="25"/>
        </w:rPr>
        <w:t xml:space="preserve"> where applicable, expenditure </w:t>
      </w:r>
      <w:r w:rsidR="00BA7BC0" w:rsidRPr="00C77CAB">
        <w:rPr>
          <w:rFonts w:ascii="Goudy Old Style" w:hAnsi="Goudy Old Style"/>
          <w:sz w:val="25"/>
          <w:szCs w:val="25"/>
        </w:rPr>
        <w:t xml:space="preserve">on </w:t>
      </w:r>
      <w:r w:rsidR="006C54B1" w:rsidRPr="00C77CAB">
        <w:rPr>
          <w:rFonts w:ascii="Goudy Old Style" w:hAnsi="Goudy Old Style"/>
          <w:sz w:val="25"/>
          <w:szCs w:val="25"/>
        </w:rPr>
        <w:t xml:space="preserve">Indigenous specific programs and services </w:t>
      </w:r>
      <w:r w:rsidR="00BA7BC0" w:rsidRPr="00C77CAB">
        <w:rPr>
          <w:rFonts w:ascii="Goudy Old Style" w:hAnsi="Goudy Old Style"/>
          <w:sz w:val="25"/>
          <w:szCs w:val="25"/>
        </w:rPr>
        <w:t>by service area</w:t>
      </w:r>
    </w:p>
    <w:p w:rsidR="006C54B1" w:rsidRPr="00C77CAB" w:rsidRDefault="006E1E20" w:rsidP="00C77CAB">
      <w:pPr>
        <w:pStyle w:val="ListBullet"/>
        <w:spacing w:before="120"/>
        <w:rPr>
          <w:rFonts w:ascii="Goudy Old Style" w:hAnsi="Goudy Old Style"/>
          <w:sz w:val="25"/>
          <w:szCs w:val="25"/>
        </w:rPr>
      </w:pPr>
      <w:r w:rsidRPr="00C77CAB">
        <w:rPr>
          <w:rFonts w:ascii="Goudy Old Style" w:hAnsi="Goudy Old Style"/>
          <w:sz w:val="25"/>
          <w:szCs w:val="25"/>
        </w:rPr>
        <w:t>proration</w:t>
      </w:r>
      <w:r w:rsidR="002047C7" w:rsidRPr="00C77CAB">
        <w:rPr>
          <w:rFonts w:ascii="Goudy Old Style" w:hAnsi="Goudy Old Style"/>
          <w:sz w:val="25"/>
          <w:szCs w:val="25"/>
        </w:rPr>
        <w:t xml:space="preserve"> (or allocation)</w:t>
      </w:r>
      <w:r w:rsidRPr="00C77CAB">
        <w:rPr>
          <w:rFonts w:ascii="Goudy Old Style" w:hAnsi="Goudy Old Style"/>
          <w:sz w:val="25"/>
          <w:szCs w:val="25"/>
        </w:rPr>
        <w:t xml:space="preserve"> of </w:t>
      </w:r>
      <w:r w:rsidR="006C54B1" w:rsidRPr="00C77CAB">
        <w:rPr>
          <w:rFonts w:ascii="Goudy Old Style" w:hAnsi="Goudy Old Style"/>
          <w:sz w:val="25"/>
          <w:szCs w:val="25"/>
        </w:rPr>
        <w:t>mainstream (non</w:t>
      </w:r>
      <w:r w:rsidR="006C54B1" w:rsidRPr="00C77CAB">
        <w:rPr>
          <w:rFonts w:ascii="Goudy Old Style" w:hAnsi="Goudy Old Style"/>
          <w:sz w:val="25"/>
          <w:szCs w:val="25"/>
        </w:rPr>
        <w:noBreakHyphen/>
        <w:t xml:space="preserve">Indigenous specific) expenditure between </w:t>
      </w:r>
      <w:r w:rsidR="009A7094" w:rsidRPr="00C77CAB">
        <w:rPr>
          <w:rFonts w:ascii="Goudy Old Style" w:hAnsi="Goudy Old Style"/>
          <w:sz w:val="25"/>
          <w:szCs w:val="25"/>
        </w:rPr>
        <w:t>Aboriginal and Torres Strait Islander</w:t>
      </w:r>
      <w:r w:rsidR="006C54B1" w:rsidRPr="00C77CAB">
        <w:rPr>
          <w:rFonts w:ascii="Goudy Old Style" w:hAnsi="Goudy Old Style"/>
          <w:sz w:val="25"/>
          <w:szCs w:val="25"/>
        </w:rPr>
        <w:t xml:space="preserve"> </w:t>
      </w:r>
      <w:r w:rsidR="009A7094" w:rsidRPr="00C77CAB">
        <w:rPr>
          <w:rFonts w:ascii="Goudy Old Style" w:hAnsi="Goudy Old Style"/>
          <w:sz w:val="25"/>
          <w:szCs w:val="25"/>
        </w:rPr>
        <w:t xml:space="preserve">Australians </w:t>
      </w:r>
      <w:r w:rsidR="006C54B1" w:rsidRPr="00C77CAB">
        <w:rPr>
          <w:rFonts w:ascii="Goudy Old Style" w:hAnsi="Goudy Old Style"/>
          <w:sz w:val="25"/>
          <w:szCs w:val="25"/>
        </w:rPr>
        <w:t>and non</w:t>
      </w:r>
      <w:r w:rsidR="006C54B1" w:rsidRPr="00C77CAB">
        <w:rPr>
          <w:rFonts w:ascii="Goudy Old Style" w:hAnsi="Goudy Old Style"/>
          <w:sz w:val="25"/>
          <w:szCs w:val="25"/>
        </w:rPr>
        <w:noBreakHyphen/>
        <w:t xml:space="preserve">Indigenous Australians. </w:t>
      </w:r>
      <w:r w:rsidR="00AB5FCB" w:rsidRPr="00C77CAB">
        <w:rPr>
          <w:rFonts w:ascii="Goudy Old Style" w:hAnsi="Goudy Old Style"/>
          <w:sz w:val="25"/>
          <w:szCs w:val="25"/>
        </w:rPr>
        <w:t>To allocate mainstream expenditure, t</w:t>
      </w:r>
      <w:r w:rsidRPr="00C77CAB">
        <w:rPr>
          <w:rFonts w:ascii="Goudy Old Style" w:hAnsi="Goudy Old Style"/>
          <w:sz w:val="25"/>
          <w:szCs w:val="25"/>
        </w:rPr>
        <w:t xml:space="preserve">he Report </w:t>
      </w:r>
      <w:r w:rsidR="0005218B" w:rsidRPr="00C77CAB">
        <w:rPr>
          <w:rFonts w:ascii="Goudy Old Style" w:hAnsi="Goudy Old Style"/>
          <w:sz w:val="25"/>
          <w:szCs w:val="25"/>
        </w:rPr>
        <w:t>uses</w:t>
      </w:r>
      <w:r w:rsidRPr="00C77CAB">
        <w:rPr>
          <w:rFonts w:ascii="Goudy Old Style" w:hAnsi="Goudy Old Style"/>
          <w:sz w:val="25"/>
          <w:szCs w:val="25"/>
        </w:rPr>
        <w:t xml:space="preserve"> measures of service use </w:t>
      </w:r>
      <w:r w:rsidR="00F26292" w:rsidRPr="00C77CAB">
        <w:rPr>
          <w:rFonts w:ascii="Goudy Old Style" w:hAnsi="Goudy Old Style"/>
          <w:sz w:val="25"/>
          <w:szCs w:val="25"/>
        </w:rPr>
        <w:t xml:space="preserve">that </w:t>
      </w:r>
      <w:r w:rsidRPr="00C77CAB">
        <w:rPr>
          <w:rFonts w:ascii="Goudy Old Style" w:hAnsi="Goudy Old Style"/>
          <w:sz w:val="25"/>
          <w:szCs w:val="25"/>
        </w:rPr>
        <w:t xml:space="preserve">are closely related to service cost drivers </w:t>
      </w:r>
      <w:r w:rsidR="00625477" w:rsidRPr="00C77CAB">
        <w:rPr>
          <w:rFonts w:ascii="Goudy Old Style" w:hAnsi="Goudy Old Style"/>
          <w:sz w:val="25"/>
          <w:szCs w:val="25"/>
        </w:rPr>
        <w:t xml:space="preserve">(for example, </w:t>
      </w:r>
      <w:r w:rsidR="00BA7BC0" w:rsidRPr="00C77CAB">
        <w:rPr>
          <w:rFonts w:ascii="Goudy Old Style" w:hAnsi="Goudy Old Style"/>
          <w:sz w:val="25"/>
          <w:szCs w:val="25"/>
        </w:rPr>
        <w:t xml:space="preserve">school expenditure is allocated according to </w:t>
      </w:r>
      <w:r w:rsidR="00625477" w:rsidRPr="00C77CAB">
        <w:rPr>
          <w:rFonts w:ascii="Goudy Old Style" w:hAnsi="Goudy Old Style"/>
          <w:sz w:val="25"/>
          <w:szCs w:val="25"/>
        </w:rPr>
        <w:t xml:space="preserve">the number of </w:t>
      </w:r>
      <w:r w:rsidR="00D46C2C" w:rsidRPr="00C77CAB">
        <w:rPr>
          <w:rFonts w:ascii="Goudy Old Style" w:hAnsi="Goudy Old Style"/>
          <w:sz w:val="25"/>
          <w:szCs w:val="25"/>
        </w:rPr>
        <w:t xml:space="preserve">enrolled </w:t>
      </w:r>
      <w:r w:rsidR="00625477" w:rsidRPr="00C77CAB">
        <w:rPr>
          <w:rFonts w:ascii="Goudy Old Style" w:hAnsi="Goudy Old Style"/>
          <w:sz w:val="25"/>
          <w:szCs w:val="25"/>
        </w:rPr>
        <w:t>students</w:t>
      </w:r>
      <w:r w:rsidR="002047C7" w:rsidRPr="00C77CAB">
        <w:rPr>
          <w:rFonts w:ascii="Goudy Old Style" w:hAnsi="Goudy Old Style"/>
          <w:sz w:val="25"/>
          <w:szCs w:val="25"/>
        </w:rPr>
        <w:t>)</w:t>
      </w:r>
      <w:r w:rsidR="00E94FDE" w:rsidRPr="00C77CAB">
        <w:rPr>
          <w:rFonts w:ascii="Goudy Old Style" w:hAnsi="Goudy Old Style"/>
          <w:sz w:val="25"/>
          <w:szCs w:val="25"/>
        </w:rPr>
        <w:t>, or where this is not available, general population data</w:t>
      </w:r>
      <w:r w:rsidRPr="00C77CAB">
        <w:rPr>
          <w:rFonts w:ascii="Goudy Old Style" w:hAnsi="Goudy Old Style"/>
          <w:sz w:val="25"/>
          <w:szCs w:val="25"/>
        </w:rPr>
        <w:t>.</w:t>
      </w:r>
    </w:p>
    <w:p w:rsidR="00A048B0" w:rsidRPr="004247EA" w:rsidRDefault="0035432D" w:rsidP="00F90E15">
      <w:pPr>
        <w:spacing w:before="240"/>
        <w:rPr>
          <w:rFonts w:ascii="Goudy Old Style" w:hAnsi="Goudy Old Style"/>
          <w:sz w:val="25"/>
          <w:szCs w:val="25"/>
        </w:rPr>
      </w:pPr>
      <w:r w:rsidRPr="004247EA">
        <w:rPr>
          <w:rFonts w:ascii="Goudy Old Style" w:hAnsi="Goudy Old Style"/>
          <w:sz w:val="25"/>
          <w:szCs w:val="25"/>
        </w:rPr>
        <w:t xml:space="preserve">The </w:t>
      </w:r>
      <w:r w:rsidR="009A7094" w:rsidRPr="004247EA">
        <w:rPr>
          <w:rFonts w:ascii="Goudy Old Style" w:hAnsi="Goudy Old Style"/>
          <w:i/>
          <w:sz w:val="25"/>
          <w:szCs w:val="25"/>
        </w:rPr>
        <w:t xml:space="preserve">2014 </w:t>
      </w:r>
      <w:r w:rsidRPr="004247EA">
        <w:rPr>
          <w:rFonts w:ascii="Goudy Old Style" w:hAnsi="Goudy Old Style"/>
          <w:i/>
          <w:sz w:val="25"/>
          <w:szCs w:val="25"/>
        </w:rPr>
        <w:t>Indigenous Expenditure Report</w:t>
      </w:r>
      <w:r w:rsidR="007F7A75" w:rsidRPr="004247EA">
        <w:rPr>
          <w:rFonts w:ascii="Goudy Old Style" w:hAnsi="Goudy Old Style"/>
          <w:sz w:val="25"/>
          <w:szCs w:val="25"/>
        </w:rPr>
        <w:t xml:space="preserve"> is the </w:t>
      </w:r>
      <w:r w:rsidR="00704101" w:rsidRPr="004247EA">
        <w:rPr>
          <w:rFonts w:ascii="Goudy Old Style" w:hAnsi="Goudy Old Style"/>
          <w:sz w:val="25"/>
          <w:szCs w:val="25"/>
        </w:rPr>
        <w:t xml:space="preserve">third </w:t>
      </w:r>
      <w:r w:rsidR="007F7A75" w:rsidRPr="004247EA">
        <w:rPr>
          <w:rFonts w:ascii="Goudy Old Style" w:hAnsi="Goudy Old Style"/>
          <w:sz w:val="25"/>
          <w:szCs w:val="25"/>
        </w:rPr>
        <w:t xml:space="preserve">in a series. The estimation method used in this report </w:t>
      </w:r>
      <w:r w:rsidR="00BA7BC0">
        <w:rPr>
          <w:rFonts w:ascii="Goudy Old Style" w:hAnsi="Goudy Old Style"/>
          <w:sz w:val="25"/>
          <w:szCs w:val="25"/>
        </w:rPr>
        <w:t>improves</w:t>
      </w:r>
      <w:r w:rsidR="00BA7BC0" w:rsidRPr="004247EA">
        <w:rPr>
          <w:rFonts w:ascii="Goudy Old Style" w:hAnsi="Goudy Old Style"/>
          <w:sz w:val="25"/>
          <w:szCs w:val="25"/>
        </w:rPr>
        <w:t xml:space="preserve"> </w:t>
      </w:r>
      <w:r w:rsidR="007F7A75" w:rsidRPr="004247EA">
        <w:rPr>
          <w:rFonts w:ascii="Goudy Old Style" w:hAnsi="Goudy Old Style"/>
          <w:sz w:val="25"/>
          <w:szCs w:val="25"/>
        </w:rPr>
        <w:t xml:space="preserve">on the </w:t>
      </w:r>
      <w:r w:rsidR="00BA7BC0">
        <w:rPr>
          <w:rFonts w:ascii="Goudy Old Style" w:hAnsi="Goudy Old Style"/>
          <w:sz w:val="25"/>
          <w:szCs w:val="25"/>
        </w:rPr>
        <w:t>method used</w:t>
      </w:r>
      <w:r w:rsidR="007F7A75" w:rsidRPr="004247EA">
        <w:rPr>
          <w:rFonts w:ascii="Goudy Old Style" w:hAnsi="Goudy Old Style"/>
          <w:sz w:val="25"/>
          <w:szCs w:val="25"/>
        </w:rPr>
        <w:t xml:space="preserve"> </w:t>
      </w:r>
      <w:r w:rsidR="00BA7BC0">
        <w:rPr>
          <w:rFonts w:ascii="Goudy Old Style" w:hAnsi="Goudy Old Style"/>
          <w:sz w:val="25"/>
          <w:szCs w:val="25"/>
        </w:rPr>
        <w:t>in previous reports</w:t>
      </w:r>
      <w:r w:rsidR="00AB5FCB" w:rsidRPr="004247EA">
        <w:rPr>
          <w:rFonts w:ascii="Goudy Old Style" w:hAnsi="Goudy Old Style"/>
          <w:sz w:val="25"/>
          <w:szCs w:val="25"/>
        </w:rPr>
        <w:t>,</w:t>
      </w:r>
      <w:r w:rsidR="007F7A75" w:rsidRPr="004247EA">
        <w:rPr>
          <w:rFonts w:ascii="Goudy Old Style" w:hAnsi="Goudy Old Style"/>
          <w:sz w:val="25"/>
          <w:szCs w:val="25"/>
        </w:rPr>
        <w:t xml:space="preserve"> </w:t>
      </w:r>
      <w:r w:rsidR="00BA7BC0">
        <w:rPr>
          <w:rFonts w:ascii="Goudy Old Style" w:hAnsi="Goudy Old Style"/>
          <w:sz w:val="25"/>
          <w:szCs w:val="25"/>
        </w:rPr>
        <w:t xml:space="preserve">which means </w:t>
      </w:r>
      <w:r w:rsidR="00A048B0" w:rsidRPr="004247EA">
        <w:rPr>
          <w:rFonts w:ascii="Goudy Old Style" w:hAnsi="Goudy Old Style"/>
          <w:sz w:val="25"/>
          <w:szCs w:val="25"/>
        </w:rPr>
        <w:t xml:space="preserve">that the estimates in the </w:t>
      </w:r>
      <w:r w:rsidR="00A44036" w:rsidRPr="004247EA">
        <w:rPr>
          <w:rFonts w:ascii="Goudy Old Style" w:hAnsi="Goudy Old Style"/>
          <w:sz w:val="25"/>
          <w:szCs w:val="25"/>
        </w:rPr>
        <w:t>2014</w:t>
      </w:r>
      <w:r w:rsidR="00544DC0">
        <w:rPr>
          <w:rFonts w:ascii="Goudy Old Style" w:hAnsi="Goudy Old Style"/>
          <w:sz w:val="25"/>
          <w:szCs w:val="25"/>
        </w:rPr>
        <w:t> </w:t>
      </w:r>
      <w:r w:rsidR="00DE5EAE" w:rsidRPr="004247EA">
        <w:rPr>
          <w:rFonts w:ascii="Goudy Old Style" w:hAnsi="Goudy Old Style"/>
          <w:sz w:val="25"/>
          <w:szCs w:val="25"/>
        </w:rPr>
        <w:t xml:space="preserve">Report </w:t>
      </w:r>
      <w:r w:rsidR="00A048B0" w:rsidRPr="004247EA">
        <w:rPr>
          <w:rFonts w:ascii="Goudy Old Style" w:hAnsi="Goudy Old Style"/>
          <w:sz w:val="25"/>
          <w:szCs w:val="25"/>
        </w:rPr>
        <w:t xml:space="preserve">are not comparable to the estimates in the </w:t>
      </w:r>
      <w:r w:rsidR="006D3205" w:rsidRPr="004247EA">
        <w:rPr>
          <w:rFonts w:ascii="Goudy Old Style" w:hAnsi="Goudy Old Style"/>
          <w:sz w:val="25"/>
          <w:szCs w:val="25"/>
        </w:rPr>
        <w:t>previous</w:t>
      </w:r>
      <w:r w:rsidR="007144B1" w:rsidRPr="004247EA">
        <w:rPr>
          <w:rFonts w:ascii="Goudy Old Style" w:hAnsi="Goudy Old Style"/>
          <w:sz w:val="25"/>
          <w:szCs w:val="25"/>
        </w:rPr>
        <w:t xml:space="preserve"> </w:t>
      </w:r>
      <w:r w:rsidR="00704101" w:rsidRPr="004247EA">
        <w:rPr>
          <w:rFonts w:ascii="Goudy Old Style" w:hAnsi="Goudy Old Style"/>
          <w:sz w:val="25"/>
          <w:szCs w:val="25"/>
        </w:rPr>
        <w:t>editions</w:t>
      </w:r>
      <w:r w:rsidR="004247EA">
        <w:rPr>
          <w:rFonts w:ascii="Goudy Old Style" w:hAnsi="Goudy Old Style"/>
          <w:sz w:val="25"/>
          <w:szCs w:val="25"/>
        </w:rPr>
        <w:t>.</w:t>
      </w:r>
    </w:p>
    <w:p w:rsidR="007F7A75" w:rsidRPr="004247EA" w:rsidRDefault="00A048B0" w:rsidP="00F90E15">
      <w:pPr>
        <w:spacing w:before="240"/>
        <w:rPr>
          <w:rFonts w:ascii="Goudy Old Style" w:hAnsi="Goudy Old Style"/>
          <w:sz w:val="25"/>
          <w:szCs w:val="25"/>
        </w:rPr>
      </w:pPr>
      <w:r w:rsidRPr="004247EA">
        <w:rPr>
          <w:rFonts w:ascii="Goudy Old Style" w:hAnsi="Goudy Old Style"/>
          <w:sz w:val="25"/>
          <w:szCs w:val="25"/>
        </w:rPr>
        <w:t xml:space="preserve">The Report represents the best collective effort of the jurisdictions. However, </w:t>
      </w:r>
      <w:r w:rsidR="007F7A75" w:rsidRPr="004247EA">
        <w:rPr>
          <w:rFonts w:ascii="Goudy Old Style" w:hAnsi="Goudy Old Style"/>
          <w:sz w:val="25"/>
          <w:szCs w:val="25"/>
        </w:rPr>
        <w:t>estimating Indigenous expenditure is complex, and many data quality and methodological challenges are yet to be resolved. Interpreting the estimates requires an understanding of the strengths and limitations of the method and data, and the context within which Indigenous services are provided.</w:t>
      </w:r>
    </w:p>
    <w:p w:rsidR="005F6822" w:rsidRPr="004247EA" w:rsidRDefault="005F6822" w:rsidP="00F90E15">
      <w:pPr>
        <w:spacing w:before="240"/>
        <w:rPr>
          <w:rFonts w:ascii="Goudy Old Style" w:hAnsi="Goudy Old Style"/>
          <w:i/>
          <w:sz w:val="25"/>
          <w:szCs w:val="25"/>
        </w:rPr>
      </w:pPr>
      <w:r w:rsidRPr="004247EA">
        <w:rPr>
          <w:rFonts w:ascii="Goudy Old Style" w:hAnsi="Goudy Old Style"/>
          <w:i/>
          <w:sz w:val="25"/>
          <w:szCs w:val="25"/>
        </w:rPr>
        <w:t xml:space="preserve">For more information, refer to </w:t>
      </w:r>
      <w:r w:rsidR="007144B1" w:rsidRPr="004247EA">
        <w:rPr>
          <w:rFonts w:ascii="Goudy Old Style" w:hAnsi="Goudy Old Style"/>
          <w:i/>
          <w:sz w:val="25"/>
          <w:szCs w:val="25"/>
        </w:rPr>
        <w:t>the Report</w:t>
      </w:r>
      <w:r w:rsidR="00BA7BC0">
        <w:rPr>
          <w:rFonts w:ascii="Goudy Old Style" w:hAnsi="Goudy Old Style"/>
          <w:i/>
          <w:sz w:val="25"/>
          <w:szCs w:val="25"/>
        </w:rPr>
        <w:t xml:space="preserve">, </w:t>
      </w:r>
      <w:r w:rsidRPr="004247EA">
        <w:rPr>
          <w:rFonts w:ascii="Goudy Old Style" w:hAnsi="Goudy Old Style"/>
          <w:i/>
          <w:sz w:val="25"/>
          <w:szCs w:val="25"/>
        </w:rPr>
        <w:t xml:space="preserve">the Expenditure Data Manual and </w:t>
      </w:r>
      <w:r w:rsidR="00BA7BC0">
        <w:rPr>
          <w:rFonts w:ascii="Goudy Old Style" w:hAnsi="Goudy Old Style"/>
          <w:i/>
          <w:sz w:val="25"/>
          <w:szCs w:val="25"/>
        </w:rPr>
        <w:t xml:space="preserve">the </w:t>
      </w:r>
      <w:r w:rsidRPr="004247EA">
        <w:rPr>
          <w:rFonts w:ascii="Goudy Old Style" w:hAnsi="Goudy Old Style"/>
          <w:i/>
          <w:sz w:val="25"/>
          <w:szCs w:val="25"/>
        </w:rPr>
        <w:t>Service Use Measure Definitions Manual</w:t>
      </w:r>
      <w:r w:rsidR="00F26292" w:rsidRPr="004247EA">
        <w:rPr>
          <w:rFonts w:ascii="Goudy Old Style" w:hAnsi="Goudy Old Style"/>
          <w:i/>
          <w:sz w:val="25"/>
          <w:szCs w:val="25"/>
        </w:rPr>
        <w:t>,</w:t>
      </w:r>
      <w:r w:rsidRPr="004247EA">
        <w:rPr>
          <w:rFonts w:ascii="Goudy Old Style" w:hAnsi="Goudy Old Style"/>
          <w:i/>
          <w:sz w:val="25"/>
          <w:szCs w:val="25"/>
        </w:rPr>
        <w:t xml:space="preserve"> available from the project website</w:t>
      </w:r>
      <w:r w:rsidRPr="00E071F6">
        <w:rPr>
          <w:rFonts w:ascii="Goudy Old Style" w:hAnsi="Goudy Old Style"/>
          <w:i/>
          <w:sz w:val="25"/>
          <w:szCs w:val="25"/>
        </w:rPr>
        <w:t xml:space="preserve">: </w:t>
      </w:r>
      <w:proofErr w:type="spellStart"/>
      <w:r w:rsidR="00E071F6" w:rsidRPr="00E071F6">
        <w:rPr>
          <w:rFonts w:ascii="Goudy Old Style" w:hAnsi="Goudy Old Style"/>
          <w:i/>
          <w:sz w:val="25"/>
          <w:szCs w:val="25"/>
        </w:rPr>
        <w:t>www.pc.gov.au</w:t>
      </w:r>
      <w:proofErr w:type="spellEnd"/>
      <w:r w:rsidR="00E071F6" w:rsidRPr="00E071F6">
        <w:rPr>
          <w:rFonts w:ascii="Goudy Old Style" w:hAnsi="Goudy Old Style"/>
          <w:i/>
          <w:sz w:val="25"/>
          <w:szCs w:val="25"/>
        </w:rPr>
        <w:t>/research/recurring/</w:t>
      </w:r>
      <w:proofErr w:type="spellStart"/>
      <w:r w:rsidR="00E071F6" w:rsidRPr="00E071F6">
        <w:rPr>
          <w:rFonts w:ascii="Goudy Old Style" w:hAnsi="Goudy Old Style"/>
          <w:i/>
          <w:sz w:val="25"/>
          <w:szCs w:val="25"/>
        </w:rPr>
        <w:t>ier</w:t>
      </w:r>
      <w:proofErr w:type="spellEnd"/>
      <w:r w:rsidR="00613FDD">
        <w:rPr>
          <w:rFonts w:ascii="Goudy Old Style" w:hAnsi="Goudy Old Style"/>
          <w:i/>
          <w:sz w:val="25"/>
          <w:szCs w:val="25"/>
        </w:rPr>
        <w:t>.</w:t>
      </w:r>
    </w:p>
    <w:p w:rsidR="00871FF7" w:rsidRPr="005442C6" w:rsidRDefault="00871FF7" w:rsidP="00544DC0">
      <w:pPr>
        <w:spacing w:before="240"/>
        <w:rPr>
          <w:rFonts w:ascii="Goudy Old Style" w:hAnsi="Goudy Old Style"/>
          <w:b/>
          <w:color w:val="800000"/>
          <w:sz w:val="28"/>
        </w:rPr>
      </w:pPr>
      <w:r w:rsidRPr="005442C6">
        <w:rPr>
          <w:rFonts w:ascii="Goudy Old Style" w:hAnsi="Goudy Old Style"/>
          <w:b/>
          <w:color w:val="800000"/>
          <w:sz w:val="28"/>
        </w:rPr>
        <w:t xml:space="preserve">What does the </w:t>
      </w:r>
      <w:r w:rsidR="00166822" w:rsidRPr="005442C6">
        <w:rPr>
          <w:rFonts w:ascii="Goudy Old Style" w:hAnsi="Goudy Old Style"/>
          <w:b/>
          <w:color w:val="800000"/>
          <w:sz w:val="28"/>
        </w:rPr>
        <w:t>Report</w:t>
      </w:r>
      <w:r w:rsidRPr="005442C6">
        <w:rPr>
          <w:rFonts w:ascii="Goudy Old Style" w:hAnsi="Goudy Old Style"/>
          <w:b/>
          <w:color w:val="800000"/>
          <w:sz w:val="28"/>
        </w:rPr>
        <w:t xml:space="preserve"> tell us about government expenditure on </w:t>
      </w:r>
      <w:r w:rsidR="005A6AE8" w:rsidRPr="005442C6">
        <w:rPr>
          <w:rFonts w:ascii="Goudy Old Style" w:hAnsi="Goudy Old Style"/>
          <w:b/>
          <w:color w:val="800000"/>
          <w:sz w:val="28"/>
        </w:rPr>
        <w:t xml:space="preserve">Aboriginal and Torres Strait Islander </w:t>
      </w:r>
      <w:r w:rsidRPr="005442C6">
        <w:rPr>
          <w:rFonts w:ascii="Goudy Old Style" w:hAnsi="Goudy Old Style"/>
          <w:b/>
          <w:color w:val="800000"/>
          <w:sz w:val="28"/>
        </w:rPr>
        <w:t>Australians?</w:t>
      </w:r>
    </w:p>
    <w:p w:rsidR="00625477" w:rsidRPr="004247EA" w:rsidRDefault="00D547F0" w:rsidP="00C77CAB">
      <w:pPr>
        <w:spacing w:before="120"/>
        <w:rPr>
          <w:rFonts w:ascii="Goudy Old Style" w:hAnsi="Goudy Old Style"/>
          <w:sz w:val="25"/>
          <w:szCs w:val="25"/>
        </w:rPr>
      </w:pPr>
      <w:r w:rsidRPr="004247EA">
        <w:rPr>
          <w:rFonts w:ascii="Goudy Old Style" w:hAnsi="Goudy Old Style"/>
          <w:sz w:val="25"/>
          <w:szCs w:val="25"/>
        </w:rPr>
        <w:t>The</w:t>
      </w:r>
      <w:r w:rsidR="00BA7BC0">
        <w:rPr>
          <w:rFonts w:ascii="Goudy Old Style" w:hAnsi="Goudy Old Style"/>
          <w:sz w:val="25"/>
          <w:szCs w:val="25"/>
        </w:rPr>
        <w:t xml:space="preserve"> following estimates are from the</w:t>
      </w:r>
      <w:r w:rsidRPr="004247EA">
        <w:rPr>
          <w:rFonts w:ascii="Goudy Old Style" w:hAnsi="Goudy Old Style"/>
          <w:sz w:val="25"/>
          <w:szCs w:val="25"/>
        </w:rPr>
        <w:t xml:space="preserve"> </w:t>
      </w:r>
      <w:r w:rsidR="00A44036" w:rsidRPr="004247EA">
        <w:rPr>
          <w:rFonts w:ascii="Goudy Old Style" w:hAnsi="Goudy Old Style"/>
          <w:i/>
          <w:sz w:val="25"/>
          <w:szCs w:val="25"/>
        </w:rPr>
        <w:t>2014 Indigenous Expenditure Report</w:t>
      </w:r>
      <w:r w:rsidR="00BA7BC0">
        <w:rPr>
          <w:rFonts w:ascii="Goudy Old Style" w:hAnsi="Goudy Old Style"/>
          <w:sz w:val="25"/>
          <w:szCs w:val="25"/>
        </w:rPr>
        <w:t xml:space="preserve">. </w:t>
      </w:r>
    </w:p>
    <w:p w:rsidR="00DC30E0" w:rsidRPr="00C77CAB" w:rsidRDefault="00BA7BC0" w:rsidP="00C77CAB">
      <w:pPr>
        <w:pStyle w:val="ListBullet"/>
        <w:spacing w:before="120"/>
        <w:rPr>
          <w:rFonts w:ascii="Goudy Old Style" w:hAnsi="Goudy Old Style"/>
          <w:sz w:val="25"/>
          <w:szCs w:val="25"/>
        </w:rPr>
      </w:pPr>
      <w:r w:rsidRPr="00C77CAB">
        <w:rPr>
          <w:rFonts w:ascii="Goudy Old Style" w:hAnsi="Goudy Old Style"/>
          <w:sz w:val="25"/>
          <w:szCs w:val="25"/>
        </w:rPr>
        <w:t xml:space="preserve">In 2012-13, </w:t>
      </w:r>
      <w:r w:rsidR="00A048B0" w:rsidRPr="00C77CAB">
        <w:rPr>
          <w:rFonts w:ascii="Goudy Old Style" w:hAnsi="Goudy Old Style"/>
          <w:sz w:val="25"/>
          <w:szCs w:val="25"/>
        </w:rPr>
        <w:t>t</w:t>
      </w:r>
      <w:r w:rsidR="00DC30E0" w:rsidRPr="00C77CAB">
        <w:rPr>
          <w:rFonts w:ascii="Goudy Old Style" w:hAnsi="Goudy Old Style"/>
          <w:sz w:val="25"/>
          <w:szCs w:val="25"/>
        </w:rPr>
        <w:t>otal direct Indigenous expenditure</w:t>
      </w:r>
      <w:r w:rsidR="007144B1" w:rsidRPr="00C77CAB">
        <w:rPr>
          <w:rFonts w:ascii="Goudy Old Style" w:hAnsi="Goudy Old Style"/>
          <w:sz w:val="25"/>
          <w:szCs w:val="25"/>
        </w:rPr>
        <w:t xml:space="preserve"> </w:t>
      </w:r>
      <w:r w:rsidR="00A048B0" w:rsidRPr="00C77CAB">
        <w:rPr>
          <w:rFonts w:ascii="Goudy Old Style" w:hAnsi="Goudy Old Style"/>
          <w:sz w:val="25"/>
          <w:szCs w:val="25"/>
        </w:rPr>
        <w:t>amounted</w:t>
      </w:r>
      <w:r w:rsidR="00DC30E0" w:rsidRPr="00C77CAB">
        <w:rPr>
          <w:rFonts w:ascii="Goudy Old Style" w:hAnsi="Goudy Old Style"/>
          <w:sz w:val="25"/>
          <w:szCs w:val="25"/>
        </w:rPr>
        <w:t xml:space="preserve"> to $</w:t>
      </w:r>
      <w:r w:rsidR="00C004AA" w:rsidRPr="00C77CAB">
        <w:rPr>
          <w:rFonts w:ascii="Goudy Old Style" w:hAnsi="Goudy Old Style"/>
          <w:sz w:val="25"/>
          <w:szCs w:val="25"/>
        </w:rPr>
        <w:t>30.</w:t>
      </w:r>
      <w:r w:rsidR="006226FB" w:rsidRPr="00C77CAB">
        <w:rPr>
          <w:rFonts w:ascii="Goudy Old Style" w:hAnsi="Goudy Old Style"/>
          <w:sz w:val="25"/>
          <w:szCs w:val="25"/>
        </w:rPr>
        <w:t>3</w:t>
      </w:r>
      <w:r w:rsidR="00DC30E0" w:rsidRPr="00C77CAB">
        <w:rPr>
          <w:rFonts w:ascii="Goudy Old Style" w:hAnsi="Goudy Old Style"/>
          <w:sz w:val="25"/>
          <w:szCs w:val="25"/>
        </w:rPr>
        <w:t xml:space="preserve"> billion, accounting for </w:t>
      </w:r>
      <w:r w:rsidR="00C004AA" w:rsidRPr="00C77CAB">
        <w:rPr>
          <w:rFonts w:ascii="Goudy Old Style" w:hAnsi="Goudy Old Style"/>
          <w:sz w:val="25"/>
          <w:szCs w:val="25"/>
        </w:rPr>
        <w:t>6.1</w:t>
      </w:r>
      <w:r w:rsidR="00DC30E0" w:rsidRPr="00C77CAB">
        <w:rPr>
          <w:rFonts w:ascii="Goudy Old Style" w:hAnsi="Goudy Old Style"/>
          <w:sz w:val="25"/>
          <w:szCs w:val="25"/>
        </w:rPr>
        <w:t xml:space="preserve"> per cent of total direct government expenditure. </w:t>
      </w:r>
      <w:r w:rsidR="00A44036" w:rsidRPr="00C77CAB">
        <w:rPr>
          <w:rFonts w:ascii="Goudy Old Style" w:hAnsi="Goudy Old Style"/>
          <w:sz w:val="25"/>
          <w:szCs w:val="25"/>
        </w:rPr>
        <w:t xml:space="preserve">Aboriginal and Torres Strait Islander Australians </w:t>
      </w:r>
      <w:r w:rsidR="00562258">
        <w:rPr>
          <w:rFonts w:ascii="Goudy Old Style" w:hAnsi="Goudy Old Style"/>
          <w:sz w:val="25"/>
          <w:szCs w:val="25"/>
        </w:rPr>
        <w:t>mad</w:t>
      </w:r>
      <w:r w:rsidR="00DC30E0" w:rsidRPr="00C77CAB">
        <w:rPr>
          <w:rFonts w:ascii="Goudy Old Style" w:hAnsi="Goudy Old Style"/>
          <w:sz w:val="25"/>
          <w:szCs w:val="25"/>
        </w:rPr>
        <w:t xml:space="preserve">e up </w:t>
      </w:r>
      <w:r w:rsidR="00C004AA" w:rsidRPr="00C77CAB">
        <w:rPr>
          <w:rFonts w:ascii="Goudy Old Style" w:hAnsi="Goudy Old Style"/>
          <w:sz w:val="25"/>
          <w:szCs w:val="25"/>
        </w:rPr>
        <w:t>3.0</w:t>
      </w:r>
      <w:r w:rsidR="00DE5EAE" w:rsidRPr="00C77CAB">
        <w:rPr>
          <w:rFonts w:ascii="Goudy Old Style" w:hAnsi="Goudy Old Style"/>
          <w:sz w:val="25"/>
          <w:szCs w:val="25"/>
        </w:rPr>
        <w:t> </w:t>
      </w:r>
      <w:r w:rsidR="00DC30E0" w:rsidRPr="00C77CAB">
        <w:rPr>
          <w:rFonts w:ascii="Goudy Old Style" w:hAnsi="Goudy Old Style"/>
          <w:sz w:val="25"/>
          <w:szCs w:val="25"/>
        </w:rPr>
        <w:t>per cent of the population</w:t>
      </w:r>
      <w:r w:rsidR="00562258">
        <w:rPr>
          <w:rFonts w:ascii="Goudy Old Style" w:hAnsi="Goudy Old Style"/>
          <w:sz w:val="25"/>
          <w:szCs w:val="25"/>
        </w:rPr>
        <w:t xml:space="preserve"> at 30 June 2013</w:t>
      </w:r>
      <w:r w:rsidRPr="00C77CAB">
        <w:rPr>
          <w:rFonts w:ascii="Goudy Old Style" w:hAnsi="Goudy Old Style"/>
          <w:sz w:val="25"/>
          <w:szCs w:val="25"/>
        </w:rPr>
        <w:t>.</w:t>
      </w:r>
    </w:p>
    <w:p w:rsidR="00DC30E0" w:rsidRPr="004247EA" w:rsidRDefault="00BA7BC0" w:rsidP="00C77CAB">
      <w:pPr>
        <w:pStyle w:val="ListBullet"/>
        <w:numPr>
          <w:ilvl w:val="1"/>
          <w:numId w:val="6"/>
        </w:numPr>
        <w:spacing w:before="120"/>
        <w:ind w:left="567" w:hanging="283"/>
        <w:rPr>
          <w:rFonts w:ascii="Goudy Old Style" w:hAnsi="Goudy Old Style"/>
          <w:sz w:val="25"/>
          <w:szCs w:val="25"/>
        </w:rPr>
      </w:pPr>
      <w:r w:rsidRPr="00C77CAB">
        <w:rPr>
          <w:rFonts w:ascii="Goudy Old Style" w:hAnsi="Goudy Old Style"/>
          <w:sz w:val="25"/>
          <w:szCs w:val="25"/>
        </w:rPr>
        <w:t>T</w:t>
      </w:r>
      <w:r w:rsidR="00DC30E0" w:rsidRPr="00C77CAB">
        <w:rPr>
          <w:rFonts w:ascii="Goudy Old Style" w:hAnsi="Goudy Old Style"/>
          <w:sz w:val="25"/>
          <w:szCs w:val="25"/>
        </w:rPr>
        <w:t>he Australian Government accounted for $</w:t>
      </w:r>
      <w:r w:rsidR="00C004AA" w:rsidRPr="00C77CAB">
        <w:rPr>
          <w:rFonts w:ascii="Goudy Old Style" w:hAnsi="Goudy Old Style"/>
          <w:sz w:val="25"/>
          <w:szCs w:val="25"/>
        </w:rPr>
        <w:t>14.1</w:t>
      </w:r>
      <w:r w:rsidR="00DC30E0" w:rsidRPr="00C77CAB">
        <w:rPr>
          <w:rFonts w:ascii="Goudy Old Style" w:hAnsi="Goudy Old Style"/>
          <w:sz w:val="25"/>
          <w:szCs w:val="25"/>
        </w:rPr>
        <w:t xml:space="preserve"> billion (</w:t>
      </w:r>
      <w:r w:rsidR="00C004AA" w:rsidRPr="00C77CAB">
        <w:rPr>
          <w:rFonts w:ascii="Goudy Old Style" w:hAnsi="Goudy Old Style"/>
          <w:sz w:val="25"/>
          <w:szCs w:val="25"/>
        </w:rPr>
        <w:t>4</w:t>
      </w:r>
      <w:r w:rsidR="006226FB" w:rsidRPr="00C77CAB">
        <w:rPr>
          <w:rFonts w:ascii="Goudy Old Style" w:hAnsi="Goudy Old Style"/>
          <w:sz w:val="25"/>
          <w:szCs w:val="25"/>
        </w:rPr>
        <w:t>7</w:t>
      </w:r>
      <w:r w:rsidR="00C004AA" w:rsidRPr="00C77CAB">
        <w:rPr>
          <w:rFonts w:ascii="Goudy Old Style" w:hAnsi="Goudy Old Style"/>
          <w:sz w:val="25"/>
          <w:szCs w:val="25"/>
        </w:rPr>
        <w:t xml:space="preserve"> </w:t>
      </w:r>
      <w:r w:rsidR="00DC30E0" w:rsidRPr="00C77CAB">
        <w:rPr>
          <w:rFonts w:ascii="Goudy Old Style" w:hAnsi="Goudy Old Style"/>
          <w:sz w:val="25"/>
          <w:szCs w:val="25"/>
        </w:rPr>
        <w:t>per cent) of Indigenous direct expenditure, with the remaining $</w:t>
      </w:r>
      <w:r w:rsidR="00C004AA" w:rsidRPr="00C77CAB">
        <w:rPr>
          <w:rFonts w:ascii="Goudy Old Style" w:hAnsi="Goudy Old Style"/>
          <w:sz w:val="25"/>
          <w:szCs w:val="25"/>
        </w:rPr>
        <w:t>16.</w:t>
      </w:r>
      <w:r w:rsidR="006226FB" w:rsidRPr="00C77CAB">
        <w:rPr>
          <w:rFonts w:ascii="Goudy Old Style" w:hAnsi="Goudy Old Style"/>
          <w:sz w:val="25"/>
          <w:szCs w:val="25"/>
        </w:rPr>
        <w:t>2</w:t>
      </w:r>
      <w:r w:rsidR="00DC30E0" w:rsidRPr="00C77CAB">
        <w:rPr>
          <w:rFonts w:ascii="Goudy Old Style" w:hAnsi="Goudy Old Style"/>
          <w:sz w:val="25"/>
          <w:szCs w:val="25"/>
        </w:rPr>
        <w:t xml:space="preserve"> billion (</w:t>
      </w:r>
      <w:r w:rsidR="00C004AA" w:rsidRPr="00C77CAB">
        <w:rPr>
          <w:rFonts w:ascii="Goudy Old Style" w:hAnsi="Goudy Old Style"/>
          <w:sz w:val="25"/>
          <w:szCs w:val="25"/>
        </w:rPr>
        <w:t>5</w:t>
      </w:r>
      <w:r w:rsidR="006226FB" w:rsidRPr="00C77CAB">
        <w:rPr>
          <w:rFonts w:ascii="Goudy Old Style" w:hAnsi="Goudy Old Style"/>
          <w:sz w:val="25"/>
          <w:szCs w:val="25"/>
        </w:rPr>
        <w:t>3</w:t>
      </w:r>
      <w:r w:rsidR="00C004AA" w:rsidRPr="00C77CAB">
        <w:rPr>
          <w:rFonts w:ascii="Goudy Old Style" w:hAnsi="Goudy Old Style"/>
          <w:sz w:val="25"/>
          <w:szCs w:val="25"/>
        </w:rPr>
        <w:t xml:space="preserve"> </w:t>
      </w:r>
      <w:r w:rsidR="00DC30E0" w:rsidRPr="00C77CAB">
        <w:rPr>
          <w:rFonts w:ascii="Goudy Old Style" w:hAnsi="Goudy Old Style"/>
          <w:sz w:val="25"/>
          <w:szCs w:val="25"/>
        </w:rPr>
        <w:t>per cent) provided by State and Territory</w:t>
      </w:r>
      <w:r w:rsidR="00DC30E0" w:rsidRPr="004247EA">
        <w:rPr>
          <w:rFonts w:ascii="Goudy Old Style" w:hAnsi="Goudy Old Style"/>
          <w:sz w:val="25"/>
          <w:szCs w:val="25"/>
        </w:rPr>
        <w:t xml:space="preserve"> governments</w:t>
      </w:r>
      <w:r>
        <w:rPr>
          <w:rFonts w:ascii="Goudy Old Style" w:hAnsi="Goudy Old Style"/>
          <w:sz w:val="25"/>
          <w:szCs w:val="25"/>
        </w:rPr>
        <w:t>.</w:t>
      </w:r>
    </w:p>
    <w:p w:rsidR="00CC46BA" w:rsidRPr="00C77CAB" w:rsidRDefault="00BA7BC0" w:rsidP="00C77CAB">
      <w:pPr>
        <w:pStyle w:val="ListBullet"/>
        <w:numPr>
          <w:ilvl w:val="1"/>
          <w:numId w:val="6"/>
        </w:numPr>
        <w:spacing w:before="120"/>
        <w:ind w:left="567" w:hanging="283"/>
        <w:rPr>
          <w:rFonts w:ascii="Goudy Old Style" w:hAnsi="Goudy Old Style"/>
          <w:sz w:val="25"/>
          <w:szCs w:val="25"/>
        </w:rPr>
      </w:pPr>
      <w:r w:rsidRPr="00C77CAB">
        <w:rPr>
          <w:rFonts w:ascii="Goudy Old Style" w:hAnsi="Goudy Old Style"/>
          <w:sz w:val="25"/>
          <w:szCs w:val="25"/>
        </w:rPr>
        <w:lastRenderedPageBreak/>
        <w:t>M</w:t>
      </w:r>
      <w:r w:rsidR="00DC30E0" w:rsidRPr="00C77CAB">
        <w:rPr>
          <w:rFonts w:ascii="Goudy Old Style" w:hAnsi="Goudy Old Style"/>
          <w:sz w:val="25"/>
          <w:szCs w:val="25"/>
        </w:rPr>
        <w:t>ainstream services accounted for $</w:t>
      </w:r>
      <w:r w:rsidR="00C004AA" w:rsidRPr="00C77CAB">
        <w:rPr>
          <w:rFonts w:ascii="Goudy Old Style" w:hAnsi="Goudy Old Style"/>
          <w:sz w:val="25"/>
          <w:szCs w:val="25"/>
        </w:rPr>
        <w:t>24.</w:t>
      </w:r>
      <w:r w:rsidR="006226FB" w:rsidRPr="00C77CAB">
        <w:rPr>
          <w:rFonts w:ascii="Goudy Old Style" w:hAnsi="Goudy Old Style"/>
          <w:sz w:val="25"/>
          <w:szCs w:val="25"/>
        </w:rPr>
        <w:t>7</w:t>
      </w:r>
      <w:r w:rsidR="00DC30E0" w:rsidRPr="00C77CAB">
        <w:rPr>
          <w:rFonts w:ascii="Goudy Old Style" w:hAnsi="Goudy Old Style"/>
          <w:sz w:val="25"/>
          <w:szCs w:val="25"/>
        </w:rPr>
        <w:t xml:space="preserve"> billion (</w:t>
      </w:r>
      <w:r w:rsidR="00C004AA" w:rsidRPr="00C77CAB">
        <w:rPr>
          <w:rFonts w:ascii="Goudy Old Style" w:hAnsi="Goudy Old Style"/>
          <w:sz w:val="25"/>
          <w:szCs w:val="25"/>
        </w:rPr>
        <w:t xml:space="preserve">81 </w:t>
      </w:r>
      <w:r w:rsidR="00DC30E0" w:rsidRPr="00C77CAB">
        <w:rPr>
          <w:rFonts w:ascii="Goudy Old Style" w:hAnsi="Goudy Old Style"/>
          <w:sz w:val="25"/>
          <w:szCs w:val="25"/>
        </w:rPr>
        <w:t>per cent) of Indigenous direct expenditure, with the remaining $</w:t>
      </w:r>
      <w:r w:rsidR="00C004AA" w:rsidRPr="00C77CAB">
        <w:rPr>
          <w:rFonts w:ascii="Goudy Old Style" w:hAnsi="Goudy Old Style"/>
          <w:sz w:val="25"/>
          <w:szCs w:val="25"/>
        </w:rPr>
        <w:t>5.6</w:t>
      </w:r>
      <w:r w:rsidR="00DC30E0" w:rsidRPr="00C77CAB">
        <w:rPr>
          <w:rFonts w:ascii="Goudy Old Style" w:hAnsi="Goudy Old Style"/>
          <w:sz w:val="25"/>
          <w:szCs w:val="25"/>
        </w:rPr>
        <w:t xml:space="preserve"> billion (</w:t>
      </w:r>
      <w:r w:rsidR="00C004AA" w:rsidRPr="00C77CAB">
        <w:rPr>
          <w:rFonts w:ascii="Goudy Old Style" w:hAnsi="Goudy Old Style"/>
          <w:sz w:val="25"/>
          <w:szCs w:val="25"/>
        </w:rPr>
        <w:t xml:space="preserve">19 </w:t>
      </w:r>
      <w:r w:rsidR="00DC30E0" w:rsidRPr="00C77CAB">
        <w:rPr>
          <w:rFonts w:ascii="Goudy Old Style" w:hAnsi="Goudy Old Style"/>
          <w:sz w:val="25"/>
          <w:szCs w:val="25"/>
        </w:rPr>
        <w:t xml:space="preserve">per cent) provided through </w:t>
      </w:r>
      <w:r w:rsidR="00FB4430" w:rsidRPr="00C77CAB">
        <w:rPr>
          <w:rFonts w:ascii="Goudy Old Style" w:hAnsi="Goudy Old Style"/>
          <w:sz w:val="25"/>
          <w:szCs w:val="25"/>
        </w:rPr>
        <w:t>Indigenous specific</w:t>
      </w:r>
      <w:r w:rsidR="00DC30E0" w:rsidRPr="00C77CAB">
        <w:rPr>
          <w:rFonts w:ascii="Goudy Old Style" w:hAnsi="Goudy Old Style"/>
          <w:sz w:val="25"/>
          <w:szCs w:val="25"/>
        </w:rPr>
        <w:t xml:space="preserve"> (</w:t>
      </w:r>
      <w:r w:rsidR="00FB4430" w:rsidRPr="00C77CAB">
        <w:rPr>
          <w:rFonts w:ascii="Goudy Old Style" w:hAnsi="Goudy Old Style"/>
          <w:sz w:val="25"/>
          <w:szCs w:val="25"/>
        </w:rPr>
        <w:t>targeted</w:t>
      </w:r>
      <w:r w:rsidR="00DC30E0" w:rsidRPr="00C77CAB">
        <w:rPr>
          <w:rFonts w:ascii="Goudy Old Style" w:hAnsi="Goudy Old Style"/>
          <w:sz w:val="25"/>
          <w:szCs w:val="25"/>
        </w:rPr>
        <w:t>) services</w:t>
      </w:r>
      <w:r w:rsidRPr="00C77CAB">
        <w:rPr>
          <w:rFonts w:ascii="Goudy Old Style" w:hAnsi="Goudy Old Style"/>
          <w:sz w:val="25"/>
          <w:szCs w:val="25"/>
        </w:rPr>
        <w:t>.</w:t>
      </w:r>
    </w:p>
    <w:p w:rsidR="00DC30E0" w:rsidRPr="00C77CAB" w:rsidRDefault="00BA7BC0" w:rsidP="00C77CAB">
      <w:pPr>
        <w:pStyle w:val="ListBullet"/>
        <w:spacing w:before="120"/>
        <w:rPr>
          <w:rFonts w:ascii="Goudy Old Style" w:hAnsi="Goudy Old Style"/>
          <w:sz w:val="25"/>
          <w:szCs w:val="25"/>
        </w:rPr>
      </w:pPr>
      <w:r w:rsidRPr="00C77CAB">
        <w:rPr>
          <w:rFonts w:ascii="Goudy Old Style" w:hAnsi="Goudy Old Style"/>
          <w:sz w:val="25"/>
          <w:szCs w:val="25"/>
        </w:rPr>
        <w:t xml:space="preserve">In 2012-13, </w:t>
      </w:r>
      <w:r w:rsidR="00A048B0" w:rsidRPr="00C77CAB">
        <w:rPr>
          <w:rFonts w:ascii="Goudy Old Style" w:hAnsi="Goudy Old Style"/>
          <w:sz w:val="25"/>
          <w:szCs w:val="25"/>
        </w:rPr>
        <w:t>e</w:t>
      </w:r>
      <w:r w:rsidR="00DC30E0" w:rsidRPr="00C77CAB">
        <w:rPr>
          <w:rFonts w:ascii="Goudy Old Style" w:hAnsi="Goudy Old Style"/>
          <w:sz w:val="25"/>
          <w:szCs w:val="25"/>
        </w:rPr>
        <w:t xml:space="preserve">stimated expenditure per </w:t>
      </w:r>
      <w:r w:rsidR="004D5F74" w:rsidRPr="00C77CAB">
        <w:rPr>
          <w:rFonts w:ascii="Goudy Old Style" w:hAnsi="Goudy Old Style"/>
          <w:sz w:val="25"/>
          <w:szCs w:val="25"/>
        </w:rPr>
        <w:t>person</w:t>
      </w:r>
      <w:r w:rsidR="00DC30E0" w:rsidRPr="00C77CAB">
        <w:rPr>
          <w:rFonts w:ascii="Goudy Old Style" w:hAnsi="Goudy Old Style"/>
          <w:sz w:val="25"/>
          <w:szCs w:val="25"/>
        </w:rPr>
        <w:t xml:space="preserve"> was $</w:t>
      </w:r>
      <w:r w:rsidR="00C004AA" w:rsidRPr="00C77CAB">
        <w:rPr>
          <w:rFonts w:ascii="Goudy Old Style" w:hAnsi="Goudy Old Style"/>
          <w:sz w:val="25"/>
          <w:szCs w:val="25"/>
        </w:rPr>
        <w:t>43 </w:t>
      </w:r>
      <w:r w:rsidR="006226FB" w:rsidRPr="00C77CAB">
        <w:rPr>
          <w:rFonts w:ascii="Goudy Old Style" w:hAnsi="Goudy Old Style"/>
          <w:sz w:val="25"/>
          <w:szCs w:val="25"/>
        </w:rPr>
        <w:t>449</w:t>
      </w:r>
      <w:r w:rsidR="00DC30E0" w:rsidRPr="00C77CAB">
        <w:rPr>
          <w:rFonts w:ascii="Goudy Old Style" w:hAnsi="Goudy Old Style"/>
          <w:sz w:val="25"/>
          <w:szCs w:val="25"/>
        </w:rPr>
        <w:t xml:space="preserve"> for </w:t>
      </w:r>
      <w:r w:rsidR="005A6AE8" w:rsidRPr="00C77CAB">
        <w:rPr>
          <w:rFonts w:ascii="Goudy Old Style" w:hAnsi="Goudy Old Style"/>
          <w:sz w:val="25"/>
          <w:szCs w:val="25"/>
        </w:rPr>
        <w:t xml:space="preserve">Aboriginal and Torres Strait Islander </w:t>
      </w:r>
      <w:r w:rsidR="00DC30E0" w:rsidRPr="00C77CAB">
        <w:rPr>
          <w:rFonts w:ascii="Goudy Old Style" w:hAnsi="Goudy Old Style"/>
          <w:sz w:val="25"/>
          <w:szCs w:val="25"/>
        </w:rPr>
        <w:t>Australians, compared with $</w:t>
      </w:r>
      <w:r w:rsidR="00C004AA" w:rsidRPr="00C77CAB">
        <w:rPr>
          <w:rFonts w:ascii="Goudy Old Style" w:hAnsi="Goudy Old Style"/>
          <w:sz w:val="25"/>
          <w:szCs w:val="25"/>
        </w:rPr>
        <w:t>20 </w:t>
      </w:r>
      <w:r w:rsidR="006226FB" w:rsidRPr="00C77CAB">
        <w:rPr>
          <w:rFonts w:ascii="Goudy Old Style" w:hAnsi="Goudy Old Style"/>
          <w:sz w:val="25"/>
          <w:szCs w:val="25"/>
        </w:rPr>
        <w:t>900</w:t>
      </w:r>
      <w:r w:rsidR="00DC30E0" w:rsidRPr="00C77CAB">
        <w:rPr>
          <w:rFonts w:ascii="Goudy Old Style" w:hAnsi="Goudy Old Style"/>
          <w:sz w:val="25"/>
          <w:szCs w:val="25"/>
        </w:rPr>
        <w:t xml:space="preserve"> for non</w:t>
      </w:r>
      <w:r w:rsidR="005B69AA" w:rsidRPr="00C77CAB">
        <w:rPr>
          <w:rFonts w:ascii="Goudy Old Style" w:hAnsi="Goudy Old Style"/>
          <w:sz w:val="25"/>
          <w:szCs w:val="25"/>
        </w:rPr>
        <w:noBreakHyphen/>
      </w:r>
      <w:r w:rsidR="00DC30E0" w:rsidRPr="00C77CAB">
        <w:rPr>
          <w:rFonts w:ascii="Goudy Old Style" w:hAnsi="Goudy Old Style"/>
          <w:sz w:val="25"/>
          <w:szCs w:val="25"/>
        </w:rPr>
        <w:t>Indigenous Australians</w:t>
      </w:r>
      <w:r w:rsidR="00224588" w:rsidRPr="00C77CAB">
        <w:rPr>
          <w:rFonts w:ascii="Goudy Old Style" w:hAnsi="Goudy Old Style"/>
          <w:sz w:val="25"/>
          <w:szCs w:val="25"/>
        </w:rPr>
        <w:t xml:space="preserve"> </w:t>
      </w:r>
      <w:r w:rsidR="00DC30E0" w:rsidRPr="00C77CAB">
        <w:rPr>
          <w:rFonts w:ascii="Goudy Old Style" w:hAnsi="Goudy Old Style"/>
          <w:sz w:val="25"/>
          <w:szCs w:val="25"/>
        </w:rPr>
        <w:t xml:space="preserve">(a ratio of </w:t>
      </w:r>
      <w:r w:rsidR="00C004AA" w:rsidRPr="00C77CAB">
        <w:rPr>
          <w:rFonts w:ascii="Goudy Old Style" w:hAnsi="Goudy Old Style"/>
          <w:sz w:val="25"/>
          <w:szCs w:val="25"/>
        </w:rPr>
        <w:t>2.08</w:t>
      </w:r>
      <w:r w:rsidR="00DC30E0" w:rsidRPr="00C77CAB">
        <w:rPr>
          <w:rFonts w:ascii="Goudy Old Style" w:hAnsi="Goudy Old Style"/>
          <w:sz w:val="25"/>
          <w:szCs w:val="25"/>
        </w:rPr>
        <w:t>:1). The $</w:t>
      </w:r>
      <w:r w:rsidR="00C004AA" w:rsidRPr="00C77CAB">
        <w:rPr>
          <w:rFonts w:ascii="Goudy Old Style" w:hAnsi="Goudy Old Style"/>
          <w:sz w:val="25"/>
          <w:szCs w:val="25"/>
        </w:rPr>
        <w:t>22 </w:t>
      </w:r>
      <w:r w:rsidR="006226FB" w:rsidRPr="00C77CAB">
        <w:rPr>
          <w:rFonts w:ascii="Goudy Old Style" w:hAnsi="Goudy Old Style"/>
          <w:sz w:val="25"/>
          <w:szCs w:val="25"/>
        </w:rPr>
        <w:t>550</w:t>
      </w:r>
      <w:r w:rsidR="00DC30E0" w:rsidRPr="00C77CAB">
        <w:rPr>
          <w:rFonts w:ascii="Goudy Old Style" w:hAnsi="Goudy Old Style"/>
          <w:sz w:val="25"/>
          <w:szCs w:val="25"/>
        </w:rPr>
        <w:t xml:space="preserve"> per person difference reflected the combined effects of:</w:t>
      </w:r>
    </w:p>
    <w:p w:rsidR="00DC30E0" w:rsidRPr="00C77CAB" w:rsidRDefault="00DC30E0" w:rsidP="00C77CAB">
      <w:pPr>
        <w:pStyle w:val="ListBullet"/>
        <w:numPr>
          <w:ilvl w:val="1"/>
          <w:numId w:val="6"/>
        </w:numPr>
        <w:spacing w:before="120"/>
        <w:ind w:left="567" w:hanging="283"/>
        <w:rPr>
          <w:rFonts w:ascii="Goudy Old Style" w:hAnsi="Goudy Old Style"/>
          <w:sz w:val="25"/>
          <w:szCs w:val="25"/>
        </w:rPr>
      </w:pPr>
      <w:r w:rsidRPr="00C77CAB">
        <w:rPr>
          <w:rFonts w:ascii="Goudy Old Style" w:hAnsi="Goudy Old Style"/>
          <w:sz w:val="25"/>
          <w:szCs w:val="25"/>
        </w:rPr>
        <w:t>greater intensity of service use (</w:t>
      </w:r>
      <w:r w:rsidR="00765091" w:rsidRPr="00C77CAB">
        <w:rPr>
          <w:rFonts w:ascii="Goudy Old Style" w:hAnsi="Goudy Old Style"/>
          <w:sz w:val="25"/>
          <w:szCs w:val="25"/>
        </w:rPr>
        <w:t>$15 </w:t>
      </w:r>
      <w:r w:rsidR="006226FB" w:rsidRPr="00C77CAB">
        <w:rPr>
          <w:rFonts w:ascii="Goudy Old Style" w:hAnsi="Goudy Old Style"/>
          <w:sz w:val="25"/>
          <w:szCs w:val="25"/>
        </w:rPr>
        <w:t>438</w:t>
      </w:r>
      <w:r w:rsidR="00765091" w:rsidRPr="00C77CAB">
        <w:rPr>
          <w:rFonts w:ascii="Goudy Old Style" w:hAnsi="Goudy Old Style"/>
          <w:sz w:val="25"/>
          <w:szCs w:val="25"/>
        </w:rPr>
        <w:t xml:space="preserve"> or 6</w:t>
      </w:r>
      <w:r w:rsidR="006226FB" w:rsidRPr="00C77CAB">
        <w:rPr>
          <w:rFonts w:ascii="Goudy Old Style" w:hAnsi="Goudy Old Style"/>
          <w:sz w:val="25"/>
          <w:szCs w:val="25"/>
        </w:rPr>
        <w:t>8</w:t>
      </w:r>
      <w:r w:rsidR="00765091" w:rsidRPr="00C77CAB">
        <w:rPr>
          <w:rFonts w:ascii="Goudy Old Style" w:hAnsi="Goudy Old Style"/>
          <w:sz w:val="25"/>
          <w:szCs w:val="25"/>
        </w:rPr>
        <w:t> </w:t>
      </w:r>
      <w:r w:rsidRPr="00C77CAB">
        <w:rPr>
          <w:rFonts w:ascii="Goudy Old Style" w:hAnsi="Goudy Old Style"/>
          <w:sz w:val="25"/>
          <w:szCs w:val="25"/>
        </w:rPr>
        <w:t xml:space="preserve">per cent) — </w:t>
      </w:r>
      <w:r w:rsidR="00A44036" w:rsidRPr="00C77CAB">
        <w:rPr>
          <w:rFonts w:ascii="Goudy Old Style" w:hAnsi="Goudy Old Style"/>
          <w:sz w:val="25"/>
          <w:szCs w:val="25"/>
        </w:rPr>
        <w:t>Aboriginal and Torres Strait Islander Australians</w:t>
      </w:r>
      <w:r w:rsidR="006226FB" w:rsidRPr="00C77CAB">
        <w:rPr>
          <w:rFonts w:ascii="Goudy Old Style" w:hAnsi="Goudy Old Style"/>
          <w:sz w:val="25"/>
          <w:szCs w:val="25"/>
        </w:rPr>
        <w:t>, on average,</w:t>
      </w:r>
      <w:r w:rsidR="00A44036" w:rsidRPr="00C77CAB">
        <w:rPr>
          <w:rFonts w:ascii="Goudy Old Style" w:hAnsi="Goudy Old Style"/>
          <w:sz w:val="25"/>
          <w:szCs w:val="25"/>
        </w:rPr>
        <w:t xml:space="preserve"> </w:t>
      </w:r>
      <w:r w:rsidRPr="00C77CAB">
        <w:rPr>
          <w:rFonts w:ascii="Goudy Old Style" w:hAnsi="Goudy Old Style"/>
          <w:sz w:val="25"/>
          <w:szCs w:val="25"/>
        </w:rPr>
        <w:t xml:space="preserve">use more services per </w:t>
      </w:r>
      <w:r w:rsidR="00BA7BC0" w:rsidRPr="00C77CAB">
        <w:rPr>
          <w:rFonts w:ascii="Goudy Old Style" w:hAnsi="Goudy Old Style"/>
          <w:sz w:val="25"/>
          <w:szCs w:val="25"/>
        </w:rPr>
        <w:t xml:space="preserve">person </w:t>
      </w:r>
      <w:r w:rsidRPr="00C77CAB">
        <w:rPr>
          <w:rFonts w:ascii="Goudy Old Style" w:hAnsi="Goudy Old Style"/>
          <w:sz w:val="25"/>
          <w:szCs w:val="25"/>
        </w:rPr>
        <w:t xml:space="preserve">because of greater need, and because of </w:t>
      </w:r>
      <w:r w:rsidR="00765091" w:rsidRPr="00C77CAB">
        <w:rPr>
          <w:rFonts w:ascii="Goudy Old Style" w:hAnsi="Goudy Old Style"/>
          <w:sz w:val="25"/>
          <w:szCs w:val="25"/>
        </w:rPr>
        <w:t xml:space="preserve">population </w:t>
      </w:r>
      <w:r w:rsidRPr="00C77CAB">
        <w:rPr>
          <w:rFonts w:ascii="Goudy Old Style" w:hAnsi="Goudy Old Style"/>
          <w:sz w:val="25"/>
          <w:szCs w:val="25"/>
        </w:rPr>
        <w:t>characteristics such as the younger age profile of the Indigenous population</w:t>
      </w:r>
    </w:p>
    <w:p w:rsidR="00DC30E0" w:rsidRPr="00C77CAB" w:rsidRDefault="00EE6478" w:rsidP="00C77CAB">
      <w:pPr>
        <w:pStyle w:val="ListBullet"/>
        <w:numPr>
          <w:ilvl w:val="1"/>
          <w:numId w:val="6"/>
        </w:numPr>
        <w:spacing w:before="120"/>
        <w:ind w:left="567" w:hanging="283"/>
        <w:rPr>
          <w:rFonts w:ascii="Goudy Old Style" w:hAnsi="Goudy Old Style"/>
          <w:sz w:val="25"/>
          <w:szCs w:val="25"/>
        </w:rPr>
      </w:pPr>
      <w:r w:rsidRPr="00C77CAB">
        <w:rPr>
          <w:rFonts w:ascii="Goudy Old Style" w:hAnsi="Goudy Old Style"/>
          <w:sz w:val="25"/>
          <w:szCs w:val="25"/>
        </w:rPr>
        <w:t xml:space="preserve">higher </w:t>
      </w:r>
      <w:r w:rsidR="00DC30E0" w:rsidRPr="00C77CAB">
        <w:rPr>
          <w:rFonts w:ascii="Goudy Old Style" w:hAnsi="Goudy Old Style"/>
          <w:sz w:val="25"/>
          <w:szCs w:val="25"/>
        </w:rPr>
        <w:t>costs of providing services (</w:t>
      </w:r>
      <w:r w:rsidR="00765091" w:rsidRPr="00C77CAB">
        <w:rPr>
          <w:rFonts w:ascii="Goudy Old Style" w:hAnsi="Goudy Old Style"/>
          <w:sz w:val="25"/>
          <w:szCs w:val="25"/>
        </w:rPr>
        <w:t>$71</w:t>
      </w:r>
      <w:r w:rsidR="009D0A3A" w:rsidRPr="00C77CAB">
        <w:rPr>
          <w:rFonts w:ascii="Goudy Old Style" w:hAnsi="Goudy Old Style"/>
          <w:sz w:val="25"/>
          <w:szCs w:val="25"/>
        </w:rPr>
        <w:t>12</w:t>
      </w:r>
      <w:r w:rsidR="00765091" w:rsidRPr="00C77CAB">
        <w:rPr>
          <w:rFonts w:ascii="Goudy Old Style" w:hAnsi="Goudy Old Style"/>
          <w:sz w:val="25"/>
          <w:szCs w:val="25"/>
        </w:rPr>
        <w:t xml:space="preserve"> or 3</w:t>
      </w:r>
      <w:r w:rsidR="009252C2" w:rsidRPr="00C77CAB">
        <w:rPr>
          <w:rFonts w:ascii="Goudy Old Style" w:hAnsi="Goudy Old Style"/>
          <w:sz w:val="25"/>
          <w:szCs w:val="25"/>
        </w:rPr>
        <w:t>2</w:t>
      </w:r>
      <w:r w:rsidR="00765091" w:rsidRPr="00C77CAB">
        <w:rPr>
          <w:rFonts w:ascii="Goudy Old Style" w:hAnsi="Goudy Old Style"/>
          <w:sz w:val="25"/>
          <w:szCs w:val="25"/>
        </w:rPr>
        <w:t> </w:t>
      </w:r>
      <w:r w:rsidR="00DC30E0" w:rsidRPr="00C77CAB">
        <w:rPr>
          <w:rFonts w:ascii="Goudy Old Style" w:hAnsi="Goudy Old Style"/>
          <w:sz w:val="25"/>
          <w:szCs w:val="25"/>
        </w:rPr>
        <w:t xml:space="preserve">per cent) — it can cost more to provide services to </w:t>
      </w:r>
      <w:r w:rsidR="00A44036" w:rsidRPr="00C77CAB">
        <w:rPr>
          <w:rFonts w:ascii="Goudy Old Style" w:hAnsi="Goudy Old Style"/>
          <w:sz w:val="25"/>
          <w:szCs w:val="25"/>
        </w:rPr>
        <w:t xml:space="preserve">Aboriginal and Torres Strait Islander Australians </w:t>
      </w:r>
      <w:r w:rsidR="00DC30E0" w:rsidRPr="00C77CAB">
        <w:rPr>
          <w:rFonts w:ascii="Goudy Old Style" w:hAnsi="Goudy Old Style"/>
          <w:sz w:val="25"/>
          <w:szCs w:val="25"/>
        </w:rPr>
        <w:t xml:space="preserve">if mainstream services are more expensive to provide (for example, because of location), or if </w:t>
      </w:r>
      <w:r w:rsidR="00A44036" w:rsidRPr="00C77CAB">
        <w:rPr>
          <w:rFonts w:ascii="Goudy Old Style" w:hAnsi="Goudy Old Style"/>
          <w:sz w:val="25"/>
          <w:szCs w:val="25"/>
        </w:rPr>
        <w:t xml:space="preserve">Aboriginal and Torres Strait Islander Australians </w:t>
      </w:r>
      <w:r w:rsidR="00DC30E0" w:rsidRPr="00C77CAB">
        <w:rPr>
          <w:rFonts w:ascii="Goudy Old Style" w:hAnsi="Goudy Old Style"/>
          <w:sz w:val="25"/>
          <w:szCs w:val="25"/>
        </w:rPr>
        <w:t>receive targeted services in addition to mainstream services</w:t>
      </w:r>
      <w:r w:rsidR="00A048B0" w:rsidRPr="00C77CAB">
        <w:rPr>
          <w:rFonts w:ascii="Goudy Old Style" w:hAnsi="Goudy Old Style"/>
          <w:sz w:val="25"/>
          <w:szCs w:val="25"/>
        </w:rPr>
        <w:t xml:space="preserve"> (for example liaison officers in hospitals)</w:t>
      </w:r>
      <w:r w:rsidR="00DC30E0" w:rsidRPr="00C77CAB">
        <w:rPr>
          <w:rFonts w:ascii="Goudy Old Style" w:hAnsi="Goudy Old Style"/>
          <w:sz w:val="25"/>
          <w:szCs w:val="25"/>
        </w:rPr>
        <w:t>.</w:t>
      </w:r>
    </w:p>
    <w:p w:rsidR="00AF264C" w:rsidRPr="00C77CAB" w:rsidRDefault="00AF264C" w:rsidP="00C77CAB">
      <w:pPr>
        <w:spacing w:before="120"/>
      </w:pPr>
      <w:r w:rsidRPr="00C77CAB">
        <w:rPr>
          <w:rFonts w:ascii="Goudy Old Style" w:hAnsi="Goudy Old Style"/>
          <w:sz w:val="25"/>
          <w:szCs w:val="25"/>
        </w:rPr>
        <w:t>However, the Report makes no assessment as to whether the resulting variations in expenditure are adequate given differences in need, or reflect effective or efficient delivery of services.</w:t>
      </w:r>
    </w:p>
    <w:p w:rsidR="00EA58A4" w:rsidRPr="00C77CAB" w:rsidRDefault="00A048B0" w:rsidP="00C77CAB">
      <w:pPr>
        <w:spacing w:before="240"/>
        <w:rPr>
          <w:rFonts w:ascii="Goudy Old Style" w:hAnsi="Goudy Old Style"/>
          <w:sz w:val="25"/>
          <w:szCs w:val="25"/>
        </w:rPr>
      </w:pPr>
      <w:r w:rsidRPr="00C77CAB">
        <w:rPr>
          <w:rFonts w:ascii="Goudy Old Style" w:hAnsi="Goudy Old Style"/>
          <w:sz w:val="25"/>
          <w:szCs w:val="25"/>
        </w:rPr>
        <w:t>T</w:t>
      </w:r>
      <w:r w:rsidR="00EA58A4" w:rsidRPr="00C77CAB">
        <w:rPr>
          <w:rFonts w:ascii="Goudy Old Style" w:hAnsi="Goudy Old Style"/>
          <w:sz w:val="25"/>
          <w:szCs w:val="25"/>
        </w:rPr>
        <w:t xml:space="preserve">he </w:t>
      </w:r>
      <w:r w:rsidR="004D5F74" w:rsidRPr="00C77CAB">
        <w:rPr>
          <w:rFonts w:ascii="Goudy Old Style" w:hAnsi="Goudy Old Style"/>
          <w:sz w:val="25"/>
          <w:szCs w:val="25"/>
        </w:rPr>
        <w:t>R</w:t>
      </w:r>
      <w:r w:rsidR="00EA58A4" w:rsidRPr="00C77CAB">
        <w:rPr>
          <w:rFonts w:ascii="Goudy Old Style" w:hAnsi="Goudy Old Style"/>
          <w:sz w:val="25"/>
          <w:szCs w:val="25"/>
        </w:rPr>
        <w:t xml:space="preserve">eport </w:t>
      </w:r>
      <w:r w:rsidRPr="00C77CAB">
        <w:rPr>
          <w:rFonts w:ascii="Goudy Old Style" w:hAnsi="Goudy Old Style"/>
          <w:sz w:val="25"/>
          <w:szCs w:val="25"/>
        </w:rPr>
        <w:t>provides estimates</w:t>
      </w:r>
      <w:r w:rsidR="00EA58A4" w:rsidRPr="00C77CAB">
        <w:rPr>
          <w:rFonts w:ascii="Goudy Old Style" w:hAnsi="Goudy Old Style"/>
          <w:sz w:val="25"/>
          <w:szCs w:val="25"/>
        </w:rPr>
        <w:t xml:space="preserve"> of expenditure on </w:t>
      </w:r>
      <w:r w:rsidRPr="00C77CAB">
        <w:rPr>
          <w:rFonts w:ascii="Goudy Old Style" w:hAnsi="Goudy Old Style"/>
          <w:sz w:val="25"/>
          <w:szCs w:val="25"/>
        </w:rPr>
        <w:t xml:space="preserve">six broad categories of </w:t>
      </w:r>
      <w:r w:rsidR="00EA58A4" w:rsidRPr="00C77CAB">
        <w:rPr>
          <w:rFonts w:ascii="Goudy Old Style" w:hAnsi="Goudy Old Style"/>
          <w:sz w:val="25"/>
          <w:szCs w:val="25"/>
        </w:rPr>
        <w:t xml:space="preserve">services that relate to the COAG building blocks. </w:t>
      </w:r>
      <w:r w:rsidR="00544DC0" w:rsidRPr="00C77CAB">
        <w:rPr>
          <w:rFonts w:ascii="Goudy Old Style" w:hAnsi="Goudy Old Style"/>
          <w:sz w:val="25"/>
          <w:szCs w:val="25"/>
        </w:rPr>
        <w:t>Across these servi</w:t>
      </w:r>
      <w:r w:rsidR="00BA7BC0" w:rsidRPr="00C77CAB">
        <w:rPr>
          <w:rFonts w:ascii="Goudy Old Style" w:hAnsi="Goudy Old Style"/>
          <w:sz w:val="25"/>
          <w:szCs w:val="25"/>
        </w:rPr>
        <w:t>ces</w:t>
      </w:r>
      <w:r w:rsidRPr="00C77CAB">
        <w:rPr>
          <w:rFonts w:ascii="Goudy Old Style" w:hAnsi="Goudy Old Style"/>
          <w:sz w:val="25"/>
          <w:szCs w:val="25"/>
        </w:rPr>
        <w:t xml:space="preserve"> i</w:t>
      </w:r>
      <w:r w:rsidR="00EA58A4" w:rsidRPr="00C77CAB">
        <w:rPr>
          <w:rFonts w:ascii="Goudy Old Style" w:hAnsi="Goudy Old Style"/>
          <w:sz w:val="25"/>
          <w:szCs w:val="25"/>
        </w:rPr>
        <w:t xml:space="preserve">n </w:t>
      </w:r>
      <w:r w:rsidR="006D3205" w:rsidRPr="00C77CAB">
        <w:rPr>
          <w:rFonts w:ascii="Goudy Old Style" w:hAnsi="Goudy Old Style"/>
          <w:sz w:val="25"/>
          <w:szCs w:val="25"/>
        </w:rPr>
        <w:t>2012-13</w:t>
      </w:r>
      <w:r w:rsidR="00EA58A4" w:rsidRPr="00C77CAB">
        <w:rPr>
          <w:rFonts w:ascii="Goudy Old Style" w:hAnsi="Goudy Old Style"/>
          <w:sz w:val="25"/>
          <w:szCs w:val="25"/>
        </w:rPr>
        <w:t>:</w:t>
      </w:r>
    </w:p>
    <w:p w:rsidR="00721F15" w:rsidRPr="00C77CAB" w:rsidRDefault="004D70BB" w:rsidP="00C77CAB">
      <w:pPr>
        <w:pStyle w:val="ListBullet"/>
        <w:spacing w:before="120"/>
        <w:rPr>
          <w:rFonts w:ascii="Goudy Old Style" w:hAnsi="Goudy Old Style"/>
          <w:sz w:val="25"/>
          <w:szCs w:val="25"/>
        </w:rPr>
      </w:pPr>
      <w:r w:rsidRPr="00C77CAB">
        <w:rPr>
          <w:rFonts w:ascii="Goudy Old Style" w:hAnsi="Goudy Old Style"/>
          <w:i/>
          <w:sz w:val="25"/>
          <w:szCs w:val="25"/>
        </w:rPr>
        <w:t>early child development</w:t>
      </w:r>
      <w:r w:rsidR="00E30BAC" w:rsidRPr="00C77CAB">
        <w:rPr>
          <w:rFonts w:ascii="Goudy Old Style" w:hAnsi="Goudy Old Style"/>
          <w:i/>
          <w:sz w:val="25"/>
          <w:szCs w:val="25"/>
        </w:rPr>
        <w:t>,</w:t>
      </w:r>
      <w:r w:rsidRPr="00C77CAB">
        <w:rPr>
          <w:rFonts w:ascii="Goudy Old Style" w:hAnsi="Goudy Old Style"/>
          <w:i/>
          <w:sz w:val="25"/>
          <w:szCs w:val="25"/>
        </w:rPr>
        <w:t xml:space="preserve"> and </w:t>
      </w:r>
      <w:r w:rsidR="00721F15" w:rsidRPr="00C77CAB">
        <w:rPr>
          <w:rFonts w:ascii="Goudy Old Style" w:hAnsi="Goudy Old Style"/>
          <w:i/>
          <w:sz w:val="25"/>
          <w:szCs w:val="25"/>
        </w:rPr>
        <w:t xml:space="preserve">education </w:t>
      </w:r>
      <w:r w:rsidRPr="00C77CAB">
        <w:rPr>
          <w:rFonts w:ascii="Goudy Old Style" w:hAnsi="Goudy Old Style"/>
          <w:i/>
          <w:sz w:val="25"/>
          <w:szCs w:val="25"/>
        </w:rPr>
        <w:t>and training</w:t>
      </w:r>
      <w:r w:rsidRPr="00C77CAB">
        <w:rPr>
          <w:rFonts w:ascii="Goudy Old Style" w:hAnsi="Goudy Old Style"/>
          <w:sz w:val="25"/>
          <w:szCs w:val="25"/>
        </w:rPr>
        <w:t xml:space="preserve"> </w:t>
      </w:r>
      <w:r w:rsidR="00721F15" w:rsidRPr="00C77CAB">
        <w:rPr>
          <w:rFonts w:ascii="Goudy Old Style" w:hAnsi="Goudy Old Style"/>
          <w:sz w:val="25"/>
          <w:szCs w:val="25"/>
        </w:rPr>
        <w:t>— an estimated $</w:t>
      </w:r>
      <w:r w:rsidR="00765091" w:rsidRPr="00C77CAB">
        <w:rPr>
          <w:rFonts w:ascii="Goudy Old Style" w:hAnsi="Goudy Old Style"/>
          <w:sz w:val="25"/>
          <w:szCs w:val="25"/>
        </w:rPr>
        <w:t xml:space="preserve">2.21 </w:t>
      </w:r>
      <w:r w:rsidR="00721F15" w:rsidRPr="00C77CAB">
        <w:rPr>
          <w:rFonts w:ascii="Goudy Old Style" w:hAnsi="Goudy Old Style"/>
          <w:sz w:val="25"/>
          <w:szCs w:val="25"/>
        </w:rPr>
        <w:t xml:space="preserve">was spent per </w:t>
      </w:r>
      <w:r w:rsidR="005A6AE8" w:rsidRPr="00C77CAB">
        <w:rPr>
          <w:rFonts w:ascii="Goudy Old Style" w:hAnsi="Goudy Old Style"/>
          <w:sz w:val="25"/>
          <w:szCs w:val="25"/>
        </w:rPr>
        <w:t xml:space="preserve">Aboriginal and Torres Strait Islander </w:t>
      </w:r>
      <w:r w:rsidR="00181402" w:rsidRPr="00C77CAB">
        <w:rPr>
          <w:rFonts w:ascii="Goudy Old Style" w:hAnsi="Goudy Old Style"/>
          <w:sz w:val="25"/>
          <w:szCs w:val="25"/>
        </w:rPr>
        <w:t xml:space="preserve">Australian </w:t>
      </w:r>
      <w:r w:rsidR="00721F15" w:rsidRPr="00C77CAB">
        <w:rPr>
          <w:rFonts w:ascii="Goudy Old Style" w:hAnsi="Goudy Old Style"/>
          <w:sz w:val="25"/>
          <w:szCs w:val="25"/>
        </w:rPr>
        <w:t>for every dollar spent per non</w:t>
      </w:r>
      <w:r w:rsidR="00721F15" w:rsidRPr="00C77CAB">
        <w:rPr>
          <w:rFonts w:ascii="Goudy Old Style" w:hAnsi="Goudy Old Style"/>
          <w:sz w:val="25"/>
          <w:szCs w:val="25"/>
        </w:rPr>
        <w:noBreakHyphen/>
      </w:r>
      <w:r w:rsidR="00181402" w:rsidRPr="00C77CAB">
        <w:rPr>
          <w:rFonts w:ascii="Goudy Old Style" w:hAnsi="Goudy Old Style"/>
          <w:sz w:val="25"/>
          <w:szCs w:val="25"/>
        </w:rPr>
        <w:t xml:space="preserve">Indigenous Australian </w:t>
      </w:r>
    </w:p>
    <w:p w:rsidR="00721F15" w:rsidRPr="00C77CAB" w:rsidRDefault="00721F15" w:rsidP="00C77CAB">
      <w:pPr>
        <w:pStyle w:val="ListBullet"/>
        <w:spacing w:before="120"/>
        <w:rPr>
          <w:rFonts w:ascii="Goudy Old Style" w:hAnsi="Goudy Old Style"/>
          <w:sz w:val="25"/>
          <w:szCs w:val="25"/>
        </w:rPr>
      </w:pPr>
      <w:r w:rsidRPr="00C77CAB">
        <w:rPr>
          <w:rFonts w:ascii="Goudy Old Style" w:hAnsi="Goudy Old Style"/>
          <w:i/>
          <w:sz w:val="25"/>
          <w:szCs w:val="25"/>
        </w:rPr>
        <w:t>health</w:t>
      </w:r>
      <w:r w:rsidR="004D70BB" w:rsidRPr="00C77CAB">
        <w:rPr>
          <w:rFonts w:ascii="Goudy Old Style" w:hAnsi="Goudy Old Style"/>
          <w:i/>
          <w:sz w:val="25"/>
          <w:szCs w:val="25"/>
        </w:rPr>
        <w:t>y lives</w:t>
      </w:r>
      <w:r w:rsidR="004D70BB" w:rsidRPr="00C77CAB">
        <w:rPr>
          <w:rFonts w:ascii="Goudy Old Style" w:hAnsi="Goudy Old Style"/>
          <w:sz w:val="25"/>
          <w:szCs w:val="25"/>
        </w:rPr>
        <w:t xml:space="preserve"> </w:t>
      </w:r>
      <w:r w:rsidRPr="00C77CAB">
        <w:rPr>
          <w:rFonts w:ascii="Goudy Old Style" w:hAnsi="Goudy Old Style"/>
          <w:sz w:val="25"/>
          <w:szCs w:val="25"/>
        </w:rPr>
        <w:t>— an estimated $</w:t>
      </w:r>
      <w:r w:rsidR="00765091" w:rsidRPr="00C77CAB">
        <w:rPr>
          <w:rFonts w:ascii="Goudy Old Style" w:hAnsi="Goudy Old Style"/>
          <w:sz w:val="25"/>
          <w:szCs w:val="25"/>
        </w:rPr>
        <w:t>2.09</w:t>
      </w:r>
      <w:r w:rsidRPr="00C77CAB">
        <w:rPr>
          <w:rFonts w:ascii="Goudy Old Style" w:hAnsi="Goudy Old Style"/>
          <w:sz w:val="25"/>
          <w:szCs w:val="25"/>
        </w:rPr>
        <w:t xml:space="preserve"> was spent per </w:t>
      </w:r>
      <w:r w:rsidR="00971739" w:rsidRPr="00C77CAB">
        <w:rPr>
          <w:rFonts w:ascii="Goudy Old Style" w:hAnsi="Goudy Old Style"/>
          <w:sz w:val="25"/>
          <w:szCs w:val="25"/>
        </w:rPr>
        <w:t xml:space="preserve">Aboriginal and Torres Strait Islander </w:t>
      </w:r>
      <w:r w:rsidR="00181402" w:rsidRPr="00C77CAB">
        <w:rPr>
          <w:rFonts w:ascii="Goudy Old Style" w:hAnsi="Goudy Old Style"/>
          <w:sz w:val="25"/>
          <w:szCs w:val="25"/>
        </w:rPr>
        <w:t xml:space="preserve">Australian </w:t>
      </w:r>
      <w:r w:rsidRPr="00C77CAB">
        <w:rPr>
          <w:rFonts w:ascii="Goudy Old Style" w:hAnsi="Goudy Old Style"/>
          <w:sz w:val="25"/>
          <w:szCs w:val="25"/>
        </w:rPr>
        <w:t>for every dollar spent per non</w:t>
      </w:r>
      <w:r w:rsidRPr="00C77CAB">
        <w:rPr>
          <w:rFonts w:ascii="Goudy Old Style" w:hAnsi="Goudy Old Style"/>
          <w:sz w:val="25"/>
          <w:szCs w:val="25"/>
        </w:rPr>
        <w:noBreakHyphen/>
      </w:r>
      <w:r w:rsidR="00181402" w:rsidRPr="00C77CAB">
        <w:rPr>
          <w:rFonts w:ascii="Goudy Old Style" w:hAnsi="Goudy Old Style"/>
          <w:sz w:val="25"/>
          <w:szCs w:val="25"/>
        </w:rPr>
        <w:t xml:space="preserve">Indigenous Australian </w:t>
      </w:r>
    </w:p>
    <w:p w:rsidR="00721F15" w:rsidRPr="00C77CAB" w:rsidRDefault="00721F15" w:rsidP="00C77CAB">
      <w:pPr>
        <w:pStyle w:val="ListBullet"/>
        <w:spacing w:before="120"/>
        <w:rPr>
          <w:rFonts w:ascii="Goudy Old Style" w:hAnsi="Goudy Old Style"/>
          <w:sz w:val="25"/>
          <w:szCs w:val="25"/>
        </w:rPr>
      </w:pPr>
      <w:r w:rsidRPr="00C77CAB">
        <w:rPr>
          <w:rFonts w:ascii="Goudy Old Style" w:hAnsi="Goudy Old Style"/>
          <w:i/>
          <w:sz w:val="25"/>
          <w:szCs w:val="25"/>
        </w:rPr>
        <w:t>economic participation</w:t>
      </w:r>
      <w:r w:rsidR="004D70BB" w:rsidRPr="00C77CAB">
        <w:rPr>
          <w:rFonts w:ascii="Goudy Old Style" w:hAnsi="Goudy Old Style"/>
          <w:sz w:val="25"/>
          <w:szCs w:val="25"/>
        </w:rPr>
        <w:t xml:space="preserve"> </w:t>
      </w:r>
      <w:r w:rsidRPr="00C77CAB">
        <w:rPr>
          <w:rFonts w:ascii="Goudy Old Style" w:hAnsi="Goudy Old Style"/>
          <w:sz w:val="25"/>
          <w:szCs w:val="25"/>
        </w:rPr>
        <w:t>— an estimated $</w:t>
      </w:r>
      <w:r w:rsidR="00765091" w:rsidRPr="00C77CAB">
        <w:rPr>
          <w:rFonts w:ascii="Goudy Old Style" w:hAnsi="Goudy Old Style"/>
          <w:sz w:val="25"/>
          <w:szCs w:val="25"/>
        </w:rPr>
        <w:t>1.66</w:t>
      </w:r>
      <w:r w:rsidRPr="00C77CAB">
        <w:rPr>
          <w:rFonts w:ascii="Goudy Old Style" w:hAnsi="Goudy Old Style"/>
          <w:sz w:val="25"/>
          <w:szCs w:val="25"/>
        </w:rPr>
        <w:t xml:space="preserve"> was spent per </w:t>
      </w:r>
      <w:r w:rsidR="00971739" w:rsidRPr="00C77CAB">
        <w:rPr>
          <w:rFonts w:ascii="Goudy Old Style" w:hAnsi="Goudy Old Style"/>
          <w:sz w:val="25"/>
          <w:szCs w:val="25"/>
        </w:rPr>
        <w:t xml:space="preserve">Aboriginal and Torres Strait Islander </w:t>
      </w:r>
      <w:r w:rsidR="00181402" w:rsidRPr="00C77CAB">
        <w:rPr>
          <w:rFonts w:ascii="Goudy Old Style" w:hAnsi="Goudy Old Style"/>
          <w:sz w:val="25"/>
          <w:szCs w:val="25"/>
        </w:rPr>
        <w:t xml:space="preserve">Australian </w:t>
      </w:r>
      <w:r w:rsidRPr="00C77CAB">
        <w:rPr>
          <w:rFonts w:ascii="Goudy Old Style" w:hAnsi="Goudy Old Style"/>
          <w:sz w:val="25"/>
          <w:szCs w:val="25"/>
        </w:rPr>
        <w:t>for every dollar spent per non</w:t>
      </w:r>
      <w:r w:rsidRPr="00C77CAB">
        <w:rPr>
          <w:rFonts w:ascii="Goudy Old Style" w:hAnsi="Goudy Old Style"/>
          <w:sz w:val="25"/>
          <w:szCs w:val="25"/>
        </w:rPr>
        <w:noBreakHyphen/>
      </w:r>
      <w:r w:rsidR="00181402" w:rsidRPr="00C77CAB">
        <w:rPr>
          <w:rFonts w:ascii="Goudy Old Style" w:hAnsi="Goudy Old Style"/>
          <w:sz w:val="25"/>
          <w:szCs w:val="25"/>
        </w:rPr>
        <w:t xml:space="preserve">Indigenous Australian </w:t>
      </w:r>
    </w:p>
    <w:p w:rsidR="00721F15" w:rsidRPr="00C77CAB" w:rsidRDefault="00721F15" w:rsidP="00C77CAB">
      <w:pPr>
        <w:pStyle w:val="ListBullet"/>
        <w:spacing w:before="120"/>
        <w:rPr>
          <w:rFonts w:ascii="Goudy Old Style" w:hAnsi="Goudy Old Style"/>
          <w:sz w:val="25"/>
          <w:szCs w:val="25"/>
        </w:rPr>
      </w:pPr>
      <w:r w:rsidRPr="00C77CAB">
        <w:rPr>
          <w:rFonts w:ascii="Goudy Old Style" w:hAnsi="Goudy Old Style"/>
          <w:i/>
          <w:sz w:val="25"/>
          <w:szCs w:val="25"/>
        </w:rPr>
        <w:t>home environment</w:t>
      </w:r>
      <w:r w:rsidR="004D70BB" w:rsidRPr="00C77CAB">
        <w:rPr>
          <w:rFonts w:ascii="Goudy Old Style" w:hAnsi="Goudy Old Style"/>
          <w:sz w:val="25"/>
          <w:szCs w:val="25"/>
        </w:rPr>
        <w:t xml:space="preserve"> </w:t>
      </w:r>
      <w:r w:rsidRPr="00C77CAB">
        <w:rPr>
          <w:rFonts w:ascii="Goudy Old Style" w:hAnsi="Goudy Old Style"/>
          <w:sz w:val="25"/>
          <w:szCs w:val="25"/>
        </w:rPr>
        <w:t>— an estimated $</w:t>
      </w:r>
      <w:r w:rsidR="00765091" w:rsidRPr="00C77CAB">
        <w:rPr>
          <w:rFonts w:ascii="Goudy Old Style" w:hAnsi="Goudy Old Style"/>
          <w:sz w:val="25"/>
          <w:szCs w:val="25"/>
        </w:rPr>
        <w:t>2.00</w:t>
      </w:r>
      <w:r w:rsidRPr="00C77CAB">
        <w:rPr>
          <w:rFonts w:ascii="Goudy Old Style" w:hAnsi="Goudy Old Style"/>
          <w:sz w:val="25"/>
          <w:szCs w:val="25"/>
        </w:rPr>
        <w:t xml:space="preserve"> was spent per </w:t>
      </w:r>
      <w:r w:rsidR="00971739" w:rsidRPr="00C77CAB">
        <w:rPr>
          <w:rFonts w:ascii="Goudy Old Style" w:hAnsi="Goudy Old Style"/>
          <w:sz w:val="25"/>
          <w:szCs w:val="25"/>
        </w:rPr>
        <w:t xml:space="preserve">Aboriginal and Torres Strait Islander </w:t>
      </w:r>
      <w:r w:rsidR="00181402" w:rsidRPr="00C77CAB">
        <w:rPr>
          <w:rFonts w:ascii="Goudy Old Style" w:hAnsi="Goudy Old Style"/>
          <w:sz w:val="25"/>
          <w:szCs w:val="25"/>
        </w:rPr>
        <w:t xml:space="preserve">Australian </w:t>
      </w:r>
      <w:r w:rsidRPr="00C77CAB">
        <w:rPr>
          <w:rFonts w:ascii="Goudy Old Style" w:hAnsi="Goudy Old Style"/>
          <w:sz w:val="25"/>
          <w:szCs w:val="25"/>
        </w:rPr>
        <w:t>for every dollar spent per non</w:t>
      </w:r>
      <w:r w:rsidRPr="00C77CAB">
        <w:rPr>
          <w:rFonts w:ascii="Goudy Old Style" w:hAnsi="Goudy Old Style"/>
          <w:sz w:val="25"/>
          <w:szCs w:val="25"/>
        </w:rPr>
        <w:noBreakHyphen/>
      </w:r>
      <w:r w:rsidR="00181402" w:rsidRPr="00C77CAB">
        <w:rPr>
          <w:rFonts w:ascii="Goudy Old Style" w:hAnsi="Goudy Old Style"/>
          <w:sz w:val="25"/>
          <w:szCs w:val="25"/>
        </w:rPr>
        <w:t xml:space="preserve">Indigenous Australian </w:t>
      </w:r>
    </w:p>
    <w:p w:rsidR="00721F15" w:rsidRPr="00C77CAB" w:rsidRDefault="00721F15" w:rsidP="00C77CAB">
      <w:pPr>
        <w:pStyle w:val="ListBullet"/>
        <w:spacing w:before="120"/>
        <w:rPr>
          <w:rFonts w:ascii="Goudy Old Style" w:hAnsi="Goudy Old Style"/>
          <w:sz w:val="25"/>
          <w:szCs w:val="25"/>
        </w:rPr>
      </w:pPr>
      <w:r w:rsidRPr="00C77CAB">
        <w:rPr>
          <w:rFonts w:ascii="Goudy Old Style" w:hAnsi="Goudy Old Style"/>
          <w:i/>
          <w:sz w:val="25"/>
          <w:szCs w:val="25"/>
        </w:rPr>
        <w:t>safe and supportive communit</w:t>
      </w:r>
      <w:r w:rsidR="004D70BB" w:rsidRPr="00C77CAB">
        <w:rPr>
          <w:rFonts w:ascii="Goudy Old Style" w:hAnsi="Goudy Old Style"/>
          <w:i/>
          <w:sz w:val="25"/>
          <w:szCs w:val="25"/>
        </w:rPr>
        <w:t>ies</w:t>
      </w:r>
      <w:r w:rsidR="004D70BB" w:rsidRPr="00C77CAB">
        <w:rPr>
          <w:rFonts w:ascii="Goudy Old Style" w:hAnsi="Goudy Old Style"/>
          <w:sz w:val="25"/>
          <w:szCs w:val="25"/>
        </w:rPr>
        <w:t xml:space="preserve"> </w:t>
      </w:r>
      <w:r w:rsidRPr="00C77CAB">
        <w:rPr>
          <w:rFonts w:ascii="Goudy Old Style" w:hAnsi="Goudy Old Style"/>
          <w:sz w:val="25"/>
          <w:szCs w:val="25"/>
        </w:rPr>
        <w:t>— an estimated $</w:t>
      </w:r>
      <w:r w:rsidR="00765091" w:rsidRPr="00C77CAB">
        <w:rPr>
          <w:rFonts w:ascii="Goudy Old Style" w:hAnsi="Goudy Old Style"/>
          <w:sz w:val="25"/>
          <w:szCs w:val="25"/>
        </w:rPr>
        <w:t>4.</w:t>
      </w:r>
      <w:r w:rsidR="009252C2" w:rsidRPr="00C77CAB">
        <w:rPr>
          <w:rFonts w:ascii="Goudy Old Style" w:hAnsi="Goudy Old Style"/>
          <w:sz w:val="25"/>
          <w:szCs w:val="25"/>
        </w:rPr>
        <w:t>18</w:t>
      </w:r>
      <w:r w:rsidRPr="00C77CAB">
        <w:rPr>
          <w:rFonts w:ascii="Goudy Old Style" w:hAnsi="Goudy Old Style"/>
          <w:sz w:val="25"/>
          <w:szCs w:val="25"/>
        </w:rPr>
        <w:t xml:space="preserve"> was spent per </w:t>
      </w:r>
      <w:r w:rsidR="00971739" w:rsidRPr="00C77CAB">
        <w:rPr>
          <w:rFonts w:ascii="Goudy Old Style" w:hAnsi="Goudy Old Style"/>
          <w:sz w:val="25"/>
          <w:szCs w:val="25"/>
        </w:rPr>
        <w:t xml:space="preserve">Aboriginal and Torres Strait Islander </w:t>
      </w:r>
      <w:r w:rsidR="00181402" w:rsidRPr="00C77CAB">
        <w:rPr>
          <w:rFonts w:ascii="Goudy Old Style" w:hAnsi="Goudy Old Style"/>
          <w:sz w:val="25"/>
          <w:szCs w:val="25"/>
        </w:rPr>
        <w:t xml:space="preserve">Australian </w:t>
      </w:r>
      <w:r w:rsidRPr="00C77CAB">
        <w:rPr>
          <w:rFonts w:ascii="Goudy Old Style" w:hAnsi="Goudy Old Style"/>
          <w:sz w:val="25"/>
          <w:szCs w:val="25"/>
        </w:rPr>
        <w:t>for every dollar spent per non</w:t>
      </w:r>
      <w:r w:rsidRPr="00C77CAB">
        <w:rPr>
          <w:rFonts w:ascii="Goudy Old Style" w:hAnsi="Goudy Old Style"/>
          <w:sz w:val="25"/>
          <w:szCs w:val="25"/>
        </w:rPr>
        <w:noBreakHyphen/>
      </w:r>
      <w:r w:rsidR="00181402" w:rsidRPr="00C77CAB">
        <w:rPr>
          <w:rFonts w:ascii="Goudy Old Style" w:hAnsi="Goudy Old Style"/>
          <w:sz w:val="25"/>
          <w:szCs w:val="25"/>
        </w:rPr>
        <w:t xml:space="preserve">Indigenous Australian </w:t>
      </w:r>
    </w:p>
    <w:p w:rsidR="00721F15" w:rsidRPr="00C77CAB" w:rsidRDefault="00721F15" w:rsidP="00C77CAB">
      <w:pPr>
        <w:pStyle w:val="ListBullet"/>
        <w:spacing w:before="120"/>
        <w:rPr>
          <w:rFonts w:ascii="Goudy Old Style" w:hAnsi="Goudy Old Style"/>
          <w:sz w:val="25"/>
          <w:szCs w:val="25"/>
        </w:rPr>
      </w:pPr>
      <w:r w:rsidRPr="00C77CAB">
        <w:rPr>
          <w:rFonts w:ascii="Goudy Old Style" w:hAnsi="Goudy Old Style"/>
          <w:i/>
          <w:sz w:val="25"/>
          <w:szCs w:val="25"/>
        </w:rPr>
        <w:t>other government</w:t>
      </w:r>
      <w:r w:rsidR="004D70BB" w:rsidRPr="00C77CAB">
        <w:rPr>
          <w:rFonts w:ascii="Goudy Old Style" w:hAnsi="Goudy Old Style"/>
          <w:i/>
          <w:sz w:val="25"/>
          <w:szCs w:val="25"/>
        </w:rPr>
        <w:t xml:space="preserve"> expenditure</w:t>
      </w:r>
      <w:r w:rsidR="005F6822" w:rsidRPr="00C77CAB">
        <w:rPr>
          <w:rFonts w:ascii="Goudy Old Style" w:hAnsi="Goudy Old Style"/>
          <w:sz w:val="25"/>
          <w:szCs w:val="25"/>
        </w:rPr>
        <w:t xml:space="preserve"> </w:t>
      </w:r>
      <w:r w:rsidRPr="00C77CAB">
        <w:rPr>
          <w:rFonts w:ascii="Goudy Old Style" w:hAnsi="Goudy Old Style"/>
          <w:sz w:val="25"/>
          <w:szCs w:val="25"/>
        </w:rPr>
        <w:t>— an estimated $</w:t>
      </w:r>
      <w:r w:rsidR="00765091" w:rsidRPr="00C77CAB">
        <w:rPr>
          <w:rFonts w:ascii="Goudy Old Style" w:hAnsi="Goudy Old Style"/>
          <w:sz w:val="25"/>
          <w:szCs w:val="25"/>
        </w:rPr>
        <w:t>1.09</w:t>
      </w:r>
      <w:r w:rsidRPr="00C77CAB">
        <w:rPr>
          <w:rFonts w:ascii="Goudy Old Style" w:hAnsi="Goudy Old Style"/>
          <w:sz w:val="25"/>
          <w:szCs w:val="25"/>
        </w:rPr>
        <w:t xml:space="preserve"> was spent per </w:t>
      </w:r>
      <w:r w:rsidR="00971739" w:rsidRPr="00C77CAB">
        <w:rPr>
          <w:rFonts w:ascii="Goudy Old Style" w:hAnsi="Goudy Old Style"/>
          <w:sz w:val="25"/>
          <w:szCs w:val="25"/>
        </w:rPr>
        <w:t xml:space="preserve">Aboriginal and Torres Strait Islander </w:t>
      </w:r>
      <w:r w:rsidR="00181402" w:rsidRPr="00C77CAB">
        <w:rPr>
          <w:rFonts w:ascii="Goudy Old Style" w:hAnsi="Goudy Old Style"/>
          <w:sz w:val="25"/>
          <w:szCs w:val="25"/>
        </w:rPr>
        <w:t xml:space="preserve">Australian </w:t>
      </w:r>
      <w:r w:rsidRPr="00C77CAB">
        <w:rPr>
          <w:rFonts w:ascii="Goudy Old Style" w:hAnsi="Goudy Old Style"/>
          <w:sz w:val="25"/>
          <w:szCs w:val="25"/>
        </w:rPr>
        <w:t>for every dollar spent per non</w:t>
      </w:r>
      <w:r w:rsidRPr="00C77CAB">
        <w:rPr>
          <w:rFonts w:ascii="Goudy Old Style" w:hAnsi="Goudy Old Style"/>
          <w:sz w:val="25"/>
          <w:szCs w:val="25"/>
        </w:rPr>
        <w:noBreakHyphen/>
      </w:r>
      <w:r w:rsidR="00181402" w:rsidRPr="00C77CAB">
        <w:rPr>
          <w:rFonts w:ascii="Goudy Old Style" w:hAnsi="Goudy Old Style"/>
          <w:sz w:val="25"/>
          <w:szCs w:val="25"/>
        </w:rPr>
        <w:t>Indigenous Australian</w:t>
      </w:r>
      <w:r w:rsidR="000D007B" w:rsidRPr="00C77CAB">
        <w:rPr>
          <w:rFonts w:ascii="Goudy Old Style" w:hAnsi="Goudy Old Style"/>
          <w:sz w:val="25"/>
          <w:szCs w:val="25"/>
        </w:rPr>
        <w:t>.</w:t>
      </w:r>
    </w:p>
    <w:p w:rsidR="008D6184" w:rsidRPr="00C77CAB" w:rsidRDefault="008D6184" w:rsidP="00C77CAB">
      <w:pPr>
        <w:spacing w:before="240"/>
        <w:rPr>
          <w:rFonts w:ascii="Goudy Old Style" w:hAnsi="Goudy Old Style"/>
          <w:sz w:val="25"/>
          <w:szCs w:val="25"/>
        </w:rPr>
      </w:pPr>
      <w:r w:rsidRPr="00C77CAB">
        <w:rPr>
          <w:rFonts w:ascii="Goudy Old Style" w:hAnsi="Goudy Old Style"/>
          <w:sz w:val="25"/>
          <w:szCs w:val="25"/>
        </w:rPr>
        <w:t xml:space="preserve">More detailed estimates for </w:t>
      </w:r>
      <w:r w:rsidR="009D0A3A" w:rsidRPr="00C77CAB">
        <w:rPr>
          <w:rFonts w:ascii="Goudy Old Style" w:hAnsi="Goudy Old Style"/>
          <w:sz w:val="25"/>
          <w:szCs w:val="25"/>
        </w:rPr>
        <w:t>1</w:t>
      </w:r>
      <w:r w:rsidR="009B5C19" w:rsidRPr="00C77CAB">
        <w:rPr>
          <w:rFonts w:ascii="Goudy Old Style" w:hAnsi="Goudy Old Style"/>
          <w:sz w:val="25"/>
          <w:szCs w:val="25"/>
        </w:rPr>
        <w:t>59</w:t>
      </w:r>
      <w:r w:rsidRPr="00C77CAB">
        <w:rPr>
          <w:rFonts w:ascii="Goudy Old Style" w:hAnsi="Goudy Old Style"/>
          <w:sz w:val="25"/>
          <w:szCs w:val="25"/>
        </w:rPr>
        <w:t xml:space="preserve"> expenditure categories by level of government are available from the project website. </w:t>
      </w:r>
    </w:p>
    <w:p w:rsidR="00BB4D2F" w:rsidRPr="00C77CAB" w:rsidRDefault="00BB4D2F" w:rsidP="00C77CAB">
      <w:pPr>
        <w:keepNext/>
        <w:keepLines/>
        <w:spacing w:before="360"/>
        <w:rPr>
          <w:rFonts w:ascii="Goudy Old Style" w:hAnsi="Goudy Old Style"/>
          <w:b/>
          <w:color w:val="800000"/>
          <w:sz w:val="28"/>
        </w:rPr>
      </w:pPr>
      <w:r w:rsidRPr="00C77CAB">
        <w:rPr>
          <w:rFonts w:ascii="Goudy Old Style" w:hAnsi="Goudy Old Style"/>
          <w:b/>
          <w:color w:val="800000"/>
          <w:sz w:val="28"/>
        </w:rPr>
        <w:lastRenderedPageBreak/>
        <w:t xml:space="preserve">Why </w:t>
      </w:r>
      <w:r w:rsidR="00153359" w:rsidRPr="00C77CAB">
        <w:rPr>
          <w:rFonts w:ascii="Goudy Old Style" w:hAnsi="Goudy Old Style"/>
          <w:b/>
          <w:color w:val="800000"/>
          <w:sz w:val="28"/>
        </w:rPr>
        <w:t>can</w:t>
      </w:r>
      <w:r w:rsidRPr="00C77CAB">
        <w:rPr>
          <w:rFonts w:ascii="Goudy Old Style" w:hAnsi="Goudy Old Style"/>
          <w:b/>
          <w:color w:val="800000"/>
          <w:sz w:val="28"/>
        </w:rPr>
        <w:t xml:space="preserve"> it cost more to provide services to </w:t>
      </w:r>
      <w:r w:rsidR="005A6AE8" w:rsidRPr="00C77CAB">
        <w:rPr>
          <w:rFonts w:ascii="Goudy Old Style" w:hAnsi="Goudy Old Style"/>
          <w:b/>
          <w:color w:val="800000"/>
          <w:sz w:val="28"/>
        </w:rPr>
        <w:t xml:space="preserve">Aboriginal and Torres Strait Islander </w:t>
      </w:r>
      <w:r w:rsidRPr="00C77CAB">
        <w:rPr>
          <w:rFonts w:ascii="Goudy Old Style" w:hAnsi="Goudy Old Style"/>
          <w:b/>
          <w:color w:val="800000"/>
          <w:sz w:val="28"/>
        </w:rPr>
        <w:t>Australians?</w:t>
      </w:r>
      <w:r w:rsidR="007C3794" w:rsidRPr="00C77CAB">
        <w:rPr>
          <w:rFonts w:ascii="Goudy Old Style" w:hAnsi="Goudy Old Style"/>
          <w:b/>
          <w:color w:val="800000"/>
          <w:sz w:val="28"/>
        </w:rPr>
        <w:t xml:space="preserve"> </w:t>
      </w:r>
    </w:p>
    <w:p w:rsidR="00D46C2C" w:rsidRPr="00C77CAB" w:rsidRDefault="00153359" w:rsidP="00C77CAB">
      <w:pPr>
        <w:keepNext/>
        <w:keepLines/>
        <w:spacing w:before="120"/>
        <w:rPr>
          <w:rFonts w:ascii="Goudy Old Style" w:hAnsi="Goudy Old Style"/>
          <w:sz w:val="25"/>
          <w:szCs w:val="25"/>
        </w:rPr>
      </w:pPr>
      <w:r w:rsidRPr="00C77CAB">
        <w:rPr>
          <w:rFonts w:ascii="Goudy Old Style" w:hAnsi="Goudy Old Style"/>
          <w:sz w:val="25"/>
          <w:szCs w:val="25"/>
        </w:rPr>
        <w:t xml:space="preserve">On average, direct expenditure per </w:t>
      </w:r>
      <w:r w:rsidR="00BD74A3" w:rsidRPr="00C77CAB">
        <w:rPr>
          <w:rFonts w:ascii="Goudy Old Style" w:hAnsi="Goudy Old Style"/>
          <w:sz w:val="25"/>
          <w:szCs w:val="25"/>
        </w:rPr>
        <w:t>person</w:t>
      </w:r>
      <w:r w:rsidRPr="00C77CAB">
        <w:rPr>
          <w:rFonts w:ascii="Goudy Old Style" w:hAnsi="Goudy Old Style"/>
          <w:sz w:val="25"/>
          <w:szCs w:val="25"/>
        </w:rPr>
        <w:t xml:space="preserve"> for </w:t>
      </w:r>
      <w:r w:rsidR="00A44036" w:rsidRPr="00C77CAB">
        <w:rPr>
          <w:rFonts w:ascii="Goudy Old Style" w:hAnsi="Goudy Old Style"/>
          <w:sz w:val="25"/>
          <w:szCs w:val="25"/>
        </w:rPr>
        <w:t xml:space="preserve">Aboriginal and Torres Strait Islander Australians </w:t>
      </w:r>
      <w:r w:rsidRPr="00C77CAB">
        <w:rPr>
          <w:rFonts w:ascii="Goudy Old Style" w:hAnsi="Goudy Old Style"/>
          <w:sz w:val="25"/>
          <w:szCs w:val="25"/>
        </w:rPr>
        <w:t>($</w:t>
      </w:r>
      <w:r w:rsidR="00765091" w:rsidRPr="00C77CAB">
        <w:rPr>
          <w:rFonts w:ascii="Goudy Old Style" w:hAnsi="Goudy Old Style"/>
          <w:sz w:val="25"/>
          <w:szCs w:val="25"/>
        </w:rPr>
        <w:t>43 </w:t>
      </w:r>
      <w:r w:rsidR="009252C2" w:rsidRPr="00C77CAB">
        <w:rPr>
          <w:rFonts w:ascii="Goudy Old Style" w:hAnsi="Goudy Old Style"/>
          <w:sz w:val="25"/>
          <w:szCs w:val="25"/>
        </w:rPr>
        <w:t>449</w:t>
      </w:r>
      <w:r w:rsidRPr="00C77CAB">
        <w:rPr>
          <w:rFonts w:ascii="Goudy Old Style" w:hAnsi="Goudy Old Style"/>
          <w:sz w:val="25"/>
          <w:szCs w:val="25"/>
        </w:rPr>
        <w:t>) was $</w:t>
      </w:r>
      <w:r w:rsidR="00765091" w:rsidRPr="00C77CAB">
        <w:rPr>
          <w:rFonts w:ascii="Goudy Old Style" w:hAnsi="Goudy Old Style"/>
          <w:sz w:val="25"/>
          <w:szCs w:val="25"/>
        </w:rPr>
        <w:t>22 </w:t>
      </w:r>
      <w:r w:rsidR="009252C2" w:rsidRPr="00C77CAB">
        <w:rPr>
          <w:rFonts w:ascii="Goudy Old Style" w:hAnsi="Goudy Old Style"/>
          <w:sz w:val="25"/>
          <w:szCs w:val="25"/>
        </w:rPr>
        <w:t>550</w:t>
      </w:r>
      <w:r w:rsidRPr="00C77CAB">
        <w:rPr>
          <w:rFonts w:ascii="Goudy Old Style" w:hAnsi="Goudy Old Style"/>
          <w:sz w:val="25"/>
          <w:szCs w:val="25"/>
        </w:rPr>
        <w:t xml:space="preserve"> higher than direct expenditure per </w:t>
      </w:r>
      <w:r w:rsidR="00BD74A3" w:rsidRPr="00C77CAB">
        <w:rPr>
          <w:rFonts w:ascii="Goudy Old Style" w:hAnsi="Goudy Old Style"/>
          <w:sz w:val="25"/>
          <w:szCs w:val="25"/>
        </w:rPr>
        <w:t>person</w:t>
      </w:r>
      <w:r w:rsidRPr="00C77CAB">
        <w:rPr>
          <w:rFonts w:ascii="Goudy Old Style" w:hAnsi="Goudy Old Style"/>
          <w:sz w:val="25"/>
          <w:szCs w:val="25"/>
        </w:rPr>
        <w:t xml:space="preserve"> for non</w:t>
      </w:r>
      <w:r w:rsidRPr="00C77CAB">
        <w:rPr>
          <w:rFonts w:ascii="Goudy Old Style" w:hAnsi="Goudy Old Style"/>
          <w:sz w:val="25"/>
          <w:szCs w:val="25"/>
        </w:rPr>
        <w:noBreakHyphen/>
        <w:t xml:space="preserve">Indigenous Australians </w:t>
      </w:r>
      <w:r w:rsidR="00303959" w:rsidRPr="00C77CAB">
        <w:rPr>
          <w:rFonts w:ascii="Goudy Old Style" w:hAnsi="Goudy Old Style"/>
          <w:sz w:val="25"/>
          <w:szCs w:val="25"/>
        </w:rPr>
        <w:t>($20 900)</w:t>
      </w:r>
      <w:r w:rsidRPr="00C77CAB">
        <w:rPr>
          <w:rFonts w:ascii="Goudy Old Style" w:hAnsi="Goudy Old Style"/>
          <w:sz w:val="25"/>
          <w:szCs w:val="25"/>
        </w:rPr>
        <w:t>. Around $</w:t>
      </w:r>
      <w:r w:rsidR="00B318E2" w:rsidRPr="00C77CAB">
        <w:rPr>
          <w:rFonts w:ascii="Goudy Old Style" w:hAnsi="Goudy Old Style"/>
          <w:sz w:val="25"/>
          <w:szCs w:val="25"/>
        </w:rPr>
        <w:t>71</w:t>
      </w:r>
      <w:r w:rsidR="009D0A3A" w:rsidRPr="00C77CAB">
        <w:rPr>
          <w:rFonts w:ascii="Goudy Old Style" w:hAnsi="Goudy Old Style"/>
          <w:sz w:val="25"/>
          <w:szCs w:val="25"/>
        </w:rPr>
        <w:t>12</w:t>
      </w:r>
      <w:r w:rsidR="00B318E2" w:rsidRPr="00C77CAB">
        <w:rPr>
          <w:rFonts w:ascii="Goudy Old Style" w:hAnsi="Goudy Old Style"/>
          <w:sz w:val="25"/>
          <w:szCs w:val="25"/>
        </w:rPr>
        <w:t xml:space="preserve"> </w:t>
      </w:r>
      <w:r w:rsidRPr="00C77CAB">
        <w:rPr>
          <w:rFonts w:ascii="Goudy Old Style" w:hAnsi="Goudy Old Style"/>
          <w:sz w:val="25"/>
          <w:szCs w:val="25"/>
        </w:rPr>
        <w:t>(</w:t>
      </w:r>
      <w:r w:rsidR="00B318E2" w:rsidRPr="00C77CAB">
        <w:rPr>
          <w:rFonts w:ascii="Goudy Old Style" w:hAnsi="Goudy Old Style"/>
          <w:sz w:val="25"/>
          <w:szCs w:val="25"/>
        </w:rPr>
        <w:t>3</w:t>
      </w:r>
      <w:r w:rsidR="009252C2" w:rsidRPr="00C77CAB">
        <w:rPr>
          <w:rFonts w:ascii="Goudy Old Style" w:hAnsi="Goudy Old Style"/>
          <w:sz w:val="25"/>
          <w:szCs w:val="25"/>
        </w:rPr>
        <w:t>2</w:t>
      </w:r>
      <w:r w:rsidR="00B318E2" w:rsidRPr="00C77CAB">
        <w:rPr>
          <w:rFonts w:ascii="Goudy Old Style" w:hAnsi="Goudy Old Style"/>
          <w:sz w:val="25"/>
          <w:szCs w:val="25"/>
        </w:rPr>
        <w:t xml:space="preserve"> </w:t>
      </w:r>
      <w:r w:rsidRPr="00C77CAB">
        <w:rPr>
          <w:rFonts w:ascii="Goudy Old Style" w:hAnsi="Goudy Old Style"/>
          <w:sz w:val="25"/>
          <w:szCs w:val="25"/>
        </w:rPr>
        <w:t xml:space="preserve">per cent) of this difference </w:t>
      </w:r>
      <w:r w:rsidR="008D6184" w:rsidRPr="00C77CAB">
        <w:rPr>
          <w:rFonts w:ascii="Goudy Old Style" w:hAnsi="Goudy Old Style"/>
          <w:sz w:val="25"/>
          <w:szCs w:val="25"/>
        </w:rPr>
        <w:t xml:space="preserve">was due </w:t>
      </w:r>
      <w:r w:rsidRPr="00C77CAB">
        <w:rPr>
          <w:rFonts w:ascii="Goudy Old Style" w:hAnsi="Goudy Old Style"/>
          <w:sz w:val="25"/>
          <w:szCs w:val="25"/>
        </w:rPr>
        <w:t xml:space="preserve">to </w:t>
      </w:r>
      <w:r w:rsidR="00E94FDE" w:rsidRPr="00C77CAB">
        <w:rPr>
          <w:rFonts w:ascii="Goudy Old Style" w:hAnsi="Goudy Old Style"/>
          <w:sz w:val="25"/>
          <w:szCs w:val="25"/>
        </w:rPr>
        <w:t xml:space="preserve">higher </w:t>
      </w:r>
      <w:r w:rsidRPr="00C77CAB">
        <w:rPr>
          <w:rFonts w:ascii="Goudy Old Style" w:hAnsi="Goudy Old Style"/>
          <w:sz w:val="25"/>
          <w:szCs w:val="25"/>
        </w:rPr>
        <w:t>cost</w:t>
      </w:r>
      <w:r w:rsidR="0005218B" w:rsidRPr="00C77CAB">
        <w:rPr>
          <w:rFonts w:ascii="Goudy Old Style" w:hAnsi="Goudy Old Style"/>
          <w:sz w:val="25"/>
          <w:szCs w:val="25"/>
        </w:rPr>
        <w:t>s</w:t>
      </w:r>
      <w:r w:rsidRPr="00C77CAB">
        <w:rPr>
          <w:rFonts w:ascii="Goudy Old Style" w:hAnsi="Goudy Old Style"/>
          <w:sz w:val="25"/>
          <w:szCs w:val="25"/>
        </w:rPr>
        <w:t xml:space="preserve"> of providing services.</w:t>
      </w:r>
    </w:p>
    <w:p w:rsidR="00977481" w:rsidRPr="00C77CAB" w:rsidRDefault="00977481" w:rsidP="00C77CAB">
      <w:pPr>
        <w:keepNext/>
        <w:spacing w:before="120"/>
        <w:rPr>
          <w:rFonts w:ascii="Goudy Old Style" w:hAnsi="Goudy Old Style"/>
          <w:sz w:val="25"/>
          <w:szCs w:val="25"/>
        </w:rPr>
      </w:pPr>
      <w:r w:rsidRPr="00C77CAB">
        <w:rPr>
          <w:rFonts w:ascii="Goudy Old Style" w:hAnsi="Goudy Old Style"/>
          <w:sz w:val="25"/>
          <w:szCs w:val="25"/>
        </w:rPr>
        <w:t>The</w:t>
      </w:r>
      <w:r w:rsidR="00153359" w:rsidRPr="00C77CAB">
        <w:rPr>
          <w:rFonts w:ascii="Goudy Old Style" w:hAnsi="Goudy Old Style"/>
          <w:sz w:val="25"/>
          <w:szCs w:val="25"/>
        </w:rPr>
        <w:t>se</w:t>
      </w:r>
      <w:r w:rsidRPr="00C77CAB">
        <w:rPr>
          <w:rFonts w:ascii="Goudy Old Style" w:hAnsi="Goudy Old Style"/>
          <w:sz w:val="25"/>
          <w:szCs w:val="25"/>
        </w:rPr>
        <w:t xml:space="preserve"> </w:t>
      </w:r>
      <w:r w:rsidR="00E94FDE" w:rsidRPr="00C77CAB">
        <w:rPr>
          <w:rFonts w:ascii="Goudy Old Style" w:hAnsi="Goudy Old Style"/>
          <w:sz w:val="25"/>
          <w:szCs w:val="25"/>
        </w:rPr>
        <w:t xml:space="preserve">higher </w:t>
      </w:r>
      <w:r w:rsidRPr="00C77CAB">
        <w:rPr>
          <w:rFonts w:ascii="Goudy Old Style" w:hAnsi="Goudy Old Style"/>
          <w:sz w:val="25"/>
          <w:szCs w:val="25"/>
        </w:rPr>
        <w:t>cost</w:t>
      </w:r>
      <w:r w:rsidR="00153359" w:rsidRPr="00C77CAB">
        <w:rPr>
          <w:rFonts w:ascii="Goudy Old Style" w:hAnsi="Goudy Old Style"/>
          <w:sz w:val="25"/>
          <w:szCs w:val="25"/>
        </w:rPr>
        <w:t>s</w:t>
      </w:r>
      <w:r w:rsidRPr="00C77CAB">
        <w:rPr>
          <w:rFonts w:ascii="Goudy Old Style" w:hAnsi="Goudy Old Style"/>
          <w:sz w:val="25"/>
          <w:szCs w:val="25"/>
        </w:rPr>
        <w:t xml:space="preserve"> </w:t>
      </w:r>
      <w:r w:rsidR="00153359" w:rsidRPr="00C77CAB">
        <w:rPr>
          <w:rFonts w:ascii="Goudy Old Style" w:hAnsi="Goudy Old Style"/>
          <w:sz w:val="25"/>
          <w:szCs w:val="25"/>
        </w:rPr>
        <w:t>have</w:t>
      </w:r>
      <w:r w:rsidRPr="00C77CAB">
        <w:rPr>
          <w:rFonts w:ascii="Goudy Old Style" w:hAnsi="Goudy Old Style"/>
          <w:sz w:val="25"/>
          <w:szCs w:val="25"/>
        </w:rPr>
        <w:t xml:space="preserve"> two components:</w:t>
      </w:r>
    </w:p>
    <w:p w:rsidR="00977481" w:rsidRPr="00C77CAB" w:rsidRDefault="00977481" w:rsidP="00C77CAB">
      <w:pPr>
        <w:pStyle w:val="ListBullet"/>
        <w:spacing w:before="120"/>
        <w:rPr>
          <w:rFonts w:ascii="Goudy Old Style" w:hAnsi="Goudy Old Style"/>
          <w:sz w:val="25"/>
          <w:szCs w:val="25"/>
        </w:rPr>
      </w:pPr>
      <w:r w:rsidRPr="00C77CAB">
        <w:rPr>
          <w:rFonts w:ascii="Goudy Old Style" w:hAnsi="Goudy Old Style"/>
          <w:i/>
          <w:sz w:val="25"/>
          <w:szCs w:val="25"/>
        </w:rPr>
        <w:t>mainstream service cost differentials</w:t>
      </w:r>
      <w:r w:rsidRPr="00C77CAB">
        <w:rPr>
          <w:rFonts w:ascii="Goudy Old Style" w:hAnsi="Goudy Old Style"/>
          <w:sz w:val="25"/>
          <w:szCs w:val="25"/>
        </w:rPr>
        <w:t xml:space="preserve"> — any </w:t>
      </w:r>
      <w:r w:rsidR="00E94FDE" w:rsidRPr="00C77CAB">
        <w:rPr>
          <w:rFonts w:ascii="Goudy Old Style" w:hAnsi="Goudy Old Style"/>
          <w:sz w:val="25"/>
          <w:szCs w:val="25"/>
        </w:rPr>
        <w:t xml:space="preserve">higher </w:t>
      </w:r>
      <w:r w:rsidRPr="00C77CAB">
        <w:rPr>
          <w:rFonts w:ascii="Goudy Old Style" w:hAnsi="Goudy Old Style"/>
          <w:sz w:val="25"/>
          <w:szCs w:val="25"/>
        </w:rPr>
        <w:t xml:space="preserve">cost of providing mainstream services to </w:t>
      </w:r>
      <w:r w:rsidR="005A6AE8" w:rsidRPr="00C77CAB">
        <w:rPr>
          <w:rFonts w:ascii="Goudy Old Style" w:hAnsi="Goudy Old Style"/>
          <w:sz w:val="25"/>
          <w:szCs w:val="25"/>
        </w:rPr>
        <w:t xml:space="preserve">Aboriginal and Torres Strait Islander </w:t>
      </w:r>
      <w:r w:rsidRPr="00C77CAB">
        <w:rPr>
          <w:rFonts w:ascii="Goudy Old Style" w:hAnsi="Goudy Old Style"/>
          <w:sz w:val="25"/>
          <w:szCs w:val="25"/>
        </w:rPr>
        <w:t xml:space="preserve">Australians, for reasons such as location, culture and language. For social security payments, mainstream service cost differentials reflect differences in the average payment to </w:t>
      </w:r>
      <w:r w:rsidR="005F3FA2" w:rsidRPr="00C77CAB">
        <w:rPr>
          <w:rFonts w:ascii="Goudy Old Style" w:hAnsi="Goudy Old Style"/>
          <w:sz w:val="25"/>
          <w:szCs w:val="25"/>
        </w:rPr>
        <w:t xml:space="preserve">Aboriginal and Torres Strait Islander </w:t>
      </w:r>
      <w:r w:rsidRPr="00C77CAB">
        <w:rPr>
          <w:rFonts w:ascii="Goudy Old Style" w:hAnsi="Goudy Old Style"/>
          <w:sz w:val="25"/>
          <w:szCs w:val="25"/>
        </w:rPr>
        <w:t>and non</w:t>
      </w:r>
      <w:r w:rsidR="005B69AA" w:rsidRPr="00C77CAB">
        <w:rPr>
          <w:rFonts w:ascii="Goudy Old Style" w:hAnsi="Goudy Old Style"/>
          <w:sz w:val="25"/>
          <w:szCs w:val="25"/>
        </w:rPr>
        <w:noBreakHyphen/>
      </w:r>
      <w:r w:rsidRPr="00C77CAB">
        <w:rPr>
          <w:rFonts w:ascii="Goudy Old Style" w:hAnsi="Goudy Old Style"/>
          <w:sz w:val="25"/>
          <w:szCs w:val="25"/>
        </w:rPr>
        <w:t>Indigenous recipients when assessed against eligibility criteria</w:t>
      </w:r>
    </w:p>
    <w:p w:rsidR="00977481" w:rsidRPr="00C77CAB" w:rsidRDefault="00977481" w:rsidP="00C77CAB">
      <w:pPr>
        <w:pStyle w:val="ListBullet"/>
        <w:spacing w:before="120"/>
        <w:rPr>
          <w:rFonts w:ascii="Goudy Old Style" w:hAnsi="Goudy Old Style"/>
          <w:sz w:val="25"/>
          <w:szCs w:val="25"/>
        </w:rPr>
      </w:pPr>
      <w:r w:rsidRPr="00C77CAB">
        <w:rPr>
          <w:rFonts w:ascii="Goudy Old Style" w:hAnsi="Goudy Old Style"/>
          <w:i/>
          <w:sz w:val="25"/>
          <w:szCs w:val="25"/>
        </w:rPr>
        <w:t>Indigenous specific services that complement mainstream services</w:t>
      </w:r>
      <w:r w:rsidRPr="00C77CAB">
        <w:rPr>
          <w:rFonts w:ascii="Goudy Old Style" w:hAnsi="Goudy Old Style"/>
          <w:sz w:val="25"/>
          <w:szCs w:val="25"/>
        </w:rPr>
        <w:t xml:space="preserve"> — services that </w:t>
      </w:r>
      <w:r w:rsidR="00A44036" w:rsidRPr="00C77CAB">
        <w:rPr>
          <w:rFonts w:ascii="Goudy Old Style" w:hAnsi="Goudy Old Style"/>
          <w:sz w:val="25"/>
          <w:szCs w:val="25"/>
        </w:rPr>
        <w:t xml:space="preserve">Aboriginal and Torres Strait Islander Australians </w:t>
      </w:r>
      <w:r w:rsidRPr="00C77CAB">
        <w:rPr>
          <w:rFonts w:ascii="Goudy Old Style" w:hAnsi="Goudy Old Style"/>
          <w:sz w:val="25"/>
          <w:szCs w:val="25"/>
        </w:rPr>
        <w:t>use in addition to a mainstream service; for example, Indigenous student counsellors in schools.</w:t>
      </w:r>
    </w:p>
    <w:p w:rsidR="007A0B29" w:rsidRPr="00C77CAB" w:rsidRDefault="00AF264C" w:rsidP="00C77CAB">
      <w:pPr>
        <w:spacing w:before="120"/>
        <w:rPr>
          <w:rFonts w:ascii="Goudy Old Style" w:hAnsi="Goudy Old Style"/>
          <w:sz w:val="25"/>
          <w:szCs w:val="25"/>
        </w:rPr>
      </w:pPr>
      <w:r w:rsidRPr="00C77CAB">
        <w:rPr>
          <w:rFonts w:ascii="Goudy Old Style" w:hAnsi="Goudy Old Style"/>
          <w:sz w:val="25"/>
          <w:szCs w:val="25"/>
        </w:rPr>
        <w:t>However, the Report makes no assessment as to whether the resulting variations in expenditure are adequate given differences in need, or reflect effective or efficient delivery of services.</w:t>
      </w:r>
    </w:p>
    <w:p w:rsidR="00153359" w:rsidRPr="00C77CAB" w:rsidRDefault="00153359" w:rsidP="00C77CAB">
      <w:pPr>
        <w:spacing w:before="360"/>
        <w:rPr>
          <w:rFonts w:ascii="Goudy Old Style" w:hAnsi="Goudy Old Style"/>
          <w:b/>
          <w:color w:val="800000"/>
          <w:sz w:val="28"/>
        </w:rPr>
      </w:pPr>
      <w:r w:rsidRPr="00C77CAB">
        <w:rPr>
          <w:rFonts w:ascii="Goudy Old Style" w:hAnsi="Goudy Old Style"/>
          <w:b/>
          <w:color w:val="800000"/>
          <w:sz w:val="28"/>
        </w:rPr>
        <w:t xml:space="preserve">Why do </w:t>
      </w:r>
      <w:r w:rsidR="00A44036" w:rsidRPr="00C77CAB">
        <w:rPr>
          <w:rFonts w:ascii="Goudy Old Style" w:hAnsi="Goudy Old Style"/>
          <w:b/>
          <w:color w:val="800000"/>
          <w:sz w:val="28"/>
        </w:rPr>
        <w:t xml:space="preserve">Aboriginal and Torres Strait Islander Australians </w:t>
      </w:r>
      <w:r w:rsidRPr="00C77CAB">
        <w:rPr>
          <w:rFonts w:ascii="Goudy Old Style" w:hAnsi="Goudy Old Style"/>
          <w:b/>
          <w:color w:val="800000"/>
          <w:sz w:val="28"/>
        </w:rPr>
        <w:t xml:space="preserve">use </w:t>
      </w:r>
      <w:r w:rsidR="009328A0" w:rsidRPr="00C77CAB">
        <w:rPr>
          <w:rFonts w:ascii="Goudy Old Style" w:hAnsi="Goudy Old Style"/>
          <w:b/>
          <w:color w:val="800000"/>
          <w:sz w:val="28"/>
        </w:rPr>
        <w:t>some</w:t>
      </w:r>
      <w:r w:rsidRPr="00C77CAB">
        <w:rPr>
          <w:rFonts w:ascii="Goudy Old Style" w:hAnsi="Goudy Old Style"/>
          <w:b/>
          <w:color w:val="800000"/>
          <w:sz w:val="28"/>
        </w:rPr>
        <w:t xml:space="preserve"> services</w:t>
      </w:r>
      <w:r w:rsidR="009328A0" w:rsidRPr="00C77CAB">
        <w:rPr>
          <w:rFonts w:ascii="Goudy Old Style" w:hAnsi="Goudy Old Style"/>
          <w:b/>
          <w:color w:val="800000"/>
          <w:sz w:val="28"/>
        </w:rPr>
        <w:t xml:space="preserve"> more intensively</w:t>
      </w:r>
      <w:r w:rsidRPr="00C77CAB">
        <w:rPr>
          <w:rFonts w:ascii="Goudy Old Style" w:hAnsi="Goudy Old Style"/>
          <w:b/>
          <w:color w:val="800000"/>
          <w:sz w:val="28"/>
        </w:rPr>
        <w:t>?</w:t>
      </w:r>
    </w:p>
    <w:p w:rsidR="00153359" w:rsidRPr="00C77CAB" w:rsidRDefault="00153359" w:rsidP="00C77CAB">
      <w:pPr>
        <w:spacing w:before="120"/>
        <w:rPr>
          <w:rFonts w:ascii="Goudy Old Style" w:hAnsi="Goudy Old Style"/>
          <w:sz w:val="25"/>
          <w:szCs w:val="25"/>
        </w:rPr>
      </w:pPr>
      <w:r w:rsidRPr="00C77CAB">
        <w:rPr>
          <w:rFonts w:ascii="Goudy Old Style" w:hAnsi="Goudy Old Style"/>
          <w:sz w:val="25"/>
          <w:szCs w:val="25"/>
        </w:rPr>
        <w:t xml:space="preserve">On average, direct expenditure per </w:t>
      </w:r>
      <w:r w:rsidR="00BD74A3" w:rsidRPr="00C77CAB">
        <w:rPr>
          <w:rFonts w:ascii="Goudy Old Style" w:hAnsi="Goudy Old Style"/>
          <w:sz w:val="25"/>
          <w:szCs w:val="25"/>
        </w:rPr>
        <w:t>person</w:t>
      </w:r>
      <w:r w:rsidRPr="00C77CAB">
        <w:rPr>
          <w:rFonts w:ascii="Goudy Old Style" w:hAnsi="Goudy Old Style"/>
          <w:sz w:val="25"/>
          <w:szCs w:val="25"/>
        </w:rPr>
        <w:t xml:space="preserve"> for </w:t>
      </w:r>
      <w:r w:rsidR="00A44036" w:rsidRPr="00C77CAB">
        <w:rPr>
          <w:rFonts w:ascii="Goudy Old Style" w:hAnsi="Goudy Old Style"/>
          <w:sz w:val="25"/>
          <w:szCs w:val="25"/>
        </w:rPr>
        <w:t xml:space="preserve">Aboriginal and Torres Strait Islander Australians </w:t>
      </w:r>
      <w:r w:rsidRPr="00C77CAB">
        <w:rPr>
          <w:rFonts w:ascii="Goudy Old Style" w:hAnsi="Goudy Old Style"/>
          <w:sz w:val="25"/>
          <w:szCs w:val="25"/>
        </w:rPr>
        <w:t>($</w:t>
      </w:r>
      <w:r w:rsidR="003209DB" w:rsidRPr="00C77CAB">
        <w:rPr>
          <w:rFonts w:ascii="Goudy Old Style" w:hAnsi="Goudy Old Style"/>
          <w:sz w:val="25"/>
          <w:szCs w:val="25"/>
        </w:rPr>
        <w:t>43 </w:t>
      </w:r>
      <w:r w:rsidR="009252C2" w:rsidRPr="00C77CAB">
        <w:rPr>
          <w:rFonts w:ascii="Goudy Old Style" w:hAnsi="Goudy Old Style"/>
          <w:sz w:val="25"/>
          <w:szCs w:val="25"/>
        </w:rPr>
        <w:t>449</w:t>
      </w:r>
      <w:r w:rsidRPr="00C77CAB">
        <w:rPr>
          <w:rFonts w:ascii="Goudy Old Style" w:hAnsi="Goudy Old Style"/>
          <w:sz w:val="25"/>
          <w:szCs w:val="25"/>
        </w:rPr>
        <w:t>) was $</w:t>
      </w:r>
      <w:r w:rsidR="003209DB" w:rsidRPr="00C77CAB">
        <w:rPr>
          <w:rFonts w:ascii="Goudy Old Style" w:hAnsi="Goudy Old Style"/>
          <w:sz w:val="25"/>
          <w:szCs w:val="25"/>
        </w:rPr>
        <w:t>22 </w:t>
      </w:r>
      <w:r w:rsidR="009252C2" w:rsidRPr="00C77CAB">
        <w:rPr>
          <w:rFonts w:ascii="Goudy Old Style" w:hAnsi="Goudy Old Style"/>
          <w:sz w:val="25"/>
          <w:szCs w:val="25"/>
        </w:rPr>
        <w:t>550</w:t>
      </w:r>
      <w:r w:rsidR="003209DB" w:rsidRPr="00C77CAB">
        <w:rPr>
          <w:rFonts w:ascii="Goudy Old Style" w:hAnsi="Goudy Old Style"/>
          <w:sz w:val="25"/>
          <w:szCs w:val="25"/>
        </w:rPr>
        <w:t xml:space="preserve"> </w:t>
      </w:r>
      <w:r w:rsidRPr="00C77CAB">
        <w:rPr>
          <w:rFonts w:ascii="Goudy Old Style" w:hAnsi="Goudy Old Style"/>
          <w:sz w:val="25"/>
          <w:szCs w:val="25"/>
        </w:rPr>
        <w:t xml:space="preserve">higher than direct expenditure per </w:t>
      </w:r>
      <w:r w:rsidR="003575E0" w:rsidRPr="00C77CAB">
        <w:rPr>
          <w:rFonts w:ascii="Goudy Old Style" w:hAnsi="Goudy Old Style"/>
          <w:sz w:val="25"/>
          <w:szCs w:val="25"/>
        </w:rPr>
        <w:t>person</w:t>
      </w:r>
      <w:r w:rsidRPr="00C77CAB">
        <w:rPr>
          <w:rFonts w:ascii="Goudy Old Style" w:hAnsi="Goudy Old Style"/>
          <w:sz w:val="25"/>
          <w:szCs w:val="25"/>
        </w:rPr>
        <w:t xml:space="preserve"> for non</w:t>
      </w:r>
      <w:r w:rsidRPr="00C77CAB">
        <w:rPr>
          <w:rFonts w:ascii="Goudy Old Style" w:hAnsi="Goudy Old Style"/>
          <w:sz w:val="25"/>
          <w:szCs w:val="25"/>
        </w:rPr>
        <w:noBreakHyphen/>
        <w:t>Indigenous Australians ($</w:t>
      </w:r>
      <w:r w:rsidR="00303959" w:rsidRPr="00C77CAB">
        <w:rPr>
          <w:rFonts w:ascii="Goudy Old Style" w:hAnsi="Goudy Old Style"/>
          <w:sz w:val="25"/>
          <w:szCs w:val="25"/>
        </w:rPr>
        <w:t>20 900</w:t>
      </w:r>
      <w:r w:rsidRPr="00C77CAB">
        <w:rPr>
          <w:rFonts w:ascii="Goudy Old Style" w:hAnsi="Goudy Old Style"/>
          <w:sz w:val="25"/>
          <w:szCs w:val="25"/>
        </w:rPr>
        <w:t>). Around $</w:t>
      </w:r>
      <w:r w:rsidR="003209DB" w:rsidRPr="00C77CAB">
        <w:rPr>
          <w:rFonts w:ascii="Goudy Old Style" w:hAnsi="Goudy Old Style"/>
          <w:sz w:val="25"/>
          <w:szCs w:val="25"/>
        </w:rPr>
        <w:t>15 </w:t>
      </w:r>
      <w:r w:rsidR="00382684" w:rsidRPr="00C77CAB">
        <w:rPr>
          <w:rFonts w:ascii="Goudy Old Style" w:hAnsi="Goudy Old Style"/>
          <w:sz w:val="25"/>
          <w:szCs w:val="25"/>
        </w:rPr>
        <w:t>438</w:t>
      </w:r>
      <w:r w:rsidRPr="00C77CAB">
        <w:rPr>
          <w:rFonts w:ascii="Goudy Old Style" w:hAnsi="Goudy Old Style"/>
          <w:sz w:val="25"/>
          <w:szCs w:val="25"/>
        </w:rPr>
        <w:t xml:space="preserve"> (</w:t>
      </w:r>
      <w:r w:rsidR="003209DB" w:rsidRPr="00C77CAB">
        <w:rPr>
          <w:rFonts w:ascii="Goudy Old Style" w:hAnsi="Goudy Old Style"/>
          <w:sz w:val="25"/>
          <w:szCs w:val="25"/>
        </w:rPr>
        <w:t>6</w:t>
      </w:r>
      <w:r w:rsidR="004C4F4C" w:rsidRPr="00C77CAB">
        <w:rPr>
          <w:rFonts w:ascii="Goudy Old Style" w:hAnsi="Goudy Old Style"/>
          <w:sz w:val="25"/>
          <w:szCs w:val="25"/>
        </w:rPr>
        <w:t>8</w:t>
      </w:r>
      <w:r w:rsidR="003209DB" w:rsidRPr="00C77CAB">
        <w:rPr>
          <w:rFonts w:ascii="Goudy Old Style" w:hAnsi="Goudy Old Style"/>
          <w:sz w:val="25"/>
          <w:szCs w:val="25"/>
        </w:rPr>
        <w:t xml:space="preserve"> </w:t>
      </w:r>
      <w:r w:rsidRPr="00C77CAB">
        <w:rPr>
          <w:rFonts w:ascii="Goudy Old Style" w:hAnsi="Goudy Old Style"/>
          <w:sz w:val="25"/>
          <w:szCs w:val="25"/>
        </w:rPr>
        <w:t xml:space="preserve">per cent) of this difference </w:t>
      </w:r>
      <w:r w:rsidR="008D6184" w:rsidRPr="00C77CAB">
        <w:rPr>
          <w:rFonts w:ascii="Goudy Old Style" w:hAnsi="Goudy Old Style"/>
          <w:sz w:val="25"/>
          <w:szCs w:val="25"/>
        </w:rPr>
        <w:t>was due</w:t>
      </w:r>
      <w:r w:rsidRPr="00C77CAB">
        <w:rPr>
          <w:rFonts w:ascii="Goudy Old Style" w:hAnsi="Goudy Old Style"/>
          <w:sz w:val="25"/>
          <w:szCs w:val="25"/>
        </w:rPr>
        <w:t xml:space="preserve"> to greater intensity of service use.</w:t>
      </w:r>
      <w:r w:rsidR="009328A0" w:rsidRPr="00C77CAB">
        <w:rPr>
          <w:rFonts w:ascii="Goudy Old Style" w:hAnsi="Goudy Old Style"/>
          <w:sz w:val="25"/>
          <w:szCs w:val="25"/>
        </w:rPr>
        <w:t xml:space="preserve"> Intensity of service use has two components:</w:t>
      </w:r>
    </w:p>
    <w:p w:rsidR="00153359" w:rsidRPr="00C77CAB" w:rsidRDefault="00153359" w:rsidP="00C77CAB">
      <w:pPr>
        <w:pStyle w:val="ListBullet"/>
        <w:spacing w:before="120"/>
        <w:rPr>
          <w:rFonts w:ascii="Goudy Old Style" w:hAnsi="Goudy Old Style"/>
          <w:sz w:val="25"/>
          <w:szCs w:val="25"/>
        </w:rPr>
      </w:pPr>
      <w:r w:rsidRPr="00C77CAB">
        <w:rPr>
          <w:rFonts w:ascii="Goudy Old Style" w:hAnsi="Goudy Old Style"/>
          <w:i/>
          <w:sz w:val="25"/>
          <w:szCs w:val="25"/>
        </w:rPr>
        <w:t>Indigenous use of mainstream services</w:t>
      </w:r>
      <w:r w:rsidRPr="00C77CAB">
        <w:rPr>
          <w:rFonts w:ascii="Goudy Old Style" w:hAnsi="Goudy Old Style"/>
          <w:sz w:val="25"/>
          <w:szCs w:val="25"/>
        </w:rPr>
        <w:t xml:space="preserve"> — the estimated Indigenous share of mainstream expenditure is proportional to </w:t>
      </w:r>
      <w:r w:rsidR="0005218B" w:rsidRPr="00C77CAB">
        <w:rPr>
          <w:rFonts w:ascii="Goudy Old Style" w:hAnsi="Goudy Old Style"/>
          <w:sz w:val="25"/>
          <w:szCs w:val="25"/>
        </w:rPr>
        <w:t>Indigenous</w:t>
      </w:r>
      <w:r w:rsidRPr="00C77CAB">
        <w:rPr>
          <w:rFonts w:ascii="Goudy Old Style" w:hAnsi="Goudy Old Style"/>
          <w:sz w:val="25"/>
          <w:szCs w:val="25"/>
        </w:rPr>
        <w:t xml:space="preserve"> use of mainstream services.</w:t>
      </w:r>
    </w:p>
    <w:p w:rsidR="00153359" w:rsidRPr="00C77CAB" w:rsidRDefault="00153359" w:rsidP="00C77CAB">
      <w:pPr>
        <w:pStyle w:val="ListBullet"/>
        <w:numPr>
          <w:ilvl w:val="0"/>
          <w:numId w:val="0"/>
        </w:numPr>
        <w:spacing w:before="120"/>
        <w:ind w:left="284"/>
        <w:rPr>
          <w:rFonts w:ascii="Goudy Old Style" w:hAnsi="Goudy Old Style"/>
          <w:sz w:val="25"/>
          <w:szCs w:val="25"/>
        </w:rPr>
      </w:pPr>
      <w:r w:rsidRPr="00C77CAB">
        <w:rPr>
          <w:rFonts w:ascii="Goudy Old Style" w:hAnsi="Goudy Old Style"/>
          <w:sz w:val="25"/>
          <w:szCs w:val="25"/>
        </w:rPr>
        <w:t xml:space="preserve">The per </w:t>
      </w:r>
      <w:r w:rsidR="002B5B0D">
        <w:rPr>
          <w:rFonts w:ascii="Goudy Old Style" w:hAnsi="Goudy Old Style"/>
          <w:sz w:val="25"/>
          <w:szCs w:val="25"/>
        </w:rPr>
        <w:t>person</w:t>
      </w:r>
      <w:r w:rsidR="002B5B0D" w:rsidRPr="00EA3882">
        <w:rPr>
          <w:rFonts w:ascii="Goudy Old Style" w:hAnsi="Goudy Old Style"/>
          <w:sz w:val="25"/>
          <w:szCs w:val="25"/>
        </w:rPr>
        <w:t xml:space="preserve"> </w:t>
      </w:r>
      <w:r w:rsidRPr="00C77CAB">
        <w:rPr>
          <w:rFonts w:ascii="Goudy Old Style" w:hAnsi="Goudy Old Style"/>
          <w:sz w:val="25"/>
          <w:szCs w:val="25"/>
        </w:rPr>
        <w:t xml:space="preserve">intensity of service use is higher if, on average, </w:t>
      </w:r>
      <w:r w:rsidR="00A44036" w:rsidRPr="00C77CAB">
        <w:rPr>
          <w:rFonts w:ascii="Goudy Old Style" w:hAnsi="Goudy Old Style"/>
          <w:sz w:val="25"/>
          <w:szCs w:val="25"/>
        </w:rPr>
        <w:t xml:space="preserve">Aboriginal and Torres Strait Islander Australians </w:t>
      </w:r>
      <w:r w:rsidRPr="00C77CAB">
        <w:rPr>
          <w:rFonts w:ascii="Goudy Old Style" w:hAnsi="Goudy Old Style"/>
          <w:sz w:val="25"/>
          <w:szCs w:val="25"/>
        </w:rPr>
        <w:t>tend to use more services than non</w:t>
      </w:r>
      <w:r w:rsidR="005B69AA" w:rsidRPr="00C77CAB">
        <w:rPr>
          <w:rFonts w:ascii="Goudy Old Style" w:hAnsi="Goudy Old Style"/>
          <w:sz w:val="25"/>
          <w:szCs w:val="25"/>
        </w:rPr>
        <w:noBreakHyphen/>
      </w:r>
      <w:r w:rsidRPr="00C77CAB">
        <w:rPr>
          <w:rFonts w:ascii="Goudy Old Style" w:hAnsi="Goudy Old Style"/>
          <w:sz w:val="25"/>
          <w:szCs w:val="25"/>
        </w:rPr>
        <w:t>Indigenous Australians — either because of greater individual need</w:t>
      </w:r>
      <w:r w:rsidR="0025171E" w:rsidRPr="00C77CAB">
        <w:rPr>
          <w:rFonts w:ascii="Goudy Old Style" w:hAnsi="Goudy Old Style"/>
          <w:sz w:val="25"/>
          <w:szCs w:val="25"/>
        </w:rPr>
        <w:t xml:space="preserve"> (and evidence shows that, on average, Aboriginal and Torres Strait Islander Australians experience higher levels of disadvantage than other Australians) </w:t>
      </w:r>
      <w:r w:rsidRPr="00C77CAB">
        <w:rPr>
          <w:rFonts w:ascii="Goudy Old Style" w:hAnsi="Goudy Old Style"/>
          <w:sz w:val="25"/>
          <w:szCs w:val="25"/>
        </w:rPr>
        <w:t xml:space="preserve">or because a higher proportion of the </w:t>
      </w:r>
      <w:r w:rsidR="005A6AE8" w:rsidRPr="00C77CAB">
        <w:rPr>
          <w:rFonts w:ascii="Goudy Old Style" w:hAnsi="Goudy Old Style"/>
          <w:sz w:val="25"/>
          <w:szCs w:val="25"/>
        </w:rPr>
        <w:t xml:space="preserve">Aboriginal and Torres Strait Islander </w:t>
      </w:r>
      <w:r w:rsidRPr="00C77CAB">
        <w:rPr>
          <w:rFonts w:ascii="Goudy Old Style" w:hAnsi="Goudy Old Style"/>
          <w:sz w:val="25"/>
          <w:szCs w:val="25"/>
        </w:rPr>
        <w:t xml:space="preserve">population </w:t>
      </w:r>
      <w:r w:rsidR="00573781" w:rsidRPr="00C77CAB">
        <w:rPr>
          <w:rFonts w:ascii="Goudy Old Style" w:hAnsi="Goudy Old Style"/>
          <w:sz w:val="25"/>
          <w:szCs w:val="25"/>
        </w:rPr>
        <w:t>belongs to</w:t>
      </w:r>
      <w:r w:rsidRPr="00C77CAB">
        <w:rPr>
          <w:rFonts w:ascii="Goudy Old Style" w:hAnsi="Goudy Old Style"/>
          <w:sz w:val="25"/>
          <w:szCs w:val="25"/>
        </w:rPr>
        <w:t xml:space="preserve"> the age group likely to use those services</w:t>
      </w:r>
      <w:r w:rsidR="0025171E" w:rsidRPr="00C77CAB">
        <w:rPr>
          <w:rFonts w:ascii="Goudy Old Style" w:hAnsi="Goudy Old Style"/>
          <w:sz w:val="25"/>
          <w:szCs w:val="25"/>
        </w:rPr>
        <w:t xml:space="preserve"> (the Aboriginal and Torres Strait Islander population has a younger profile than the non-Indigenous population)</w:t>
      </w:r>
    </w:p>
    <w:p w:rsidR="00153359" w:rsidRPr="00C77CAB" w:rsidRDefault="00153359" w:rsidP="00C77CAB">
      <w:pPr>
        <w:pStyle w:val="ListBullet"/>
        <w:spacing w:before="120"/>
        <w:rPr>
          <w:rFonts w:ascii="Goudy Old Style" w:hAnsi="Goudy Old Style"/>
          <w:sz w:val="25"/>
          <w:szCs w:val="25"/>
        </w:rPr>
      </w:pPr>
      <w:r w:rsidRPr="00C77CAB">
        <w:rPr>
          <w:rFonts w:ascii="Goudy Old Style" w:hAnsi="Goudy Old Style"/>
          <w:i/>
          <w:sz w:val="25"/>
          <w:szCs w:val="25"/>
        </w:rPr>
        <w:t>Indigenous specific services that substitute for mainstream services</w:t>
      </w:r>
      <w:r w:rsidRPr="00C77CAB">
        <w:rPr>
          <w:rFonts w:ascii="Goudy Old Style" w:hAnsi="Goudy Old Style"/>
          <w:sz w:val="25"/>
          <w:szCs w:val="25"/>
        </w:rPr>
        <w:t xml:space="preserve"> — these are </w:t>
      </w:r>
      <w:r w:rsidR="003575E0" w:rsidRPr="00C77CAB">
        <w:rPr>
          <w:rFonts w:ascii="Goudy Old Style" w:hAnsi="Goudy Old Style"/>
          <w:sz w:val="25"/>
          <w:szCs w:val="25"/>
        </w:rPr>
        <w:t xml:space="preserve">targeted </w:t>
      </w:r>
      <w:r w:rsidRPr="00C77CAB">
        <w:rPr>
          <w:rFonts w:ascii="Goudy Old Style" w:hAnsi="Goudy Old Style"/>
          <w:sz w:val="25"/>
          <w:szCs w:val="25"/>
        </w:rPr>
        <w:t xml:space="preserve">services that </w:t>
      </w:r>
      <w:r w:rsidR="00A44036" w:rsidRPr="00C77CAB">
        <w:rPr>
          <w:rFonts w:ascii="Goudy Old Style" w:hAnsi="Goudy Old Style"/>
          <w:sz w:val="25"/>
          <w:szCs w:val="25"/>
        </w:rPr>
        <w:t xml:space="preserve">Aboriginal and Torres Strait Islander Australians </w:t>
      </w:r>
      <w:r w:rsidRPr="00C77CAB">
        <w:rPr>
          <w:rFonts w:ascii="Goudy Old Style" w:hAnsi="Goudy Old Style"/>
          <w:sz w:val="25"/>
          <w:szCs w:val="25"/>
        </w:rPr>
        <w:t>use instead of a similar mainstream service</w:t>
      </w:r>
      <w:r w:rsidR="003575E0" w:rsidRPr="00C77CAB">
        <w:rPr>
          <w:rFonts w:ascii="Goudy Old Style" w:hAnsi="Goudy Old Style"/>
          <w:sz w:val="25"/>
          <w:szCs w:val="25"/>
        </w:rPr>
        <w:t>; for example, the use of Aboriginal Community Controlled Health Organisations rather than GPs</w:t>
      </w:r>
      <w:r w:rsidR="008D6184" w:rsidRPr="00C77CAB">
        <w:rPr>
          <w:rFonts w:ascii="Goudy Old Style" w:hAnsi="Goudy Old Style"/>
          <w:sz w:val="25"/>
          <w:szCs w:val="25"/>
        </w:rPr>
        <w:t>.</w:t>
      </w:r>
    </w:p>
    <w:p w:rsidR="00382684" w:rsidRPr="00C77CAB" w:rsidRDefault="00382684" w:rsidP="00C77CAB">
      <w:pPr>
        <w:rPr>
          <w:rFonts w:ascii="Goudy Old Style" w:hAnsi="Goudy Old Style"/>
          <w:b/>
          <w:color w:val="800000"/>
          <w:sz w:val="28"/>
        </w:rPr>
      </w:pPr>
      <w:r w:rsidRPr="00C77CAB">
        <w:rPr>
          <w:rFonts w:ascii="Goudy Old Style" w:hAnsi="Goudy Old Style"/>
          <w:b/>
          <w:color w:val="800000"/>
          <w:sz w:val="28"/>
        </w:rPr>
        <w:br w:type="page"/>
      </w:r>
    </w:p>
    <w:p w:rsidR="006C54B1" w:rsidRPr="00C77CAB" w:rsidRDefault="006C54B1" w:rsidP="00C77CAB">
      <w:pPr>
        <w:spacing w:before="360"/>
        <w:rPr>
          <w:rFonts w:ascii="Goudy Old Style" w:hAnsi="Goudy Old Style"/>
          <w:b/>
          <w:color w:val="800000"/>
          <w:sz w:val="28"/>
        </w:rPr>
      </w:pPr>
      <w:r w:rsidRPr="00C77CAB">
        <w:rPr>
          <w:rFonts w:ascii="Goudy Old Style" w:hAnsi="Goudy Old Style"/>
          <w:b/>
          <w:color w:val="800000"/>
          <w:sz w:val="28"/>
        </w:rPr>
        <w:lastRenderedPageBreak/>
        <w:t>How reliable are the estimates?</w:t>
      </w:r>
    </w:p>
    <w:p w:rsidR="008F32F8" w:rsidRPr="00C77CAB" w:rsidRDefault="008D6184" w:rsidP="00C77CAB">
      <w:pPr>
        <w:spacing w:before="120"/>
        <w:rPr>
          <w:rFonts w:ascii="Goudy Old Style" w:hAnsi="Goudy Old Style"/>
          <w:sz w:val="25"/>
          <w:szCs w:val="25"/>
        </w:rPr>
      </w:pPr>
      <w:r w:rsidRPr="00C77CAB">
        <w:rPr>
          <w:rFonts w:ascii="Goudy Old Style" w:hAnsi="Goudy Old Style"/>
          <w:sz w:val="25"/>
          <w:szCs w:val="25"/>
        </w:rPr>
        <w:t xml:space="preserve">The Report represents the best collective effort of the jurisdictions. However, users of the estimates should be aware of the </w:t>
      </w:r>
      <w:r w:rsidR="008C2000" w:rsidRPr="00C77CAB">
        <w:rPr>
          <w:rFonts w:ascii="Goudy Old Style" w:hAnsi="Goudy Old Style"/>
          <w:sz w:val="25"/>
          <w:szCs w:val="25"/>
        </w:rPr>
        <w:t>following potential issues:</w:t>
      </w:r>
    </w:p>
    <w:p w:rsidR="008F32F8" w:rsidRPr="00C77CAB" w:rsidRDefault="008C2000" w:rsidP="00C77CAB">
      <w:pPr>
        <w:pStyle w:val="ListBullet"/>
        <w:spacing w:before="120"/>
        <w:rPr>
          <w:rFonts w:ascii="Goudy Old Style" w:hAnsi="Goudy Old Style"/>
          <w:sz w:val="25"/>
          <w:szCs w:val="25"/>
        </w:rPr>
      </w:pPr>
      <w:r w:rsidRPr="00C77CAB">
        <w:rPr>
          <w:rFonts w:ascii="Goudy Old Style" w:hAnsi="Goudy Old Style"/>
          <w:i/>
          <w:sz w:val="25"/>
          <w:szCs w:val="25"/>
        </w:rPr>
        <w:t xml:space="preserve">report </w:t>
      </w:r>
      <w:r w:rsidR="008F32F8" w:rsidRPr="00C77CAB">
        <w:rPr>
          <w:rFonts w:ascii="Goudy Old Style" w:hAnsi="Goudy Old Style"/>
          <w:i/>
          <w:sz w:val="25"/>
          <w:szCs w:val="25"/>
        </w:rPr>
        <w:t>scope</w:t>
      </w:r>
      <w:r w:rsidR="008F32F8" w:rsidRPr="00C77CAB">
        <w:rPr>
          <w:rFonts w:ascii="Goudy Old Style" w:hAnsi="Goudy Old Style"/>
          <w:sz w:val="25"/>
          <w:szCs w:val="25"/>
        </w:rPr>
        <w:t xml:space="preserve"> — the Report includes estimates of Austra</w:t>
      </w:r>
      <w:r w:rsidR="00DE5EAE" w:rsidRPr="00C77CAB">
        <w:rPr>
          <w:rFonts w:ascii="Goudy Old Style" w:hAnsi="Goudy Old Style"/>
          <w:sz w:val="25"/>
          <w:szCs w:val="25"/>
        </w:rPr>
        <w:t>l</w:t>
      </w:r>
      <w:r w:rsidR="008F32F8" w:rsidRPr="00C77CAB">
        <w:rPr>
          <w:rFonts w:ascii="Goudy Old Style" w:hAnsi="Goudy Old Style"/>
          <w:sz w:val="25"/>
          <w:szCs w:val="25"/>
        </w:rPr>
        <w:t xml:space="preserve">ian </w:t>
      </w:r>
      <w:r w:rsidRPr="00C77CAB">
        <w:rPr>
          <w:rFonts w:ascii="Goudy Old Style" w:hAnsi="Goudy Old Style"/>
          <w:sz w:val="25"/>
          <w:szCs w:val="25"/>
        </w:rPr>
        <w:t>Government and State and Territory</w:t>
      </w:r>
      <w:r w:rsidR="008F32F8" w:rsidRPr="00C77CAB">
        <w:rPr>
          <w:rFonts w:ascii="Goudy Old Style" w:hAnsi="Goudy Old Style"/>
          <w:sz w:val="25"/>
          <w:szCs w:val="25"/>
        </w:rPr>
        <w:t xml:space="preserve"> government expenditure, including payments to local governments. However, it does not include expenditure by local governments</w:t>
      </w:r>
    </w:p>
    <w:p w:rsidR="008F32F8" w:rsidRPr="00C77CAB" w:rsidRDefault="008F32F8" w:rsidP="00C77CAB">
      <w:pPr>
        <w:pStyle w:val="ListBullet"/>
        <w:rPr>
          <w:rFonts w:ascii="Goudy Old Style" w:hAnsi="Goudy Old Style"/>
          <w:sz w:val="25"/>
          <w:szCs w:val="25"/>
        </w:rPr>
      </w:pPr>
      <w:r w:rsidRPr="00C77CAB">
        <w:rPr>
          <w:rFonts w:ascii="Goudy Old Style" w:hAnsi="Goudy Old Style"/>
          <w:i/>
          <w:sz w:val="25"/>
          <w:szCs w:val="25"/>
        </w:rPr>
        <w:t>assumptions</w:t>
      </w:r>
      <w:r w:rsidR="008C2000" w:rsidRPr="00C77CAB">
        <w:rPr>
          <w:rFonts w:ascii="Goudy Old Style" w:hAnsi="Goudy Old Style"/>
          <w:i/>
          <w:sz w:val="25"/>
          <w:szCs w:val="25"/>
        </w:rPr>
        <w:t xml:space="preserve"> underpinning the model</w:t>
      </w:r>
      <w:r w:rsidRPr="00C77CAB">
        <w:t xml:space="preserve"> — </w:t>
      </w:r>
      <w:r w:rsidRPr="00C77CAB">
        <w:rPr>
          <w:rFonts w:ascii="Goudy Old Style" w:hAnsi="Goudy Old Style"/>
          <w:sz w:val="25"/>
          <w:szCs w:val="25"/>
        </w:rPr>
        <w:t xml:space="preserve">the Report method </w:t>
      </w:r>
      <w:r w:rsidR="00C03B5B" w:rsidRPr="00C77CAB">
        <w:rPr>
          <w:rFonts w:ascii="Goudy Old Style" w:hAnsi="Goudy Old Style"/>
          <w:sz w:val="25"/>
          <w:szCs w:val="25"/>
        </w:rPr>
        <w:t>involves a number of assumptions</w:t>
      </w:r>
      <w:r w:rsidR="008D6184" w:rsidRPr="00C77CAB">
        <w:rPr>
          <w:rFonts w:ascii="Goudy Old Style" w:hAnsi="Goudy Old Style"/>
          <w:sz w:val="25"/>
          <w:szCs w:val="25"/>
        </w:rPr>
        <w:t>,</w:t>
      </w:r>
      <w:r w:rsidR="00C03B5B" w:rsidRPr="00C77CAB">
        <w:rPr>
          <w:rFonts w:ascii="Goudy Old Style" w:hAnsi="Goudy Old Style"/>
          <w:sz w:val="25"/>
          <w:szCs w:val="25"/>
        </w:rPr>
        <w:t xml:space="preserve"> which affect how estimates should be interpreted</w:t>
      </w:r>
      <w:r w:rsidR="003575E0" w:rsidRPr="00C77CAB">
        <w:rPr>
          <w:rFonts w:ascii="Goudy Old Style" w:hAnsi="Goudy Old Style"/>
          <w:sz w:val="25"/>
          <w:szCs w:val="25"/>
        </w:rPr>
        <w:t xml:space="preserve">. These assumptions are </w:t>
      </w:r>
      <w:r w:rsidR="008C6754" w:rsidRPr="00C77CAB">
        <w:rPr>
          <w:rFonts w:ascii="Goudy Old Style" w:hAnsi="Goudy Old Style"/>
          <w:sz w:val="25"/>
          <w:szCs w:val="25"/>
        </w:rPr>
        <w:t xml:space="preserve">clearly </w:t>
      </w:r>
      <w:r w:rsidR="003575E0" w:rsidRPr="00C77CAB">
        <w:rPr>
          <w:rFonts w:ascii="Goudy Old Style" w:hAnsi="Goudy Old Style"/>
          <w:sz w:val="25"/>
          <w:szCs w:val="25"/>
        </w:rPr>
        <w:t xml:space="preserve">set out in </w:t>
      </w:r>
      <w:r w:rsidR="008C6754" w:rsidRPr="00C77CAB">
        <w:rPr>
          <w:rFonts w:ascii="Goudy Old Style" w:hAnsi="Goudy Old Style"/>
          <w:sz w:val="25"/>
          <w:szCs w:val="25"/>
        </w:rPr>
        <w:t>published supporting manuals</w:t>
      </w:r>
    </w:p>
    <w:p w:rsidR="008F32F8" w:rsidRPr="00C77CAB" w:rsidRDefault="008F32F8" w:rsidP="00C77CAB">
      <w:pPr>
        <w:pStyle w:val="ListBullet"/>
        <w:spacing w:before="120"/>
        <w:rPr>
          <w:rFonts w:ascii="Goudy Old Style" w:hAnsi="Goudy Old Style"/>
          <w:sz w:val="25"/>
          <w:szCs w:val="25"/>
        </w:rPr>
      </w:pPr>
      <w:r w:rsidRPr="00C77CAB">
        <w:rPr>
          <w:rFonts w:ascii="Goudy Old Style" w:hAnsi="Goudy Old Style"/>
          <w:i/>
          <w:sz w:val="25"/>
          <w:szCs w:val="25"/>
        </w:rPr>
        <w:t>data quality</w:t>
      </w:r>
      <w:r w:rsidRPr="00C77CAB">
        <w:rPr>
          <w:rFonts w:ascii="Goudy Old Style" w:hAnsi="Goudy Old Style"/>
          <w:sz w:val="25"/>
          <w:szCs w:val="25"/>
        </w:rPr>
        <w:t xml:space="preserve"> — t</w:t>
      </w:r>
      <w:r w:rsidR="006C54B1" w:rsidRPr="00C77CAB">
        <w:rPr>
          <w:rFonts w:ascii="Goudy Old Style" w:hAnsi="Goudy Old Style"/>
          <w:sz w:val="25"/>
          <w:szCs w:val="25"/>
        </w:rPr>
        <w:t xml:space="preserve">he </w:t>
      </w:r>
      <w:r w:rsidR="00166822" w:rsidRPr="00C77CAB">
        <w:rPr>
          <w:rFonts w:ascii="Goudy Old Style" w:hAnsi="Goudy Old Style"/>
          <w:sz w:val="25"/>
          <w:szCs w:val="25"/>
        </w:rPr>
        <w:t>Report</w:t>
      </w:r>
      <w:r w:rsidR="006C54B1" w:rsidRPr="00C77CAB">
        <w:rPr>
          <w:rFonts w:ascii="Goudy Old Style" w:hAnsi="Goudy Old Style"/>
          <w:sz w:val="25"/>
          <w:szCs w:val="25"/>
        </w:rPr>
        <w:t xml:space="preserve"> draws on the best available data from </w:t>
      </w:r>
      <w:r w:rsidR="008C2000" w:rsidRPr="00C77CAB">
        <w:rPr>
          <w:rFonts w:ascii="Goudy Old Style" w:hAnsi="Goudy Old Style"/>
          <w:sz w:val="25"/>
          <w:szCs w:val="25"/>
        </w:rPr>
        <w:t>many</w:t>
      </w:r>
      <w:r w:rsidR="006C54B1" w:rsidRPr="00C77CAB">
        <w:rPr>
          <w:rFonts w:ascii="Goudy Old Style" w:hAnsi="Goudy Old Style"/>
          <w:sz w:val="25"/>
          <w:szCs w:val="25"/>
        </w:rPr>
        <w:t xml:space="preserve"> sources. However, in some cases, required data were not available, or </w:t>
      </w:r>
      <w:r w:rsidR="008D6184" w:rsidRPr="00C77CAB">
        <w:rPr>
          <w:rFonts w:ascii="Goudy Old Style" w:hAnsi="Goudy Old Style"/>
          <w:sz w:val="25"/>
          <w:szCs w:val="25"/>
        </w:rPr>
        <w:t xml:space="preserve">were </w:t>
      </w:r>
      <w:r w:rsidR="006C54B1" w:rsidRPr="00C77CAB">
        <w:rPr>
          <w:rFonts w:ascii="Goudy Old Style" w:hAnsi="Goudy Old Style"/>
          <w:sz w:val="25"/>
          <w:szCs w:val="25"/>
        </w:rPr>
        <w:t>of relatively poor quality.</w:t>
      </w:r>
      <w:r w:rsidR="004D3BB2" w:rsidRPr="00C77CAB">
        <w:rPr>
          <w:rFonts w:ascii="Goudy Old Style" w:hAnsi="Goudy Old Style"/>
          <w:sz w:val="25"/>
          <w:szCs w:val="25"/>
        </w:rPr>
        <w:t xml:space="preserve"> </w:t>
      </w:r>
    </w:p>
    <w:p w:rsidR="006C54B1" w:rsidRPr="00C77CAB" w:rsidRDefault="006C54B1" w:rsidP="00C77CAB">
      <w:pPr>
        <w:spacing w:before="240"/>
        <w:rPr>
          <w:rFonts w:ascii="Goudy Old Style" w:hAnsi="Goudy Old Style"/>
          <w:sz w:val="25"/>
          <w:szCs w:val="25"/>
        </w:rPr>
      </w:pPr>
      <w:r w:rsidRPr="00C77CAB">
        <w:rPr>
          <w:rFonts w:ascii="Goudy Old Style" w:hAnsi="Goudy Old Style"/>
          <w:sz w:val="25"/>
          <w:szCs w:val="25"/>
        </w:rPr>
        <w:t xml:space="preserve">The Steering Committee uses the following methods to explain and improve the estimates: </w:t>
      </w:r>
    </w:p>
    <w:p w:rsidR="006C54B1" w:rsidRPr="00C77CAB" w:rsidRDefault="006C54B1" w:rsidP="00C77CAB">
      <w:pPr>
        <w:pStyle w:val="ListBullet"/>
        <w:spacing w:before="120"/>
        <w:rPr>
          <w:rFonts w:ascii="Goudy Old Style" w:hAnsi="Goudy Old Style"/>
          <w:sz w:val="25"/>
          <w:szCs w:val="25"/>
        </w:rPr>
      </w:pPr>
      <w:r w:rsidRPr="00C77CAB">
        <w:rPr>
          <w:rFonts w:ascii="Goudy Old Style" w:hAnsi="Goudy Old Style"/>
          <w:i/>
          <w:sz w:val="25"/>
          <w:szCs w:val="25"/>
        </w:rPr>
        <w:t>data quality statements</w:t>
      </w:r>
      <w:r w:rsidRPr="00C77CAB">
        <w:rPr>
          <w:rFonts w:ascii="Goudy Old Style" w:hAnsi="Goudy Old Style"/>
          <w:sz w:val="25"/>
          <w:szCs w:val="25"/>
        </w:rPr>
        <w:t xml:space="preserve"> — any potential sources of uncertainty in data are highlighted by providing data quality statements for all major data sources, using the </w:t>
      </w:r>
      <w:r w:rsidR="00BD323E" w:rsidRPr="00C77CAB">
        <w:rPr>
          <w:rFonts w:ascii="Goudy Old Style" w:hAnsi="Goudy Old Style"/>
          <w:sz w:val="25"/>
          <w:szCs w:val="25"/>
        </w:rPr>
        <w:t>Australian Bureau of Statistics</w:t>
      </w:r>
      <w:r w:rsidRPr="00C77CAB">
        <w:rPr>
          <w:rFonts w:ascii="Goudy Old Style" w:hAnsi="Goudy Old Style"/>
          <w:sz w:val="25"/>
          <w:szCs w:val="25"/>
        </w:rPr>
        <w:t xml:space="preserve"> data quality framework</w:t>
      </w:r>
    </w:p>
    <w:p w:rsidR="00C03B5B" w:rsidRPr="00C77CAB" w:rsidRDefault="00C03B5B" w:rsidP="00C77CAB">
      <w:pPr>
        <w:pStyle w:val="ListBullet"/>
        <w:spacing w:before="120"/>
        <w:rPr>
          <w:rFonts w:ascii="Goudy Old Style" w:hAnsi="Goudy Old Style"/>
          <w:sz w:val="25"/>
          <w:szCs w:val="25"/>
        </w:rPr>
      </w:pPr>
      <w:r w:rsidRPr="00C77CAB">
        <w:rPr>
          <w:rFonts w:ascii="Goudy Old Style" w:hAnsi="Goudy Old Style"/>
          <w:i/>
          <w:sz w:val="25"/>
          <w:szCs w:val="25"/>
        </w:rPr>
        <w:t>subjective assessment of the reliability of model estimates</w:t>
      </w:r>
      <w:r w:rsidRPr="00C77CAB">
        <w:rPr>
          <w:rFonts w:ascii="Goudy Old Style" w:hAnsi="Goudy Old Style"/>
          <w:sz w:val="25"/>
          <w:szCs w:val="25"/>
        </w:rPr>
        <w:t xml:space="preserve"> — the </w:t>
      </w:r>
      <w:r w:rsidR="0005218B" w:rsidRPr="00C77CAB">
        <w:rPr>
          <w:rFonts w:ascii="Goudy Old Style" w:hAnsi="Goudy Old Style"/>
          <w:sz w:val="25"/>
          <w:szCs w:val="25"/>
        </w:rPr>
        <w:t xml:space="preserve">Steering Committee </w:t>
      </w:r>
      <w:r w:rsidRPr="00C77CAB">
        <w:rPr>
          <w:rFonts w:ascii="Goudy Old Style" w:hAnsi="Goudy Old Style"/>
          <w:sz w:val="25"/>
          <w:szCs w:val="25"/>
        </w:rPr>
        <w:t xml:space="preserve">has undertaken a subjective assessment of the </w:t>
      </w:r>
      <w:r w:rsidR="008F32F8" w:rsidRPr="00C77CAB">
        <w:rPr>
          <w:rFonts w:ascii="Goudy Old Style" w:hAnsi="Goudy Old Style"/>
          <w:sz w:val="25"/>
          <w:szCs w:val="25"/>
        </w:rPr>
        <w:t>reliability of the</w:t>
      </w:r>
      <w:r w:rsidRPr="00C77CAB">
        <w:rPr>
          <w:rFonts w:ascii="Goudy Old Style" w:hAnsi="Goudy Old Style"/>
          <w:sz w:val="25"/>
          <w:szCs w:val="25"/>
        </w:rPr>
        <w:t xml:space="preserve"> major parameters underpinning the estimates in the report. These are presented in </w:t>
      </w:r>
      <w:r w:rsidR="00E169C1" w:rsidRPr="00C77CAB">
        <w:rPr>
          <w:rFonts w:ascii="Goudy Old Style" w:hAnsi="Goudy Old Style"/>
          <w:sz w:val="25"/>
          <w:szCs w:val="25"/>
        </w:rPr>
        <w:t>table 1</w:t>
      </w:r>
      <w:r w:rsidRPr="00C77CAB">
        <w:rPr>
          <w:rFonts w:ascii="Goudy Old Style" w:hAnsi="Goudy Old Style"/>
          <w:sz w:val="25"/>
          <w:szCs w:val="25"/>
        </w:rPr>
        <w:t xml:space="preserve"> of the report</w:t>
      </w:r>
    </w:p>
    <w:p w:rsidR="006C54B1" w:rsidRPr="00C77CAB" w:rsidRDefault="006C54B1" w:rsidP="00C77CAB">
      <w:pPr>
        <w:pStyle w:val="ListBullet"/>
        <w:spacing w:before="120"/>
        <w:rPr>
          <w:rFonts w:ascii="Goudy Old Style" w:hAnsi="Goudy Old Style"/>
          <w:sz w:val="25"/>
          <w:szCs w:val="25"/>
        </w:rPr>
      </w:pPr>
      <w:r w:rsidRPr="00C77CAB">
        <w:rPr>
          <w:rFonts w:ascii="Goudy Old Style" w:hAnsi="Goudy Old Style"/>
          <w:i/>
          <w:sz w:val="25"/>
          <w:szCs w:val="25"/>
        </w:rPr>
        <w:t>continual improvement</w:t>
      </w:r>
      <w:r w:rsidRPr="00C77CAB">
        <w:rPr>
          <w:rFonts w:ascii="Goudy Old Style" w:hAnsi="Goudy Old Style"/>
          <w:sz w:val="25"/>
          <w:szCs w:val="25"/>
        </w:rPr>
        <w:t xml:space="preserve"> — the Steering Committee will continue to work with governments and data agencies to improve the quality of the estimates over time. </w:t>
      </w:r>
    </w:p>
    <w:p w:rsidR="005F6822" w:rsidRPr="00C77CAB" w:rsidRDefault="005F6822" w:rsidP="00C77CAB">
      <w:pPr>
        <w:spacing w:before="240"/>
        <w:rPr>
          <w:rFonts w:ascii="Goudy Old Style" w:hAnsi="Goudy Old Style"/>
          <w:i/>
          <w:sz w:val="25"/>
          <w:szCs w:val="25"/>
        </w:rPr>
      </w:pPr>
      <w:r w:rsidRPr="00C77CAB">
        <w:rPr>
          <w:rFonts w:ascii="Goudy Old Style" w:hAnsi="Goudy Old Style"/>
          <w:i/>
          <w:sz w:val="25"/>
          <w:szCs w:val="25"/>
        </w:rPr>
        <w:t>For more information, refer to the Report, and the Service Use Measure Definitions Manual</w:t>
      </w:r>
      <w:r w:rsidR="00F26292" w:rsidRPr="00C77CAB">
        <w:rPr>
          <w:rFonts w:ascii="Goudy Old Style" w:hAnsi="Goudy Old Style"/>
          <w:i/>
          <w:sz w:val="25"/>
          <w:szCs w:val="25"/>
        </w:rPr>
        <w:t>,</w:t>
      </w:r>
      <w:r w:rsidRPr="00C77CAB">
        <w:rPr>
          <w:rFonts w:ascii="Goudy Old Style" w:hAnsi="Goudy Old Style"/>
          <w:i/>
          <w:sz w:val="25"/>
          <w:szCs w:val="25"/>
        </w:rPr>
        <w:t xml:space="preserve"> which are available from the project website: </w:t>
      </w:r>
      <w:proofErr w:type="spellStart"/>
      <w:r w:rsidR="00613FDD" w:rsidRPr="00E071F6">
        <w:rPr>
          <w:rFonts w:ascii="Goudy Old Style" w:hAnsi="Goudy Old Style"/>
          <w:i/>
          <w:sz w:val="25"/>
          <w:szCs w:val="25"/>
        </w:rPr>
        <w:t>www.pc.gov.au</w:t>
      </w:r>
      <w:proofErr w:type="spellEnd"/>
      <w:r w:rsidR="00613FDD" w:rsidRPr="00E071F6">
        <w:rPr>
          <w:rFonts w:ascii="Goudy Old Style" w:hAnsi="Goudy Old Style"/>
          <w:i/>
          <w:sz w:val="25"/>
          <w:szCs w:val="25"/>
        </w:rPr>
        <w:t>/research/recurring/</w:t>
      </w:r>
      <w:proofErr w:type="spellStart"/>
      <w:r w:rsidR="00613FDD" w:rsidRPr="00E071F6">
        <w:rPr>
          <w:rFonts w:ascii="Goudy Old Style" w:hAnsi="Goudy Old Style"/>
          <w:i/>
          <w:sz w:val="25"/>
          <w:szCs w:val="25"/>
        </w:rPr>
        <w:t>ier</w:t>
      </w:r>
      <w:proofErr w:type="spellEnd"/>
      <w:r w:rsidR="00613FDD">
        <w:rPr>
          <w:rFonts w:ascii="Goudy Old Style" w:hAnsi="Goudy Old Style"/>
          <w:i/>
          <w:sz w:val="25"/>
          <w:szCs w:val="25"/>
        </w:rPr>
        <w:t>.</w:t>
      </w:r>
    </w:p>
    <w:p w:rsidR="006C54B1" w:rsidRPr="00C77CAB" w:rsidRDefault="006C54B1" w:rsidP="00C77CAB">
      <w:pPr>
        <w:spacing w:before="360"/>
        <w:rPr>
          <w:rFonts w:ascii="Goudy Old Style" w:hAnsi="Goudy Old Style"/>
          <w:b/>
          <w:color w:val="800000"/>
          <w:sz w:val="28"/>
        </w:rPr>
      </w:pPr>
      <w:r w:rsidRPr="00C77CAB">
        <w:rPr>
          <w:rFonts w:ascii="Goudy Old Style" w:hAnsi="Goudy Old Style"/>
          <w:b/>
          <w:color w:val="800000"/>
          <w:sz w:val="28"/>
        </w:rPr>
        <w:t xml:space="preserve">Why is it difficult to compare expenditure </w:t>
      </w:r>
      <w:r w:rsidR="008F32F8" w:rsidRPr="00C77CAB">
        <w:rPr>
          <w:rFonts w:ascii="Goudy Old Style" w:hAnsi="Goudy Old Style"/>
          <w:b/>
          <w:color w:val="800000"/>
          <w:sz w:val="28"/>
        </w:rPr>
        <w:t xml:space="preserve">across </w:t>
      </w:r>
      <w:r w:rsidRPr="00C77CAB">
        <w:rPr>
          <w:rFonts w:ascii="Goudy Old Style" w:hAnsi="Goudy Old Style"/>
          <w:b/>
          <w:color w:val="800000"/>
          <w:sz w:val="28"/>
        </w:rPr>
        <w:t>jurisdictions?</w:t>
      </w:r>
    </w:p>
    <w:p w:rsidR="006C54B1" w:rsidRPr="00C77CAB" w:rsidRDefault="006C54B1" w:rsidP="00C77CAB">
      <w:pPr>
        <w:spacing w:before="120"/>
        <w:rPr>
          <w:rFonts w:ascii="Goudy Old Style" w:hAnsi="Goudy Old Style"/>
          <w:sz w:val="25"/>
          <w:szCs w:val="25"/>
        </w:rPr>
      </w:pPr>
      <w:r w:rsidRPr="00C77CAB">
        <w:rPr>
          <w:rFonts w:ascii="Goudy Old Style" w:hAnsi="Goudy Old Style"/>
          <w:sz w:val="25"/>
          <w:szCs w:val="25"/>
        </w:rPr>
        <w:t xml:space="preserve">Although the Indigenous Expenditure Report </w:t>
      </w:r>
      <w:r w:rsidR="008F32F8" w:rsidRPr="00C77CAB">
        <w:rPr>
          <w:rFonts w:ascii="Goudy Old Style" w:hAnsi="Goudy Old Style"/>
          <w:sz w:val="25"/>
          <w:szCs w:val="25"/>
        </w:rPr>
        <w:t xml:space="preserve">provides estimates </w:t>
      </w:r>
      <w:r w:rsidRPr="00C77CAB">
        <w:rPr>
          <w:rFonts w:ascii="Goudy Old Style" w:hAnsi="Goudy Old Style"/>
          <w:sz w:val="25"/>
          <w:szCs w:val="25"/>
        </w:rPr>
        <w:t>for all jurisdictions, several factors influence the comparability of the estimates</w:t>
      </w:r>
      <w:r w:rsidR="004D3BB2" w:rsidRPr="00C77CAB">
        <w:rPr>
          <w:rFonts w:ascii="Goudy Old Style" w:hAnsi="Goudy Old Style"/>
          <w:sz w:val="25"/>
          <w:szCs w:val="25"/>
        </w:rPr>
        <w:t>. These include</w:t>
      </w:r>
      <w:r w:rsidRPr="00C77CAB">
        <w:rPr>
          <w:rFonts w:ascii="Goudy Old Style" w:hAnsi="Goudy Old Style"/>
          <w:sz w:val="25"/>
          <w:szCs w:val="25"/>
        </w:rPr>
        <w:t>:</w:t>
      </w:r>
    </w:p>
    <w:p w:rsidR="006C54B1" w:rsidRPr="00C77CAB" w:rsidRDefault="008F32F8" w:rsidP="00C77CAB">
      <w:pPr>
        <w:pStyle w:val="ListBullet"/>
        <w:spacing w:before="100"/>
        <w:rPr>
          <w:rFonts w:ascii="Goudy Old Style" w:hAnsi="Goudy Old Style"/>
          <w:sz w:val="25"/>
          <w:szCs w:val="25"/>
        </w:rPr>
      </w:pPr>
      <w:r w:rsidRPr="00C77CAB">
        <w:rPr>
          <w:rFonts w:ascii="Goudy Old Style" w:hAnsi="Goudy Old Style"/>
          <w:sz w:val="25"/>
          <w:szCs w:val="25"/>
        </w:rPr>
        <w:t xml:space="preserve">jurisdictions’ inconsistent identification of </w:t>
      </w:r>
      <w:r w:rsidR="00EA58A4" w:rsidRPr="00C77CAB">
        <w:rPr>
          <w:rFonts w:ascii="Goudy Old Style" w:hAnsi="Goudy Old Style"/>
          <w:sz w:val="25"/>
          <w:szCs w:val="25"/>
        </w:rPr>
        <w:t xml:space="preserve">Indigenous specific services </w:t>
      </w:r>
    </w:p>
    <w:p w:rsidR="006C54B1" w:rsidRPr="00C77CAB" w:rsidRDefault="008F32F8" w:rsidP="00C77CAB">
      <w:pPr>
        <w:pStyle w:val="ListBullet"/>
        <w:spacing w:before="100"/>
        <w:rPr>
          <w:rFonts w:ascii="Goudy Old Style" w:hAnsi="Goudy Old Style"/>
          <w:sz w:val="25"/>
          <w:szCs w:val="25"/>
        </w:rPr>
      </w:pPr>
      <w:r w:rsidRPr="00C77CAB">
        <w:rPr>
          <w:rFonts w:ascii="Goudy Old Style" w:hAnsi="Goudy Old Style"/>
          <w:sz w:val="25"/>
          <w:szCs w:val="25"/>
        </w:rPr>
        <w:t>jurisdictions’ inconsistent allocation of expenditure to the agreed framework of expenditure categories</w:t>
      </w:r>
      <w:r w:rsidR="00D541FF" w:rsidRPr="00C77CAB">
        <w:rPr>
          <w:rFonts w:ascii="Goudy Old Style" w:hAnsi="Goudy Old Style"/>
          <w:sz w:val="25"/>
          <w:szCs w:val="25"/>
        </w:rPr>
        <w:t xml:space="preserve">, although the </w:t>
      </w:r>
      <w:r w:rsidR="00D541FF" w:rsidRPr="00C77CAB">
        <w:rPr>
          <w:rFonts w:ascii="Goudy Old Style" w:hAnsi="Goudy Old Style"/>
          <w:i/>
          <w:sz w:val="25"/>
          <w:szCs w:val="25"/>
        </w:rPr>
        <w:t xml:space="preserve">Expenditure Data Manual </w:t>
      </w:r>
      <w:r w:rsidR="00D541FF" w:rsidRPr="00C77CAB">
        <w:rPr>
          <w:rFonts w:ascii="Goudy Old Style" w:hAnsi="Goudy Old Style"/>
          <w:sz w:val="25"/>
          <w:szCs w:val="25"/>
        </w:rPr>
        <w:t xml:space="preserve">helps jurisdictions to supply data that are as </w:t>
      </w:r>
      <w:r w:rsidR="0025171E" w:rsidRPr="00C77CAB">
        <w:rPr>
          <w:rFonts w:ascii="Goudy Old Style" w:hAnsi="Goudy Old Style"/>
          <w:sz w:val="25"/>
          <w:szCs w:val="25"/>
        </w:rPr>
        <w:t>consistent</w:t>
      </w:r>
      <w:r w:rsidR="00D541FF" w:rsidRPr="00C77CAB">
        <w:rPr>
          <w:rFonts w:ascii="Goudy Old Style" w:hAnsi="Goudy Old Style"/>
          <w:sz w:val="25"/>
          <w:szCs w:val="25"/>
        </w:rPr>
        <w:t xml:space="preserve"> as possible</w:t>
      </w:r>
    </w:p>
    <w:p w:rsidR="006C54B1" w:rsidRPr="00C77CAB" w:rsidRDefault="006C54B1" w:rsidP="00C77CAB">
      <w:pPr>
        <w:pStyle w:val="ListBullet"/>
        <w:spacing w:before="100"/>
        <w:rPr>
          <w:rFonts w:ascii="Goudy Old Style" w:hAnsi="Goudy Old Style"/>
          <w:sz w:val="25"/>
          <w:szCs w:val="25"/>
        </w:rPr>
      </w:pPr>
      <w:r w:rsidRPr="00C77CAB">
        <w:rPr>
          <w:rFonts w:ascii="Goudy Old Style" w:hAnsi="Goudy Old Style"/>
          <w:sz w:val="25"/>
          <w:szCs w:val="25"/>
        </w:rPr>
        <w:t xml:space="preserve">the organisation of services </w:t>
      </w:r>
      <w:r w:rsidR="004516DB" w:rsidRPr="00C77CAB">
        <w:rPr>
          <w:rFonts w:ascii="Goudy Old Style" w:hAnsi="Goudy Old Style"/>
          <w:sz w:val="25"/>
          <w:szCs w:val="25"/>
        </w:rPr>
        <w:t xml:space="preserve">within jurisdictions </w:t>
      </w:r>
      <w:r w:rsidRPr="00C77CAB">
        <w:rPr>
          <w:rFonts w:ascii="Goudy Old Style" w:hAnsi="Goudy Old Style"/>
          <w:sz w:val="25"/>
          <w:szCs w:val="25"/>
        </w:rPr>
        <w:t xml:space="preserve">(that is, whether </w:t>
      </w:r>
      <w:r w:rsidR="004516DB" w:rsidRPr="00C77CAB">
        <w:rPr>
          <w:rFonts w:ascii="Goudy Old Style" w:hAnsi="Goudy Old Style"/>
          <w:sz w:val="25"/>
          <w:szCs w:val="25"/>
        </w:rPr>
        <w:t xml:space="preserve">services </w:t>
      </w:r>
      <w:r w:rsidRPr="00C77CAB">
        <w:rPr>
          <w:rFonts w:ascii="Goudy Old Style" w:hAnsi="Goudy Old Style"/>
          <w:sz w:val="25"/>
          <w:szCs w:val="25"/>
        </w:rPr>
        <w:t xml:space="preserve">are provided by general government, </w:t>
      </w:r>
      <w:r w:rsidR="00EA58A4" w:rsidRPr="00C77CAB">
        <w:rPr>
          <w:rFonts w:ascii="Goudy Old Style" w:hAnsi="Goudy Old Style"/>
          <w:sz w:val="25"/>
          <w:szCs w:val="25"/>
        </w:rPr>
        <w:t>by government owned businesses</w:t>
      </w:r>
      <w:r w:rsidR="00321B4C" w:rsidRPr="00C77CAB">
        <w:rPr>
          <w:rFonts w:ascii="Goudy Old Style" w:hAnsi="Goudy Old Style"/>
          <w:sz w:val="25"/>
          <w:szCs w:val="25"/>
        </w:rPr>
        <w:t>,</w:t>
      </w:r>
      <w:r w:rsidRPr="00C77CAB">
        <w:rPr>
          <w:rFonts w:ascii="Goudy Old Style" w:hAnsi="Goudy Old Style"/>
          <w:sz w:val="25"/>
          <w:szCs w:val="25"/>
        </w:rPr>
        <w:t xml:space="preserve"> or </w:t>
      </w:r>
      <w:r w:rsidR="00D962CB" w:rsidRPr="00C77CAB">
        <w:rPr>
          <w:rFonts w:ascii="Goudy Old Style" w:hAnsi="Goudy Old Style"/>
          <w:sz w:val="25"/>
          <w:szCs w:val="25"/>
        </w:rPr>
        <w:t xml:space="preserve">purchased by government from </w:t>
      </w:r>
      <w:r w:rsidRPr="00C77CAB">
        <w:rPr>
          <w:rFonts w:ascii="Goudy Old Style" w:hAnsi="Goudy Old Style"/>
          <w:sz w:val="25"/>
          <w:szCs w:val="25"/>
        </w:rPr>
        <w:t>the private sector)</w:t>
      </w:r>
      <w:r w:rsidR="004516DB" w:rsidRPr="00C77CAB">
        <w:rPr>
          <w:rFonts w:ascii="Goudy Old Style" w:hAnsi="Goudy Old Style"/>
          <w:sz w:val="25"/>
          <w:szCs w:val="25"/>
        </w:rPr>
        <w:t xml:space="preserve">. The scope of the Report is limited to general government expenditure, so different approaches to service delivery can </w:t>
      </w:r>
      <w:r w:rsidRPr="00C77CAB">
        <w:rPr>
          <w:rFonts w:ascii="Goudy Old Style" w:hAnsi="Goudy Old Style"/>
          <w:sz w:val="25"/>
          <w:szCs w:val="25"/>
        </w:rPr>
        <w:t>lead to significant variation</w:t>
      </w:r>
      <w:r w:rsidR="004516DB" w:rsidRPr="00C77CAB">
        <w:rPr>
          <w:rFonts w:ascii="Goudy Old Style" w:hAnsi="Goudy Old Style"/>
          <w:sz w:val="25"/>
          <w:szCs w:val="25"/>
        </w:rPr>
        <w:t>s</w:t>
      </w:r>
      <w:r w:rsidRPr="00C77CAB">
        <w:rPr>
          <w:rFonts w:ascii="Goudy Old Style" w:hAnsi="Goudy Old Style"/>
          <w:sz w:val="25"/>
          <w:szCs w:val="25"/>
        </w:rPr>
        <w:t xml:space="preserve"> in </w:t>
      </w:r>
      <w:r w:rsidR="004516DB" w:rsidRPr="00C77CAB">
        <w:rPr>
          <w:rFonts w:ascii="Goudy Old Style" w:hAnsi="Goudy Old Style"/>
          <w:sz w:val="25"/>
          <w:szCs w:val="25"/>
        </w:rPr>
        <w:t xml:space="preserve">estimated </w:t>
      </w:r>
      <w:r w:rsidRPr="00C77CAB">
        <w:rPr>
          <w:rFonts w:ascii="Goudy Old Style" w:hAnsi="Goudy Old Style"/>
          <w:sz w:val="25"/>
          <w:szCs w:val="25"/>
        </w:rPr>
        <w:t>expenditure.</w:t>
      </w:r>
    </w:p>
    <w:p w:rsidR="006C54B1" w:rsidRPr="00C77CAB" w:rsidRDefault="009F7257" w:rsidP="00C77CAB">
      <w:pPr>
        <w:spacing w:before="240"/>
        <w:rPr>
          <w:rFonts w:ascii="Goudy Old Style" w:hAnsi="Goudy Old Style"/>
          <w:sz w:val="25"/>
          <w:szCs w:val="25"/>
        </w:rPr>
      </w:pPr>
      <w:r w:rsidRPr="00C77CAB">
        <w:rPr>
          <w:rFonts w:ascii="Goudy Old Style" w:hAnsi="Goudy Old Style"/>
          <w:sz w:val="25"/>
          <w:szCs w:val="25"/>
        </w:rPr>
        <w:lastRenderedPageBreak/>
        <w:t xml:space="preserve">The </w:t>
      </w:r>
      <w:r w:rsidRPr="00C77CAB">
        <w:rPr>
          <w:rFonts w:ascii="Goudy Old Style" w:hAnsi="Goudy Old Style"/>
          <w:i/>
          <w:sz w:val="25"/>
          <w:szCs w:val="25"/>
        </w:rPr>
        <w:t>Expenditure Data Manual</w:t>
      </w:r>
      <w:r w:rsidRPr="00C77CAB">
        <w:rPr>
          <w:rFonts w:ascii="Goudy Old Style" w:hAnsi="Goudy Old Style"/>
          <w:sz w:val="25"/>
          <w:szCs w:val="25"/>
        </w:rPr>
        <w:t xml:space="preserve"> provides guidelines for recording expenditure against a nationally consistent framework. These guidelines are refined with each report</w:t>
      </w:r>
      <w:r w:rsidR="00D962CB" w:rsidRPr="00C77CAB">
        <w:rPr>
          <w:rFonts w:ascii="Goudy Old Style" w:hAnsi="Goudy Old Style"/>
          <w:sz w:val="25"/>
          <w:szCs w:val="25"/>
        </w:rPr>
        <w:t>,</w:t>
      </w:r>
      <w:r w:rsidRPr="00C77CAB">
        <w:rPr>
          <w:rFonts w:ascii="Goudy Old Style" w:hAnsi="Goudy Old Style"/>
          <w:sz w:val="25"/>
          <w:szCs w:val="25"/>
        </w:rPr>
        <w:t xml:space="preserve"> which will contribute to improvement in the comparability of expenditure </w:t>
      </w:r>
      <w:r w:rsidR="00D962CB" w:rsidRPr="00C77CAB">
        <w:rPr>
          <w:rFonts w:ascii="Goudy Old Style" w:hAnsi="Goudy Old Style"/>
          <w:sz w:val="25"/>
          <w:szCs w:val="25"/>
        </w:rPr>
        <w:t xml:space="preserve">across </w:t>
      </w:r>
      <w:r w:rsidRPr="00C77CAB">
        <w:rPr>
          <w:rFonts w:ascii="Goudy Old Style" w:hAnsi="Goudy Old Style"/>
          <w:sz w:val="25"/>
          <w:szCs w:val="25"/>
        </w:rPr>
        <w:t>jurisdictions over time.</w:t>
      </w:r>
      <w:r w:rsidR="00EC5F18" w:rsidRPr="00C77CAB">
        <w:rPr>
          <w:rFonts w:ascii="Goudy Old Style" w:hAnsi="Goudy Old Style"/>
          <w:sz w:val="25"/>
          <w:szCs w:val="25"/>
        </w:rPr>
        <w:t xml:space="preserve"> </w:t>
      </w:r>
      <w:r w:rsidR="006C54B1" w:rsidRPr="00C77CAB">
        <w:rPr>
          <w:rFonts w:ascii="Goudy Old Style" w:hAnsi="Goudy Old Style"/>
          <w:sz w:val="25"/>
          <w:szCs w:val="25"/>
        </w:rPr>
        <w:t xml:space="preserve">Each jurisdiction has also provided comments to aid interpretation, which are presented </w:t>
      </w:r>
      <w:r w:rsidR="00E169C1" w:rsidRPr="00C77CAB">
        <w:rPr>
          <w:rFonts w:ascii="Goudy Old Style" w:hAnsi="Goudy Old Style"/>
          <w:sz w:val="25"/>
          <w:szCs w:val="25"/>
        </w:rPr>
        <w:t>at the end</w:t>
      </w:r>
      <w:r w:rsidR="006C54B1" w:rsidRPr="00C77CAB">
        <w:rPr>
          <w:rFonts w:ascii="Goudy Old Style" w:hAnsi="Goudy Old Style"/>
          <w:sz w:val="25"/>
          <w:szCs w:val="25"/>
        </w:rPr>
        <w:t xml:space="preserve"> of the Report.</w:t>
      </w:r>
    </w:p>
    <w:p w:rsidR="008F73F8" w:rsidRPr="00C77CAB" w:rsidRDefault="0054548C" w:rsidP="007364B1">
      <w:pPr>
        <w:spacing w:before="240"/>
        <w:rPr>
          <w:rFonts w:ascii="Goudy Old Style" w:hAnsi="Goudy Old Style"/>
          <w:b/>
          <w:color w:val="800000"/>
          <w:sz w:val="28"/>
        </w:rPr>
      </w:pPr>
      <w:hyperlink w:history="1"/>
      <w:r w:rsidR="008F73F8" w:rsidRPr="00C77CAB">
        <w:rPr>
          <w:rFonts w:ascii="Goudy Old Style" w:hAnsi="Goudy Old Style"/>
          <w:b/>
          <w:color w:val="800000"/>
          <w:sz w:val="28"/>
        </w:rPr>
        <w:t xml:space="preserve">Why are estimates different to those published in </w:t>
      </w:r>
      <w:r w:rsidR="006F2100" w:rsidRPr="00C77CAB">
        <w:rPr>
          <w:rFonts w:ascii="Goudy Old Style" w:hAnsi="Goudy Old Style"/>
          <w:b/>
          <w:color w:val="800000"/>
          <w:sz w:val="28"/>
        </w:rPr>
        <w:t xml:space="preserve">other expenditure </w:t>
      </w:r>
      <w:r w:rsidR="008F73F8" w:rsidRPr="00C77CAB">
        <w:rPr>
          <w:rFonts w:ascii="Goudy Old Style" w:hAnsi="Goudy Old Style"/>
          <w:b/>
          <w:color w:val="800000"/>
          <w:sz w:val="28"/>
        </w:rPr>
        <w:t>reports?</w:t>
      </w:r>
    </w:p>
    <w:p w:rsidR="002A77C9" w:rsidRPr="00C77CAB" w:rsidRDefault="00752D88" w:rsidP="00C77CAB">
      <w:pPr>
        <w:spacing w:before="120"/>
        <w:rPr>
          <w:rFonts w:ascii="Goudy Old Style" w:hAnsi="Goudy Old Style"/>
          <w:sz w:val="25"/>
          <w:szCs w:val="25"/>
        </w:rPr>
      </w:pPr>
      <w:r w:rsidRPr="00C77CAB">
        <w:rPr>
          <w:rFonts w:ascii="Goudy Old Style" w:hAnsi="Goudy Old Style"/>
          <w:sz w:val="25"/>
          <w:szCs w:val="25"/>
        </w:rPr>
        <w:t xml:space="preserve">The Indigenous Expenditure Report </w:t>
      </w:r>
      <w:r w:rsidR="00C51766" w:rsidRPr="00C77CAB">
        <w:rPr>
          <w:rFonts w:ascii="Goudy Old Style" w:hAnsi="Goudy Old Style"/>
          <w:sz w:val="25"/>
          <w:szCs w:val="25"/>
        </w:rPr>
        <w:t xml:space="preserve">allocates government expenditure using the </w:t>
      </w:r>
      <w:r w:rsidR="00FD64C2" w:rsidRPr="00C77CAB">
        <w:rPr>
          <w:rFonts w:ascii="Goudy Old Style" w:hAnsi="Goudy Old Style"/>
          <w:sz w:val="25"/>
          <w:szCs w:val="25"/>
        </w:rPr>
        <w:t>Australian Bureau of Statistics</w:t>
      </w:r>
      <w:r w:rsidR="005F6822" w:rsidRPr="00C77CAB">
        <w:rPr>
          <w:rFonts w:ascii="Goudy Old Style" w:hAnsi="Goudy Old Style"/>
          <w:sz w:val="25"/>
          <w:szCs w:val="25"/>
        </w:rPr>
        <w:t>’</w:t>
      </w:r>
      <w:r w:rsidR="00C51766" w:rsidRPr="00C77CAB">
        <w:rPr>
          <w:rFonts w:ascii="Goudy Old Style" w:hAnsi="Goudy Old Style"/>
          <w:sz w:val="25"/>
          <w:szCs w:val="25"/>
        </w:rPr>
        <w:t xml:space="preserve"> </w:t>
      </w:r>
      <w:r w:rsidR="00FD64C2" w:rsidRPr="00C77CAB">
        <w:rPr>
          <w:rFonts w:ascii="Goudy Old Style" w:hAnsi="Goudy Old Style"/>
          <w:sz w:val="25"/>
          <w:szCs w:val="25"/>
        </w:rPr>
        <w:t xml:space="preserve">(ABS) </w:t>
      </w:r>
      <w:r w:rsidR="00C51766" w:rsidRPr="00C77CAB">
        <w:rPr>
          <w:rFonts w:ascii="Goudy Old Style" w:hAnsi="Goudy Old Style"/>
          <w:sz w:val="25"/>
          <w:szCs w:val="25"/>
        </w:rPr>
        <w:t>Government Purpose Classification framework</w:t>
      </w:r>
      <w:r w:rsidR="00BD323E" w:rsidRPr="00C77CAB">
        <w:rPr>
          <w:rFonts w:ascii="Goudy Old Style" w:hAnsi="Goudy Old Style"/>
          <w:sz w:val="25"/>
          <w:szCs w:val="25"/>
        </w:rPr>
        <w:t xml:space="preserve">. The expenditure in this report is therefore conceptually reconcilable to the ABS Government Finance Statistics publications. Data are </w:t>
      </w:r>
      <w:r w:rsidR="00E33019" w:rsidRPr="00C77CAB">
        <w:rPr>
          <w:rFonts w:ascii="Goudy Old Style" w:hAnsi="Goudy Old Style"/>
          <w:sz w:val="25"/>
          <w:szCs w:val="25"/>
        </w:rPr>
        <w:t xml:space="preserve">also </w:t>
      </w:r>
      <w:r w:rsidR="00BD323E" w:rsidRPr="00C77CAB">
        <w:rPr>
          <w:rFonts w:ascii="Goudy Old Style" w:hAnsi="Goudy Old Style"/>
          <w:sz w:val="25"/>
          <w:szCs w:val="25"/>
        </w:rPr>
        <w:t>consistent with whole of government expenditure data reported in budget papers</w:t>
      </w:r>
      <w:r w:rsidR="002A77C9" w:rsidRPr="00C77CAB">
        <w:rPr>
          <w:rFonts w:ascii="Goudy Old Style" w:hAnsi="Goudy Old Style"/>
          <w:sz w:val="25"/>
          <w:szCs w:val="25"/>
        </w:rPr>
        <w:t xml:space="preserve"> and financial reports</w:t>
      </w:r>
      <w:r w:rsidR="0018038E" w:rsidRPr="00C77CAB">
        <w:rPr>
          <w:rFonts w:ascii="Goudy Old Style" w:hAnsi="Goudy Old Style"/>
          <w:sz w:val="25"/>
          <w:szCs w:val="25"/>
        </w:rPr>
        <w:t>. However t</w:t>
      </w:r>
      <w:r w:rsidR="002A77C9" w:rsidRPr="00C77CAB">
        <w:rPr>
          <w:rFonts w:ascii="Goudy Old Style" w:hAnsi="Goudy Old Style"/>
          <w:sz w:val="25"/>
          <w:szCs w:val="25"/>
        </w:rPr>
        <w:t>he Indigenous Expenditure Report presents separate estimates for:</w:t>
      </w:r>
    </w:p>
    <w:p w:rsidR="002A77C9" w:rsidRPr="00C77CAB" w:rsidRDefault="002A77C9" w:rsidP="00C77CAB">
      <w:pPr>
        <w:pStyle w:val="ListBullet"/>
        <w:spacing w:before="100"/>
        <w:rPr>
          <w:rFonts w:ascii="Goudy Old Style" w:hAnsi="Goudy Old Style"/>
          <w:sz w:val="25"/>
          <w:szCs w:val="25"/>
        </w:rPr>
      </w:pPr>
      <w:r w:rsidRPr="00C77CAB">
        <w:rPr>
          <w:rFonts w:ascii="Goudy Old Style" w:hAnsi="Goudy Old Style"/>
          <w:i/>
          <w:sz w:val="25"/>
          <w:szCs w:val="25"/>
        </w:rPr>
        <w:t>direct expenditure</w:t>
      </w:r>
      <w:r w:rsidRPr="00C77CAB">
        <w:rPr>
          <w:rFonts w:ascii="Goudy Old Style" w:hAnsi="Goudy Old Style"/>
          <w:sz w:val="25"/>
          <w:szCs w:val="25"/>
        </w:rPr>
        <w:t xml:space="preserve"> — expenditure on services and programs that are paid directly to individuals, non</w:t>
      </w:r>
      <w:r w:rsidR="00922D8C" w:rsidRPr="00C77CAB">
        <w:rPr>
          <w:rFonts w:ascii="Goudy Old Style" w:hAnsi="Goudy Old Style"/>
          <w:sz w:val="25"/>
          <w:szCs w:val="25"/>
        </w:rPr>
        <w:noBreakHyphen/>
      </w:r>
      <w:r w:rsidRPr="00C77CAB">
        <w:rPr>
          <w:rFonts w:ascii="Goudy Old Style" w:hAnsi="Goudy Old Style"/>
          <w:sz w:val="25"/>
          <w:szCs w:val="25"/>
        </w:rPr>
        <w:t>government service providers, or local governments</w:t>
      </w:r>
      <w:r w:rsidR="00922D8C" w:rsidRPr="00C77CAB">
        <w:rPr>
          <w:rFonts w:ascii="Goudy Old Style" w:hAnsi="Goudy Old Style"/>
          <w:sz w:val="25"/>
          <w:szCs w:val="25"/>
        </w:rPr>
        <w:t>; f</w:t>
      </w:r>
      <w:r w:rsidRPr="00C77CAB">
        <w:rPr>
          <w:rFonts w:ascii="Goudy Old Style" w:hAnsi="Goudy Old Style"/>
          <w:sz w:val="25"/>
          <w:szCs w:val="25"/>
        </w:rPr>
        <w:t>or example, unemployment benefits that are paid by the Australian Government directly to eligible recipients, or expenditure on school education services by State and Territor</w:t>
      </w:r>
      <w:r w:rsidR="00DE5EAE" w:rsidRPr="00C77CAB">
        <w:rPr>
          <w:rFonts w:ascii="Goudy Old Style" w:hAnsi="Goudy Old Style"/>
          <w:sz w:val="25"/>
          <w:szCs w:val="25"/>
        </w:rPr>
        <w:t>y governments</w:t>
      </w:r>
      <w:r w:rsidR="00922D8C" w:rsidRPr="00C77CAB">
        <w:rPr>
          <w:rFonts w:ascii="Goudy Old Style" w:hAnsi="Goudy Old Style"/>
          <w:sz w:val="25"/>
          <w:szCs w:val="25"/>
        </w:rPr>
        <w:t>. Direct expenditure by the Australian Government in a jurisdiction and direct expenditure by that jurisdiction’s government can be added together to estimate total government expenditure in that jurisdiction</w:t>
      </w:r>
    </w:p>
    <w:p w:rsidR="002A77C9" w:rsidRPr="00C77CAB" w:rsidRDefault="002A77C9" w:rsidP="00C77CAB">
      <w:pPr>
        <w:pStyle w:val="ListBullet"/>
        <w:spacing w:before="100"/>
        <w:rPr>
          <w:rFonts w:ascii="Goudy Old Style" w:hAnsi="Goudy Old Style"/>
          <w:sz w:val="25"/>
          <w:szCs w:val="25"/>
        </w:rPr>
      </w:pPr>
      <w:r w:rsidRPr="00C77CAB">
        <w:rPr>
          <w:rFonts w:ascii="Goudy Old Style" w:hAnsi="Goudy Old Style"/>
          <w:i/>
          <w:sz w:val="25"/>
          <w:szCs w:val="25"/>
        </w:rPr>
        <w:t>indirect expenditure</w:t>
      </w:r>
      <w:r w:rsidRPr="00C77CAB">
        <w:rPr>
          <w:rFonts w:ascii="Goudy Old Style" w:hAnsi="Goudy Old Style"/>
          <w:sz w:val="25"/>
          <w:szCs w:val="25"/>
        </w:rPr>
        <w:t xml:space="preserve"> — payments or transfers made between jurisdictions, or between different levels of government. Indirect expenditure includes Australian Government general revenue assistance to State and Territory governments (such as Goods and Services Tax (GST) payments), which </w:t>
      </w:r>
      <w:r w:rsidR="00922D8C" w:rsidRPr="00C77CAB">
        <w:rPr>
          <w:rFonts w:ascii="Goudy Old Style" w:hAnsi="Goudy Old Style"/>
          <w:sz w:val="25"/>
          <w:szCs w:val="25"/>
        </w:rPr>
        <w:t xml:space="preserve">State and Territory Governments </w:t>
      </w:r>
      <w:r w:rsidRPr="00C77CAB">
        <w:rPr>
          <w:rFonts w:ascii="Goudy Old Style" w:hAnsi="Goudy Old Style"/>
          <w:sz w:val="25"/>
          <w:szCs w:val="25"/>
        </w:rPr>
        <w:t xml:space="preserve">then </w:t>
      </w:r>
      <w:r w:rsidR="00922D8C" w:rsidRPr="00C77CAB">
        <w:rPr>
          <w:rFonts w:ascii="Goudy Old Style" w:hAnsi="Goudy Old Style"/>
          <w:sz w:val="25"/>
          <w:szCs w:val="25"/>
        </w:rPr>
        <w:t>spend in</w:t>
      </w:r>
      <w:r w:rsidRPr="00C77CAB">
        <w:rPr>
          <w:rFonts w:ascii="Goudy Old Style" w:hAnsi="Goudy Old Style"/>
          <w:sz w:val="25"/>
          <w:szCs w:val="25"/>
        </w:rPr>
        <w:t xml:space="preserve"> different areas. A large proportion of Australian </w:t>
      </w:r>
      <w:r w:rsidR="006F2100" w:rsidRPr="00C77CAB">
        <w:rPr>
          <w:rFonts w:ascii="Goudy Old Style" w:hAnsi="Goudy Old Style"/>
          <w:sz w:val="25"/>
          <w:szCs w:val="25"/>
        </w:rPr>
        <w:t xml:space="preserve">Government </w:t>
      </w:r>
      <w:r w:rsidRPr="00C77CAB">
        <w:rPr>
          <w:rFonts w:ascii="Goudy Old Style" w:hAnsi="Goudy Old Style"/>
          <w:sz w:val="25"/>
          <w:szCs w:val="25"/>
        </w:rPr>
        <w:t>expenditure is indirect</w:t>
      </w:r>
    </w:p>
    <w:p w:rsidR="002A77C9" w:rsidRPr="00C77CAB" w:rsidRDefault="00F726E9" w:rsidP="00C77CAB">
      <w:pPr>
        <w:pStyle w:val="ListBullet"/>
        <w:spacing w:before="100"/>
        <w:rPr>
          <w:rFonts w:ascii="Goudy Old Style" w:hAnsi="Goudy Old Style"/>
          <w:sz w:val="25"/>
          <w:szCs w:val="25"/>
        </w:rPr>
      </w:pPr>
      <w:r w:rsidRPr="00C77CAB">
        <w:rPr>
          <w:rFonts w:ascii="Goudy Old Style" w:hAnsi="Goudy Old Style"/>
          <w:i/>
          <w:sz w:val="25"/>
          <w:szCs w:val="25"/>
        </w:rPr>
        <w:t>t</w:t>
      </w:r>
      <w:r w:rsidR="002A77C9" w:rsidRPr="00C77CAB">
        <w:rPr>
          <w:rFonts w:ascii="Goudy Old Style" w:hAnsi="Goudy Old Style"/>
          <w:i/>
          <w:sz w:val="25"/>
          <w:szCs w:val="25"/>
        </w:rPr>
        <w:t>otal expenditure</w:t>
      </w:r>
      <w:r w:rsidR="002A77C9" w:rsidRPr="00C77CAB">
        <w:rPr>
          <w:rFonts w:ascii="Goudy Old Style" w:hAnsi="Goudy Old Style"/>
          <w:sz w:val="25"/>
          <w:szCs w:val="25"/>
        </w:rPr>
        <w:t xml:space="preserve"> — direct plus indirect expenditure</w:t>
      </w:r>
      <w:r w:rsidR="00922D8C" w:rsidRPr="00C77CAB">
        <w:rPr>
          <w:rFonts w:ascii="Goudy Old Style" w:hAnsi="Goudy Old Style"/>
          <w:sz w:val="25"/>
          <w:szCs w:val="25"/>
        </w:rPr>
        <w:t xml:space="preserve"> for each </w:t>
      </w:r>
      <w:r w:rsidR="00C31D85" w:rsidRPr="00C77CAB">
        <w:rPr>
          <w:rFonts w:ascii="Goudy Old Style" w:hAnsi="Goudy Old Style"/>
          <w:sz w:val="25"/>
          <w:szCs w:val="25"/>
        </w:rPr>
        <w:t>government</w:t>
      </w:r>
      <w:r w:rsidR="00922D8C" w:rsidRPr="00C77CAB">
        <w:rPr>
          <w:rFonts w:ascii="Goudy Old Style" w:hAnsi="Goudy Old Style"/>
          <w:sz w:val="25"/>
          <w:szCs w:val="25"/>
        </w:rPr>
        <w:t xml:space="preserve"> can be added together to estimate total expenditure by that</w:t>
      </w:r>
      <w:r w:rsidR="007348F2" w:rsidRPr="00C77CAB">
        <w:rPr>
          <w:rFonts w:ascii="Goudy Old Style" w:hAnsi="Goudy Old Style"/>
          <w:sz w:val="25"/>
          <w:szCs w:val="25"/>
        </w:rPr>
        <w:t xml:space="preserve"> </w:t>
      </w:r>
      <w:r w:rsidR="00C31D85" w:rsidRPr="00C77CAB">
        <w:rPr>
          <w:rFonts w:ascii="Goudy Old Style" w:hAnsi="Goudy Old Style"/>
          <w:sz w:val="25"/>
          <w:szCs w:val="25"/>
        </w:rPr>
        <w:t>government</w:t>
      </w:r>
      <w:r w:rsidR="006F2100" w:rsidRPr="00C77CAB">
        <w:rPr>
          <w:rFonts w:ascii="Goudy Old Style" w:hAnsi="Goudy Old Style"/>
          <w:sz w:val="25"/>
          <w:szCs w:val="25"/>
        </w:rPr>
        <w:t>,</w:t>
      </w:r>
      <w:r w:rsidR="002A77C9" w:rsidRPr="00C77CAB">
        <w:rPr>
          <w:rFonts w:ascii="Goudy Old Style" w:hAnsi="Goudy Old Style"/>
          <w:sz w:val="25"/>
          <w:szCs w:val="25"/>
        </w:rPr>
        <w:t xml:space="preserve"> which reconciles to </w:t>
      </w:r>
      <w:r w:rsidR="00922D8C" w:rsidRPr="00C77CAB">
        <w:rPr>
          <w:rFonts w:ascii="Goudy Old Style" w:hAnsi="Goudy Old Style"/>
          <w:sz w:val="25"/>
          <w:szCs w:val="25"/>
        </w:rPr>
        <w:t xml:space="preserve">each </w:t>
      </w:r>
      <w:r w:rsidR="002A77C9" w:rsidRPr="00C77CAB">
        <w:rPr>
          <w:rFonts w:ascii="Goudy Old Style" w:hAnsi="Goudy Old Style"/>
          <w:sz w:val="25"/>
          <w:szCs w:val="25"/>
        </w:rPr>
        <w:t>jurisdiction</w:t>
      </w:r>
      <w:r w:rsidR="00922D8C" w:rsidRPr="00C77CAB">
        <w:rPr>
          <w:rFonts w:ascii="Goudy Old Style" w:hAnsi="Goudy Old Style"/>
          <w:sz w:val="25"/>
          <w:szCs w:val="25"/>
        </w:rPr>
        <w:t>’</w:t>
      </w:r>
      <w:r w:rsidR="0018038E" w:rsidRPr="00C77CAB">
        <w:rPr>
          <w:rFonts w:ascii="Goudy Old Style" w:hAnsi="Goudy Old Style"/>
          <w:sz w:val="25"/>
          <w:szCs w:val="25"/>
        </w:rPr>
        <w:t>s</w:t>
      </w:r>
      <w:r w:rsidR="002A77C9" w:rsidRPr="00C77CAB">
        <w:rPr>
          <w:rFonts w:ascii="Goudy Old Style" w:hAnsi="Goudy Old Style"/>
          <w:sz w:val="25"/>
          <w:szCs w:val="25"/>
        </w:rPr>
        <w:t xml:space="preserve"> </w:t>
      </w:r>
      <w:r w:rsidR="0018038E" w:rsidRPr="00C77CAB">
        <w:rPr>
          <w:rFonts w:ascii="Goudy Old Style" w:hAnsi="Goudy Old Style"/>
          <w:sz w:val="25"/>
          <w:szCs w:val="25"/>
        </w:rPr>
        <w:t xml:space="preserve">budget papers and </w:t>
      </w:r>
      <w:r w:rsidR="002A77C9" w:rsidRPr="00C77CAB">
        <w:rPr>
          <w:rFonts w:ascii="Goudy Old Style" w:hAnsi="Goudy Old Style"/>
          <w:sz w:val="25"/>
          <w:szCs w:val="25"/>
        </w:rPr>
        <w:t>financial reports.</w:t>
      </w:r>
    </w:p>
    <w:p w:rsidR="002A77C9" w:rsidRPr="00C77CAB" w:rsidRDefault="002A77C9" w:rsidP="007364B1">
      <w:pPr>
        <w:spacing w:before="120"/>
        <w:rPr>
          <w:rFonts w:ascii="Goudy Old Style" w:hAnsi="Goudy Old Style"/>
          <w:sz w:val="25"/>
          <w:szCs w:val="25"/>
        </w:rPr>
      </w:pPr>
      <w:r w:rsidRPr="00C77CAB">
        <w:rPr>
          <w:rFonts w:ascii="Goudy Old Style" w:hAnsi="Goudy Old Style"/>
          <w:sz w:val="25"/>
          <w:szCs w:val="25"/>
        </w:rPr>
        <w:t xml:space="preserve">The </w:t>
      </w:r>
      <w:r w:rsidR="00727F4F" w:rsidRPr="00C77CAB">
        <w:rPr>
          <w:rFonts w:ascii="Goudy Old Style" w:hAnsi="Goudy Old Style"/>
          <w:sz w:val="25"/>
          <w:szCs w:val="25"/>
        </w:rPr>
        <w:t>R</w:t>
      </w:r>
      <w:r w:rsidRPr="00C77CAB">
        <w:rPr>
          <w:rFonts w:ascii="Goudy Old Style" w:hAnsi="Goudy Old Style"/>
          <w:sz w:val="25"/>
          <w:szCs w:val="25"/>
        </w:rPr>
        <w:t>eport summarises direct expenditure</w:t>
      </w:r>
      <w:r w:rsidR="006F2100" w:rsidRPr="00C77CAB">
        <w:rPr>
          <w:rFonts w:ascii="Goudy Old Style" w:hAnsi="Goudy Old Style"/>
          <w:sz w:val="25"/>
          <w:szCs w:val="25"/>
        </w:rPr>
        <w:t xml:space="preserve"> </w:t>
      </w:r>
      <w:r w:rsidRPr="00C77CAB">
        <w:rPr>
          <w:rFonts w:ascii="Goudy Old Style" w:hAnsi="Goudy Old Style"/>
          <w:sz w:val="25"/>
          <w:szCs w:val="25"/>
        </w:rPr>
        <w:t xml:space="preserve">for </w:t>
      </w:r>
      <w:r w:rsidR="0044546B" w:rsidRPr="00C77CAB">
        <w:rPr>
          <w:rFonts w:ascii="Goudy Old Style" w:hAnsi="Goudy Old Style"/>
          <w:sz w:val="25"/>
          <w:szCs w:val="25"/>
        </w:rPr>
        <w:t>2012-13</w:t>
      </w:r>
      <w:r w:rsidR="00922D8C" w:rsidRPr="00C77CAB">
        <w:rPr>
          <w:rFonts w:ascii="Goudy Old Style" w:hAnsi="Goudy Old Style"/>
          <w:sz w:val="25"/>
          <w:szCs w:val="25"/>
        </w:rPr>
        <w:t xml:space="preserve">, with </w:t>
      </w:r>
      <w:r w:rsidR="00727F4F" w:rsidRPr="00C77CAB">
        <w:rPr>
          <w:rFonts w:ascii="Goudy Old Style" w:hAnsi="Goudy Old Style"/>
          <w:sz w:val="25"/>
          <w:szCs w:val="25"/>
        </w:rPr>
        <w:t xml:space="preserve">comparisons </w:t>
      </w:r>
      <w:r w:rsidR="00922D8C" w:rsidRPr="00C77CAB">
        <w:rPr>
          <w:rFonts w:ascii="Goudy Old Style" w:hAnsi="Goudy Old Style"/>
          <w:sz w:val="25"/>
          <w:szCs w:val="25"/>
        </w:rPr>
        <w:t xml:space="preserve">for </w:t>
      </w:r>
      <w:r w:rsidRPr="00C77CAB">
        <w:rPr>
          <w:rFonts w:ascii="Goudy Old Style" w:hAnsi="Goudy Old Style"/>
          <w:sz w:val="25"/>
          <w:szCs w:val="25"/>
        </w:rPr>
        <w:t>2010-11</w:t>
      </w:r>
      <w:r w:rsidR="00727F4F" w:rsidRPr="00C77CAB">
        <w:rPr>
          <w:rFonts w:ascii="Goudy Old Style" w:hAnsi="Goudy Old Style"/>
          <w:sz w:val="25"/>
          <w:szCs w:val="25"/>
        </w:rPr>
        <w:t xml:space="preserve"> and 2008-09</w:t>
      </w:r>
      <w:r w:rsidRPr="00C77CAB">
        <w:rPr>
          <w:rFonts w:ascii="Goudy Old Style" w:hAnsi="Goudy Old Style"/>
          <w:sz w:val="25"/>
          <w:szCs w:val="25"/>
        </w:rPr>
        <w:t>. These are considered robust estimates of the amounts directly spent by the Australian Government, and State and Territory governments on services. More detailed information, including additional expenditure categories</w:t>
      </w:r>
      <w:r w:rsidR="00C42B48" w:rsidRPr="00C77CAB">
        <w:rPr>
          <w:rFonts w:ascii="Goudy Old Style" w:hAnsi="Goudy Old Style"/>
          <w:sz w:val="25"/>
          <w:szCs w:val="25"/>
        </w:rPr>
        <w:t xml:space="preserve"> </w:t>
      </w:r>
      <w:r w:rsidRPr="00C77CAB">
        <w:rPr>
          <w:rFonts w:ascii="Goudy Old Style" w:hAnsi="Goudy Old Style"/>
          <w:sz w:val="25"/>
          <w:szCs w:val="25"/>
        </w:rPr>
        <w:t xml:space="preserve">and estimates for total (direct plus indirect) expenditure </w:t>
      </w:r>
      <w:r w:rsidR="00DD432F" w:rsidRPr="00C77CAB">
        <w:rPr>
          <w:rFonts w:ascii="Goudy Old Style" w:hAnsi="Goudy Old Style"/>
          <w:sz w:val="25"/>
          <w:szCs w:val="25"/>
        </w:rPr>
        <w:t xml:space="preserve">is </w:t>
      </w:r>
      <w:r w:rsidRPr="00C77CAB">
        <w:rPr>
          <w:rFonts w:ascii="Goudy Old Style" w:hAnsi="Goudy Old Style"/>
          <w:sz w:val="25"/>
          <w:szCs w:val="25"/>
        </w:rPr>
        <w:t>available from the project website.</w:t>
      </w:r>
    </w:p>
    <w:p w:rsidR="0018038E" w:rsidRPr="00C77CAB" w:rsidRDefault="0005218B" w:rsidP="007364B1">
      <w:pPr>
        <w:spacing w:before="240"/>
        <w:rPr>
          <w:rFonts w:ascii="Goudy Old Style" w:hAnsi="Goudy Old Style"/>
          <w:b/>
          <w:color w:val="800000"/>
          <w:sz w:val="28"/>
        </w:rPr>
      </w:pPr>
      <w:r w:rsidRPr="00C77CAB">
        <w:rPr>
          <w:rFonts w:ascii="Goudy Old Style" w:hAnsi="Goudy Old Style"/>
          <w:b/>
          <w:color w:val="800000"/>
          <w:sz w:val="28"/>
        </w:rPr>
        <w:t>What</w:t>
      </w:r>
      <w:r w:rsidR="0018038E" w:rsidRPr="00C77CAB">
        <w:rPr>
          <w:rFonts w:ascii="Goudy Old Style" w:hAnsi="Goudy Old Style"/>
          <w:b/>
          <w:color w:val="800000"/>
          <w:sz w:val="28"/>
        </w:rPr>
        <w:t xml:space="preserve"> need</w:t>
      </w:r>
      <w:r w:rsidRPr="00C77CAB">
        <w:rPr>
          <w:rFonts w:ascii="Goudy Old Style" w:hAnsi="Goudy Old Style"/>
          <w:b/>
          <w:color w:val="800000"/>
          <w:sz w:val="28"/>
        </w:rPr>
        <w:t>s</w:t>
      </w:r>
      <w:r w:rsidR="0018038E" w:rsidRPr="00C77CAB">
        <w:rPr>
          <w:rFonts w:ascii="Goudy Old Style" w:hAnsi="Goudy Old Style"/>
          <w:b/>
          <w:color w:val="800000"/>
          <w:sz w:val="28"/>
        </w:rPr>
        <w:t xml:space="preserve"> to be considered when comparing expenditure over time?</w:t>
      </w:r>
    </w:p>
    <w:p w:rsidR="0018038E" w:rsidRPr="00C77CAB" w:rsidRDefault="0018038E" w:rsidP="00C77CAB">
      <w:pPr>
        <w:spacing w:before="120"/>
        <w:rPr>
          <w:rFonts w:ascii="Goudy Old Style" w:hAnsi="Goudy Old Style"/>
          <w:sz w:val="25"/>
          <w:szCs w:val="25"/>
        </w:rPr>
      </w:pPr>
      <w:r w:rsidRPr="00C77CAB">
        <w:rPr>
          <w:rFonts w:ascii="Goudy Old Style" w:hAnsi="Goudy Old Style"/>
          <w:sz w:val="25"/>
          <w:szCs w:val="25"/>
        </w:rPr>
        <w:t xml:space="preserve">The </w:t>
      </w:r>
      <w:r w:rsidR="007348F2" w:rsidRPr="00C77CAB">
        <w:rPr>
          <w:rFonts w:ascii="Goudy Old Style" w:hAnsi="Goudy Old Style"/>
          <w:sz w:val="25"/>
          <w:szCs w:val="25"/>
        </w:rPr>
        <w:t>Report</w:t>
      </w:r>
      <w:r w:rsidR="006F2100" w:rsidRPr="00C77CAB">
        <w:rPr>
          <w:rFonts w:ascii="Goudy Old Style" w:hAnsi="Goudy Old Style"/>
          <w:sz w:val="25"/>
          <w:szCs w:val="25"/>
        </w:rPr>
        <w:t xml:space="preserve"> provides </w:t>
      </w:r>
      <w:r w:rsidR="007348F2" w:rsidRPr="00C77CAB">
        <w:rPr>
          <w:rFonts w:ascii="Goudy Old Style" w:hAnsi="Goudy Old Style"/>
          <w:sz w:val="25"/>
          <w:szCs w:val="25"/>
        </w:rPr>
        <w:t xml:space="preserve">comparable </w:t>
      </w:r>
      <w:r w:rsidRPr="00C77CAB">
        <w:rPr>
          <w:rFonts w:ascii="Goudy Old Style" w:hAnsi="Goudy Old Style"/>
          <w:sz w:val="25"/>
          <w:szCs w:val="25"/>
        </w:rPr>
        <w:t xml:space="preserve">estimates for </w:t>
      </w:r>
      <w:r w:rsidR="004D760F" w:rsidRPr="00C77CAB">
        <w:rPr>
          <w:rFonts w:ascii="Goudy Old Style" w:hAnsi="Goudy Old Style"/>
          <w:sz w:val="25"/>
          <w:szCs w:val="25"/>
        </w:rPr>
        <w:t>2012-13, 2010-11 and 2008-09</w:t>
      </w:r>
      <w:r w:rsidRPr="00C77CAB">
        <w:rPr>
          <w:rFonts w:ascii="Goudy Old Style" w:hAnsi="Goudy Old Style"/>
          <w:sz w:val="25"/>
          <w:szCs w:val="25"/>
        </w:rPr>
        <w:t xml:space="preserve">. These periods are not intended to represent particular benchmarks against which future expenditure should be compared. Caution should be exercised when interpreting differences </w:t>
      </w:r>
      <w:r w:rsidR="004D760F" w:rsidRPr="00C77CAB">
        <w:rPr>
          <w:rFonts w:ascii="Goudy Old Style" w:hAnsi="Goudy Old Style"/>
          <w:sz w:val="25"/>
          <w:szCs w:val="25"/>
        </w:rPr>
        <w:t>across these three periods,</w:t>
      </w:r>
      <w:r w:rsidR="004D760F" w:rsidRPr="00C77CAB" w:rsidDel="004D760F">
        <w:rPr>
          <w:rFonts w:ascii="Goudy Old Style" w:hAnsi="Goudy Old Style"/>
          <w:sz w:val="25"/>
          <w:szCs w:val="25"/>
        </w:rPr>
        <w:t xml:space="preserve"> </w:t>
      </w:r>
      <w:r w:rsidRPr="00C77CAB">
        <w:rPr>
          <w:rFonts w:ascii="Goudy Old Style" w:hAnsi="Goudy Old Style"/>
          <w:sz w:val="25"/>
          <w:szCs w:val="25"/>
        </w:rPr>
        <w:t>because government expenditure, particularly for more disaggregated expenditure categories, can change over time for a number of reasons, including:</w:t>
      </w:r>
    </w:p>
    <w:p w:rsidR="0018038E" w:rsidRPr="00C77CAB" w:rsidRDefault="0018038E" w:rsidP="00C77CAB">
      <w:pPr>
        <w:pStyle w:val="ListBullet"/>
        <w:spacing w:before="100"/>
        <w:rPr>
          <w:rFonts w:ascii="Goudy Old Style" w:hAnsi="Goudy Old Style"/>
          <w:sz w:val="25"/>
          <w:szCs w:val="25"/>
        </w:rPr>
      </w:pPr>
      <w:r w:rsidRPr="00C77CAB">
        <w:rPr>
          <w:rFonts w:ascii="Goudy Old Style" w:hAnsi="Goudy Old Style"/>
          <w:i/>
          <w:sz w:val="25"/>
          <w:szCs w:val="25"/>
        </w:rPr>
        <w:t>increase in demand for government services</w:t>
      </w:r>
      <w:r w:rsidRPr="00C77CAB">
        <w:rPr>
          <w:rFonts w:ascii="Goudy Old Style" w:hAnsi="Goudy Old Style"/>
          <w:sz w:val="25"/>
          <w:szCs w:val="25"/>
        </w:rPr>
        <w:t xml:space="preserve"> — generally, increases in the level of demand for particular services will increase expenditure, particularly where expenditure </w:t>
      </w:r>
      <w:r w:rsidR="007348F2" w:rsidRPr="00C77CAB">
        <w:rPr>
          <w:rFonts w:ascii="Goudy Old Style" w:hAnsi="Goudy Old Style"/>
          <w:sz w:val="25"/>
          <w:szCs w:val="25"/>
        </w:rPr>
        <w:t xml:space="preserve">is </w:t>
      </w:r>
      <w:r w:rsidRPr="00C77CAB">
        <w:rPr>
          <w:rFonts w:ascii="Goudy Old Style" w:hAnsi="Goudy Old Style"/>
          <w:sz w:val="25"/>
          <w:szCs w:val="25"/>
        </w:rPr>
        <w:t xml:space="preserve">based on meeting eligibility criteria </w:t>
      </w:r>
      <w:r w:rsidR="007348F2" w:rsidRPr="00C77CAB">
        <w:rPr>
          <w:rFonts w:ascii="Goudy Old Style" w:hAnsi="Goudy Old Style"/>
          <w:sz w:val="25"/>
          <w:szCs w:val="25"/>
        </w:rPr>
        <w:t xml:space="preserve">and therefore </w:t>
      </w:r>
      <w:r w:rsidRPr="00C77CAB">
        <w:rPr>
          <w:rFonts w:ascii="Goudy Old Style" w:hAnsi="Goudy Old Style"/>
          <w:sz w:val="25"/>
          <w:szCs w:val="25"/>
        </w:rPr>
        <w:t>uncapped</w:t>
      </w:r>
      <w:r w:rsidR="006F2100" w:rsidRPr="00C77CAB">
        <w:rPr>
          <w:rFonts w:ascii="Goudy Old Style" w:hAnsi="Goudy Old Style"/>
          <w:sz w:val="25"/>
          <w:szCs w:val="25"/>
        </w:rPr>
        <w:t xml:space="preserve"> (f</w:t>
      </w:r>
      <w:r w:rsidRPr="00C77CAB">
        <w:rPr>
          <w:rFonts w:ascii="Goudy Old Style" w:hAnsi="Goudy Old Style"/>
          <w:sz w:val="25"/>
          <w:szCs w:val="25"/>
        </w:rPr>
        <w:t>or example, expenditure on unemployment benefits or Medicare</w:t>
      </w:r>
      <w:r w:rsidR="006F2100" w:rsidRPr="00C77CAB">
        <w:rPr>
          <w:rFonts w:ascii="Goudy Old Style" w:hAnsi="Goudy Old Style"/>
          <w:sz w:val="25"/>
          <w:szCs w:val="25"/>
        </w:rPr>
        <w:t>)</w:t>
      </w:r>
    </w:p>
    <w:p w:rsidR="00184BF8" w:rsidRPr="00C77CAB" w:rsidRDefault="00184BF8" w:rsidP="00C77CAB">
      <w:pPr>
        <w:pStyle w:val="ListBullet"/>
        <w:spacing w:before="100"/>
        <w:rPr>
          <w:rFonts w:ascii="Goudy Old Style" w:hAnsi="Goudy Old Style"/>
          <w:sz w:val="25"/>
          <w:szCs w:val="25"/>
        </w:rPr>
      </w:pPr>
      <w:r w:rsidRPr="00C77CAB">
        <w:rPr>
          <w:rFonts w:ascii="Goudy Old Style" w:hAnsi="Goudy Old Style"/>
          <w:i/>
          <w:sz w:val="25"/>
          <w:szCs w:val="25"/>
        </w:rPr>
        <w:lastRenderedPageBreak/>
        <w:t xml:space="preserve">new policies and changes to existing </w:t>
      </w:r>
      <w:r w:rsidR="003A576A" w:rsidRPr="00C77CAB">
        <w:rPr>
          <w:rFonts w:ascii="Goudy Old Style" w:hAnsi="Goudy Old Style"/>
          <w:i/>
          <w:sz w:val="25"/>
          <w:szCs w:val="25"/>
        </w:rPr>
        <w:t>programs</w:t>
      </w:r>
      <w:r w:rsidR="003A576A" w:rsidRPr="00C77CAB">
        <w:rPr>
          <w:rFonts w:ascii="Goudy Old Style" w:hAnsi="Goudy Old Style"/>
          <w:sz w:val="25"/>
          <w:szCs w:val="25"/>
        </w:rPr>
        <w:t xml:space="preserve"> </w:t>
      </w:r>
      <w:r w:rsidRPr="00C77CAB">
        <w:rPr>
          <w:rFonts w:ascii="Goudy Old Style" w:hAnsi="Goudy Old Style"/>
          <w:sz w:val="25"/>
          <w:szCs w:val="25"/>
        </w:rPr>
        <w:t>— changes in government policies over time can cause significant movements in expenditure. Significant ‘one-off’ global financial crisis stimulus expenditures influenced the 2008-09 estimates. On the other hand, expenditure on many Closing the Gap initiatives did not commence until after 2008-09</w:t>
      </w:r>
    </w:p>
    <w:p w:rsidR="0018038E" w:rsidRPr="00C77CAB" w:rsidRDefault="0018038E" w:rsidP="00C77CAB">
      <w:pPr>
        <w:pStyle w:val="ListBullet"/>
        <w:spacing w:before="100"/>
        <w:rPr>
          <w:rFonts w:ascii="Goudy Old Style" w:hAnsi="Goudy Old Style"/>
          <w:sz w:val="25"/>
          <w:szCs w:val="25"/>
        </w:rPr>
      </w:pPr>
      <w:r w:rsidRPr="00C77CAB">
        <w:rPr>
          <w:rFonts w:ascii="Goudy Old Style" w:hAnsi="Goudy Old Style"/>
          <w:i/>
          <w:sz w:val="25"/>
          <w:szCs w:val="25"/>
        </w:rPr>
        <w:t>the effects of inflation</w:t>
      </w:r>
      <w:r w:rsidRPr="00C77CAB">
        <w:rPr>
          <w:rFonts w:ascii="Goudy Old Style" w:hAnsi="Goudy Old Style"/>
          <w:sz w:val="25"/>
          <w:szCs w:val="25"/>
        </w:rPr>
        <w:t xml:space="preserve"> — to determine actual movement in expenditure, the effect of inflation needs to be removed</w:t>
      </w:r>
      <w:r w:rsidR="00184BF8" w:rsidRPr="00C77CAB">
        <w:rPr>
          <w:rFonts w:ascii="Goudy Old Style" w:hAnsi="Goudy Old Style"/>
          <w:sz w:val="25"/>
          <w:szCs w:val="25"/>
        </w:rPr>
        <w:t>. This report removes the effect of inflation from time series data and expresses data in constant (or real) (2012-13) prices</w:t>
      </w:r>
      <w:r w:rsidR="00184BF8" w:rsidRPr="00C77CAB">
        <w:rPr>
          <w:rFonts w:ascii="Goudy Old Style" w:hAnsi="Goudy Old Style"/>
          <w:sz w:val="25"/>
          <w:szCs w:val="25"/>
          <w:vertAlign w:val="superscript"/>
        </w:rPr>
        <w:footnoteReference w:id="1"/>
      </w:r>
      <w:r w:rsidR="00184BF8" w:rsidRPr="00C77CAB">
        <w:rPr>
          <w:rFonts w:ascii="Goudy Old Style" w:hAnsi="Goudy Old Style"/>
          <w:sz w:val="25"/>
          <w:szCs w:val="25"/>
        </w:rPr>
        <w:t>. Detailed data on the website are available in either constant (real) or nominal (unadjusted) terms</w:t>
      </w:r>
    </w:p>
    <w:p w:rsidR="0018038E" w:rsidRPr="00C77CAB" w:rsidRDefault="009F7257" w:rsidP="00C77CAB">
      <w:pPr>
        <w:pStyle w:val="ListBullet"/>
        <w:spacing w:before="100"/>
        <w:rPr>
          <w:rFonts w:ascii="Goudy Old Style" w:hAnsi="Goudy Old Style"/>
          <w:sz w:val="25"/>
          <w:szCs w:val="25"/>
        </w:rPr>
      </w:pPr>
      <w:r w:rsidRPr="00C77CAB">
        <w:rPr>
          <w:rFonts w:ascii="Goudy Old Style" w:hAnsi="Goudy Old Style"/>
          <w:i/>
          <w:sz w:val="25"/>
          <w:szCs w:val="25"/>
        </w:rPr>
        <w:t>changes to the allocation of expenditure</w:t>
      </w:r>
      <w:r w:rsidRPr="00C77CAB">
        <w:rPr>
          <w:rFonts w:ascii="Goudy Old Style" w:hAnsi="Goudy Old Style"/>
          <w:sz w:val="25"/>
          <w:szCs w:val="25"/>
        </w:rPr>
        <w:t xml:space="preserve"> — the </w:t>
      </w:r>
      <w:r w:rsidR="00184BF8" w:rsidRPr="00C77CAB">
        <w:rPr>
          <w:rFonts w:ascii="Goudy Old Style" w:hAnsi="Goudy Old Style"/>
          <w:sz w:val="25"/>
          <w:szCs w:val="25"/>
        </w:rPr>
        <w:t xml:space="preserve">2014 </w:t>
      </w:r>
      <w:r w:rsidRPr="00C77CAB">
        <w:rPr>
          <w:rFonts w:ascii="Goudy Old Style" w:hAnsi="Goudy Old Style"/>
          <w:sz w:val="25"/>
          <w:szCs w:val="25"/>
        </w:rPr>
        <w:t xml:space="preserve">Expenditure Data Manual provides guidelines </w:t>
      </w:r>
      <w:r w:rsidR="007348F2" w:rsidRPr="00C77CAB">
        <w:rPr>
          <w:rFonts w:ascii="Goudy Old Style" w:hAnsi="Goudy Old Style"/>
          <w:sz w:val="25"/>
          <w:szCs w:val="25"/>
        </w:rPr>
        <w:t xml:space="preserve">to assist governments to </w:t>
      </w:r>
      <w:r w:rsidRPr="00C77CAB">
        <w:rPr>
          <w:rFonts w:ascii="Goudy Old Style" w:hAnsi="Goudy Old Style"/>
          <w:sz w:val="25"/>
          <w:szCs w:val="25"/>
        </w:rPr>
        <w:t>allocat</w:t>
      </w:r>
      <w:r w:rsidR="007348F2" w:rsidRPr="00C77CAB">
        <w:rPr>
          <w:rFonts w:ascii="Goudy Old Style" w:hAnsi="Goudy Old Style"/>
          <w:sz w:val="25"/>
          <w:szCs w:val="25"/>
        </w:rPr>
        <w:t>e</w:t>
      </w:r>
      <w:r w:rsidRPr="00C77CAB">
        <w:rPr>
          <w:rFonts w:ascii="Goudy Old Style" w:hAnsi="Goudy Old Style"/>
          <w:sz w:val="25"/>
          <w:szCs w:val="25"/>
        </w:rPr>
        <w:t xml:space="preserve"> outlays to the appropriate expenditure categories. However, changes in the machinery of government, information systems and accounting policies can result in different allocations of expenditure over time (particularly</w:t>
      </w:r>
      <w:r w:rsidR="007348F2" w:rsidRPr="00C77CAB">
        <w:rPr>
          <w:rFonts w:ascii="Goudy Old Style" w:hAnsi="Goudy Old Style"/>
          <w:sz w:val="25"/>
          <w:szCs w:val="25"/>
        </w:rPr>
        <w:t xml:space="preserve"> at more </w:t>
      </w:r>
      <w:r w:rsidRPr="00C77CAB">
        <w:rPr>
          <w:rFonts w:ascii="Goudy Old Style" w:hAnsi="Goudy Old Style"/>
          <w:sz w:val="25"/>
          <w:szCs w:val="25"/>
        </w:rPr>
        <w:t xml:space="preserve"> detailed levels of disaggregation).</w:t>
      </w:r>
    </w:p>
    <w:p w:rsidR="009F713B" w:rsidRPr="00C77CAB" w:rsidRDefault="009F713B" w:rsidP="00C77CAB">
      <w:pPr>
        <w:spacing w:before="240"/>
        <w:rPr>
          <w:rFonts w:ascii="Goudy Old Style" w:hAnsi="Goudy Old Style"/>
          <w:sz w:val="25"/>
          <w:szCs w:val="25"/>
        </w:rPr>
      </w:pPr>
      <w:r w:rsidRPr="00C77CAB">
        <w:rPr>
          <w:rFonts w:ascii="Goudy Old Style" w:hAnsi="Goudy Old Style"/>
          <w:sz w:val="25"/>
          <w:szCs w:val="25"/>
        </w:rPr>
        <w:t xml:space="preserve">Readers should not compare estimates for 2008-09 and 2010-11 in the 2014 Report with estimates for the same years in the 2012 Report. The 2014 Report </w:t>
      </w:r>
      <w:r w:rsidR="00D60B67" w:rsidRPr="00C77CAB">
        <w:rPr>
          <w:rFonts w:ascii="Goudy Old Style" w:hAnsi="Goudy Old Style"/>
          <w:sz w:val="25"/>
          <w:szCs w:val="25"/>
        </w:rPr>
        <w:t>uses</w:t>
      </w:r>
      <w:r w:rsidRPr="00C77CAB">
        <w:rPr>
          <w:rFonts w:ascii="Goudy Old Style" w:hAnsi="Goudy Old Style"/>
          <w:sz w:val="25"/>
          <w:szCs w:val="25"/>
        </w:rPr>
        <w:t xml:space="preserve"> new population estimates published by the Australian Bureau of Statistics</w:t>
      </w:r>
      <w:r w:rsidR="00D60B67" w:rsidRPr="00C77CAB">
        <w:rPr>
          <w:rFonts w:ascii="Goudy Old Style" w:hAnsi="Goudy Old Style"/>
          <w:sz w:val="25"/>
          <w:szCs w:val="25"/>
        </w:rPr>
        <w:t xml:space="preserve"> (ABS) ba</w:t>
      </w:r>
      <w:r w:rsidRPr="00C77CAB">
        <w:rPr>
          <w:rFonts w:ascii="Goudy Old Style" w:hAnsi="Goudy Old Style"/>
          <w:sz w:val="25"/>
          <w:szCs w:val="25"/>
        </w:rPr>
        <w:t xml:space="preserve">sed on the 2011 Census. After the 2011 Census, the ABS determined that its previous population projections (based on the 2006 Census) had overestimated the total population. Therefore, the Estimated Resident Population (ERP) for June 2011 and June 2009 used in the 2014 </w:t>
      </w:r>
      <w:r w:rsidR="00D60B67" w:rsidRPr="00C77CAB">
        <w:rPr>
          <w:rFonts w:ascii="Goudy Old Style" w:hAnsi="Goudy Old Style"/>
          <w:sz w:val="25"/>
          <w:szCs w:val="25"/>
        </w:rPr>
        <w:t>Report</w:t>
      </w:r>
      <w:r w:rsidRPr="00C77CAB">
        <w:rPr>
          <w:rFonts w:ascii="Goudy Old Style" w:hAnsi="Goudy Old Style"/>
          <w:sz w:val="25"/>
          <w:szCs w:val="25"/>
        </w:rPr>
        <w:t xml:space="preserve"> are lower than the projections used in the 2012 </w:t>
      </w:r>
      <w:r w:rsidR="00D60B67" w:rsidRPr="00C77CAB">
        <w:rPr>
          <w:rFonts w:ascii="Goudy Old Style" w:hAnsi="Goudy Old Style"/>
          <w:sz w:val="25"/>
          <w:szCs w:val="25"/>
        </w:rPr>
        <w:t>Report</w:t>
      </w:r>
      <w:r w:rsidRPr="00C77CAB">
        <w:rPr>
          <w:rFonts w:ascii="Goudy Old Style" w:hAnsi="Goudy Old Style"/>
          <w:sz w:val="25"/>
          <w:szCs w:val="25"/>
        </w:rPr>
        <w:t xml:space="preserve">. At the same time, latest ABS estimates of the Aboriginal and Torres Strait Islander population </w:t>
      </w:r>
      <w:r w:rsidR="00D60B67" w:rsidRPr="00C77CAB">
        <w:rPr>
          <w:rFonts w:ascii="Goudy Old Style" w:hAnsi="Goudy Old Style"/>
          <w:sz w:val="25"/>
          <w:szCs w:val="25"/>
        </w:rPr>
        <w:t xml:space="preserve">(published in 2014) </w:t>
      </w:r>
      <w:r w:rsidRPr="00C77CAB">
        <w:rPr>
          <w:rFonts w:ascii="Goudy Old Style" w:hAnsi="Goudy Old Style"/>
          <w:sz w:val="25"/>
          <w:szCs w:val="25"/>
        </w:rPr>
        <w:t xml:space="preserve">are higher than the projections used in the 2012 </w:t>
      </w:r>
      <w:r w:rsidR="00D60B67" w:rsidRPr="00C77CAB">
        <w:rPr>
          <w:rFonts w:ascii="Goudy Old Style" w:hAnsi="Goudy Old Style"/>
          <w:sz w:val="25"/>
          <w:szCs w:val="25"/>
        </w:rPr>
        <w:t>Report</w:t>
      </w:r>
      <w:r w:rsidRPr="00C77CAB">
        <w:rPr>
          <w:rFonts w:ascii="Goudy Old Style" w:hAnsi="Goudy Old Style"/>
          <w:sz w:val="25"/>
          <w:szCs w:val="25"/>
        </w:rPr>
        <w:t xml:space="preserve">. The size of the change in the total ERP and the </w:t>
      </w:r>
      <w:r w:rsidR="00D60B67" w:rsidRPr="00C77CAB">
        <w:rPr>
          <w:rFonts w:ascii="Goudy Old Style" w:hAnsi="Goudy Old Style"/>
          <w:sz w:val="25"/>
          <w:szCs w:val="25"/>
        </w:rPr>
        <w:t>Aboriginal and Torres Strait Islander</w:t>
      </w:r>
      <w:r w:rsidRPr="00C77CAB">
        <w:rPr>
          <w:rFonts w:ascii="Goudy Old Style" w:hAnsi="Goudy Old Style"/>
          <w:sz w:val="25"/>
          <w:szCs w:val="25"/>
        </w:rPr>
        <w:t xml:space="preserve"> population varies </w:t>
      </w:r>
      <w:r w:rsidR="007348F2" w:rsidRPr="00C77CAB">
        <w:rPr>
          <w:rFonts w:ascii="Goudy Old Style" w:hAnsi="Goudy Old Style"/>
          <w:sz w:val="25"/>
          <w:szCs w:val="25"/>
        </w:rPr>
        <w:t xml:space="preserve">across </w:t>
      </w:r>
      <w:r w:rsidRPr="00C77CAB">
        <w:rPr>
          <w:rFonts w:ascii="Goudy Old Style" w:hAnsi="Goudy Old Style"/>
          <w:sz w:val="25"/>
          <w:szCs w:val="25"/>
        </w:rPr>
        <w:t>jurisdictions.</w:t>
      </w:r>
    </w:p>
    <w:p w:rsidR="009F713B" w:rsidRPr="00C77CAB" w:rsidRDefault="009F713B" w:rsidP="00C77CAB">
      <w:pPr>
        <w:spacing w:before="240"/>
        <w:rPr>
          <w:rFonts w:ascii="Goudy Old Style" w:hAnsi="Goudy Old Style"/>
          <w:sz w:val="25"/>
          <w:szCs w:val="25"/>
        </w:rPr>
      </w:pPr>
      <w:r w:rsidRPr="00C77CAB">
        <w:rPr>
          <w:rFonts w:ascii="Goudy Old Style" w:hAnsi="Goudy Old Style"/>
          <w:sz w:val="25"/>
          <w:szCs w:val="25"/>
        </w:rPr>
        <w:t xml:space="preserve">Consequently, the estimated </w:t>
      </w:r>
      <w:r w:rsidR="00D60B67" w:rsidRPr="00C77CAB">
        <w:rPr>
          <w:rFonts w:ascii="Goudy Old Style" w:hAnsi="Goudy Old Style"/>
          <w:sz w:val="25"/>
          <w:szCs w:val="25"/>
        </w:rPr>
        <w:t>Aboriginal and Torres Strait Islander</w:t>
      </w:r>
      <w:r w:rsidRPr="00C77CAB">
        <w:rPr>
          <w:rFonts w:ascii="Goudy Old Style" w:hAnsi="Goudy Old Style"/>
          <w:sz w:val="25"/>
          <w:szCs w:val="25"/>
        </w:rPr>
        <w:t xml:space="preserve"> share of expenditure for 2008-09 and 2010-11 apportioned using population service use measures </w:t>
      </w:r>
      <w:r w:rsidR="00D60B67" w:rsidRPr="00C77CAB">
        <w:rPr>
          <w:rFonts w:ascii="Goudy Old Style" w:hAnsi="Goudy Old Style"/>
          <w:sz w:val="25"/>
          <w:szCs w:val="25"/>
        </w:rPr>
        <w:t xml:space="preserve">(see table 1 of the main report and the Service Use Measure Definitions Manual) </w:t>
      </w:r>
      <w:r w:rsidRPr="00C77CAB">
        <w:rPr>
          <w:rFonts w:ascii="Goudy Old Style" w:hAnsi="Goudy Old Style"/>
          <w:sz w:val="25"/>
          <w:szCs w:val="25"/>
        </w:rPr>
        <w:t xml:space="preserve">is higher than it was in the 2012 </w:t>
      </w:r>
      <w:r w:rsidR="00D60B67" w:rsidRPr="00C77CAB">
        <w:rPr>
          <w:rFonts w:ascii="Goudy Old Style" w:hAnsi="Goudy Old Style"/>
          <w:sz w:val="25"/>
          <w:szCs w:val="25"/>
        </w:rPr>
        <w:t>Report</w:t>
      </w:r>
      <w:r w:rsidRPr="00C77CAB">
        <w:rPr>
          <w:rFonts w:ascii="Goudy Old Style" w:hAnsi="Goudy Old Style"/>
          <w:sz w:val="25"/>
          <w:szCs w:val="25"/>
        </w:rPr>
        <w:t xml:space="preserve"> (</w:t>
      </w:r>
      <w:r w:rsidR="00D60B67" w:rsidRPr="00C77CAB">
        <w:rPr>
          <w:rFonts w:ascii="Goudy Old Style" w:hAnsi="Goudy Old Style"/>
          <w:sz w:val="25"/>
          <w:szCs w:val="25"/>
        </w:rPr>
        <w:t>expenditure categories</w:t>
      </w:r>
      <w:r w:rsidRPr="00C77CAB">
        <w:rPr>
          <w:rFonts w:ascii="Goudy Old Style" w:hAnsi="Goudy Old Style"/>
          <w:sz w:val="25"/>
          <w:szCs w:val="25"/>
        </w:rPr>
        <w:t xml:space="preserve"> with non-population service use measures are unaffected). At the same time, the higher </w:t>
      </w:r>
      <w:r w:rsidR="00D60B67" w:rsidRPr="00C77CAB">
        <w:rPr>
          <w:rFonts w:ascii="Goudy Old Style" w:hAnsi="Goudy Old Style"/>
          <w:sz w:val="25"/>
          <w:szCs w:val="25"/>
        </w:rPr>
        <w:t>Aboriginal and Torres Strait Islander</w:t>
      </w:r>
      <w:r w:rsidRPr="00C77CAB">
        <w:rPr>
          <w:rFonts w:ascii="Goudy Old Style" w:hAnsi="Goudy Old Style"/>
          <w:sz w:val="25"/>
          <w:szCs w:val="25"/>
        </w:rPr>
        <w:t xml:space="preserve"> population denominator means that </w:t>
      </w:r>
      <w:r w:rsidR="00D60B67" w:rsidRPr="00C77CAB">
        <w:rPr>
          <w:rFonts w:ascii="Goudy Old Style" w:hAnsi="Goudy Old Style"/>
          <w:sz w:val="25"/>
          <w:szCs w:val="25"/>
        </w:rPr>
        <w:t xml:space="preserve">per </w:t>
      </w:r>
      <w:r w:rsidRPr="00C77CAB">
        <w:rPr>
          <w:rFonts w:ascii="Goudy Old Style" w:hAnsi="Goudy Old Style"/>
          <w:sz w:val="25"/>
          <w:szCs w:val="25"/>
        </w:rPr>
        <w:t xml:space="preserve">person expenditure estimates for </w:t>
      </w:r>
      <w:r w:rsidR="00D60B67" w:rsidRPr="00C77CAB">
        <w:rPr>
          <w:rFonts w:ascii="Goudy Old Style" w:hAnsi="Goudy Old Style"/>
          <w:sz w:val="25"/>
          <w:szCs w:val="25"/>
        </w:rPr>
        <w:t>Aboriginal and Torres Strait Islander</w:t>
      </w:r>
      <w:r w:rsidRPr="00C77CAB">
        <w:rPr>
          <w:rFonts w:ascii="Goudy Old Style" w:hAnsi="Goudy Old Style"/>
          <w:sz w:val="25"/>
          <w:szCs w:val="25"/>
        </w:rPr>
        <w:t xml:space="preserve"> people are lower in the 2014 </w:t>
      </w:r>
      <w:r w:rsidR="00D60B67" w:rsidRPr="00C77CAB">
        <w:rPr>
          <w:rFonts w:ascii="Goudy Old Style" w:hAnsi="Goudy Old Style"/>
          <w:sz w:val="25"/>
          <w:szCs w:val="25"/>
        </w:rPr>
        <w:t>Report</w:t>
      </w:r>
      <w:r w:rsidRPr="00C77CAB">
        <w:rPr>
          <w:rFonts w:ascii="Goudy Old Style" w:hAnsi="Goudy Old Style"/>
          <w:sz w:val="25"/>
          <w:szCs w:val="25"/>
        </w:rPr>
        <w:t xml:space="preserve"> than they were in the 2012 </w:t>
      </w:r>
      <w:r w:rsidR="00D60B67" w:rsidRPr="00C77CAB">
        <w:rPr>
          <w:rFonts w:ascii="Goudy Old Style" w:hAnsi="Goudy Old Style"/>
          <w:sz w:val="25"/>
          <w:szCs w:val="25"/>
        </w:rPr>
        <w:t>Report</w:t>
      </w:r>
      <w:r w:rsidRPr="00C77CAB">
        <w:rPr>
          <w:rFonts w:ascii="Goudy Old Style" w:hAnsi="Goudy Old Style"/>
          <w:sz w:val="25"/>
          <w:szCs w:val="25"/>
        </w:rPr>
        <w:t>. The</w:t>
      </w:r>
      <w:r w:rsidR="00D60B67" w:rsidRPr="00C77CAB">
        <w:rPr>
          <w:rFonts w:ascii="Goudy Old Style" w:hAnsi="Goudy Old Style"/>
          <w:sz w:val="25"/>
          <w:szCs w:val="25"/>
        </w:rPr>
        <w:t>refore, the</w:t>
      </w:r>
      <w:r w:rsidRPr="00C77CAB">
        <w:rPr>
          <w:rFonts w:ascii="Goudy Old Style" w:hAnsi="Goudy Old Style"/>
          <w:sz w:val="25"/>
          <w:szCs w:val="25"/>
        </w:rPr>
        <w:t xml:space="preserve"> ratio of Indigenous to non</w:t>
      </w:r>
      <w:r w:rsidR="005B69AA" w:rsidRPr="00C77CAB">
        <w:rPr>
          <w:rFonts w:ascii="Goudy Old Style" w:hAnsi="Goudy Old Style"/>
          <w:sz w:val="25"/>
          <w:szCs w:val="25"/>
        </w:rPr>
        <w:noBreakHyphen/>
      </w:r>
      <w:r w:rsidRPr="00C77CAB">
        <w:rPr>
          <w:rFonts w:ascii="Goudy Old Style" w:hAnsi="Goudy Old Style"/>
          <w:sz w:val="25"/>
          <w:szCs w:val="25"/>
        </w:rPr>
        <w:t xml:space="preserve">Indigenous expenditure per person in the 2014 </w:t>
      </w:r>
      <w:r w:rsidR="00D60B67" w:rsidRPr="00C77CAB">
        <w:rPr>
          <w:rFonts w:ascii="Goudy Old Style" w:hAnsi="Goudy Old Style"/>
          <w:sz w:val="25"/>
          <w:szCs w:val="25"/>
        </w:rPr>
        <w:t>Report</w:t>
      </w:r>
      <w:r w:rsidRPr="00C77CAB">
        <w:rPr>
          <w:rFonts w:ascii="Goudy Old Style" w:hAnsi="Goudy Old Style"/>
          <w:sz w:val="25"/>
          <w:szCs w:val="25"/>
        </w:rPr>
        <w:t xml:space="preserve"> is lower than in the 2012 </w:t>
      </w:r>
      <w:r w:rsidR="00D60B67" w:rsidRPr="00C77CAB">
        <w:rPr>
          <w:rFonts w:ascii="Goudy Old Style" w:hAnsi="Goudy Old Style"/>
          <w:sz w:val="25"/>
          <w:szCs w:val="25"/>
        </w:rPr>
        <w:t>Report</w:t>
      </w:r>
      <w:r w:rsidRPr="00C77CAB">
        <w:rPr>
          <w:rFonts w:ascii="Goudy Old Style" w:hAnsi="Goudy Old Style"/>
          <w:sz w:val="25"/>
          <w:szCs w:val="25"/>
        </w:rPr>
        <w:t xml:space="preserve">. The size of the effect varies </w:t>
      </w:r>
      <w:r w:rsidR="007348F2" w:rsidRPr="00C77CAB">
        <w:rPr>
          <w:rFonts w:ascii="Goudy Old Style" w:hAnsi="Goudy Old Style"/>
          <w:sz w:val="25"/>
          <w:szCs w:val="25"/>
        </w:rPr>
        <w:t xml:space="preserve">across </w:t>
      </w:r>
      <w:r w:rsidRPr="00C77CAB">
        <w:rPr>
          <w:rFonts w:ascii="Goudy Old Style" w:hAnsi="Goudy Old Style"/>
          <w:sz w:val="25"/>
          <w:szCs w:val="25"/>
        </w:rPr>
        <w:t xml:space="preserve">jurisdictions. </w:t>
      </w:r>
    </w:p>
    <w:p w:rsidR="00D60B67" w:rsidRPr="004F128E" w:rsidRDefault="00D60B67" w:rsidP="00C77CAB">
      <w:pPr>
        <w:spacing w:before="240"/>
        <w:rPr>
          <w:rFonts w:ascii="Goudy Old Style" w:hAnsi="Goudy Old Style"/>
          <w:sz w:val="25"/>
          <w:szCs w:val="25"/>
        </w:rPr>
      </w:pPr>
      <w:r w:rsidRPr="00C77CAB">
        <w:rPr>
          <w:rFonts w:ascii="Goudy Old Style" w:hAnsi="Goudy Old Style"/>
          <w:sz w:val="25"/>
          <w:szCs w:val="25"/>
        </w:rPr>
        <w:t>As well as the changes in population data, the 2014 Report also reflects revisions to service use measure data and expenditure allocations by some governments.</w:t>
      </w:r>
    </w:p>
    <w:p w:rsidR="0018038E" w:rsidRPr="004F128E" w:rsidRDefault="0018038E" w:rsidP="007364B1">
      <w:pPr>
        <w:spacing w:before="240"/>
        <w:rPr>
          <w:rFonts w:ascii="Goudy Old Style" w:hAnsi="Goudy Old Style"/>
          <w:i/>
          <w:sz w:val="25"/>
          <w:szCs w:val="25"/>
        </w:rPr>
      </w:pPr>
      <w:r w:rsidRPr="004F128E">
        <w:rPr>
          <w:rFonts w:ascii="Goudy Old Style" w:hAnsi="Goudy Old Style"/>
          <w:i/>
          <w:sz w:val="25"/>
          <w:szCs w:val="25"/>
        </w:rPr>
        <w:t>For more information,</w:t>
      </w:r>
      <w:r w:rsidR="00B73070">
        <w:rPr>
          <w:rFonts w:ascii="Goudy Old Style" w:hAnsi="Goudy Old Style"/>
          <w:i/>
          <w:sz w:val="25"/>
          <w:szCs w:val="25"/>
        </w:rPr>
        <w:t xml:space="preserve"> </w:t>
      </w:r>
      <w:r w:rsidRPr="004F128E">
        <w:rPr>
          <w:rFonts w:ascii="Goudy Old Style" w:hAnsi="Goudy Old Style"/>
          <w:i/>
          <w:sz w:val="25"/>
          <w:szCs w:val="25"/>
        </w:rPr>
        <w:t>refer to the Repo</w:t>
      </w:r>
      <w:r w:rsidR="00D66303" w:rsidRPr="004F128E">
        <w:rPr>
          <w:rFonts w:ascii="Goudy Old Style" w:hAnsi="Goudy Old Style"/>
          <w:i/>
          <w:sz w:val="25"/>
          <w:szCs w:val="25"/>
        </w:rPr>
        <w:t>rt.</w:t>
      </w:r>
    </w:p>
    <w:sectPr w:rsidR="0018038E" w:rsidRPr="004F128E" w:rsidSect="00843EAC">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85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ACA" w:rsidRDefault="00D02ACA">
      <w:r>
        <w:separator/>
      </w:r>
    </w:p>
  </w:endnote>
  <w:endnote w:type="continuationSeparator" w:id="0">
    <w:p w:rsidR="00D02ACA" w:rsidRDefault="00D0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OlS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C7" w:rsidRPr="00556877" w:rsidRDefault="00C159C7" w:rsidP="003F30DF">
    <w:pPr>
      <w:tabs>
        <w:tab w:val="right" w:pos="10204"/>
      </w:tabs>
      <w:rPr>
        <w:sz w:val="12"/>
        <w:szCs w:val="12"/>
      </w:rPr>
    </w:pPr>
  </w:p>
  <w:tbl>
    <w:tblPr>
      <w:tblW w:w="5000" w:type="pct"/>
      <w:tblBorders>
        <w:top w:val="single" w:sz="8" w:space="0" w:color="auto"/>
        <w:bottom w:val="single" w:sz="8" w:space="0" w:color="auto"/>
      </w:tblBorders>
      <w:tblCellMar>
        <w:left w:w="0" w:type="dxa"/>
        <w:right w:w="0" w:type="dxa"/>
      </w:tblCellMar>
      <w:tblLook w:val="01E0" w:firstRow="1" w:lastRow="1" w:firstColumn="1" w:lastColumn="1" w:noHBand="0" w:noVBand="0"/>
    </w:tblPr>
    <w:tblGrid>
      <w:gridCol w:w="2590"/>
      <w:gridCol w:w="7614"/>
    </w:tblGrid>
    <w:tr w:rsidR="00C159C7" w:rsidRPr="00E62F9C" w:rsidTr="00E62F9C">
      <w:trPr>
        <w:cantSplit/>
      </w:trPr>
      <w:tc>
        <w:tcPr>
          <w:tcW w:w="2552" w:type="dxa"/>
          <w:shd w:val="clear" w:color="auto" w:fill="auto"/>
          <w:vAlign w:val="center"/>
        </w:tcPr>
        <w:p w:rsidR="00C159C7" w:rsidRPr="00E62F9C" w:rsidRDefault="00C159C7" w:rsidP="00E62F9C">
          <w:pPr>
            <w:pStyle w:val="Footertext2"/>
            <w:jc w:val="left"/>
            <w:rPr>
              <w:rFonts w:cs="Arial"/>
              <w:sz w:val="110"/>
              <w:szCs w:val="110"/>
            </w:rPr>
          </w:pPr>
          <w:r w:rsidRPr="00E62F9C">
            <w:rPr>
              <w:rFonts w:cs="Arial"/>
              <w:sz w:val="110"/>
              <w:szCs w:val="110"/>
            </w:rPr>
            <w:t>2010</w:t>
          </w:r>
        </w:p>
      </w:tc>
      <w:tc>
        <w:tcPr>
          <w:tcW w:w="7504" w:type="dxa"/>
          <w:shd w:val="clear" w:color="auto" w:fill="auto"/>
          <w:vAlign w:val="center"/>
        </w:tcPr>
        <w:p w:rsidR="00C159C7" w:rsidRPr="00F70F36" w:rsidRDefault="00C159C7" w:rsidP="003F30DF">
          <w:pPr>
            <w:pStyle w:val="Footertext"/>
          </w:pPr>
          <w:r w:rsidRPr="00F70F36">
            <w:t xml:space="preserve">Information in this </w:t>
          </w:r>
          <w:r>
            <w:t>factsheet</w:t>
          </w:r>
          <w:r w:rsidRPr="00F70F36">
            <w:t xml:space="preserve"> is from the </w:t>
          </w:r>
          <w:r w:rsidRPr="00E62F9C">
            <w:rPr>
              <w:i/>
            </w:rPr>
            <w:t>2010 Indigenous Expenditure Report</w:t>
          </w:r>
          <w:r w:rsidRPr="00F70F36">
            <w:t xml:space="preserve">, published by the Indigenous Expenditure Report Steering Committee. </w:t>
          </w:r>
          <w:r>
            <w:t>The Report</w:t>
          </w:r>
          <w:r w:rsidRPr="00F70F36">
            <w:t xml:space="preserve"> can be found on the project website: www.pc.gov.au/ier. Printed copies of the </w:t>
          </w:r>
          <w:r>
            <w:t>Report</w:t>
          </w:r>
          <w:r w:rsidRPr="00F70F36">
            <w:t xml:space="preserve"> are available from </w:t>
          </w:r>
          <w:proofErr w:type="spellStart"/>
          <w:r w:rsidRPr="00F70F36">
            <w:t>Canprint</w:t>
          </w:r>
          <w:proofErr w:type="spellEnd"/>
          <w:r w:rsidRPr="00F70F36">
            <w:t xml:space="preserve"> Communication (</w:t>
          </w:r>
          <w:proofErr w:type="spellStart"/>
          <w:r w:rsidRPr="00F70F36">
            <w:t>ph</w:t>
          </w:r>
          <w:proofErr w:type="spellEnd"/>
          <w:r w:rsidRPr="00F70F36">
            <w:t xml:space="preserve"> 1300 889 873 or email: sales@infoservices.com.au). </w:t>
          </w:r>
        </w:p>
        <w:p w:rsidR="00C159C7" w:rsidRPr="00E62F9C" w:rsidRDefault="00C159C7" w:rsidP="00E62F9C">
          <w:pPr>
            <w:pStyle w:val="Footertext"/>
            <w:spacing w:before="40"/>
            <w:rPr>
              <w:rFonts w:cs="Arial"/>
            </w:rPr>
          </w:pPr>
          <w:r w:rsidRPr="00E62F9C">
            <w:rPr>
              <w:rFonts w:cs="Arial"/>
            </w:rPr>
            <w:t>For further information contact the Secretariat: (03) 9653 2100.</w:t>
          </w:r>
        </w:p>
      </w:tc>
    </w:tr>
  </w:tbl>
  <w:p w:rsidR="00C159C7" w:rsidRPr="00556877" w:rsidRDefault="00C159C7" w:rsidP="003F30DF">
    <w:pP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C7" w:rsidRPr="00556877" w:rsidRDefault="00C159C7" w:rsidP="00556877">
    <w:pPr>
      <w:tabs>
        <w:tab w:val="right" w:pos="10204"/>
      </w:tabs>
      <w:rPr>
        <w:sz w:val="12"/>
        <w:szCs w:val="12"/>
      </w:rPr>
    </w:pPr>
  </w:p>
  <w:tbl>
    <w:tblPr>
      <w:tblW w:w="5000" w:type="pct"/>
      <w:tblBorders>
        <w:top w:val="single" w:sz="12" w:space="0" w:color="auto"/>
        <w:bottom w:val="single" w:sz="12" w:space="0" w:color="auto"/>
      </w:tblBorders>
      <w:shd w:val="clear" w:color="auto" w:fill="800000"/>
      <w:tblCellMar>
        <w:left w:w="0" w:type="dxa"/>
        <w:right w:w="0" w:type="dxa"/>
      </w:tblCellMar>
      <w:tblLook w:val="01E0" w:firstRow="1" w:lastRow="1" w:firstColumn="1" w:lastColumn="1" w:noHBand="0" w:noVBand="0"/>
    </w:tblPr>
    <w:tblGrid>
      <w:gridCol w:w="2590"/>
      <w:gridCol w:w="6"/>
      <w:gridCol w:w="7608"/>
    </w:tblGrid>
    <w:tr w:rsidR="00C159C7" w:rsidRPr="00E62F9C" w:rsidTr="00B258DD">
      <w:trPr>
        <w:cantSplit/>
      </w:trPr>
      <w:tc>
        <w:tcPr>
          <w:tcW w:w="2590" w:type="dxa"/>
          <w:shd w:val="clear" w:color="auto" w:fill="800000"/>
          <w:vAlign w:val="center"/>
        </w:tcPr>
        <w:p w:rsidR="00C159C7" w:rsidRPr="00E62F9C" w:rsidRDefault="00C159C7" w:rsidP="00E36C8D">
          <w:pPr>
            <w:pStyle w:val="Footertext2"/>
            <w:jc w:val="left"/>
            <w:rPr>
              <w:rFonts w:cs="Arial"/>
              <w:color w:val="FFFFFF"/>
              <w:sz w:val="110"/>
              <w:szCs w:val="110"/>
            </w:rPr>
          </w:pPr>
          <w:r w:rsidRPr="00E62F9C">
            <w:rPr>
              <w:rFonts w:cs="Arial"/>
              <w:color w:val="FFFFFF"/>
              <w:sz w:val="110"/>
              <w:szCs w:val="110"/>
            </w:rPr>
            <w:t>201</w:t>
          </w:r>
          <w:r w:rsidR="00E36C8D">
            <w:rPr>
              <w:rFonts w:cs="Arial"/>
              <w:color w:val="FFFFFF"/>
              <w:sz w:val="110"/>
              <w:szCs w:val="110"/>
            </w:rPr>
            <w:t>4</w:t>
          </w:r>
        </w:p>
      </w:tc>
      <w:tc>
        <w:tcPr>
          <w:tcW w:w="7614" w:type="dxa"/>
          <w:gridSpan w:val="2"/>
          <w:shd w:val="clear" w:color="auto" w:fill="800000"/>
          <w:vAlign w:val="center"/>
        </w:tcPr>
        <w:p w:rsidR="00D87D43" w:rsidRPr="001933B2" w:rsidRDefault="00D87D43" w:rsidP="00D87D43">
          <w:pPr>
            <w:pStyle w:val="Footertext"/>
            <w:rPr>
              <w:color w:val="FFFFFF"/>
              <w:szCs w:val="17"/>
            </w:rPr>
          </w:pPr>
          <w:r w:rsidRPr="001933B2">
            <w:rPr>
              <w:color w:val="FFFFFF"/>
              <w:szCs w:val="17"/>
            </w:rPr>
            <w:t xml:space="preserve">Information in this Frequently Asked Questions sheet is from the </w:t>
          </w:r>
          <w:r w:rsidRPr="001933B2">
            <w:rPr>
              <w:i/>
              <w:color w:val="FFFFFF"/>
              <w:szCs w:val="17"/>
            </w:rPr>
            <w:t>2014 Indigenous Expenditure Report</w:t>
          </w:r>
          <w:r w:rsidRPr="001933B2">
            <w:rPr>
              <w:color w:val="FFFFFF"/>
              <w:szCs w:val="17"/>
            </w:rPr>
            <w:t xml:space="preserve">, published by the Steering Committee for the Review of Government Provision. The Report can be found on the project website: www.pc.gov.au/research/recurring/ier. Printed copies of the Report are available from </w:t>
          </w:r>
          <w:proofErr w:type="spellStart"/>
          <w:r w:rsidRPr="001933B2">
            <w:rPr>
              <w:color w:val="FFFFFF"/>
              <w:szCs w:val="17"/>
            </w:rPr>
            <w:t>Canprint</w:t>
          </w:r>
          <w:proofErr w:type="spellEnd"/>
          <w:r w:rsidRPr="001933B2">
            <w:rPr>
              <w:color w:val="FFFFFF"/>
              <w:szCs w:val="17"/>
            </w:rPr>
            <w:t xml:space="preserve"> Communications (</w:t>
          </w:r>
          <w:proofErr w:type="spellStart"/>
          <w:r w:rsidRPr="001933B2">
            <w:rPr>
              <w:color w:val="FFFFFF"/>
              <w:szCs w:val="17"/>
            </w:rPr>
            <w:t>ph</w:t>
          </w:r>
          <w:proofErr w:type="spellEnd"/>
          <w:r w:rsidRPr="001933B2">
            <w:rPr>
              <w:color w:val="FFFFFF"/>
              <w:szCs w:val="17"/>
            </w:rPr>
            <w:t xml:space="preserve"> 1300 889 873 or email: sales@infoservices.com.au). </w:t>
          </w:r>
        </w:p>
        <w:p w:rsidR="00C159C7" w:rsidRPr="00E62F9C" w:rsidRDefault="00D87D43" w:rsidP="00D87D43">
          <w:pPr>
            <w:pStyle w:val="Footertext"/>
            <w:spacing w:before="40"/>
            <w:rPr>
              <w:rFonts w:cs="Arial"/>
              <w:color w:val="FFFFFF"/>
            </w:rPr>
          </w:pPr>
          <w:r w:rsidRPr="001933B2">
            <w:rPr>
              <w:rFonts w:cs="Arial"/>
              <w:color w:val="FFFFFF"/>
              <w:szCs w:val="17"/>
            </w:rPr>
            <w:t>For further information contact the Secretariat: (03) 9653 2100.</w:t>
          </w:r>
        </w:p>
      </w:tc>
    </w:tr>
    <w:tr w:rsidR="00C159C7" w:rsidRPr="00AD6F22" w:rsidTr="00ED2ADE">
      <w:tblPrEx>
        <w:tblBorders>
          <w:top w:val="single" w:sz="8" w:space="0" w:color="auto"/>
          <w:bottom w:val="single" w:sz="8" w:space="0" w:color="auto"/>
        </w:tblBorders>
      </w:tblPrEx>
      <w:trPr>
        <w:cantSplit/>
      </w:trPr>
      <w:tc>
        <w:tcPr>
          <w:tcW w:w="2596" w:type="dxa"/>
          <w:gridSpan w:val="2"/>
          <w:shd w:val="clear" w:color="auto" w:fill="800000"/>
          <w:vAlign w:val="center"/>
        </w:tcPr>
        <w:p w:rsidR="00C159C7" w:rsidRPr="00AD6F22" w:rsidRDefault="00C159C7" w:rsidP="00ED2ADE">
          <w:pPr>
            <w:pStyle w:val="Footertext2"/>
            <w:spacing w:before="0" w:line="240" w:lineRule="auto"/>
            <w:ind w:left="113"/>
            <w:jc w:val="left"/>
            <w:rPr>
              <w:rFonts w:cs="Arial"/>
              <w:color w:val="FFFFFF"/>
              <w:sz w:val="16"/>
              <w:szCs w:val="16"/>
            </w:rPr>
          </w:pPr>
        </w:p>
      </w:tc>
      <w:tc>
        <w:tcPr>
          <w:tcW w:w="7608" w:type="dxa"/>
          <w:shd w:val="clear" w:color="auto" w:fill="800000"/>
          <w:vAlign w:val="center"/>
        </w:tcPr>
        <w:p w:rsidR="00C159C7" w:rsidRPr="00AD6F22" w:rsidRDefault="00C159C7" w:rsidP="00ED2ADE">
          <w:pPr>
            <w:pStyle w:val="Footertext2"/>
            <w:spacing w:before="0" w:line="240" w:lineRule="auto"/>
            <w:ind w:left="113" w:right="113"/>
            <w:jc w:val="right"/>
            <w:rPr>
              <w:color w:val="FFFFFF"/>
              <w:sz w:val="16"/>
              <w:szCs w:val="16"/>
            </w:rPr>
          </w:pPr>
          <w:r w:rsidRPr="00AD6F22">
            <w:rPr>
              <w:color w:val="FFFFFF"/>
              <w:sz w:val="16"/>
              <w:szCs w:val="16"/>
            </w:rPr>
            <w:t xml:space="preserve">Page </w:t>
          </w:r>
          <w:r w:rsidRPr="00AD6F22">
            <w:rPr>
              <w:sz w:val="16"/>
              <w:szCs w:val="16"/>
            </w:rPr>
            <w:fldChar w:fldCharType="begin"/>
          </w:r>
          <w:r w:rsidRPr="00AD6F22">
            <w:rPr>
              <w:sz w:val="16"/>
              <w:szCs w:val="16"/>
            </w:rPr>
            <w:instrText xml:space="preserve"> PAGE   \* MERGEFORMAT </w:instrText>
          </w:r>
          <w:r w:rsidRPr="00AD6F22">
            <w:rPr>
              <w:sz w:val="16"/>
              <w:szCs w:val="16"/>
            </w:rPr>
            <w:fldChar w:fldCharType="separate"/>
          </w:r>
          <w:r w:rsidR="0054548C">
            <w:rPr>
              <w:noProof/>
              <w:sz w:val="16"/>
              <w:szCs w:val="16"/>
            </w:rPr>
            <w:t>7</w:t>
          </w:r>
          <w:r w:rsidRPr="00AD6F22">
            <w:rPr>
              <w:noProof/>
              <w:sz w:val="16"/>
              <w:szCs w:val="16"/>
            </w:rPr>
            <w:fldChar w:fldCharType="end"/>
          </w:r>
        </w:p>
      </w:tc>
    </w:tr>
  </w:tbl>
  <w:p w:rsidR="00C159C7" w:rsidRPr="00556877" w:rsidRDefault="00C159C7" w:rsidP="00556877">
    <w:pP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C7" w:rsidRPr="00556877" w:rsidRDefault="00C159C7" w:rsidP="003F30DF">
    <w:pPr>
      <w:tabs>
        <w:tab w:val="right" w:pos="10204"/>
      </w:tabs>
      <w:rPr>
        <w:sz w:val="12"/>
        <w:szCs w:val="12"/>
      </w:rPr>
    </w:pPr>
  </w:p>
  <w:tbl>
    <w:tblPr>
      <w:tblW w:w="5000" w:type="pct"/>
      <w:tblBorders>
        <w:top w:val="single" w:sz="8" w:space="0" w:color="auto"/>
        <w:bottom w:val="single" w:sz="8" w:space="0" w:color="auto"/>
      </w:tblBorders>
      <w:shd w:val="clear" w:color="auto" w:fill="800000"/>
      <w:tblCellMar>
        <w:left w:w="0" w:type="dxa"/>
        <w:right w:w="0" w:type="dxa"/>
      </w:tblCellMar>
      <w:tblLook w:val="01E0" w:firstRow="1" w:lastRow="1" w:firstColumn="1" w:lastColumn="1" w:noHBand="0" w:noVBand="0"/>
    </w:tblPr>
    <w:tblGrid>
      <w:gridCol w:w="2596"/>
      <w:gridCol w:w="7608"/>
    </w:tblGrid>
    <w:tr w:rsidR="00C159C7" w:rsidRPr="00E62F9C" w:rsidTr="00B258DD">
      <w:trPr>
        <w:cantSplit/>
      </w:trPr>
      <w:tc>
        <w:tcPr>
          <w:tcW w:w="2596" w:type="dxa"/>
          <w:shd w:val="clear" w:color="auto" w:fill="800000"/>
          <w:vAlign w:val="center"/>
        </w:tcPr>
        <w:p w:rsidR="00C159C7" w:rsidRPr="00E62F9C" w:rsidRDefault="00C159C7" w:rsidP="00E36C8D">
          <w:pPr>
            <w:pStyle w:val="Footertext2"/>
            <w:ind w:left="113"/>
            <w:jc w:val="left"/>
            <w:rPr>
              <w:rFonts w:cs="Arial"/>
              <w:color w:val="FFFFFF"/>
              <w:sz w:val="110"/>
              <w:szCs w:val="110"/>
            </w:rPr>
          </w:pPr>
          <w:r w:rsidRPr="00E62F9C">
            <w:rPr>
              <w:rFonts w:cs="Arial"/>
              <w:color w:val="FFFFFF"/>
              <w:sz w:val="110"/>
              <w:szCs w:val="110"/>
            </w:rPr>
            <w:t>201</w:t>
          </w:r>
          <w:r w:rsidR="00E36C8D">
            <w:rPr>
              <w:rFonts w:cs="Arial"/>
              <w:color w:val="FFFFFF"/>
              <w:sz w:val="110"/>
              <w:szCs w:val="110"/>
            </w:rPr>
            <w:t>4</w:t>
          </w:r>
        </w:p>
      </w:tc>
      <w:tc>
        <w:tcPr>
          <w:tcW w:w="7608" w:type="dxa"/>
          <w:shd w:val="clear" w:color="auto" w:fill="800000"/>
          <w:vAlign w:val="center"/>
        </w:tcPr>
        <w:p w:rsidR="00C159C7" w:rsidRPr="001933B2" w:rsidRDefault="00C159C7" w:rsidP="003F30DF">
          <w:pPr>
            <w:pStyle w:val="Footertext"/>
            <w:rPr>
              <w:color w:val="FFFFFF"/>
              <w:szCs w:val="17"/>
            </w:rPr>
          </w:pPr>
          <w:r w:rsidRPr="001933B2">
            <w:rPr>
              <w:color w:val="FFFFFF"/>
              <w:szCs w:val="17"/>
            </w:rPr>
            <w:t xml:space="preserve">Information in this Frequently Asked Questions sheet is from the </w:t>
          </w:r>
          <w:r w:rsidR="000108FB" w:rsidRPr="001933B2">
            <w:rPr>
              <w:i/>
              <w:color w:val="FFFFFF"/>
              <w:szCs w:val="17"/>
            </w:rPr>
            <w:t xml:space="preserve">2014 </w:t>
          </w:r>
          <w:r w:rsidRPr="001933B2">
            <w:rPr>
              <w:i/>
              <w:color w:val="FFFFFF"/>
              <w:szCs w:val="17"/>
            </w:rPr>
            <w:t>Indigenous Expenditure Report</w:t>
          </w:r>
          <w:r w:rsidRPr="001933B2">
            <w:rPr>
              <w:color w:val="FFFFFF"/>
              <w:szCs w:val="17"/>
            </w:rPr>
            <w:t xml:space="preserve">, published by the Steering Committee for the Review of Government Provision. The Report can be found on the project website: </w:t>
          </w:r>
          <w:r w:rsidR="00D87D43" w:rsidRPr="001933B2">
            <w:rPr>
              <w:color w:val="FFFFFF"/>
              <w:szCs w:val="17"/>
            </w:rPr>
            <w:t>www.pc.gov.au/research/recurring/ier</w:t>
          </w:r>
          <w:r w:rsidRPr="001933B2">
            <w:rPr>
              <w:color w:val="FFFFFF"/>
              <w:szCs w:val="17"/>
            </w:rPr>
            <w:t xml:space="preserve">. Printed copies of the Report are available from </w:t>
          </w:r>
          <w:proofErr w:type="spellStart"/>
          <w:r w:rsidRPr="001933B2">
            <w:rPr>
              <w:color w:val="FFFFFF"/>
              <w:szCs w:val="17"/>
            </w:rPr>
            <w:t>Canprint</w:t>
          </w:r>
          <w:proofErr w:type="spellEnd"/>
          <w:r w:rsidRPr="001933B2">
            <w:rPr>
              <w:color w:val="FFFFFF"/>
              <w:szCs w:val="17"/>
            </w:rPr>
            <w:t xml:space="preserve"> Communications (</w:t>
          </w:r>
          <w:proofErr w:type="spellStart"/>
          <w:r w:rsidRPr="001933B2">
            <w:rPr>
              <w:color w:val="FFFFFF"/>
              <w:szCs w:val="17"/>
            </w:rPr>
            <w:t>ph</w:t>
          </w:r>
          <w:proofErr w:type="spellEnd"/>
          <w:r w:rsidRPr="001933B2">
            <w:rPr>
              <w:color w:val="FFFFFF"/>
              <w:szCs w:val="17"/>
            </w:rPr>
            <w:t xml:space="preserve"> 1300 889 873 or email: sales@infoservices.com.au). </w:t>
          </w:r>
        </w:p>
        <w:p w:rsidR="00C159C7" w:rsidRPr="00E62F9C" w:rsidRDefault="00C159C7" w:rsidP="00E62F9C">
          <w:pPr>
            <w:pStyle w:val="Footertext"/>
            <w:spacing w:before="40"/>
            <w:rPr>
              <w:rFonts w:cs="Arial"/>
              <w:color w:val="FFFFFF"/>
            </w:rPr>
          </w:pPr>
          <w:r w:rsidRPr="001933B2">
            <w:rPr>
              <w:rFonts w:cs="Arial"/>
              <w:color w:val="FFFFFF"/>
              <w:szCs w:val="17"/>
            </w:rPr>
            <w:t>For further information contact the Secretariat: (03) 9653 2100.</w:t>
          </w:r>
        </w:p>
      </w:tc>
    </w:tr>
    <w:tr w:rsidR="00C159C7" w:rsidRPr="00AD6F22" w:rsidTr="00B258DD">
      <w:trPr>
        <w:cantSplit/>
      </w:trPr>
      <w:tc>
        <w:tcPr>
          <w:tcW w:w="2596" w:type="dxa"/>
          <w:shd w:val="clear" w:color="auto" w:fill="800000"/>
          <w:vAlign w:val="center"/>
        </w:tcPr>
        <w:p w:rsidR="00C159C7" w:rsidRPr="00AD6F22" w:rsidRDefault="00C159C7" w:rsidP="00ED2ADE">
          <w:pPr>
            <w:pStyle w:val="Footertext2"/>
            <w:spacing w:before="0" w:line="240" w:lineRule="auto"/>
            <w:ind w:left="113"/>
            <w:jc w:val="left"/>
            <w:rPr>
              <w:rFonts w:cs="Arial"/>
              <w:color w:val="FFFFFF"/>
              <w:sz w:val="16"/>
              <w:szCs w:val="16"/>
            </w:rPr>
          </w:pPr>
        </w:p>
      </w:tc>
      <w:tc>
        <w:tcPr>
          <w:tcW w:w="7608" w:type="dxa"/>
          <w:shd w:val="clear" w:color="auto" w:fill="800000"/>
          <w:vAlign w:val="center"/>
        </w:tcPr>
        <w:p w:rsidR="00C159C7" w:rsidRPr="00AD6F22" w:rsidRDefault="00C159C7" w:rsidP="00ED2ADE">
          <w:pPr>
            <w:pStyle w:val="Footertext2"/>
            <w:spacing w:before="0" w:line="240" w:lineRule="auto"/>
            <w:ind w:left="113" w:right="113"/>
            <w:jc w:val="right"/>
            <w:rPr>
              <w:color w:val="FFFFFF"/>
              <w:sz w:val="16"/>
              <w:szCs w:val="16"/>
            </w:rPr>
          </w:pPr>
          <w:r w:rsidRPr="00AD6F22">
            <w:rPr>
              <w:color w:val="FFFFFF"/>
              <w:sz w:val="16"/>
              <w:szCs w:val="16"/>
            </w:rPr>
            <w:t xml:space="preserve">Page </w:t>
          </w:r>
          <w:r w:rsidRPr="00AD6F22">
            <w:rPr>
              <w:sz w:val="16"/>
              <w:szCs w:val="16"/>
            </w:rPr>
            <w:fldChar w:fldCharType="begin"/>
          </w:r>
          <w:r w:rsidRPr="00AD6F22">
            <w:rPr>
              <w:sz w:val="16"/>
              <w:szCs w:val="16"/>
            </w:rPr>
            <w:instrText xml:space="preserve"> PAGE   \* MERGEFORMAT </w:instrText>
          </w:r>
          <w:r w:rsidRPr="00AD6F22">
            <w:rPr>
              <w:sz w:val="16"/>
              <w:szCs w:val="16"/>
            </w:rPr>
            <w:fldChar w:fldCharType="separate"/>
          </w:r>
          <w:r w:rsidR="0054548C">
            <w:rPr>
              <w:noProof/>
              <w:sz w:val="16"/>
              <w:szCs w:val="16"/>
            </w:rPr>
            <w:t>1</w:t>
          </w:r>
          <w:r w:rsidRPr="00AD6F22">
            <w:rPr>
              <w:noProof/>
              <w:sz w:val="16"/>
              <w:szCs w:val="16"/>
            </w:rPr>
            <w:fldChar w:fldCharType="end"/>
          </w:r>
        </w:p>
      </w:tc>
    </w:tr>
  </w:tbl>
  <w:p w:rsidR="00C159C7" w:rsidRPr="00556877" w:rsidRDefault="00C159C7" w:rsidP="003F30DF">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ACA" w:rsidRDefault="00D02ACA">
      <w:r>
        <w:separator/>
      </w:r>
    </w:p>
  </w:footnote>
  <w:footnote w:type="continuationSeparator" w:id="0">
    <w:p w:rsidR="00D02ACA" w:rsidRDefault="00D02ACA">
      <w:r>
        <w:continuationSeparator/>
      </w:r>
    </w:p>
  </w:footnote>
  <w:footnote w:id="1">
    <w:p w:rsidR="00184BF8" w:rsidRPr="00F90E15" w:rsidRDefault="00184BF8" w:rsidP="00F90E15">
      <w:pPr>
        <w:pStyle w:val="FootnoteText"/>
      </w:pPr>
      <w:r w:rsidRPr="00F90E15">
        <w:rPr>
          <w:rStyle w:val="FootnoteReference"/>
          <w:rFonts w:ascii="Goudy Old Style" w:hAnsi="Goudy Old Style"/>
        </w:rPr>
        <w:footnoteRef/>
      </w:r>
      <w:r w:rsidRPr="00F90E15">
        <w:t xml:space="preserve"> </w:t>
      </w:r>
      <w:r w:rsidR="00F90E15">
        <w:t xml:space="preserve">  </w:t>
      </w:r>
      <w:r w:rsidRPr="00F90E15">
        <w:t xml:space="preserve">To account for inflation, expenditure for 2008-09 and 2010-11 has been adjusted using the General Government Final Consumption Expenditure deflator (chain price index) (ABS 2013a) recommended by the Australian Bureau of Statistics and adopted by the Steering Committee for use in the Report on Government Services.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tblCellMar>
        <w:left w:w="0" w:type="dxa"/>
        <w:right w:w="0" w:type="dxa"/>
      </w:tblCellMar>
      <w:tblLook w:val="01E0" w:firstRow="1" w:lastRow="1" w:firstColumn="1" w:lastColumn="1" w:noHBand="0" w:noVBand="0"/>
    </w:tblPr>
    <w:tblGrid>
      <w:gridCol w:w="2520"/>
      <w:gridCol w:w="7684"/>
    </w:tblGrid>
    <w:tr w:rsidR="00C159C7" w:rsidRPr="00E62F9C" w:rsidTr="00E62F9C">
      <w:trPr>
        <w:cantSplit/>
      </w:trPr>
      <w:tc>
        <w:tcPr>
          <w:tcW w:w="2520" w:type="dxa"/>
          <w:shd w:val="clear" w:color="auto" w:fill="auto"/>
        </w:tcPr>
        <w:p w:rsidR="00C159C7" w:rsidRPr="00E62F9C" w:rsidRDefault="00C159C7" w:rsidP="00E62F9C">
          <w:pPr>
            <w:pStyle w:val="Headertext1"/>
            <w:spacing w:before="80"/>
            <w:rPr>
              <w:rFonts w:ascii="GoudyOlSt BT" w:hAnsi="GoudyOlSt BT"/>
              <w:i/>
              <w:sz w:val="40"/>
              <w:szCs w:val="40"/>
            </w:rPr>
          </w:pPr>
        </w:p>
      </w:tc>
      <w:tc>
        <w:tcPr>
          <w:tcW w:w="7684" w:type="dxa"/>
          <w:shd w:val="clear" w:color="auto" w:fill="auto"/>
        </w:tcPr>
        <w:p w:rsidR="00C159C7" w:rsidRPr="00E62F9C" w:rsidRDefault="00C159C7" w:rsidP="003F30DF">
          <w:pPr>
            <w:pStyle w:val="Headertext2"/>
            <w:rPr>
              <w:sz w:val="40"/>
              <w:szCs w:val="40"/>
            </w:rPr>
          </w:pPr>
          <w:r w:rsidRPr="00E62F9C">
            <w:rPr>
              <w:sz w:val="40"/>
              <w:szCs w:val="40"/>
            </w:rPr>
            <w:t>Education &amp; Training</w:t>
          </w:r>
        </w:p>
      </w:tc>
    </w:tr>
  </w:tbl>
  <w:p w:rsidR="00C159C7" w:rsidRPr="00AB160F" w:rsidRDefault="00C159C7" w:rsidP="003F30DF">
    <w:pPr>
      <w:rPr>
        <w:sz w:val="4"/>
        <w:szCs w:val="4"/>
      </w:rPr>
    </w:pPr>
  </w:p>
  <w:p w:rsidR="00C159C7" w:rsidRPr="00AB160F" w:rsidRDefault="00C159C7" w:rsidP="003F30DF">
    <w:pP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shd w:val="clear" w:color="auto" w:fill="800000"/>
      <w:tblCellMar>
        <w:left w:w="0" w:type="dxa"/>
        <w:right w:w="0" w:type="dxa"/>
      </w:tblCellMar>
      <w:tblLook w:val="01E0" w:firstRow="1" w:lastRow="1" w:firstColumn="1" w:lastColumn="1" w:noHBand="0" w:noVBand="0"/>
    </w:tblPr>
    <w:tblGrid>
      <w:gridCol w:w="10204"/>
    </w:tblGrid>
    <w:tr w:rsidR="00C159C7" w:rsidRPr="00E62F9C" w:rsidTr="00E62F9C">
      <w:trPr>
        <w:cantSplit/>
      </w:trPr>
      <w:tc>
        <w:tcPr>
          <w:tcW w:w="10204" w:type="dxa"/>
          <w:shd w:val="clear" w:color="auto" w:fill="800000"/>
        </w:tcPr>
        <w:p w:rsidR="00C159C7" w:rsidRPr="00E62F9C" w:rsidRDefault="00C159C7" w:rsidP="00C77CAB">
          <w:pPr>
            <w:pStyle w:val="Headertext2"/>
            <w:rPr>
              <w:color w:val="FFFFFF"/>
              <w:sz w:val="48"/>
              <w:szCs w:val="48"/>
            </w:rPr>
          </w:pPr>
          <w:r w:rsidRPr="00E62F9C">
            <w:rPr>
              <w:color w:val="FFFFFF"/>
              <w:sz w:val="48"/>
              <w:szCs w:val="48"/>
            </w:rPr>
            <w:t>Frequently asked questions</w:t>
          </w:r>
        </w:p>
      </w:tc>
    </w:tr>
  </w:tbl>
  <w:p w:rsidR="00C159C7" w:rsidRPr="00180415" w:rsidRDefault="00C159C7" w:rsidP="00843EAC">
    <w:pPr>
      <w:pStyle w:val="HeadingSpaceAfter"/>
      <w:spacing w:after="120"/>
      <w:rPr>
        <w:vanish w:val="0"/>
      </w:rPr>
    </w:pPr>
  </w:p>
  <w:p w:rsidR="00C159C7" w:rsidRPr="00AB160F" w:rsidRDefault="00C159C7" w:rsidP="00F75728">
    <w:pPr>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shd w:val="clear" w:color="auto" w:fill="800000"/>
      <w:tblCellMar>
        <w:left w:w="0" w:type="dxa"/>
        <w:right w:w="0" w:type="dxa"/>
      </w:tblCellMar>
      <w:tblLook w:val="01E0" w:firstRow="1" w:lastRow="1" w:firstColumn="1" w:lastColumn="1" w:noHBand="0" w:noVBand="0"/>
    </w:tblPr>
    <w:tblGrid>
      <w:gridCol w:w="20"/>
      <w:gridCol w:w="10184"/>
    </w:tblGrid>
    <w:tr w:rsidR="00C159C7" w:rsidRPr="00E62F9C" w:rsidTr="00E62F9C">
      <w:trPr>
        <w:cantSplit/>
      </w:trPr>
      <w:tc>
        <w:tcPr>
          <w:tcW w:w="20" w:type="dxa"/>
          <w:vMerge w:val="restart"/>
          <w:shd w:val="clear" w:color="auto" w:fill="800000"/>
        </w:tcPr>
        <w:p w:rsidR="00C159C7" w:rsidRPr="00E62F9C" w:rsidRDefault="00C159C7" w:rsidP="00E62F9C">
          <w:pPr>
            <w:pStyle w:val="Headertext1"/>
            <w:spacing w:before="80"/>
            <w:ind w:left="113"/>
            <w:rPr>
              <w:rFonts w:ascii="GoudyOlSt BT" w:hAnsi="GoudyOlSt BT"/>
              <w:i/>
              <w:color w:val="FFFFFF"/>
              <w:sz w:val="48"/>
              <w:szCs w:val="48"/>
            </w:rPr>
          </w:pPr>
        </w:p>
      </w:tc>
      <w:tc>
        <w:tcPr>
          <w:tcW w:w="10184" w:type="dxa"/>
          <w:shd w:val="clear" w:color="auto" w:fill="800000"/>
        </w:tcPr>
        <w:p w:rsidR="00C159C7" w:rsidRPr="00E62F9C" w:rsidRDefault="00C159C7" w:rsidP="003F30DF">
          <w:pPr>
            <w:pStyle w:val="Headertext2"/>
            <w:rPr>
              <w:color w:val="FFFFFF"/>
            </w:rPr>
          </w:pPr>
          <w:r w:rsidRPr="00E62F9C">
            <w:rPr>
              <w:color w:val="FFFFFF"/>
            </w:rPr>
            <w:t>Frequently asked questions</w:t>
          </w:r>
        </w:p>
      </w:tc>
    </w:tr>
    <w:tr w:rsidR="00C159C7" w:rsidRPr="00E62F9C" w:rsidTr="00E62F9C">
      <w:trPr>
        <w:cantSplit/>
      </w:trPr>
      <w:tc>
        <w:tcPr>
          <w:tcW w:w="20" w:type="dxa"/>
          <w:vMerge/>
          <w:shd w:val="clear" w:color="auto" w:fill="800000"/>
          <w:vAlign w:val="center"/>
        </w:tcPr>
        <w:p w:rsidR="00C159C7" w:rsidRPr="00E62F9C" w:rsidRDefault="00C159C7" w:rsidP="003F30DF">
          <w:pPr>
            <w:pStyle w:val="Headertext1"/>
            <w:rPr>
              <w:color w:val="FFFFFF"/>
              <w:sz w:val="32"/>
              <w:szCs w:val="32"/>
            </w:rPr>
          </w:pPr>
        </w:p>
      </w:tc>
      <w:tc>
        <w:tcPr>
          <w:tcW w:w="10184" w:type="dxa"/>
          <w:shd w:val="clear" w:color="auto" w:fill="800000"/>
          <w:vAlign w:val="center"/>
        </w:tcPr>
        <w:p w:rsidR="00C159C7" w:rsidRPr="00E62F9C" w:rsidRDefault="00C159C7" w:rsidP="002C5F58">
          <w:pPr>
            <w:pStyle w:val="Headertext3"/>
            <w:rPr>
              <w:rFonts w:cs="Arial"/>
              <w:i/>
              <w:color w:val="FFFFFF"/>
              <w:sz w:val="40"/>
              <w:szCs w:val="40"/>
            </w:rPr>
          </w:pPr>
          <w:r w:rsidRPr="00E62F9C">
            <w:rPr>
              <w:rFonts w:cs="Arial"/>
              <w:i/>
              <w:color w:val="FFFFFF"/>
              <w:sz w:val="40"/>
              <w:szCs w:val="40"/>
            </w:rPr>
            <w:t>20</w:t>
          </w:r>
          <w:r w:rsidR="00E81FD1">
            <w:rPr>
              <w:rFonts w:cs="Arial"/>
              <w:i/>
              <w:color w:val="FFFFFF"/>
              <w:sz w:val="40"/>
              <w:szCs w:val="40"/>
            </w:rPr>
            <w:t>14</w:t>
          </w:r>
          <w:r w:rsidRPr="00E62F9C">
            <w:rPr>
              <w:rFonts w:cs="Arial"/>
              <w:i/>
              <w:color w:val="FFFFFF"/>
              <w:sz w:val="40"/>
              <w:szCs w:val="40"/>
            </w:rPr>
            <w:t xml:space="preserve"> Indigenous Expenditure Report </w:t>
          </w:r>
        </w:p>
      </w:tc>
    </w:tr>
  </w:tbl>
  <w:p w:rsidR="00C159C7" w:rsidRPr="00180415" w:rsidRDefault="00C159C7" w:rsidP="00843EAC">
    <w:pPr>
      <w:pStyle w:val="HeadingSpaceAfter"/>
      <w:spacing w:after="120"/>
      <w:rPr>
        <w:vanish w:val="0"/>
      </w:rPr>
    </w:pPr>
  </w:p>
  <w:p w:rsidR="00C159C7" w:rsidRPr="00AB160F" w:rsidRDefault="00C159C7" w:rsidP="003F30DF">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028746"/>
    <w:lvl w:ilvl="0">
      <w:start w:val="1"/>
      <w:numFmt w:val="bullet"/>
      <w:pStyle w:val="BoxListBullet"/>
      <w:lvlText w:val=""/>
      <w:lvlJc w:val="left"/>
      <w:pPr>
        <w:tabs>
          <w:tab w:val="num" w:pos="360"/>
        </w:tabs>
        <w:ind w:left="360" w:hanging="360"/>
      </w:pPr>
      <w:rPr>
        <w:rFonts w:ascii="Symbol" w:hAnsi="Symbol" w:hint="default"/>
      </w:rPr>
    </w:lvl>
  </w:abstractNum>
  <w:abstractNum w:abstractNumId="1">
    <w:nsid w:val="04057542"/>
    <w:multiLevelType w:val="hybridMultilevel"/>
    <w:tmpl w:val="50182A06"/>
    <w:lvl w:ilvl="0" w:tplc="AB660BE8">
      <w:start w:val="1"/>
      <w:numFmt w:val="bullet"/>
      <w:pStyle w:val="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1E0603BF"/>
    <w:multiLevelType w:val="hybridMultilevel"/>
    <w:tmpl w:val="E8B03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8261BC"/>
    <w:multiLevelType w:val="hybridMultilevel"/>
    <w:tmpl w:val="78BA0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E90CE4"/>
    <w:multiLevelType w:val="singleLevel"/>
    <w:tmpl w:val="52F61D9A"/>
    <w:lvl w:ilvl="0">
      <w:start w:val="1"/>
      <w:numFmt w:val="bullet"/>
      <w:pStyle w:val="BoxHeading2"/>
      <w:lvlText w:val=""/>
      <w:lvlJc w:val="left"/>
      <w:pPr>
        <w:tabs>
          <w:tab w:val="num" w:pos="284"/>
        </w:tabs>
        <w:ind w:left="284" w:hanging="284"/>
      </w:pPr>
      <w:rPr>
        <w:rFonts w:ascii="Symbol" w:hAnsi="Symbol" w:hint="default"/>
        <w:sz w:val="18"/>
      </w:rPr>
    </w:lvl>
  </w:abstractNum>
  <w:abstractNum w:abstractNumId="5">
    <w:nsid w:val="3DBC15DE"/>
    <w:multiLevelType w:val="hybridMultilevel"/>
    <w:tmpl w:val="3F6467B0"/>
    <w:lvl w:ilvl="0" w:tplc="FFFFFFFF">
      <w:start w:val="1"/>
      <w:numFmt w:val="bullet"/>
      <w:pStyle w:val="ListBullet"/>
      <w:lvlText w:val=""/>
      <w:lvlJc w:val="left"/>
      <w:pPr>
        <w:tabs>
          <w:tab w:val="num" w:pos="284"/>
        </w:tabs>
        <w:ind w:left="284" w:hanging="284"/>
      </w:pPr>
      <w:rPr>
        <w:rFonts w:ascii="Symbol" w:hAnsi="Symbol" w:hint="default"/>
        <w:sz w:val="16"/>
      </w:rPr>
    </w:lvl>
    <w:lvl w:ilvl="1" w:tplc="2A1A7548">
      <w:numFmt w:val="bullet"/>
      <w:lvlText w:val="–"/>
      <w:lvlJc w:val="left"/>
      <w:pPr>
        <w:ind w:left="1440" w:hanging="360"/>
      </w:pPr>
      <w:rPr>
        <w:rFonts w:ascii="GoudyOlSt BT" w:eastAsia="Times New Roman" w:hAnsi="GoudyOlSt BT"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43E1FD6"/>
    <w:multiLevelType w:val="singleLevel"/>
    <w:tmpl w:val="039AA380"/>
    <w:lvl w:ilvl="0">
      <w:start w:val="1"/>
      <w:numFmt w:val="bullet"/>
      <w:pStyle w:val="TableColumnHeading"/>
      <w:lvlText w:val=""/>
      <w:lvlJc w:val="left"/>
      <w:pPr>
        <w:tabs>
          <w:tab w:val="num" w:pos="170"/>
        </w:tabs>
        <w:ind w:left="170" w:hanging="170"/>
      </w:pPr>
      <w:rPr>
        <w:rFonts w:ascii="Symbol" w:hAnsi="Symbol" w:hint="default"/>
        <w:b w:val="0"/>
        <w:i w:val="0"/>
        <w:sz w:val="18"/>
      </w:rPr>
    </w:lvl>
  </w:abstractNum>
  <w:abstractNum w:abstractNumId="7">
    <w:nsid w:val="62150005"/>
    <w:multiLevelType w:val="hybridMultilevel"/>
    <w:tmpl w:val="55CA97D4"/>
    <w:lvl w:ilvl="0" w:tplc="F8E89390">
      <w:start w:val="1"/>
      <w:numFmt w:val="bullet"/>
      <w:pStyle w:val="BoxListBullet2"/>
      <w:lvlText w:val=""/>
      <w:lvlJc w:val="left"/>
      <w:pPr>
        <w:tabs>
          <w:tab w:val="num" w:pos="284"/>
        </w:tabs>
        <w:ind w:left="284" w:hanging="284"/>
      </w:pPr>
      <w:rPr>
        <w:rFonts w:ascii="Symbol" w:hAnsi="Symbol" w:hint="default"/>
        <w:sz w:val="16"/>
      </w:rPr>
    </w:lvl>
    <w:lvl w:ilvl="1" w:tplc="A166402E" w:tentative="1">
      <w:start w:val="1"/>
      <w:numFmt w:val="bullet"/>
      <w:lvlText w:val="o"/>
      <w:lvlJc w:val="left"/>
      <w:pPr>
        <w:tabs>
          <w:tab w:val="num" w:pos="1440"/>
        </w:tabs>
        <w:ind w:left="1440" w:hanging="360"/>
      </w:pPr>
      <w:rPr>
        <w:rFonts w:ascii="Courier New" w:hAnsi="Courier New" w:cs="Courier New" w:hint="default"/>
      </w:rPr>
    </w:lvl>
    <w:lvl w:ilvl="2" w:tplc="8DE28E3C" w:tentative="1">
      <w:start w:val="1"/>
      <w:numFmt w:val="bullet"/>
      <w:lvlText w:val=""/>
      <w:lvlJc w:val="left"/>
      <w:pPr>
        <w:tabs>
          <w:tab w:val="num" w:pos="2160"/>
        </w:tabs>
        <w:ind w:left="2160" w:hanging="360"/>
      </w:pPr>
      <w:rPr>
        <w:rFonts w:ascii="Wingdings" w:hAnsi="Wingdings" w:hint="default"/>
      </w:rPr>
    </w:lvl>
    <w:lvl w:ilvl="3" w:tplc="1BDE934E" w:tentative="1">
      <w:start w:val="1"/>
      <w:numFmt w:val="bullet"/>
      <w:lvlText w:val=""/>
      <w:lvlJc w:val="left"/>
      <w:pPr>
        <w:tabs>
          <w:tab w:val="num" w:pos="2880"/>
        </w:tabs>
        <w:ind w:left="2880" w:hanging="360"/>
      </w:pPr>
      <w:rPr>
        <w:rFonts w:ascii="Symbol" w:hAnsi="Symbol" w:hint="default"/>
      </w:rPr>
    </w:lvl>
    <w:lvl w:ilvl="4" w:tplc="B256211A" w:tentative="1">
      <w:start w:val="1"/>
      <w:numFmt w:val="bullet"/>
      <w:lvlText w:val="o"/>
      <w:lvlJc w:val="left"/>
      <w:pPr>
        <w:tabs>
          <w:tab w:val="num" w:pos="3600"/>
        </w:tabs>
        <w:ind w:left="3600" w:hanging="360"/>
      </w:pPr>
      <w:rPr>
        <w:rFonts w:ascii="Courier New" w:hAnsi="Courier New" w:cs="Courier New" w:hint="default"/>
      </w:rPr>
    </w:lvl>
    <w:lvl w:ilvl="5" w:tplc="40C2CEA6" w:tentative="1">
      <w:start w:val="1"/>
      <w:numFmt w:val="bullet"/>
      <w:lvlText w:val=""/>
      <w:lvlJc w:val="left"/>
      <w:pPr>
        <w:tabs>
          <w:tab w:val="num" w:pos="4320"/>
        </w:tabs>
        <w:ind w:left="4320" w:hanging="360"/>
      </w:pPr>
      <w:rPr>
        <w:rFonts w:ascii="Wingdings" w:hAnsi="Wingdings" w:hint="default"/>
      </w:rPr>
    </w:lvl>
    <w:lvl w:ilvl="6" w:tplc="531A6708" w:tentative="1">
      <w:start w:val="1"/>
      <w:numFmt w:val="bullet"/>
      <w:lvlText w:val=""/>
      <w:lvlJc w:val="left"/>
      <w:pPr>
        <w:tabs>
          <w:tab w:val="num" w:pos="5040"/>
        </w:tabs>
        <w:ind w:left="5040" w:hanging="360"/>
      </w:pPr>
      <w:rPr>
        <w:rFonts w:ascii="Symbol" w:hAnsi="Symbol" w:hint="default"/>
      </w:rPr>
    </w:lvl>
    <w:lvl w:ilvl="7" w:tplc="3A52A7FE" w:tentative="1">
      <w:start w:val="1"/>
      <w:numFmt w:val="bullet"/>
      <w:lvlText w:val="o"/>
      <w:lvlJc w:val="left"/>
      <w:pPr>
        <w:tabs>
          <w:tab w:val="num" w:pos="5760"/>
        </w:tabs>
        <w:ind w:left="5760" w:hanging="360"/>
      </w:pPr>
      <w:rPr>
        <w:rFonts w:ascii="Courier New" w:hAnsi="Courier New" w:cs="Courier New" w:hint="default"/>
      </w:rPr>
    </w:lvl>
    <w:lvl w:ilvl="8" w:tplc="3CA0589C" w:tentative="1">
      <w:start w:val="1"/>
      <w:numFmt w:val="bullet"/>
      <w:lvlText w:val=""/>
      <w:lvlJc w:val="left"/>
      <w:pPr>
        <w:tabs>
          <w:tab w:val="num" w:pos="6480"/>
        </w:tabs>
        <w:ind w:left="6480" w:hanging="360"/>
      </w:pPr>
      <w:rPr>
        <w:rFonts w:ascii="Wingdings" w:hAnsi="Wingdings" w:hint="default"/>
      </w:rPr>
    </w:lvl>
  </w:abstractNum>
  <w:abstractNum w:abstractNumId="8">
    <w:nsid w:val="7CC43C41"/>
    <w:multiLevelType w:val="singleLevel"/>
    <w:tmpl w:val="3B188B36"/>
    <w:lvl w:ilvl="0">
      <w:start w:val="1"/>
      <w:numFmt w:val="decimal"/>
      <w:lvlText w:val="%1."/>
      <w:legacy w:legacy="1" w:legacySpace="0" w:legacyIndent="340"/>
      <w:lvlJc w:val="left"/>
      <w:pPr>
        <w:ind w:left="340" w:hanging="340"/>
      </w:pPr>
    </w:lvl>
  </w:abstractNum>
  <w:num w:numId="1">
    <w:abstractNumId w:val="0"/>
  </w:num>
  <w:num w:numId="2">
    <w:abstractNumId w:val="7"/>
  </w:num>
  <w:num w:numId="3">
    <w:abstractNumId w:val="4"/>
  </w:num>
  <w:num w:numId="4">
    <w:abstractNumId w:val="8"/>
  </w:num>
  <w:num w:numId="5">
    <w:abstractNumId w:val="6"/>
  </w:num>
  <w:num w:numId="6">
    <w:abstractNumId w:val="5"/>
  </w:num>
  <w:num w:numId="7">
    <w:abstractNumId w:val="1"/>
  </w:num>
  <w:num w:numId="8">
    <w:abstractNumId w:val="5"/>
  </w:num>
  <w:num w:numId="9">
    <w:abstractNumId w:val="5"/>
  </w:num>
  <w:num w:numId="10">
    <w:abstractNumId w:val="2"/>
  </w:num>
  <w:num w:numId="11">
    <w:abstractNumId w:val="5"/>
  </w:num>
  <w:num w:numId="12">
    <w:abstractNumId w:val="5"/>
  </w:num>
  <w:num w:numId="13">
    <w:abstractNumId w:val="5"/>
  </w:num>
  <w:num w:numId="14">
    <w:abstractNumId w:val="3"/>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64"/>
    <w:rsid w:val="000108FB"/>
    <w:rsid w:val="000177C4"/>
    <w:rsid w:val="00023DD1"/>
    <w:rsid w:val="00024DCD"/>
    <w:rsid w:val="00026E9C"/>
    <w:rsid w:val="000463DE"/>
    <w:rsid w:val="0005218B"/>
    <w:rsid w:val="00066E4D"/>
    <w:rsid w:val="00081FB9"/>
    <w:rsid w:val="000A1EDF"/>
    <w:rsid w:val="000A5D8B"/>
    <w:rsid w:val="000C10DA"/>
    <w:rsid w:val="000D007B"/>
    <w:rsid w:val="000E4289"/>
    <w:rsid w:val="000E5F1D"/>
    <w:rsid w:val="00131327"/>
    <w:rsid w:val="00145C94"/>
    <w:rsid w:val="00153359"/>
    <w:rsid w:val="001547C7"/>
    <w:rsid w:val="001667C8"/>
    <w:rsid w:val="001667CA"/>
    <w:rsid w:val="00166822"/>
    <w:rsid w:val="00167F21"/>
    <w:rsid w:val="001725D3"/>
    <w:rsid w:val="00174D1B"/>
    <w:rsid w:val="0018038E"/>
    <w:rsid w:val="00180415"/>
    <w:rsid w:val="00181402"/>
    <w:rsid w:val="00181904"/>
    <w:rsid w:val="00184BF8"/>
    <w:rsid w:val="001933B2"/>
    <w:rsid w:val="00196B4F"/>
    <w:rsid w:val="001C0C58"/>
    <w:rsid w:val="001E4F63"/>
    <w:rsid w:val="00203B85"/>
    <w:rsid w:val="002047C7"/>
    <w:rsid w:val="00205042"/>
    <w:rsid w:val="00213CCB"/>
    <w:rsid w:val="00224588"/>
    <w:rsid w:val="00226B22"/>
    <w:rsid w:val="00240DB9"/>
    <w:rsid w:val="0025171E"/>
    <w:rsid w:val="002661A3"/>
    <w:rsid w:val="00270B21"/>
    <w:rsid w:val="00280A5C"/>
    <w:rsid w:val="002A5A03"/>
    <w:rsid w:val="002A77C9"/>
    <w:rsid w:val="002B0101"/>
    <w:rsid w:val="002B1830"/>
    <w:rsid w:val="002B5B0D"/>
    <w:rsid w:val="002C004B"/>
    <w:rsid w:val="002C5F58"/>
    <w:rsid w:val="002D7A0E"/>
    <w:rsid w:val="00301166"/>
    <w:rsid w:val="00303959"/>
    <w:rsid w:val="003103CD"/>
    <w:rsid w:val="003112D2"/>
    <w:rsid w:val="00311EBA"/>
    <w:rsid w:val="003209DB"/>
    <w:rsid w:val="00321B4C"/>
    <w:rsid w:val="0032359E"/>
    <w:rsid w:val="00345600"/>
    <w:rsid w:val="0035432D"/>
    <w:rsid w:val="003575E0"/>
    <w:rsid w:val="003713AE"/>
    <w:rsid w:val="0037243E"/>
    <w:rsid w:val="00382684"/>
    <w:rsid w:val="00392888"/>
    <w:rsid w:val="00392C3D"/>
    <w:rsid w:val="00393B8A"/>
    <w:rsid w:val="003A576A"/>
    <w:rsid w:val="003A7738"/>
    <w:rsid w:val="003B4E9D"/>
    <w:rsid w:val="003B7145"/>
    <w:rsid w:val="003C389B"/>
    <w:rsid w:val="003E597C"/>
    <w:rsid w:val="003F30DF"/>
    <w:rsid w:val="00402790"/>
    <w:rsid w:val="00414886"/>
    <w:rsid w:val="00415538"/>
    <w:rsid w:val="004172A5"/>
    <w:rsid w:val="004247EA"/>
    <w:rsid w:val="0043667C"/>
    <w:rsid w:val="0043696E"/>
    <w:rsid w:val="004372FB"/>
    <w:rsid w:val="00441F67"/>
    <w:rsid w:val="0044546B"/>
    <w:rsid w:val="004516DB"/>
    <w:rsid w:val="00457E96"/>
    <w:rsid w:val="00461980"/>
    <w:rsid w:val="00463178"/>
    <w:rsid w:val="004825D6"/>
    <w:rsid w:val="004871DB"/>
    <w:rsid w:val="00492BE9"/>
    <w:rsid w:val="00497CDB"/>
    <w:rsid w:val="004B447E"/>
    <w:rsid w:val="004B45BB"/>
    <w:rsid w:val="004C3E25"/>
    <w:rsid w:val="004C4F4C"/>
    <w:rsid w:val="004C6077"/>
    <w:rsid w:val="004D025E"/>
    <w:rsid w:val="004D3A59"/>
    <w:rsid w:val="004D3BB2"/>
    <w:rsid w:val="004D5F74"/>
    <w:rsid w:val="004D70BB"/>
    <w:rsid w:val="004D760F"/>
    <w:rsid w:val="004F0DB4"/>
    <w:rsid w:val="004F128E"/>
    <w:rsid w:val="004F6CC2"/>
    <w:rsid w:val="005008B7"/>
    <w:rsid w:val="00530047"/>
    <w:rsid w:val="00534928"/>
    <w:rsid w:val="005442C6"/>
    <w:rsid w:val="00544DC0"/>
    <w:rsid w:val="0054548C"/>
    <w:rsid w:val="005510B5"/>
    <w:rsid w:val="00556877"/>
    <w:rsid w:val="00562258"/>
    <w:rsid w:val="0056771B"/>
    <w:rsid w:val="00573781"/>
    <w:rsid w:val="00597917"/>
    <w:rsid w:val="005A6AE8"/>
    <w:rsid w:val="005B69AA"/>
    <w:rsid w:val="005C05E3"/>
    <w:rsid w:val="005D47CF"/>
    <w:rsid w:val="005D50BA"/>
    <w:rsid w:val="005D7DC5"/>
    <w:rsid w:val="005E72EB"/>
    <w:rsid w:val="005F3FA2"/>
    <w:rsid w:val="005F6822"/>
    <w:rsid w:val="005F6E58"/>
    <w:rsid w:val="00613FDD"/>
    <w:rsid w:val="00621EF0"/>
    <w:rsid w:val="006226FB"/>
    <w:rsid w:val="00625477"/>
    <w:rsid w:val="00626B71"/>
    <w:rsid w:val="0065117C"/>
    <w:rsid w:val="006547C4"/>
    <w:rsid w:val="00656A5B"/>
    <w:rsid w:val="00664624"/>
    <w:rsid w:val="0068240D"/>
    <w:rsid w:val="00697650"/>
    <w:rsid w:val="006B24EA"/>
    <w:rsid w:val="006B4A0B"/>
    <w:rsid w:val="006C54B1"/>
    <w:rsid w:val="006D3205"/>
    <w:rsid w:val="006E1E20"/>
    <w:rsid w:val="006F2100"/>
    <w:rsid w:val="00701212"/>
    <w:rsid w:val="00704101"/>
    <w:rsid w:val="0070482F"/>
    <w:rsid w:val="00705227"/>
    <w:rsid w:val="00705DD4"/>
    <w:rsid w:val="007144B1"/>
    <w:rsid w:val="00721F15"/>
    <w:rsid w:val="0072443B"/>
    <w:rsid w:val="00727F4F"/>
    <w:rsid w:val="007348F2"/>
    <w:rsid w:val="007364B1"/>
    <w:rsid w:val="00752988"/>
    <w:rsid w:val="00752D88"/>
    <w:rsid w:val="007535C2"/>
    <w:rsid w:val="00755416"/>
    <w:rsid w:val="00755439"/>
    <w:rsid w:val="00755618"/>
    <w:rsid w:val="00761B14"/>
    <w:rsid w:val="00761D9A"/>
    <w:rsid w:val="00764C99"/>
    <w:rsid w:val="00765091"/>
    <w:rsid w:val="00772A41"/>
    <w:rsid w:val="0077651E"/>
    <w:rsid w:val="00783544"/>
    <w:rsid w:val="00786B1A"/>
    <w:rsid w:val="00790FCC"/>
    <w:rsid w:val="00795627"/>
    <w:rsid w:val="00796CEC"/>
    <w:rsid w:val="007A0B29"/>
    <w:rsid w:val="007A77E8"/>
    <w:rsid w:val="007C3794"/>
    <w:rsid w:val="007D3CAF"/>
    <w:rsid w:val="007D5060"/>
    <w:rsid w:val="007D6BD2"/>
    <w:rsid w:val="007E7E76"/>
    <w:rsid w:val="007F7A75"/>
    <w:rsid w:val="00800FFB"/>
    <w:rsid w:val="00801735"/>
    <w:rsid w:val="00810F19"/>
    <w:rsid w:val="00827265"/>
    <w:rsid w:val="00834CC1"/>
    <w:rsid w:val="0084039C"/>
    <w:rsid w:val="00843EAC"/>
    <w:rsid w:val="008645C8"/>
    <w:rsid w:val="00865CC9"/>
    <w:rsid w:val="0086783B"/>
    <w:rsid w:val="00871FF7"/>
    <w:rsid w:val="00872757"/>
    <w:rsid w:val="00887635"/>
    <w:rsid w:val="008876DD"/>
    <w:rsid w:val="00897360"/>
    <w:rsid w:val="008B0E97"/>
    <w:rsid w:val="008B5A6D"/>
    <w:rsid w:val="008C2000"/>
    <w:rsid w:val="008C3B55"/>
    <w:rsid w:val="008C6754"/>
    <w:rsid w:val="008D6184"/>
    <w:rsid w:val="008D6A54"/>
    <w:rsid w:val="008E0215"/>
    <w:rsid w:val="008E27BD"/>
    <w:rsid w:val="008F0255"/>
    <w:rsid w:val="008F2680"/>
    <w:rsid w:val="008F32F8"/>
    <w:rsid w:val="008F5AC3"/>
    <w:rsid w:val="008F73F8"/>
    <w:rsid w:val="009029AC"/>
    <w:rsid w:val="00907140"/>
    <w:rsid w:val="00917F61"/>
    <w:rsid w:val="00920ACB"/>
    <w:rsid w:val="00922D8C"/>
    <w:rsid w:val="009252C2"/>
    <w:rsid w:val="00927A7B"/>
    <w:rsid w:val="009328A0"/>
    <w:rsid w:val="00951FFA"/>
    <w:rsid w:val="00953A76"/>
    <w:rsid w:val="0095537E"/>
    <w:rsid w:val="009644C5"/>
    <w:rsid w:val="0097034D"/>
    <w:rsid w:val="00971739"/>
    <w:rsid w:val="00977481"/>
    <w:rsid w:val="00986711"/>
    <w:rsid w:val="009907B2"/>
    <w:rsid w:val="009935C0"/>
    <w:rsid w:val="009A7094"/>
    <w:rsid w:val="009B5C19"/>
    <w:rsid w:val="009D0A3A"/>
    <w:rsid w:val="009D73DB"/>
    <w:rsid w:val="009E0117"/>
    <w:rsid w:val="009E3969"/>
    <w:rsid w:val="009F713B"/>
    <w:rsid w:val="009F7257"/>
    <w:rsid w:val="00A048B0"/>
    <w:rsid w:val="00A327D6"/>
    <w:rsid w:val="00A36EBE"/>
    <w:rsid w:val="00A40A7E"/>
    <w:rsid w:val="00A44036"/>
    <w:rsid w:val="00A45B96"/>
    <w:rsid w:val="00A91DFA"/>
    <w:rsid w:val="00AB0871"/>
    <w:rsid w:val="00AB160F"/>
    <w:rsid w:val="00AB5FCB"/>
    <w:rsid w:val="00AB7C32"/>
    <w:rsid w:val="00AD371C"/>
    <w:rsid w:val="00AF264C"/>
    <w:rsid w:val="00B122FB"/>
    <w:rsid w:val="00B17459"/>
    <w:rsid w:val="00B258DD"/>
    <w:rsid w:val="00B318E2"/>
    <w:rsid w:val="00B43440"/>
    <w:rsid w:val="00B64136"/>
    <w:rsid w:val="00B6657E"/>
    <w:rsid w:val="00B72074"/>
    <w:rsid w:val="00B73070"/>
    <w:rsid w:val="00B81AB4"/>
    <w:rsid w:val="00BA704F"/>
    <w:rsid w:val="00BA7BC0"/>
    <w:rsid w:val="00BB4BA2"/>
    <w:rsid w:val="00BB4D2F"/>
    <w:rsid w:val="00BB5A02"/>
    <w:rsid w:val="00BD323E"/>
    <w:rsid w:val="00BD3731"/>
    <w:rsid w:val="00BD399C"/>
    <w:rsid w:val="00BD74A3"/>
    <w:rsid w:val="00BF3D2A"/>
    <w:rsid w:val="00BF7194"/>
    <w:rsid w:val="00C004AA"/>
    <w:rsid w:val="00C03B5B"/>
    <w:rsid w:val="00C1036A"/>
    <w:rsid w:val="00C159C7"/>
    <w:rsid w:val="00C26D19"/>
    <w:rsid w:val="00C30A7A"/>
    <w:rsid w:val="00C30B82"/>
    <w:rsid w:val="00C30E55"/>
    <w:rsid w:val="00C31D85"/>
    <w:rsid w:val="00C33A78"/>
    <w:rsid w:val="00C41D71"/>
    <w:rsid w:val="00C42B48"/>
    <w:rsid w:val="00C506AB"/>
    <w:rsid w:val="00C51766"/>
    <w:rsid w:val="00C55DD0"/>
    <w:rsid w:val="00C64A76"/>
    <w:rsid w:val="00C7350F"/>
    <w:rsid w:val="00C76E09"/>
    <w:rsid w:val="00C77CAB"/>
    <w:rsid w:val="00C8169C"/>
    <w:rsid w:val="00C91DA0"/>
    <w:rsid w:val="00C962F5"/>
    <w:rsid w:val="00CA09D0"/>
    <w:rsid w:val="00CA46CC"/>
    <w:rsid w:val="00CB4ADD"/>
    <w:rsid w:val="00CC46BA"/>
    <w:rsid w:val="00CD7B42"/>
    <w:rsid w:val="00CF3765"/>
    <w:rsid w:val="00D0022D"/>
    <w:rsid w:val="00D01BB2"/>
    <w:rsid w:val="00D02ACA"/>
    <w:rsid w:val="00D2217F"/>
    <w:rsid w:val="00D24208"/>
    <w:rsid w:val="00D436AB"/>
    <w:rsid w:val="00D43864"/>
    <w:rsid w:val="00D46C2C"/>
    <w:rsid w:val="00D52BE1"/>
    <w:rsid w:val="00D53660"/>
    <w:rsid w:val="00D541FF"/>
    <w:rsid w:val="00D547F0"/>
    <w:rsid w:val="00D605C9"/>
    <w:rsid w:val="00D60B67"/>
    <w:rsid w:val="00D647D7"/>
    <w:rsid w:val="00D66303"/>
    <w:rsid w:val="00D749A9"/>
    <w:rsid w:val="00D81A23"/>
    <w:rsid w:val="00D87D43"/>
    <w:rsid w:val="00D962CB"/>
    <w:rsid w:val="00DB7CC0"/>
    <w:rsid w:val="00DC120B"/>
    <w:rsid w:val="00DC30E0"/>
    <w:rsid w:val="00DC73B2"/>
    <w:rsid w:val="00DD1FBF"/>
    <w:rsid w:val="00DD21CF"/>
    <w:rsid w:val="00DD432F"/>
    <w:rsid w:val="00DE4553"/>
    <w:rsid w:val="00DE5EAE"/>
    <w:rsid w:val="00DF6415"/>
    <w:rsid w:val="00E01814"/>
    <w:rsid w:val="00E059D3"/>
    <w:rsid w:val="00E071F6"/>
    <w:rsid w:val="00E169C1"/>
    <w:rsid w:val="00E30BAC"/>
    <w:rsid w:val="00E33019"/>
    <w:rsid w:val="00E34DC1"/>
    <w:rsid w:val="00E36C8D"/>
    <w:rsid w:val="00E40061"/>
    <w:rsid w:val="00E501B6"/>
    <w:rsid w:val="00E52015"/>
    <w:rsid w:val="00E60459"/>
    <w:rsid w:val="00E62E1D"/>
    <w:rsid w:val="00E62F9C"/>
    <w:rsid w:val="00E6410A"/>
    <w:rsid w:val="00E710D1"/>
    <w:rsid w:val="00E81FD1"/>
    <w:rsid w:val="00E94FDE"/>
    <w:rsid w:val="00EA58A4"/>
    <w:rsid w:val="00EA7F51"/>
    <w:rsid w:val="00EB7563"/>
    <w:rsid w:val="00EC4C61"/>
    <w:rsid w:val="00EC5F18"/>
    <w:rsid w:val="00ED2ADE"/>
    <w:rsid w:val="00EE45E7"/>
    <w:rsid w:val="00EE6478"/>
    <w:rsid w:val="00EE7DA3"/>
    <w:rsid w:val="00F16C54"/>
    <w:rsid w:val="00F26292"/>
    <w:rsid w:val="00F301D8"/>
    <w:rsid w:val="00F604CB"/>
    <w:rsid w:val="00F6643B"/>
    <w:rsid w:val="00F6784F"/>
    <w:rsid w:val="00F70F36"/>
    <w:rsid w:val="00F726E9"/>
    <w:rsid w:val="00F75728"/>
    <w:rsid w:val="00F84C6E"/>
    <w:rsid w:val="00F90E15"/>
    <w:rsid w:val="00F93B51"/>
    <w:rsid w:val="00F94F8C"/>
    <w:rsid w:val="00F97B73"/>
    <w:rsid w:val="00FA4739"/>
    <w:rsid w:val="00FA7405"/>
    <w:rsid w:val="00FB4430"/>
    <w:rsid w:val="00FC53CE"/>
    <w:rsid w:val="00FC5C7C"/>
    <w:rsid w:val="00FC7A65"/>
    <w:rsid w:val="00FD64C2"/>
    <w:rsid w:val="00FE2801"/>
    <w:rsid w:val="00FE4FAD"/>
    <w:rsid w:val="00FE60FB"/>
    <w:rsid w:val="00FE6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9A"/>
    <w:rPr>
      <w:sz w:val="26"/>
      <w:szCs w:val="24"/>
    </w:rPr>
  </w:style>
  <w:style w:type="paragraph" w:styleId="Heading2">
    <w:name w:val="heading 2"/>
    <w:basedOn w:val="Normal"/>
    <w:next w:val="Normal"/>
    <w:qFormat/>
    <w:rsid w:val="00D43864"/>
    <w:pPr>
      <w:keepNext/>
      <w:spacing w:before="240" w:after="60"/>
      <w:outlineLvl w:val="1"/>
    </w:pPr>
    <w:rPr>
      <w:rFonts w:ascii="Arial" w:hAnsi="Arial" w:cs="Arial"/>
      <w:b/>
      <w:bCs/>
      <w:i/>
      <w:iCs/>
      <w:sz w:val="28"/>
      <w:szCs w:val="28"/>
    </w:rPr>
  </w:style>
  <w:style w:type="paragraph" w:styleId="Heading3">
    <w:name w:val="heading 3"/>
    <w:basedOn w:val="Heading2"/>
    <w:next w:val="BodyText"/>
    <w:qFormat/>
    <w:rsid w:val="00D43864"/>
    <w:pPr>
      <w:spacing w:before="560" w:after="0" w:line="320" w:lineRule="exact"/>
      <w:outlineLvl w:val="2"/>
    </w:pPr>
    <w:rPr>
      <w:rFonts w:cs="Times New Roman"/>
      <w:bCs w:val="0"/>
      <w:i w:val="0"/>
      <w:iCs w:val="0"/>
      <w:sz w:val="26"/>
      <w:szCs w:val="20"/>
    </w:rPr>
  </w:style>
  <w:style w:type="paragraph" w:styleId="Heading4">
    <w:name w:val="heading 4"/>
    <w:basedOn w:val="Normal"/>
    <w:next w:val="Normal"/>
    <w:qFormat/>
    <w:rsid w:val="00C76E0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rsid w:val="00F75728"/>
    <w:pPr>
      <w:autoSpaceDE w:val="0"/>
      <w:autoSpaceDN w:val="0"/>
      <w:adjustRightInd w:val="0"/>
      <w:spacing w:before="40" w:after="40"/>
      <w:jc w:val="both"/>
    </w:pPr>
    <w:rPr>
      <w:rFonts w:ascii="Arial" w:hAnsi="Arial" w:cs="Arial"/>
      <w:sz w:val="48"/>
      <w:szCs w:val="48"/>
    </w:rPr>
  </w:style>
  <w:style w:type="paragraph" w:styleId="BodyText">
    <w:name w:val="Body Text"/>
    <w:aliases w:val="Body Text Char Char,new legislation style"/>
    <w:link w:val="BodyTextChar"/>
    <w:rsid w:val="00D43864"/>
    <w:pPr>
      <w:spacing w:before="240" w:line="320" w:lineRule="atLeast"/>
      <w:jc w:val="both"/>
    </w:pPr>
    <w:rPr>
      <w:sz w:val="26"/>
    </w:rPr>
  </w:style>
  <w:style w:type="character" w:customStyle="1" w:styleId="BodyTextChar">
    <w:name w:val="Body Text Char"/>
    <w:aliases w:val="Body Text Char Char Char,new legislation style Char"/>
    <w:link w:val="BodyText"/>
    <w:rsid w:val="00D43864"/>
    <w:rPr>
      <w:sz w:val="26"/>
      <w:lang w:val="en-AU" w:eastAsia="en-AU" w:bidi="ar-SA"/>
    </w:rPr>
  </w:style>
  <w:style w:type="paragraph" w:styleId="Header">
    <w:name w:val="header"/>
    <w:basedOn w:val="Normal"/>
    <w:rsid w:val="00FA7405"/>
    <w:pPr>
      <w:tabs>
        <w:tab w:val="center" w:pos="4153"/>
        <w:tab w:val="right" w:pos="8306"/>
      </w:tabs>
    </w:pPr>
  </w:style>
  <w:style w:type="paragraph" w:styleId="Footer">
    <w:name w:val="footer"/>
    <w:basedOn w:val="Normal"/>
    <w:rsid w:val="00FA7405"/>
    <w:pPr>
      <w:tabs>
        <w:tab w:val="center" w:pos="4153"/>
        <w:tab w:val="right" w:pos="8306"/>
      </w:tabs>
    </w:pPr>
  </w:style>
  <w:style w:type="paragraph" w:styleId="BalloonText">
    <w:name w:val="Balloon Text"/>
    <w:basedOn w:val="Normal"/>
    <w:semiHidden/>
    <w:rsid w:val="00023DD1"/>
    <w:rPr>
      <w:rFonts w:ascii="Tahoma" w:hAnsi="Tahoma" w:cs="Tahoma"/>
      <w:sz w:val="16"/>
      <w:szCs w:val="16"/>
    </w:rPr>
  </w:style>
  <w:style w:type="paragraph" w:customStyle="1" w:styleId="BoxSpace">
    <w:name w:val="Box Space"/>
    <w:basedOn w:val="BodyText"/>
    <w:rsid w:val="00180415"/>
    <w:pPr>
      <w:keepNext/>
      <w:spacing w:before="360" w:line="80" w:lineRule="exact"/>
      <w:jc w:val="left"/>
    </w:pPr>
  </w:style>
  <w:style w:type="paragraph" w:customStyle="1" w:styleId="HeadingSpaceAfter">
    <w:name w:val="Heading Space After"/>
    <w:basedOn w:val="BoxSpace"/>
    <w:rsid w:val="00180415"/>
    <w:pPr>
      <w:spacing w:before="0" w:after="360"/>
    </w:pPr>
    <w:rPr>
      <w:b/>
      <w:vanish/>
      <w:color w:val="FF00FF"/>
      <w:sz w:val="14"/>
    </w:rPr>
  </w:style>
  <w:style w:type="table" w:styleId="TableGrid">
    <w:name w:val="Table Grid"/>
    <w:basedOn w:val="TableNormal"/>
    <w:rsid w:val="00F70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0F36"/>
    <w:rPr>
      <w:color w:val="0000FF"/>
      <w:u w:val="single"/>
    </w:rPr>
  </w:style>
  <w:style w:type="paragraph" w:customStyle="1" w:styleId="Footertext">
    <w:name w:val="Footer text"/>
    <w:basedOn w:val="Normal"/>
    <w:rsid w:val="00F75728"/>
    <w:pPr>
      <w:spacing w:line="180" w:lineRule="atLeast"/>
      <w:ind w:left="142" w:right="113"/>
      <w:jc w:val="both"/>
    </w:pPr>
    <w:rPr>
      <w:rFonts w:ascii="Arial" w:hAnsi="Arial"/>
      <w:sz w:val="17"/>
      <w:szCs w:val="20"/>
    </w:rPr>
  </w:style>
  <w:style w:type="paragraph" w:customStyle="1" w:styleId="Footertext2">
    <w:name w:val="Footer text 2"/>
    <w:basedOn w:val="Footertext"/>
    <w:rsid w:val="002661A3"/>
    <w:pPr>
      <w:spacing w:before="40" w:after="40" w:line="240" w:lineRule="atLeast"/>
      <w:ind w:left="0" w:right="0"/>
      <w:jc w:val="center"/>
    </w:pPr>
    <w:rPr>
      <w:b/>
      <w:sz w:val="56"/>
    </w:rPr>
  </w:style>
  <w:style w:type="paragraph" w:customStyle="1" w:styleId="Headertext1">
    <w:name w:val="Header text 1"/>
    <w:basedOn w:val="Normal"/>
    <w:rsid w:val="002661A3"/>
    <w:pPr>
      <w:spacing w:before="40" w:after="40"/>
    </w:pPr>
    <w:rPr>
      <w:rFonts w:ascii="Arial" w:hAnsi="Arial"/>
      <w:b/>
      <w:sz w:val="36"/>
    </w:rPr>
  </w:style>
  <w:style w:type="paragraph" w:customStyle="1" w:styleId="Headertext2">
    <w:name w:val="Header text 2"/>
    <w:basedOn w:val="Headertext1"/>
    <w:rsid w:val="002661A3"/>
    <w:pPr>
      <w:jc w:val="center"/>
    </w:pPr>
    <w:rPr>
      <w:sz w:val="68"/>
    </w:rPr>
  </w:style>
  <w:style w:type="paragraph" w:customStyle="1" w:styleId="Headertext3">
    <w:name w:val="Header text 3"/>
    <w:basedOn w:val="Normal"/>
    <w:rsid w:val="002661A3"/>
    <w:pPr>
      <w:spacing w:before="40" w:after="40"/>
      <w:jc w:val="center"/>
    </w:pPr>
    <w:rPr>
      <w:rFonts w:ascii="Arial" w:hAnsi="Arial"/>
      <w:sz w:val="22"/>
    </w:rPr>
  </w:style>
  <w:style w:type="paragraph" w:styleId="ListBullet">
    <w:name w:val="List Bullet"/>
    <w:basedOn w:val="Normal"/>
    <w:rsid w:val="003B7145"/>
    <w:pPr>
      <w:numPr>
        <w:numId w:val="6"/>
      </w:numPr>
    </w:pPr>
  </w:style>
  <w:style w:type="paragraph" w:customStyle="1" w:styleId="Note">
    <w:name w:val="Note"/>
    <w:basedOn w:val="BodyText"/>
    <w:next w:val="Normal"/>
    <w:rsid w:val="004172A5"/>
    <w:pPr>
      <w:keepLines/>
      <w:spacing w:before="80" w:line="220" w:lineRule="exact"/>
    </w:pPr>
    <w:rPr>
      <w:rFonts w:ascii="Arial" w:hAnsi="Arial"/>
      <w:sz w:val="18"/>
    </w:rPr>
  </w:style>
  <w:style w:type="paragraph" w:customStyle="1" w:styleId="Source">
    <w:name w:val="Source"/>
    <w:basedOn w:val="Note"/>
    <w:next w:val="BodyText"/>
    <w:rsid w:val="004172A5"/>
    <w:pPr>
      <w:spacing w:after="120"/>
    </w:pPr>
  </w:style>
  <w:style w:type="paragraph" w:customStyle="1" w:styleId="Figure">
    <w:name w:val="Figure"/>
    <w:basedOn w:val="BodyText"/>
    <w:rsid w:val="004172A5"/>
    <w:pPr>
      <w:keepNext/>
      <w:spacing w:before="120" w:after="120" w:line="240" w:lineRule="atLeast"/>
      <w:jc w:val="center"/>
    </w:pPr>
  </w:style>
  <w:style w:type="paragraph" w:customStyle="1" w:styleId="FigureTitle">
    <w:name w:val="Figure Title"/>
    <w:basedOn w:val="Caption"/>
    <w:next w:val="Subtitle"/>
    <w:rsid w:val="004172A5"/>
    <w:pPr>
      <w:keepNext/>
      <w:keepLines/>
      <w:spacing w:before="360" w:after="80" w:line="280" w:lineRule="exact"/>
      <w:ind w:left="1474" w:hanging="1474"/>
    </w:pPr>
    <w:rPr>
      <w:rFonts w:ascii="Arial" w:hAnsi="Arial"/>
      <w:bCs w:val="0"/>
      <w:sz w:val="26"/>
      <w:szCs w:val="24"/>
    </w:rPr>
  </w:style>
  <w:style w:type="character" w:customStyle="1" w:styleId="NoteLabel">
    <w:name w:val="Note Label"/>
    <w:rsid w:val="004172A5"/>
    <w:rPr>
      <w:rFonts w:ascii="Arial" w:hAnsi="Arial"/>
      <w:b/>
      <w:position w:val="6"/>
      <w:sz w:val="18"/>
    </w:rPr>
  </w:style>
  <w:style w:type="paragraph" w:customStyle="1" w:styleId="TableBodyText">
    <w:name w:val="Table Body Text"/>
    <w:basedOn w:val="BodyText"/>
    <w:rsid w:val="004172A5"/>
    <w:pPr>
      <w:keepNext/>
      <w:keepLines/>
      <w:spacing w:before="0" w:after="40" w:line="220" w:lineRule="atLeast"/>
      <w:ind w:left="6" w:right="113"/>
      <w:jc w:val="right"/>
    </w:pPr>
    <w:rPr>
      <w:rFonts w:ascii="Arial" w:hAnsi="Arial"/>
      <w:sz w:val="20"/>
    </w:rPr>
  </w:style>
  <w:style w:type="paragraph" w:styleId="Caption">
    <w:name w:val="caption"/>
    <w:basedOn w:val="Normal"/>
    <w:next w:val="Normal"/>
    <w:qFormat/>
    <w:rsid w:val="004172A5"/>
    <w:rPr>
      <w:b/>
      <w:bCs/>
      <w:sz w:val="20"/>
      <w:szCs w:val="20"/>
    </w:rPr>
  </w:style>
  <w:style w:type="paragraph" w:styleId="Subtitle">
    <w:name w:val="Subtitle"/>
    <w:basedOn w:val="Normal"/>
    <w:qFormat/>
    <w:rsid w:val="004172A5"/>
    <w:pPr>
      <w:spacing w:after="60"/>
      <w:jc w:val="center"/>
      <w:outlineLvl w:val="1"/>
    </w:pPr>
    <w:rPr>
      <w:rFonts w:ascii="Arial" w:hAnsi="Arial" w:cs="Arial"/>
      <w:sz w:val="24"/>
    </w:rPr>
  </w:style>
  <w:style w:type="paragraph" w:customStyle="1" w:styleId="BoxHeading2">
    <w:name w:val="Box Heading 2"/>
    <w:basedOn w:val="Normal"/>
    <w:next w:val="Normal"/>
    <w:rsid w:val="00810F19"/>
    <w:pPr>
      <w:keepNext/>
      <w:numPr>
        <w:numId w:val="3"/>
      </w:numPr>
      <w:tabs>
        <w:tab w:val="clear" w:pos="284"/>
      </w:tabs>
      <w:spacing w:before="200" w:line="280" w:lineRule="atLeast"/>
      <w:ind w:left="0" w:firstLine="0"/>
      <w:jc w:val="both"/>
    </w:pPr>
    <w:rPr>
      <w:rFonts w:ascii="Arial" w:hAnsi="Arial"/>
      <w:i/>
      <w:sz w:val="22"/>
      <w:szCs w:val="20"/>
    </w:rPr>
  </w:style>
  <w:style w:type="paragraph" w:customStyle="1" w:styleId="BoxListBullet">
    <w:name w:val="Box List Bullet"/>
    <w:basedOn w:val="BodyText"/>
    <w:rsid w:val="00810F19"/>
    <w:pPr>
      <w:keepNext/>
      <w:numPr>
        <w:numId w:val="1"/>
      </w:numPr>
      <w:spacing w:before="120" w:line="280" w:lineRule="atLeast"/>
    </w:pPr>
    <w:rPr>
      <w:rFonts w:ascii="Arial" w:hAnsi="Arial"/>
      <w:sz w:val="22"/>
    </w:rPr>
  </w:style>
  <w:style w:type="character" w:styleId="FootnoteReference">
    <w:name w:val="footnote reference"/>
    <w:semiHidden/>
    <w:rsid w:val="00C76E09"/>
    <w:rPr>
      <w:rFonts w:ascii="Times New Roman" w:hAnsi="Times New Roman"/>
      <w:position w:val="6"/>
      <w:sz w:val="22"/>
      <w:vertAlign w:val="baseline"/>
    </w:rPr>
  </w:style>
  <w:style w:type="paragraph" w:styleId="FootnoteText">
    <w:name w:val="footnote text"/>
    <w:basedOn w:val="BodyText"/>
    <w:link w:val="FootnoteTextChar"/>
    <w:autoRedefine/>
    <w:rsid w:val="00F90E15"/>
    <w:pPr>
      <w:spacing w:before="80" w:line="260" w:lineRule="exact"/>
      <w:ind w:left="340" w:hanging="340"/>
    </w:pPr>
    <w:rPr>
      <w:rFonts w:ascii="Goudy Old Style" w:hAnsi="Goudy Old Style"/>
      <w:sz w:val="22"/>
    </w:rPr>
  </w:style>
  <w:style w:type="paragraph" w:styleId="Quote">
    <w:name w:val="Quote"/>
    <w:basedOn w:val="BodyText"/>
    <w:next w:val="BodyText"/>
    <w:qFormat/>
    <w:rsid w:val="00C76E09"/>
    <w:pPr>
      <w:spacing w:before="120" w:line="280" w:lineRule="exact"/>
      <w:ind w:left="340"/>
    </w:pPr>
    <w:rPr>
      <w:sz w:val="24"/>
    </w:rPr>
  </w:style>
  <w:style w:type="paragraph" w:styleId="ListNumber">
    <w:name w:val="List Number"/>
    <w:basedOn w:val="BodyText"/>
    <w:rsid w:val="00C76E09"/>
    <w:pPr>
      <w:tabs>
        <w:tab w:val="num" w:pos="340"/>
      </w:tabs>
      <w:spacing w:before="120"/>
      <w:ind w:left="340" w:hanging="340"/>
    </w:pPr>
  </w:style>
  <w:style w:type="paragraph" w:styleId="ListNumber2">
    <w:name w:val="List Number 2"/>
    <w:basedOn w:val="ListNumber"/>
    <w:rsid w:val="00C76E09"/>
    <w:pPr>
      <w:tabs>
        <w:tab w:val="clear" w:pos="340"/>
        <w:tab w:val="num" w:pos="794"/>
      </w:tabs>
      <w:ind w:left="794" w:hanging="454"/>
    </w:pPr>
  </w:style>
  <w:style w:type="paragraph" w:styleId="ListNumber3">
    <w:name w:val="List Number 3"/>
    <w:basedOn w:val="ListNumber2"/>
    <w:rsid w:val="00C76E09"/>
    <w:pPr>
      <w:numPr>
        <w:ilvl w:val="1"/>
      </w:numPr>
      <w:tabs>
        <w:tab w:val="num" w:pos="794"/>
        <w:tab w:val="num" w:pos="1304"/>
      </w:tabs>
      <w:ind w:left="1304" w:hanging="510"/>
    </w:pPr>
  </w:style>
  <w:style w:type="paragraph" w:customStyle="1" w:styleId="BoxListBullet2">
    <w:name w:val="Box List Bullet 2"/>
    <w:basedOn w:val="BodyText"/>
    <w:rsid w:val="00D547F0"/>
    <w:pPr>
      <w:keepNext/>
      <w:numPr>
        <w:numId w:val="2"/>
      </w:numPr>
      <w:tabs>
        <w:tab w:val="left" w:pos="284"/>
      </w:tabs>
      <w:spacing w:before="60" w:line="280" w:lineRule="atLeast"/>
    </w:pPr>
    <w:rPr>
      <w:rFonts w:ascii="Arial" w:hAnsi="Arial"/>
      <w:sz w:val="22"/>
    </w:rPr>
  </w:style>
  <w:style w:type="paragraph" w:customStyle="1" w:styleId="TableColumnHeading">
    <w:name w:val="Table Column Heading"/>
    <w:basedOn w:val="TableBodyText"/>
    <w:rsid w:val="00D547F0"/>
    <w:pPr>
      <w:numPr>
        <w:numId w:val="5"/>
      </w:numPr>
      <w:tabs>
        <w:tab w:val="clear" w:pos="170"/>
      </w:tabs>
      <w:spacing w:before="80" w:after="80"/>
      <w:ind w:left="6" w:firstLine="0"/>
    </w:pPr>
    <w:rPr>
      <w:i/>
    </w:rPr>
  </w:style>
  <w:style w:type="character" w:styleId="CommentReference">
    <w:name w:val="annotation reference"/>
    <w:semiHidden/>
    <w:rsid w:val="00497CDB"/>
    <w:rPr>
      <w:sz w:val="16"/>
      <w:szCs w:val="16"/>
    </w:rPr>
  </w:style>
  <w:style w:type="paragraph" w:styleId="CommentText">
    <w:name w:val="annotation text"/>
    <w:basedOn w:val="Normal"/>
    <w:link w:val="CommentTextChar"/>
    <w:semiHidden/>
    <w:rsid w:val="00497CDB"/>
    <w:rPr>
      <w:sz w:val="20"/>
      <w:szCs w:val="20"/>
    </w:rPr>
  </w:style>
  <w:style w:type="paragraph" w:customStyle="1" w:styleId="Bullet2">
    <w:name w:val="Bullet 2"/>
    <w:basedOn w:val="ListBullet"/>
    <w:rsid w:val="00224588"/>
    <w:pPr>
      <w:numPr>
        <w:numId w:val="7"/>
      </w:numPr>
      <w:ind w:left="568" w:hanging="284"/>
    </w:pPr>
    <w:rPr>
      <w:rFonts w:ascii="GoudyOlSt BT" w:hAnsi="GoudyOlSt BT"/>
    </w:rPr>
  </w:style>
  <w:style w:type="paragraph" w:styleId="CommentSubject">
    <w:name w:val="annotation subject"/>
    <w:basedOn w:val="CommentText"/>
    <w:next w:val="CommentText"/>
    <w:link w:val="CommentSubjectChar"/>
    <w:rsid w:val="00AB5FCB"/>
    <w:rPr>
      <w:b/>
      <w:bCs/>
    </w:rPr>
  </w:style>
  <w:style w:type="character" w:customStyle="1" w:styleId="CommentTextChar">
    <w:name w:val="Comment Text Char"/>
    <w:basedOn w:val="DefaultParagraphFont"/>
    <w:link w:val="CommentText"/>
    <w:semiHidden/>
    <w:rsid w:val="00AB5FCB"/>
  </w:style>
  <w:style w:type="character" w:customStyle="1" w:styleId="CommentSubjectChar">
    <w:name w:val="Comment Subject Char"/>
    <w:link w:val="CommentSubject"/>
    <w:rsid w:val="00AB5FCB"/>
    <w:rPr>
      <w:b/>
      <w:bCs/>
    </w:rPr>
  </w:style>
  <w:style w:type="character" w:customStyle="1" w:styleId="FootnoteTextChar">
    <w:name w:val="Footnote Text Char"/>
    <w:basedOn w:val="DefaultParagraphFont"/>
    <w:link w:val="FootnoteText"/>
    <w:rsid w:val="00F90E15"/>
    <w:rPr>
      <w:rFonts w:ascii="Goudy Old Style" w:hAnsi="Goudy Old Style"/>
      <w:sz w:val="22"/>
    </w:rPr>
  </w:style>
  <w:style w:type="paragraph" w:styleId="Revision">
    <w:name w:val="Revision"/>
    <w:hidden/>
    <w:uiPriority w:val="99"/>
    <w:semiHidden/>
    <w:rsid w:val="00F97B73"/>
    <w:rPr>
      <w:sz w:val="26"/>
      <w:szCs w:val="24"/>
    </w:rPr>
  </w:style>
  <w:style w:type="paragraph" w:styleId="ListParagraph">
    <w:name w:val="List Paragraph"/>
    <w:basedOn w:val="Normal"/>
    <w:uiPriority w:val="34"/>
    <w:qFormat/>
    <w:rsid w:val="004247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9A"/>
    <w:rPr>
      <w:sz w:val="26"/>
      <w:szCs w:val="24"/>
    </w:rPr>
  </w:style>
  <w:style w:type="paragraph" w:styleId="Heading2">
    <w:name w:val="heading 2"/>
    <w:basedOn w:val="Normal"/>
    <w:next w:val="Normal"/>
    <w:qFormat/>
    <w:rsid w:val="00D43864"/>
    <w:pPr>
      <w:keepNext/>
      <w:spacing w:before="240" w:after="60"/>
      <w:outlineLvl w:val="1"/>
    </w:pPr>
    <w:rPr>
      <w:rFonts w:ascii="Arial" w:hAnsi="Arial" w:cs="Arial"/>
      <w:b/>
      <w:bCs/>
      <w:i/>
      <w:iCs/>
      <w:sz w:val="28"/>
      <w:szCs w:val="28"/>
    </w:rPr>
  </w:style>
  <w:style w:type="paragraph" w:styleId="Heading3">
    <w:name w:val="heading 3"/>
    <w:basedOn w:val="Heading2"/>
    <w:next w:val="BodyText"/>
    <w:qFormat/>
    <w:rsid w:val="00D43864"/>
    <w:pPr>
      <w:spacing w:before="560" w:after="0" w:line="320" w:lineRule="exact"/>
      <w:outlineLvl w:val="2"/>
    </w:pPr>
    <w:rPr>
      <w:rFonts w:cs="Times New Roman"/>
      <w:bCs w:val="0"/>
      <w:i w:val="0"/>
      <w:iCs w:val="0"/>
      <w:sz w:val="26"/>
      <w:szCs w:val="20"/>
    </w:rPr>
  </w:style>
  <w:style w:type="paragraph" w:styleId="Heading4">
    <w:name w:val="heading 4"/>
    <w:basedOn w:val="Normal"/>
    <w:next w:val="Normal"/>
    <w:qFormat/>
    <w:rsid w:val="00C76E0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rsid w:val="00F75728"/>
    <w:pPr>
      <w:autoSpaceDE w:val="0"/>
      <w:autoSpaceDN w:val="0"/>
      <w:adjustRightInd w:val="0"/>
      <w:spacing w:before="40" w:after="40"/>
      <w:jc w:val="both"/>
    </w:pPr>
    <w:rPr>
      <w:rFonts w:ascii="Arial" w:hAnsi="Arial" w:cs="Arial"/>
      <w:sz w:val="48"/>
      <w:szCs w:val="48"/>
    </w:rPr>
  </w:style>
  <w:style w:type="paragraph" w:styleId="BodyText">
    <w:name w:val="Body Text"/>
    <w:aliases w:val="Body Text Char Char,new legislation style"/>
    <w:link w:val="BodyTextChar"/>
    <w:rsid w:val="00D43864"/>
    <w:pPr>
      <w:spacing w:before="240" w:line="320" w:lineRule="atLeast"/>
      <w:jc w:val="both"/>
    </w:pPr>
    <w:rPr>
      <w:sz w:val="26"/>
    </w:rPr>
  </w:style>
  <w:style w:type="character" w:customStyle="1" w:styleId="BodyTextChar">
    <w:name w:val="Body Text Char"/>
    <w:aliases w:val="Body Text Char Char Char,new legislation style Char"/>
    <w:link w:val="BodyText"/>
    <w:rsid w:val="00D43864"/>
    <w:rPr>
      <w:sz w:val="26"/>
      <w:lang w:val="en-AU" w:eastAsia="en-AU" w:bidi="ar-SA"/>
    </w:rPr>
  </w:style>
  <w:style w:type="paragraph" w:styleId="Header">
    <w:name w:val="header"/>
    <w:basedOn w:val="Normal"/>
    <w:rsid w:val="00FA7405"/>
    <w:pPr>
      <w:tabs>
        <w:tab w:val="center" w:pos="4153"/>
        <w:tab w:val="right" w:pos="8306"/>
      </w:tabs>
    </w:pPr>
  </w:style>
  <w:style w:type="paragraph" w:styleId="Footer">
    <w:name w:val="footer"/>
    <w:basedOn w:val="Normal"/>
    <w:rsid w:val="00FA7405"/>
    <w:pPr>
      <w:tabs>
        <w:tab w:val="center" w:pos="4153"/>
        <w:tab w:val="right" w:pos="8306"/>
      </w:tabs>
    </w:pPr>
  </w:style>
  <w:style w:type="paragraph" w:styleId="BalloonText">
    <w:name w:val="Balloon Text"/>
    <w:basedOn w:val="Normal"/>
    <w:semiHidden/>
    <w:rsid w:val="00023DD1"/>
    <w:rPr>
      <w:rFonts w:ascii="Tahoma" w:hAnsi="Tahoma" w:cs="Tahoma"/>
      <w:sz w:val="16"/>
      <w:szCs w:val="16"/>
    </w:rPr>
  </w:style>
  <w:style w:type="paragraph" w:customStyle="1" w:styleId="BoxSpace">
    <w:name w:val="Box Space"/>
    <w:basedOn w:val="BodyText"/>
    <w:rsid w:val="00180415"/>
    <w:pPr>
      <w:keepNext/>
      <w:spacing w:before="360" w:line="80" w:lineRule="exact"/>
      <w:jc w:val="left"/>
    </w:pPr>
  </w:style>
  <w:style w:type="paragraph" w:customStyle="1" w:styleId="HeadingSpaceAfter">
    <w:name w:val="Heading Space After"/>
    <w:basedOn w:val="BoxSpace"/>
    <w:rsid w:val="00180415"/>
    <w:pPr>
      <w:spacing w:before="0" w:after="360"/>
    </w:pPr>
    <w:rPr>
      <w:b/>
      <w:vanish/>
      <w:color w:val="FF00FF"/>
      <w:sz w:val="14"/>
    </w:rPr>
  </w:style>
  <w:style w:type="table" w:styleId="TableGrid">
    <w:name w:val="Table Grid"/>
    <w:basedOn w:val="TableNormal"/>
    <w:rsid w:val="00F70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0F36"/>
    <w:rPr>
      <w:color w:val="0000FF"/>
      <w:u w:val="single"/>
    </w:rPr>
  </w:style>
  <w:style w:type="paragraph" w:customStyle="1" w:styleId="Footertext">
    <w:name w:val="Footer text"/>
    <w:basedOn w:val="Normal"/>
    <w:rsid w:val="00F75728"/>
    <w:pPr>
      <w:spacing w:line="180" w:lineRule="atLeast"/>
      <w:ind w:left="142" w:right="113"/>
      <w:jc w:val="both"/>
    </w:pPr>
    <w:rPr>
      <w:rFonts w:ascii="Arial" w:hAnsi="Arial"/>
      <w:sz w:val="17"/>
      <w:szCs w:val="20"/>
    </w:rPr>
  </w:style>
  <w:style w:type="paragraph" w:customStyle="1" w:styleId="Footertext2">
    <w:name w:val="Footer text 2"/>
    <w:basedOn w:val="Footertext"/>
    <w:rsid w:val="002661A3"/>
    <w:pPr>
      <w:spacing w:before="40" w:after="40" w:line="240" w:lineRule="atLeast"/>
      <w:ind w:left="0" w:right="0"/>
      <w:jc w:val="center"/>
    </w:pPr>
    <w:rPr>
      <w:b/>
      <w:sz w:val="56"/>
    </w:rPr>
  </w:style>
  <w:style w:type="paragraph" w:customStyle="1" w:styleId="Headertext1">
    <w:name w:val="Header text 1"/>
    <w:basedOn w:val="Normal"/>
    <w:rsid w:val="002661A3"/>
    <w:pPr>
      <w:spacing w:before="40" w:after="40"/>
    </w:pPr>
    <w:rPr>
      <w:rFonts w:ascii="Arial" w:hAnsi="Arial"/>
      <w:b/>
      <w:sz w:val="36"/>
    </w:rPr>
  </w:style>
  <w:style w:type="paragraph" w:customStyle="1" w:styleId="Headertext2">
    <w:name w:val="Header text 2"/>
    <w:basedOn w:val="Headertext1"/>
    <w:rsid w:val="002661A3"/>
    <w:pPr>
      <w:jc w:val="center"/>
    </w:pPr>
    <w:rPr>
      <w:sz w:val="68"/>
    </w:rPr>
  </w:style>
  <w:style w:type="paragraph" w:customStyle="1" w:styleId="Headertext3">
    <w:name w:val="Header text 3"/>
    <w:basedOn w:val="Normal"/>
    <w:rsid w:val="002661A3"/>
    <w:pPr>
      <w:spacing w:before="40" w:after="40"/>
      <w:jc w:val="center"/>
    </w:pPr>
    <w:rPr>
      <w:rFonts w:ascii="Arial" w:hAnsi="Arial"/>
      <w:sz w:val="22"/>
    </w:rPr>
  </w:style>
  <w:style w:type="paragraph" w:styleId="ListBullet">
    <w:name w:val="List Bullet"/>
    <w:basedOn w:val="Normal"/>
    <w:rsid w:val="003B7145"/>
    <w:pPr>
      <w:numPr>
        <w:numId w:val="6"/>
      </w:numPr>
    </w:pPr>
  </w:style>
  <w:style w:type="paragraph" w:customStyle="1" w:styleId="Note">
    <w:name w:val="Note"/>
    <w:basedOn w:val="BodyText"/>
    <w:next w:val="Normal"/>
    <w:rsid w:val="004172A5"/>
    <w:pPr>
      <w:keepLines/>
      <w:spacing w:before="80" w:line="220" w:lineRule="exact"/>
    </w:pPr>
    <w:rPr>
      <w:rFonts w:ascii="Arial" w:hAnsi="Arial"/>
      <w:sz w:val="18"/>
    </w:rPr>
  </w:style>
  <w:style w:type="paragraph" w:customStyle="1" w:styleId="Source">
    <w:name w:val="Source"/>
    <w:basedOn w:val="Note"/>
    <w:next w:val="BodyText"/>
    <w:rsid w:val="004172A5"/>
    <w:pPr>
      <w:spacing w:after="120"/>
    </w:pPr>
  </w:style>
  <w:style w:type="paragraph" w:customStyle="1" w:styleId="Figure">
    <w:name w:val="Figure"/>
    <w:basedOn w:val="BodyText"/>
    <w:rsid w:val="004172A5"/>
    <w:pPr>
      <w:keepNext/>
      <w:spacing w:before="120" w:after="120" w:line="240" w:lineRule="atLeast"/>
      <w:jc w:val="center"/>
    </w:pPr>
  </w:style>
  <w:style w:type="paragraph" w:customStyle="1" w:styleId="FigureTitle">
    <w:name w:val="Figure Title"/>
    <w:basedOn w:val="Caption"/>
    <w:next w:val="Subtitle"/>
    <w:rsid w:val="004172A5"/>
    <w:pPr>
      <w:keepNext/>
      <w:keepLines/>
      <w:spacing w:before="360" w:after="80" w:line="280" w:lineRule="exact"/>
      <w:ind w:left="1474" w:hanging="1474"/>
    </w:pPr>
    <w:rPr>
      <w:rFonts w:ascii="Arial" w:hAnsi="Arial"/>
      <w:bCs w:val="0"/>
      <w:sz w:val="26"/>
      <w:szCs w:val="24"/>
    </w:rPr>
  </w:style>
  <w:style w:type="character" w:customStyle="1" w:styleId="NoteLabel">
    <w:name w:val="Note Label"/>
    <w:rsid w:val="004172A5"/>
    <w:rPr>
      <w:rFonts w:ascii="Arial" w:hAnsi="Arial"/>
      <w:b/>
      <w:position w:val="6"/>
      <w:sz w:val="18"/>
    </w:rPr>
  </w:style>
  <w:style w:type="paragraph" w:customStyle="1" w:styleId="TableBodyText">
    <w:name w:val="Table Body Text"/>
    <w:basedOn w:val="BodyText"/>
    <w:rsid w:val="004172A5"/>
    <w:pPr>
      <w:keepNext/>
      <w:keepLines/>
      <w:spacing w:before="0" w:after="40" w:line="220" w:lineRule="atLeast"/>
      <w:ind w:left="6" w:right="113"/>
      <w:jc w:val="right"/>
    </w:pPr>
    <w:rPr>
      <w:rFonts w:ascii="Arial" w:hAnsi="Arial"/>
      <w:sz w:val="20"/>
    </w:rPr>
  </w:style>
  <w:style w:type="paragraph" w:styleId="Caption">
    <w:name w:val="caption"/>
    <w:basedOn w:val="Normal"/>
    <w:next w:val="Normal"/>
    <w:qFormat/>
    <w:rsid w:val="004172A5"/>
    <w:rPr>
      <w:b/>
      <w:bCs/>
      <w:sz w:val="20"/>
      <w:szCs w:val="20"/>
    </w:rPr>
  </w:style>
  <w:style w:type="paragraph" w:styleId="Subtitle">
    <w:name w:val="Subtitle"/>
    <w:basedOn w:val="Normal"/>
    <w:qFormat/>
    <w:rsid w:val="004172A5"/>
    <w:pPr>
      <w:spacing w:after="60"/>
      <w:jc w:val="center"/>
      <w:outlineLvl w:val="1"/>
    </w:pPr>
    <w:rPr>
      <w:rFonts w:ascii="Arial" w:hAnsi="Arial" w:cs="Arial"/>
      <w:sz w:val="24"/>
    </w:rPr>
  </w:style>
  <w:style w:type="paragraph" w:customStyle="1" w:styleId="BoxHeading2">
    <w:name w:val="Box Heading 2"/>
    <w:basedOn w:val="Normal"/>
    <w:next w:val="Normal"/>
    <w:rsid w:val="00810F19"/>
    <w:pPr>
      <w:keepNext/>
      <w:numPr>
        <w:numId w:val="3"/>
      </w:numPr>
      <w:tabs>
        <w:tab w:val="clear" w:pos="284"/>
      </w:tabs>
      <w:spacing w:before="200" w:line="280" w:lineRule="atLeast"/>
      <w:ind w:left="0" w:firstLine="0"/>
      <w:jc w:val="both"/>
    </w:pPr>
    <w:rPr>
      <w:rFonts w:ascii="Arial" w:hAnsi="Arial"/>
      <w:i/>
      <w:sz w:val="22"/>
      <w:szCs w:val="20"/>
    </w:rPr>
  </w:style>
  <w:style w:type="paragraph" w:customStyle="1" w:styleId="BoxListBullet">
    <w:name w:val="Box List Bullet"/>
    <w:basedOn w:val="BodyText"/>
    <w:rsid w:val="00810F19"/>
    <w:pPr>
      <w:keepNext/>
      <w:numPr>
        <w:numId w:val="1"/>
      </w:numPr>
      <w:spacing w:before="120" w:line="280" w:lineRule="atLeast"/>
    </w:pPr>
    <w:rPr>
      <w:rFonts w:ascii="Arial" w:hAnsi="Arial"/>
      <w:sz w:val="22"/>
    </w:rPr>
  </w:style>
  <w:style w:type="character" w:styleId="FootnoteReference">
    <w:name w:val="footnote reference"/>
    <w:semiHidden/>
    <w:rsid w:val="00C76E09"/>
    <w:rPr>
      <w:rFonts w:ascii="Times New Roman" w:hAnsi="Times New Roman"/>
      <w:position w:val="6"/>
      <w:sz w:val="22"/>
      <w:vertAlign w:val="baseline"/>
    </w:rPr>
  </w:style>
  <w:style w:type="paragraph" w:styleId="FootnoteText">
    <w:name w:val="footnote text"/>
    <w:basedOn w:val="BodyText"/>
    <w:link w:val="FootnoteTextChar"/>
    <w:autoRedefine/>
    <w:rsid w:val="00F90E15"/>
    <w:pPr>
      <w:spacing w:before="80" w:line="260" w:lineRule="exact"/>
      <w:ind w:left="340" w:hanging="340"/>
    </w:pPr>
    <w:rPr>
      <w:rFonts w:ascii="Goudy Old Style" w:hAnsi="Goudy Old Style"/>
      <w:sz w:val="22"/>
    </w:rPr>
  </w:style>
  <w:style w:type="paragraph" w:styleId="Quote">
    <w:name w:val="Quote"/>
    <w:basedOn w:val="BodyText"/>
    <w:next w:val="BodyText"/>
    <w:qFormat/>
    <w:rsid w:val="00C76E09"/>
    <w:pPr>
      <w:spacing w:before="120" w:line="280" w:lineRule="exact"/>
      <w:ind w:left="340"/>
    </w:pPr>
    <w:rPr>
      <w:sz w:val="24"/>
    </w:rPr>
  </w:style>
  <w:style w:type="paragraph" w:styleId="ListNumber">
    <w:name w:val="List Number"/>
    <w:basedOn w:val="BodyText"/>
    <w:rsid w:val="00C76E09"/>
    <w:pPr>
      <w:tabs>
        <w:tab w:val="num" w:pos="340"/>
      </w:tabs>
      <w:spacing w:before="120"/>
      <w:ind w:left="340" w:hanging="340"/>
    </w:pPr>
  </w:style>
  <w:style w:type="paragraph" w:styleId="ListNumber2">
    <w:name w:val="List Number 2"/>
    <w:basedOn w:val="ListNumber"/>
    <w:rsid w:val="00C76E09"/>
    <w:pPr>
      <w:tabs>
        <w:tab w:val="clear" w:pos="340"/>
        <w:tab w:val="num" w:pos="794"/>
      </w:tabs>
      <w:ind w:left="794" w:hanging="454"/>
    </w:pPr>
  </w:style>
  <w:style w:type="paragraph" w:styleId="ListNumber3">
    <w:name w:val="List Number 3"/>
    <w:basedOn w:val="ListNumber2"/>
    <w:rsid w:val="00C76E09"/>
    <w:pPr>
      <w:numPr>
        <w:ilvl w:val="1"/>
      </w:numPr>
      <w:tabs>
        <w:tab w:val="num" w:pos="794"/>
        <w:tab w:val="num" w:pos="1304"/>
      </w:tabs>
      <w:ind w:left="1304" w:hanging="510"/>
    </w:pPr>
  </w:style>
  <w:style w:type="paragraph" w:customStyle="1" w:styleId="BoxListBullet2">
    <w:name w:val="Box List Bullet 2"/>
    <w:basedOn w:val="BodyText"/>
    <w:rsid w:val="00D547F0"/>
    <w:pPr>
      <w:keepNext/>
      <w:numPr>
        <w:numId w:val="2"/>
      </w:numPr>
      <w:tabs>
        <w:tab w:val="left" w:pos="284"/>
      </w:tabs>
      <w:spacing w:before="60" w:line="280" w:lineRule="atLeast"/>
    </w:pPr>
    <w:rPr>
      <w:rFonts w:ascii="Arial" w:hAnsi="Arial"/>
      <w:sz w:val="22"/>
    </w:rPr>
  </w:style>
  <w:style w:type="paragraph" w:customStyle="1" w:styleId="TableColumnHeading">
    <w:name w:val="Table Column Heading"/>
    <w:basedOn w:val="TableBodyText"/>
    <w:rsid w:val="00D547F0"/>
    <w:pPr>
      <w:numPr>
        <w:numId w:val="5"/>
      </w:numPr>
      <w:tabs>
        <w:tab w:val="clear" w:pos="170"/>
      </w:tabs>
      <w:spacing w:before="80" w:after="80"/>
      <w:ind w:left="6" w:firstLine="0"/>
    </w:pPr>
    <w:rPr>
      <w:i/>
    </w:rPr>
  </w:style>
  <w:style w:type="character" w:styleId="CommentReference">
    <w:name w:val="annotation reference"/>
    <w:semiHidden/>
    <w:rsid w:val="00497CDB"/>
    <w:rPr>
      <w:sz w:val="16"/>
      <w:szCs w:val="16"/>
    </w:rPr>
  </w:style>
  <w:style w:type="paragraph" w:styleId="CommentText">
    <w:name w:val="annotation text"/>
    <w:basedOn w:val="Normal"/>
    <w:link w:val="CommentTextChar"/>
    <w:semiHidden/>
    <w:rsid w:val="00497CDB"/>
    <w:rPr>
      <w:sz w:val="20"/>
      <w:szCs w:val="20"/>
    </w:rPr>
  </w:style>
  <w:style w:type="paragraph" w:customStyle="1" w:styleId="Bullet2">
    <w:name w:val="Bullet 2"/>
    <w:basedOn w:val="ListBullet"/>
    <w:rsid w:val="00224588"/>
    <w:pPr>
      <w:numPr>
        <w:numId w:val="7"/>
      </w:numPr>
      <w:ind w:left="568" w:hanging="284"/>
    </w:pPr>
    <w:rPr>
      <w:rFonts w:ascii="GoudyOlSt BT" w:hAnsi="GoudyOlSt BT"/>
    </w:rPr>
  </w:style>
  <w:style w:type="paragraph" w:styleId="CommentSubject">
    <w:name w:val="annotation subject"/>
    <w:basedOn w:val="CommentText"/>
    <w:next w:val="CommentText"/>
    <w:link w:val="CommentSubjectChar"/>
    <w:rsid w:val="00AB5FCB"/>
    <w:rPr>
      <w:b/>
      <w:bCs/>
    </w:rPr>
  </w:style>
  <w:style w:type="character" w:customStyle="1" w:styleId="CommentTextChar">
    <w:name w:val="Comment Text Char"/>
    <w:basedOn w:val="DefaultParagraphFont"/>
    <w:link w:val="CommentText"/>
    <w:semiHidden/>
    <w:rsid w:val="00AB5FCB"/>
  </w:style>
  <w:style w:type="character" w:customStyle="1" w:styleId="CommentSubjectChar">
    <w:name w:val="Comment Subject Char"/>
    <w:link w:val="CommentSubject"/>
    <w:rsid w:val="00AB5FCB"/>
    <w:rPr>
      <w:b/>
      <w:bCs/>
    </w:rPr>
  </w:style>
  <w:style w:type="character" w:customStyle="1" w:styleId="FootnoteTextChar">
    <w:name w:val="Footnote Text Char"/>
    <w:basedOn w:val="DefaultParagraphFont"/>
    <w:link w:val="FootnoteText"/>
    <w:rsid w:val="00F90E15"/>
    <w:rPr>
      <w:rFonts w:ascii="Goudy Old Style" w:hAnsi="Goudy Old Style"/>
      <w:sz w:val="22"/>
    </w:rPr>
  </w:style>
  <w:style w:type="paragraph" w:styleId="Revision">
    <w:name w:val="Revision"/>
    <w:hidden/>
    <w:uiPriority w:val="99"/>
    <w:semiHidden/>
    <w:rsid w:val="00F97B73"/>
    <w:rPr>
      <w:sz w:val="26"/>
      <w:szCs w:val="24"/>
    </w:rPr>
  </w:style>
  <w:style w:type="paragraph" w:styleId="ListParagraph">
    <w:name w:val="List Paragraph"/>
    <w:basedOn w:val="Normal"/>
    <w:uiPriority w:val="34"/>
    <w:qFormat/>
    <w:rsid w:val="00424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85110">
      <w:bodyDiv w:val="1"/>
      <w:marLeft w:val="0"/>
      <w:marRight w:val="0"/>
      <w:marTop w:val="0"/>
      <w:marBottom w:val="0"/>
      <w:divBdr>
        <w:top w:val="none" w:sz="0" w:space="0" w:color="auto"/>
        <w:left w:val="none" w:sz="0" w:space="0" w:color="auto"/>
        <w:bottom w:val="none" w:sz="0" w:space="0" w:color="auto"/>
        <w:right w:val="none" w:sz="0" w:space="0" w:color="auto"/>
      </w:divBdr>
    </w:div>
    <w:div w:id="492142577">
      <w:bodyDiv w:val="1"/>
      <w:marLeft w:val="0"/>
      <w:marRight w:val="0"/>
      <w:marTop w:val="0"/>
      <w:marBottom w:val="0"/>
      <w:divBdr>
        <w:top w:val="none" w:sz="0" w:space="0" w:color="auto"/>
        <w:left w:val="none" w:sz="0" w:space="0" w:color="auto"/>
        <w:bottom w:val="none" w:sz="0" w:space="0" w:color="auto"/>
        <w:right w:val="none" w:sz="0" w:space="0" w:color="auto"/>
      </w:divBdr>
    </w:div>
    <w:div w:id="609092072">
      <w:bodyDiv w:val="1"/>
      <w:marLeft w:val="0"/>
      <w:marRight w:val="0"/>
      <w:marTop w:val="0"/>
      <w:marBottom w:val="0"/>
      <w:divBdr>
        <w:top w:val="none" w:sz="0" w:space="0" w:color="auto"/>
        <w:left w:val="none" w:sz="0" w:space="0" w:color="auto"/>
        <w:bottom w:val="none" w:sz="0" w:space="0" w:color="auto"/>
        <w:right w:val="none" w:sz="0" w:space="0" w:color="auto"/>
      </w:divBdr>
    </w:div>
    <w:div w:id="7230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FD64-295A-4426-B0D3-CC97377E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7</Pages>
  <Words>2824</Words>
  <Characters>17230</Characters>
  <Application>Microsoft Office Word</Application>
  <DocSecurity>0</DocSecurity>
  <Lines>238</Lines>
  <Paragraphs>77</Paragraphs>
  <ScaleCrop>false</ScaleCrop>
  <HeadingPairs>
    <vt:vector size="2" baseType="variant">
      <vt:variant>
        <vt:lpstr>Title</vt:lpstr>
      </vt:variant>
      <vt:variant>
        <vt:i4>1</vt:i4>
      </vt:variant>
    </vt:vector>
  </HeadingPairs>
  <TitlesOfParts>
    <vt:vector size="1" baseType="lpstr">
      <vt:lpstr>Frequently Asked Questions - 2014 Indigenous Expenditure Report</vt:lpstr>
    </vt:vector>
  </TitlesOfParts>
  <Company>Productivity Commission</Company>
  <LinksUpToDate>false</LinksUpToDate>
  <CharactersWithSpaces>20056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- 2014 Indigenous Expenditure Report</dc:title>
  <dc:creator>Steering Committee for the Review of Government Service Provision</dc:creator>
  <cp:lastModifiedBy>Steering Committee for the Review </cp:lastModifiedBy>
  <cp:revision>78</cp:revision>
  <cp:lastPrinted>2014-08-11T06:28:00Z</cp:lastPrinted>
  <dcterms:created xsi:type="dcterms:W3CDTF">2014-08-08T07:35:00Z</dcterms:created>
  <dcterms:modified xsi:type="dcterms:W3CDTF">2014-12-08T02:11:00Z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