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5.xml" ContentType="application/vnd.openxmlformats-officedocument.wordprocessingml.footer+xml"/>
  <Override PartName="/word/footer76.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1.xml" ContentType="application/vnd.openxmlformats-officedocument.wordprocessingml.footer+xml"/>
  <Override PartName="/word/footer82.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540" w:rsidRDefault="00064540" w:rsidP="00064540">
      <w:pPr>
        <w:pStyle w:val="ListBullet"/>
        <w:numPr>
          <w:ilvl w:val="0"/>
          <w:numId w:val="0"/>
        </w:numPr>
        <w:ind w:left="340"/>
        <w:rPr>
          <w:szCs w:val="26"/>
        </w:rPr>
      </w:pPr>
      <w:bookmarkStart w:id="0" w:name="ChapterNumber"/>
      <w:r w:rsidRPr="00E94F1B">
        <w:rPr>
          <w:noProof/>
          <w:szCs w:val="26"/>
        </w:rPr>
        <w:drawing>
          <wp:anchor distT="0" distB="0" distL="114300" distR="114300" simplePos="0" relativeHeight="251659264" behindDoc="1" locked="0" layoutInCell="1" allowOverlap="1" wp14:anchorId="744F83F8" wp14:editId="2986C7F7">
            <wp:simplePos x="1363980" y="906780"/>
            <wp:positionH relativeFrom="page">
              <wp:align>center</wp:align>
            </wp:positionH>
            <wp:positionV relativeFrom="page">
              <wp:align>bottom</wp:align>
            </wp:positionV>
            <wp:extent cx="7560000" cy="10735200"/>
            <wp:effectExtent l="0" t="0" r="3175" b="9525"/>
            <wp:wrapNone/>
            <wp:docPr id="8" name="Picture 8" descr="H:\Monitor\08 Indigenous Expenditure Report\05 Report - WIP\05 2017 Report\03_FINAL Report\03_Prelims documents\Covers\Service Use Manual\Public\Colour-cover-page-IER-2017-service-use-man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onitor\08 Indigenous Expenditure Report\05 Report - WIP\05 2017 Report\03_FINAL Report\03_Prelims documents\Covers\Service Use Manual\Public\Colour-cover-page-IER-2017-service-use-manu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0000" cy="1073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4540" w:rsidRDefault="00064540" w:rsidP="00064540">
      <w:pPr>
        <w:pStyle w:val="BodyText"/>
        <w:rPr>
          <w:b/>
          <w:szCs w:val="26"/>
        </w:rPr>
      </w:pPr>
      <w:r>
        <w:br w:type="page"/>
      </w:r>
    </w:p>
    <w:p w:rsidR="00064540" w:rsidRDefault="00064540" w:rsidP="00064540">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2017</w:t>
      </w:r>
    </w:p>
    <w:p w:rsidR="00064540" w:rsidRPr="007809B8" w:rsidRDefault="00064540" w:rsidP="00064540">
      <w:pPr>
        <w:pStyle w:val="BodyText"/>
        <w:tabs>
          <w:tab w:val="left" w:pos="851"/>
        </w:tabs>
        <w:spacing w:before="200" w:after="120"/>
        <w:jc w:val="left"/>
        <w:rPr>
          <w:b/>
        </w:rPr>
      </w:pPr>
      <w:bookmarkStart w:id="1" w:name="ISSN"/>
      <w:bookmarkEnd w:id="1"/>
      <w:r>
        <w:rPr>
          <w:b/>
        </w:rPr>
        <w:t>ISBN</w:t>
      </w:r>
      <w:r>
        <w:rPr>
          <w:b/>
        </w:rPr>
        <w:tab/>
        <w:t xml:space="preserve">978-1-74037-644-0 </w:t>
      </w:r>
    </w:p>
    <w:p w:rsidR="00064540" w:rsidRDefault="00064540" w:rsidP="00064540">
      <w:pPr>
        <w:pStyle w:val="BodyText"/>
        <w:spacing w:after="120"/>
      </w:pPr>
      <w:r w:rsidRPr="00862D8F">
        <w:rPr>
          <w:noProof/>
          <w:sz w:val="22"/>
          <w:szCs w:val="22"/>
        </w:rPr>
        <w:drawing>
          <wp:inline distT="0" distB="0" distL="0" distR="0" wp14:anchorId="32B226C6" wp14:editId="77863DD0">
            <wp:extent cx="843280" cy="295043"/>
            <wp:effectExtent l="0" t="0" r="0" b="0"/>
            <wp:docPr id="9" name="Picture 9"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064540" w:rsidRPr="008A3857" w:rsidRDefault="00064540" w:rsidP="00064540">
      <w:pPr>
        <w:pStyle w:val="Copyrightbodytext"/>
      </w:pPr>
      <w:r w:rsidRPr="008A3857">
        <w:t xml:space="preserve">Except for the Commonwealth Coat of Arms and content supplied by third parties, this copyright work is licensed under a Creative Commons Attribution 3.0 Australia licence. In essence, you are free to copy, communicate and adapt the work, as long as you attribute the work to the </w:t>
      </w:r>
      <w:r>
        <w:t>Steering Committee for the Review of Government Service Provision</w:t>
      </w:r>
      <w:r w:rsidRPr="008A3857">
        <w:t xml:space="preserve"> (but not in any way that suggests the Commission endorses you or your use) and abide by the other licence terms.</w:t>
      </w:r>
      <w:r>
        <w:t xml:space="preserve"> </w:t>
      </w:r>
      <w:r w:rsidRPr="008A3857">
        <w:t xml:space="preserve">To view a copy of this licence, visit </w:t>
      </w:r>
      <w:r w:rsidRPr="00805FD7">
        <w:t>http://creativecommons.org/</w:t>
      </w:r>
      <w:r>
        <w:t xml:space="preserve"> </w:t>
      </w:r>
      <w:r w:rsidRPr="00805FD7">
        <w:t>licenses/by/3.0/au</w:t>
      </w:r>
      <w:r w:rsidRPr="008A3857">
        <w:rPr>
          <w:szCs w:val="24"/>
        </w:rPr>
        <w:t>.</w:t>
      </w:r>
      <w:r w:rsidRPr="008A3857">
        <w:t xml:space="preserve"> </w:t>
      </w:r>
    </w:p>
    <w:p w:rsidR="00064540" w:rsidRPr="008A3857" w:rsidRDefault="00064540" w:rsidP="00064540">
      <w:pPr>
        <w:pStyle w:val="Copyrightsubtitle"/>
      </w:pPr>
      <w:r w:rsidRPr="008A3857">
        <w:t>Use of the Commonwealth Coat of Arms</w:t>
      </w:r>
    </w:p>
    <w:p w:rsidR="00064540" w:rsidRPr="008A3857" w:rsidRDefault="00064540" w:rsidP="00064540">
      <w:pPr>
        <w:pStyle w:val="Copyrightbodytext"/>
      </w:pPr>
      <w:r w:rsidRPr="008A3857">
        <w:t>For terms of use of the Coat of Arms visit the ‘</w:t>
      </w:r>
      <w:r w:rsidRPr="00805FD7">
        <w:t>It’s an Honour</w:t>
      </w:r>
      <w:r w:rsidRPr="008A3857">
        <w:t>’ website</w:t>
      </w:r>
      <w:r w:rsidRPr="00BA0B81">
        <w:t xml:space="preserve">: </w:t>
      </w:r>
      <w:r w:rsidRPr="00805FD7">
        <w:t>http://www.itsanhonour.gov.au</w:t>
      </w:r>
    </w:p>
    <w:p w:rsidR="00064540" w:rsidRPr="008A3857" w:rsidRDefault="00064540" w:rsidP="00064540">
      <w:pPr>
        <w:pStyle w:val="Copyrightsubtitle"/>
      </w:pPr>
      <w:r w:rsidRPr="008A3857">
        <w:t>Third party copyright</w:t>
      </w:r>
    </w:p>
    <w:p w:rsidR="00064540" w:rsidRPr="008A3857" w:rsidRDefault="00064540" w:rsidP="00064540">
      <w:pPr>
        <w:pStyle w:val="Copyrightbodytext"/>
      </w:pPr>
      <w:r w:rsidRPr="008A3857">
        <w:t>Wherever a third party holds copyright in this material, the copyright remains with that party. Their permission may be required to use the material, please contact them directly.</w:t>
      </w:r>
    </w:p>
    <w:p w:rsidR="00064540" w:rsidRPr="008A3857" w:rsidRDefault="00064540" w:rsidP="00064540">
      <w:pPr>
        <w:pStyle w:val="Copyrightsubtitle"/>
      </w:pPr>
      <w:r w:rsidRPr="008A3857">
        <w:t>Attribution</w:t>
      </w:r>
    </w:p>
    <w:p w:rsidR="00064540" w:rsidRPr="008A3857" w:rsidRDefault="00064540" w:rsidP="00064540">
      <w:pPr>
        <w:pStyle w:val="Copyrightbodytext"/>
      </w:pPr>
      <w:r w:rsidRPr="008A3857">
        <w:t xml:space="preserve">This work should be attributed as follows, </w:t>
      </w:r>
      <w:r w:rsidRPr="008E242D">
        <w:rPr>
          <w:i/>
        </w:rPr>
        <w:t xml:space="preserve">Source: </w:t>
      </w:r>
      <w:r>
        <w:rPr>
          <w:i/>
        </w:rPr>
        <w:t>Steering Committee for the Review of Government Service Provision, Service Use Measure Definitions Manual: 2017 Indigenous Expenditure Report</w:t>
      </w:r>
      <w:r w:rsidRPr="008A3857">
        <w:t>.</w:t>
      </w:r>
    </w:p>
    <w:p w:rsidR="00064540" w:rsidRPr="008A3857" w:rsidRDefault="00064540" w:rsidP="00064540">
      <w:pPr>
        <w:pStyle w:val="Copyrightbodytext"/>
        <w:spacing w:before="120"/>
      </w:pPr>
      <w:r w:rsidRPr="008A3857">
        <w:t xml:space="preserve">If you have adapted, modified or transformed this work in anyway, please use the following, </w:t>
      </w:r>
      <w:r w:rsidRPr="008E242D">
        <w:rPr>
          <w:i/>
        </w:rPr>
        <w:t xml:space="preserve">Source: based on </w:t>
      </w:r>
      <w:r>
        <w:rPr>
          <w:i/>
        </w:rPr>
        <w:t xml:space="preserve">Steering Committee for the Review of Government Service Provision </w:t>
      </w:r>
      <w:r w:rsidRPr="008E242D">
        <w:rPr>
          <w:i/>
        </w:rPr>
        <w:t xml:space="preserve">data, </w:t>
      </w:r>
      <w:r>
        <w:rPr>
          <w:i/>
        </w:rPr>
        <w:t>Service Use Measure Definitions Manual: 2017 Indigenous Expenditure Report</w:t>
      </w:r>
      <w:r w:rsidRPr="008A3857">
        <w:t>.</w:t>
      </w:r>
    </w:p>
    <w:p w:rsidR="00064540" w:rsidRPr="008A3857" w:rsidRDefault="00064540" w:rsidP="00064540">
      <w:pPr>
        <w:pStyle w:val="Copyrightsubtitle"/>
      </w:pPr>
      <w:r w:rsidRPr="008A3857">
        <w:t xml:space="preserve">An appropriate </w:t>
      </w:r>
      <w:r>
        <w:t>reference</w:t>
      </w:r>
      <w:r w:rsidRPr="008A3857">
        <w:t xml:space="preserve"> for this publication is:</w:t>
      </w:r>
    </w:p>
    <w:p w:rsidR="00064540" w:rsidRPr="00170D81" w:rsidRDefault="00064540" w:rsidP="00064540">
      <w:pPr>
        <w:pStyle w:val="Copyrightbodytext"/>
      </w:pPr>
      <w:r>
        <w:t xml:space="preserve">SCRGSP (Steering Committee for the Review of Government Service Provision) 2017, </w:t>
      </w:r>
      <w:r>
        <w:rPr>
          <w:i/>
        </w:rPr>
        <w:t>Service Use Measure Definitions Manual: 2017 Indigenous Expenditure Report</w:t>
      </w:r>
      <w:r>
        <w:t xml:space="preserve">, Productivity Commission, Canberra. </w:t>
      </w:r>
    </w:p>
    <w:p w:rsidR="00064540" w:rsidRPr="008A3857" w:rsidRDefault="00064540" w:rsidP="00064540">
      <w:pPr>
        <w:pStyle w:val="Copyrightsubtitle"/>
      </w:pPr>
      <w:bookmarkStart w:id="2" w:name="JEL"/>
      <w:bookmarkEnd w:id="2"/>
      <w:r w:rsidRPr="008A3857">
        <w:t>Publications enquiries</w:t>
      </w:r>
    </w:p>
    <w:p w:rsidR="00064540" w:rsidRDefault="00064540" w:rsidP="00064540">
      <w:pPr>
        <w:pStyle w:val="Copyrightbodytext"/>
      </w:pPr>
      <w:r>
        <w:t xml:space="preserve">The Productivity Commission acts as the Secretariat for the Steering Committee for the Review of Government Service Provision. This report and previous editions are available from the Productivity Commission website at www.pc.gov.au. </w:t>
      </w:r>
    </w:p>
    <w:p w:rsidR="00064540" w:rsidRDefault="00064540" w:rsidP="00064540">
      <w:pPr>
        <w:pStyle w:val="Copyrightbodytext"/>
      </w:pPr>
    </w:p>
    <w:p w:rsidR="00064540" w:rsidRDefault="00064540" w:rsidP="00064540">
      <w:pPr>
        <w:pStyle w:val="Copyrightbodytext"/>
        <w:pBdr>
          <w:top w:val="single" w:sz="4" w:space="1" w:color="auto"/>
          <w:bottom w:val="single" w:sz="4" w:space="1" w:color="auto"/>
        </w:pBdr>
      </w:pPr>
      <w:r>
        <w:t>This report generally uses the term ‘Aboriginal and Torres Strait Islander Australians’ to describe Australia’s first peoples and ‘non-Indigenous Australians’ to refer to Australians of other backgrounds, except where quoting other sources. This Report uses the term Indigenous expenditure for government expenditure on services to Aboriginal and Torres Strait Islander Australians. Expenditure on services to non-Indigenous Australians is referred to as non-Indigenous expenditure.</w:t>
      </w:r>
    </w:p>
    <w:p w:rsidR="00064540" w:rsidRDefault="00064540" w:rsidP="00064540">
      <w:pPr>
        <w:pStyle w:val="BoxSpaceAbove"/>
      </w:pPr>
    </w:p>
    <w:p w:rsidR="00064540" w:rsidRDefault="00064540" w:rsidP="00064540">
      <w:pPr>
        <w:pStyle w:val="BodyText"/>
        <w:sectPr w:rsidR="00064540" w:rsidSect="00064540">
          <w:pgSz w:w="11907" w:h="16840" w:code="9"/>
          <w:pgMar w:top="1304" w:right="1304" w:bottom="567" w:left="1814" w:header="1701" w:footer="397" w:gutter="0"/>
          <w:pgNumType w:fmt="lowerRoman" w:start="1"/>
          <w:cols w:space="720"/>
          <w:titlePg/>
        </w:sectPr>
      </w:pPr>
      <w:bookmarkStart w:id="3" w:name="cov"/>
      <w:bookmarkEnd w:id="3"/>
    </w:p>
    <w:p w:rsidR="00064540" w:rsidRDefault="00064540" w:rsidP="00064540">
      <w:pPr>
        <w:pStyle w:val="Heading1"/>
      </w:pPr>
      <w:bookmarkStart w:id="4" w:name="_Toc494096432"/>
      <w:bookmarkStart w:id="5" w:name="_Toc494096496"/>
      <w:bookmarkStart w:id="6" w:name="_Toc494110577"/>
      <w:bookmarkStart w:id="7" w:name="_Toc494266195"/>
      <w:r>
        <w:lastRenderedPageBreak/>
        <w:t>Terms of reference</w:t>
      </w:r>
      <w:bookmarkEnd w:id="4"/>
      <w:bookmarkEnd w:id="5"/>
      <w:bookmarkEnd w:id="6"/>
      <w:bookmarkEnd w:id="7"/>
    </w:p>
    <w:p w:rsidR="00064540" w:rsidRDefault="00064540" w:rsidP="00064540">
      <w:pPr>
        <w:pStyle w:val="BodyText"/>
        <w:rPr>
          <w:i/>
          <w:color w:val="000000" w:themeColor="text1"/>
        </w:rPr>
      </w:pPr>
      <w:r w:rsidRPr="007B5C17">
        <w:rPr>
          <w:i/>
          <w:color w:val="000000" w:themeColor="text1"/>
        </w:rPr>
        <w:t>The following terms of reference were endorsed by the Council of Australian Governments at its 2 July 2009 meeting in Darwin.</w:t>
      </w:r>
    </w:p>
    <w:p w:rsidR="00064540" w:rsidRPr="007B5C17" w:rsidRDefault="00064540" w:rsidP="00064540">
      <w:pPr>
        <w:pStyle w:val="BodyText"/>
        <w:keepNext/>
        <w:rPr>
          <w:color w:val="000000" w:themeColor="text1"/>
        </w:rPr>
      </w:pPr>
      <w:r w:rsidRPr="007B5C17">
        <w:rPr>
          <w:color w:val="000000" w:themeColor="text1"/>
        </w:rPr>
        <w:t>The Indigenous Expenditure Report aims to contribute to better policy making and improved outcomes for Indigenous Australians, by:</w:t>
      </w:r>
    </w:p>
    <w:p w:rsidR="00064540" w:rsidRPr="007B5C17" w:rsidRDefault="00064540" w:rsidP="00064540">
      <w:pPr>
        <w:pStyle w:val="ListNumber"/>
        <w:keepNext/>
        <w:numPr>
          <w:ilvl w:val="0"/>
          <w:numId w:val="30"/>
        </w:numPr>
        <w:rPr>
          <w:color w:val="000000" w:themeColor="text1"/>
        </w:rPr>
      </w:pPr>
      <w:r w:rsidRPr="007B5C17">
        <w:rPr>
          <w:color w:val="000000" w:themeColor="text1"/>
        </w:rPr>
        <w:t>reporting on expenditure on services which support Indigenous Australians, including in a manner consistent with the COAG Working Group on Indigenous Reform statement of objectives, outcomes and measures and the COAG Overcoming Indigenous Disadvantage report framework.</w:t>
      </w:r>
    </w:p>
    <w:p w:rsidR="00064540" w:rsidRPr="007B5C17" w:rsidRDefault="00064540" w:rsidP="00064540">
      <w:pPr>
        <w:pStyle w:val="ListNumber"/>
        <w:keepNext/>
        <w:numPr>
          <w:ilvl w:val="0"/>
          <w:numId w:val="30"/>
        </w:numPr>
        <w:rPr>
          <w:color w:val="000000" w:themeColor="text1"/>
        </w:rPr>
      </w:pPr>
      <w:r w:rsidRPr="007B5C17">
        <w:rPr>
          <w:color w:val="000000" w:themeColor="text1"/>
        </w:rPr>
        <w:t>promoting the collection and reporting of robust Indigenous expenditure data through:</w:t>
      </w:r>
    </w:p>
    <w:p w:rsidR="00064540" w:rsidRPr="007B5C17" w:rsidRDefault="00064540" w:rsidP="00064540">
      <w:pPr>
        <w:pStyle w:val="ListNumber2"/>
        <w:keepNext/>
        <w:numPr>
          <w:ilvl w:val="0"/>
          <w:numId w:val="31"/>
        </w:numPr>
        <w:ind w:left="794" w:hanging="454"/>
        <w:rPr>
          <w:color w:val="000000" w:themeColor="text1"/>
        </w:rPr>
      </w:pPr>
      <w:r w:rsidRPr="007B5C17">
        <w:rPr>
          <w:color w:val="000000" w:themeColor="text1"/>
        </w:rPr>
        <w:t>determining and applying consistent methodology to the collection and reporting of data</w:t>
      </w:r>
    </w:p>
    <w:p w:rsidR="00064540" w:rsidRPr="007B5C17" w:rsidRDefault="00064540" w:rsidP="00064540">
      <w:pPr>
        <w:pStyle w:val="ListNumber2"/>
        <w:keepNext/>
        <w:numPr>
          <w:ilvl w:val="0"/>
          <w:numId w:val="31"/>
        </w:numPr>
        <w:ind w:left="794" w:hanging="454"/>
        <w:rPr>
          <w:color w:val="000000" w:themeColor="text1"/>
        </w:rPr>
      </w:pPr>
      <w:r w:rsidRPr="007B5C17">
        <w:rPr>
          <w:color w:val="000000" w:themeColor="text1"/>
        </w:rPr>
        <w:t>identifying necessary improvements to the collection and availability of relevant data</w:t>
      </w:r>
    </w:p>
    <w:p w:rsidR="00064540" w:rsidRPr="007B5C17" w:rsidRDefault="00064540" w:rsidP="00064540">
      <w:pPr>
        <w:pStyle w:val="ListNumber2"/>
        <w:keepNext/>
        <w:numPr>
          <w:ilvl w:val="0"/>
          <w:numId w:val="31"/>
        </w:numPr>
        <w:ind w:left="794" w:hanging="454"/>
        <w:rPr>
          <w:color w:val="000000" w:themeColor="text1"/>
        </w:rPr>
      </w:pPr>
      <w:r w:rsidRPr="007B5C17">
        <w:rPr>
          <w:color w:val="000000" w:themeColor="text1"/>
        </w:rPr>
        <w:t>developing and implementing strategies to address data deficiencies.</w:t>
      </w:r>
    </w:p>
    <w:p w:rsidR="00064540" w:rsidRPr="007B5C17" w:rsidRDefault="00064540" w:rsidP="00064540">
      <w:pPr>
        <w:pStyle w:val="BodyText"/>
        <w:rPr>
          <w:color w:val="000000" w:themeColor="text1"/>
        </w:rPr>
      </w:pPr>
      <w:r w:rsidRPr="007B5C17">
        <w:rPr>
          <w:color w:val="000000" w:themeColor="text1"/>
        </w:rPr>
        <w:t>The Indigenous Expenditure Report will:</w:t>
      </w:r>
    </w:p>
    <w:p w:rsidR="00064540" w:rsidRPr="007B5C17" w:rsidRDefault="00064540" w:rsidP="00064540">
      <w:pPr>
        <w:pStyle w:val="ListNumber"/>
        <w:numPr>
          <w:ilvl w:val="0"/>
          <w:numId w:val="30"/>
        </w:numPr>
        <w:rPr>
          <w:color w:val="000000" w:themeColor="text1"/>
        </w:rPr>
      </w:pPr>
      <w:r w:rsidRPr="007B5C17">
        <w:rPr>
          <w:color w:val="000000" w:themeColor="text1"/>
        </w:rPr>
        <w:t>include expenditure by both Commonwealth and State/Territory governments (and local government if possible), and over time will:</w:t>
      </w:r>
    </w:p>
    <w:p w:rsidR="00064540" w:rsidRPr="007B5C17" w:rsidRDefault="00064540" w:rsidP="00064540">
      <w:pPr>
        <w:pStyle w:val="ListNumber2"/>
        <w:numPr>
          <w:ilvl w:val="0"/>
          <w:numId w:val="32"/>
        </w:numPr>
        <w:ind w:left="794" w:hanging="454"/>
        <w:rPr>
          <w:color w:val="000000" w:themeColor="text1"/>
        </w:rPr>
      </w:pPr>
      <w:r w:rsidRPr="007B5C17">
        <w:rPr>
          <w:color w:val="000000" w:themeColor="text1"/>
        </w:rPr>
        <w:t>allow reporting on Indigenous and non-Indigenous social status and economic status</w:t>
      </w:r>
    </w:p>
    <w:p w:rsidR="00064540" w:rsidRPr="007B5C17" w:rsidRDefault="00064540" w:rsidP="00064540">
      <w:pPr>
        <w:pStyle w:val="ListNumber2"/>
        <w:numPr>
          <w:ilvl w:val="0"/>
          <w:numId w:val="32"/>
        </w:numPr>
        <w:ind w:left="794" w:hanging="454"/>
        <w:rPr>
          <w:color w:val="000000" w:themeColor="text1"/>
        </w:rPr>
      </w:pPr>
      <w:r w:rsidRPr="007B5C17">
        <w:rPr>
          <w:color w:val="000000" w:themeColor="text1"/>
        </w:rPr>
        <w:t>include expenditure on Indigenous-specific and key mainstream programs</w:t>
      </w:r>
    </w:p>
    <w:p w:rsidR="00064540" w:rsidRPr="007B5C17" w:rsidRDefault="00064540" w:rsidP="00064540">
      <w:pPr>
        <w:pStyle w:val="ListNumber2"/>
        <w:numPr>
          <w:ilvl w:val="0"/>
          <w:numId w:val="32"/>
        </w:numPr>
        <w:ind w:left="794" w:hanging="454"/>
        <w:rPr>
          <w:color w:val="000000" w:themeColor="text1"/>
        </w:rPr>
      </w:pPr>
      <w:r w:rsidRPr="007B5C17">
        <w:rPr>
          <w:color w:val="000000" w:themeColor="text1"/>
        </w:rPr>
        <w:t>be reconcilable with published government financial statistics.</w:t>
      </w:r>
    </w:p>
    <w:p w:rsidR="00064540" w:rsidRPr="007B5C17" w:rsidRDefault="00064540" w:rsidP="00064540">
      <w:pPr>
        <w:pStyle w:val="ListNumber"/>
        <w:numPr>
          <w:ilvl w:val="0"/>
          <w:numId w:val="30"/>
        </w:numPr>
        <w:rPr>
          <w:color w:val="000000" w:themeColor="text1"/>
        </w:rPr>
      </w:pPr>
      <w:r w:rsidRPr="007B5C17">
        <w:rPr>
          <w:color w:val="000000" w:themeColor="text1"/>
        </w:rPr>
        <w:t>focus on on-the-ground services in areas such as: education; justice; health; housing; community services; employment; and other significant expenditure.</w:t>
      </w:r>
    </w:p>
    <w:p w:rsidR="00064540" w:rsidRPr="007B5C17" w:rsidRDefault="00064540" w:rsidP="00064540">
      <w:pPr>
        <w:pStyle w:val="ListNumber"/>
        <w:numPr>
          <w:ilvl w:val="0"/>
          <w:numId w:val="30"/>
        </w:numPr>
        <w:rPr>
          <w:color w:val="000000" w:themeColor="text1"/>
        </w:rPr>
      </w:pPr>
      <w:r w:rsidRPr="007B5C17">
        <w:rPr>
          <w:color w:val="000000" w:themeColor="text1"/>
        </w:rPr>
        <w:t>report on a regular basis, including:</w:t>
      </w:r>
    </w:p>
    <w:p w:rsidR="00064540" w:rsidRPr="007B5C17" w:rsidRDefault="00064540" w:rsidP="00064540">
      <w:pPr>
        <w:pStyle w:val="ListNumber2"/>
        <w:numPr>
          <w:ilvl w:val="0"/>
          <w:numId w:val="33"/>
        </w:numPr>
        <w:ind w:left="794" w:hanging="454"/>
        <w:rPr>
          <w:color w:val="000000" w:themeColor="text1"/>
        </w:rPr>
      </w:pPr>
      <w:r w:rsidRPr="007B5C17">
        <w:rPr>
          <w:color w:val="000000" w:themeColor="text1"/>
        </w:rPr>
        <w:t>completion of an initial ‘stocktake’ report for the first COAG meeting in 2009, setting out the reporting framework, principles, methodology, and survey of available data and strategies for data development</w:t>
      </w:r>
    </w:p>
    <w:p w:rsidR="00064540" w:rsidRPr="007B5C17" w:rsidRDefault="00064540" w:rsidP="00064540">
      <w:pPr>
        <w:pStyle w:val="ListNumber2"/>
        <w:numPr>
          <w:ilvl w:val="0"/>
          <w:numId w:val="33"/>
        </w:numPr>
        <w:ind w:left="794" w:hanging="454"/>
        <w:rPr>
          <w:color w:val="000000" w:themeColor="text1"/>
        </w:rPr>
      </w:pPr>
      <w:r w:rsidRPr="007B5C17">
        <w:rPr>
          <w:color w:val="000000" w:themeColor="text1"/>
        </w:rPr>
        <w:t>staged reporting against the framework (having regard to considerations such as data availability, implementation requirements and costs of reporting)</w:t>
      </w:r>
    </w:p>
    <w:p w:rsidR="00064540" w:rsidRPr="007B5C17" w:rsidRDefault="00064540" w:rsidP="00064540">
      <w:pPr>
        <w:pStyle w:val="ListNumber2"/>
        <w:numPr>
          <w:ilvl w:val="0"/>
          <w:numId w:val="33"/>
        </w:numPr>
        <w:ind w:left="794" w:hanging="454"/>
        <w:rPr>
          <w:color w:val="000000" w:themeColor="text1"/>
        </w:rPr>
      </w:pPr>
      <w:r w:rsidRPr="007B5C17">
        <w:rPr>
          <w:color w:val="000000" w:themeColor="text1"/>
        </w:rPr>
        <w:t>report on both Indigenous and non-Indigenous expenditure.</w:t>
      </w:r>
    </w:p>
    <w:p w:rsidR="00064540" w:rsidRPr="007B5C17" w:rsidRDefault="00064540" w:rsidP="00064540">
      <w:pPr>
        <w:pStyle w:val="ListNumber"/>
        <w:numPr>
          <w:ilvl w:val="0"/>
          <w:numId w:val="30"/>
        </w:numPr>
        <w:rPr>
          <w:color w:val="000000" w:themeColor="text1"/>
        </w:rPr>
      </w:pPr>
      <w:r w:rsidRPr="007B5C17">
        <w:rPr>
          <w:color w:val="000000" w:themeColor="text1"/>
        </w:rPr>
        <w:lastRenderedPageBreak/>
        <w:t>provide governments with a better understanding of the level and patterns of expenditure on services which support Indigenous Australians, and provide policy makers with an additional tool to target policies to Close the Gap in Indigenous Disadvantage.</w:t>
      </w:r>
    </w:p>
    <w:p w:rsidR="00064540" w:rsidRPr="007B5C17" w:rsidRDefault="00064540" w:rsidP="00064540">
      <w:pPr>
        <w:pStyle w:val="BodyText"/>
        <w:rPr>
          <w:color w:val="000000" w:themeColor="text1"/>
        </w:rPr>
      </w:pPr>
      <w:r w:rsidRPr="007B5C17">
        <w:rPr>
          <w:color w:val="000000" w:themeColor="text1"/>
        </w:rPr>
        <w:t>The Indigenous Expenditure Report Steering Committee will:</w:t>
      </w:r>
    </w:p>
    <w:p w:rsidR="00064540" w:rsidRPr="007B5C17" w:rsidRDefault="00064540" w:rsidP="00064540">
      <w:pPr>
        <w:pStyle w:val="ListNumber"/>
        <w:numPr>
          <w:ilvl w:val="0"/>
          <w:numId w:val="30"/>
        </w:numPr>
        <w:rPr>
          <w:color w:val="000000" w:themeColor="text1"/>
        </w:rPr>
      </w:pPr>
      <w:r w:rsidRPr="007B5C17">
        <w:rPr>
          <w:color w:val="000000" w:themeColor="text1"/>
        </w:rPr>
        <w:t xml:space="preserve">provide regular updates to Heads of Treasuries on progress in developing the expenditure framework and to the Working Group on Indigenous Reform on progress on data issues </w:t>
      </w:r>
    </w:p>
    <w:p w:rsidR="00064540" w:rsidRDefault="00064540" w:rsidP="00064540">
      <w:pPr>
        <w:pStyle w:val="ListNumber"/>
        <w:numPr>
          <w:ilvl w:val="0"/>
          <w:numId w:val="30"/>
        </w:numPr>
        <w:rPr>
          <w:color w:val="000000" w:themeColor="text1"/>
        </w:rPr>
      </w:pPr>
      <w:r w:rsidRPr="007B5C17">
        <w:rPr>
          <w:color w:val="000000" w:themeColor="text1"/>
        </w:rPr>
        <w:t>recommend to Heads of Treasuries appropriate institutional arrangements for annual reporting on Indigenous expenditure once the framework for reporting has been developed.</w:t>
      </w:r>
    </w:p>
    <w:p w:rsidR="00064540" w:rsidRDefault="00064540" w:rsidP="00064540">
      <w:pPr>
        <w:pStyle w:val="BodyText"/>
        <w:rPr>
          <w:i/>
          <w:color w:val="000000" w:themeColor="text1"/>
        </w:rPr>
      </w:pPr>
    </w:p>
    <w:p w:rsidR="00064540" w:rsidRDefault="00064540" w:rsidP="00064540">
      <w:pPr>
        <w:pStyle w:val="BodyText"/>
      </w:pPr>
    </w:p>
    <w:p w:rsidR="00064540" w:rsidRDefault="00064540" w:rsidP="00064540">
      <w:pPr>
        <w:pStyle w:val="BodyText"/>
      </w:pPr>
    </w:p>
    <w:p w:rsidR="00064540" w:rsidRPr="00F91E0D" w:rsidRDefault="00064540" w:rsidP="00064540"/>
    <w:p w:rsidR="00064540" w:rsidRPr="00F91E0D" w:rsidRDefault="00064540" w:rsidP="00064540"/>
    <w:p w:rsidR="00064540" w:rsidRPr="00F91E0D" w:rsidRDefault="00064540" w:rsidP="00064540"/>
    <w:p w:rsidR="00064540" w:rsidRPr="00F91E0D" w:rsidRDefault="00064540" w:rsidP="00064540"/>
    <w:p w:rsidR="00064540" w:rsidRPr="00F91E0D" w:rsidRDefault="00064540" w:rsidP="00064540"/>
    <w:p w:rsidR="00064540" w:rsidRPr="00F91E0D" w:rsidRDefault="00064540" w:rsidP="00064540"/>
    <w:p w:rsidR="00064540" w:rsidRPr="00F91E0D" w:rsidRDefault="00064540" w:rsidP="00064540"/>
    <w:p w:rsidR="00064540" w:rsidRPr="00F91E0D" w:rsidRDefault="00064540" w:rsidP="00064540"/>
    <w:p w:rsidR="00064540" w:rsidRPr="00F91E0D" w:rsidRDefault="00064540" w:rsidP="00064540"/>
    <w:p w:rsidR="00064540" w:rsidRPr="00F91E0D" w:rsidRDefault="00064540" w:rsidP="00064540"/>
    <w:p w:rsidR="00064540" w:rsidRPr="00F91E0D" w:rsidRDefault="00064540" w:rsidP="00064540"/>
    <w:p w:rsidR="00064540" w:rsidRPr="00F91E0D" w:rsidRDefault="00064540" w:rsidP="00064540"/>
    <w:p w:rsidR="00064540" w:rsidRPr="00F91E0D" w:rsidRDefault="00064540" w:rsidP="00064540"/>
    <w:p w:rsidR="00064540" w:rsidRPr="00F91E0D" w:rsidRDefault="00064540" w:rsidP="00064540"/>
    <w:p w:rsidR="00064540" w:rsidRPr="00F91E0D" w:rsidRDefault="00064540" w:rsidP="00064540"/>
    <w:p w:rsidR="00064540" w:rsidRPr="00F91E0D" w:rsidRDefault="00064540" w:rsidP="00064540"/>
    <w:p w:rsidR="00064540" w:rsidRPr="00F91E0D" w:rsidRDefault="00064540" w:rsidP="00064540"/>
    <w:p w:rsidR="00064540" w:rsidRPr="00F91E0D" w:rsidRDefault="00064540" w:rsidP="00064540"/>
    <w:p w:rsidR="00064540" w:rsidRPr="00F91E0D" w:rsidRDefault="00064540" w:rsidP="00064540"/>
    <w:p w:rsidR="00064540" w:rsidRPr="00F91E0D" w:rsidRDefault="00064540" w:rsidP="00064540"/>
    <w:p w:rsidR="00064540" w:rsidRPr="00F91E0D" w:rsidRDefault="00064540" w:rsidP="00064540"/>
    <w:p w:rsidR="00064540" w:rsidRPr="00F91E0D" w:rsidRDefault="00064540" w:rsidP="00064540"/>
    <w:p w:rsidR="00064540" w:rsidRPr="00F91E0D" w:rsidRDefault="00064540" w:rsidP="00064540"/>
    <w:p w:rsidR="00064540" w:rsidRDefault="00064540" w:rsidP="00064540"/>
    <w:p w:rsidR="00064540" w:rsidRDefault="00064540" w:rsidP="00064540">
      <w:pPr>
        <w:tabs>
          <w:tab w:val="left" w:pos="2705"/>
        </w:tabs>
      </w:pPr>
      <w:r>
        <w:tab/>
      </w:r>
    </w:p>
    <w:p w:rsidR="00064540" w:rsidRPr="00F91E0D" w:rsidRDefault="00064540" w:rsidP="00064540">
      <w:pPr>
        <w:tabs>
          <w:tab w:val="left" w:pos="2705"/>
        </w:tabs>
        <w:sectPr w:rsidR="00064540" w:rsidRPr="00F91E0D" w:rsidSect="00C24C8B">
          <w:headerReference w:type="even" r:id="rId11"/>
          <w:headerReference w:type="default" r:id="rId12"/>
          <w:footerReference w:type="even" r:id="rId13"/>
          <w:footerReference w:type="default" r:id="rId14"/>
          <w:pgSz w:w="11907" w:h="16840" w:code="9"/>
          <w:pgMar w:top="1985" w:right="1304" w:bottom="1247" w:left="1814" w:header="1701" w:footer="397" w:gutter="0"/>
          <w:pgNumType w:fmt="lowerRoman"/>
          <w:cols w:space="720"/>
        </w:sectPr>
      </w:pPr>
      <w:r>
        <w:tab/>
      </w:r>
    </w:p>
    <w:p w:rsidR="00064540" w:rsidRDefault="00064540" w:rsidP="00064540">
      <w:pPr>
        <w:pStyle w:val="Heading1NotTOC"/>
        <w:rPr>
          <w:noProof/>
        </w:rPr>
      </w:pPr>
      <w:bookmarkStart w:id="8" w:name="Contents"/>
      <w:bookmarkEnd w:id="8"/>
      <w:r w:rsidRPr="00B153C3">
        <w:lastRenderedPageBreak/>
        <w:t>Contents</w:t>
      </w:r>
      <w:bookmarkStart w:id="9" w:name="InsertContents"/>
      <w:bookmarkEnd w:id="9"/>
    </w:p>
    <w:p w:rsidR="00064540" w:rsidRDefault="00064540" w:rsidP="00064540">
      <w:pPr>
        <w:pStyle w:val="TOC1"/>
        <w:rPr>
          <w:rFonts w:asciiTheme="minorHAnsi" w:eastAsiaTheme="minorEastAsia" w:hAnsiTheme="minorHAnsi" w:cstheme="minorBidi"/>
          <w:b w:val="0"/>
          <w:noProof/>
          <w:sz w:val="22"/>
          <w:szCs w:val="22"/>
          <w:lang w:eastAsia="en-AU"/>
        </w:rPr>
      </w:pPr>
      <w:r>
        <w:rPr>
          <w:noProof/>
        </w:rPr>
        <w:t>Terms of reference</w:t>
      </w:r>
      <w:r>
        <w:rPr>
          <w:noProof/>
        </w:rPr>
        <w:tab/>
        <w:t>iii</w:t>
      </w:r>
    </w:p>
    <w:p w:rsidR="00064540" w:rsidRDefault="00064540" w:rsidP="00064540">
      <w:pPr>
        <w:pStyle w:val="TOC1"/>
        <w:rPr>
          <w:rFonts w:asciiTheme="minorHAnsi" w:eastAsiaTheme="minorEastAsia" w:hAnsiTheme="minorHAnsi" w:cstheme="minorBidi"/>
          <w:b w:val="0"/>
          <w:noProof/>
          <w:sz w:val="22"/>
          <w:szCs w:val="22"/>
          <w:lang w:eastAsia="en-AU"/>
        </w:rPr>
      </w:pPr>
      <w:r>
        <w:rPr>
          <w:noProof/>
        </w:rPr>
        <w:t>Steering Committee</w:t>
      </w:r>
      <w:r>
        <w:rPr>
          <w:noProof/>
        </w:rPr>
        <w:tab/>
        <w:t>vii</w:t>
      </w:r>
    </w:p>
    <w:p w:rsidR="00064540" w:rsidRDefault="00064540" w:rsidP="00064540">
      <w:pPr>
        <w:pStyle w:val="TOC1"/>
        <w:rPr>
          <w:rFonts w:asciiTheme="minorHAnsi" w:eastAsiaTheme="minorEastAsia" w:hAnsiTheme="minorHAnsi" w:cstheme="minorBidi"/>
          <w:b w:val="0"/>
          <w:noProof/>
          <w:sz w:val="22"/>
          <w:szCs w:val="22"/>
          <w:lang w:eastAsia="en-AU"/>
        </w:rPr>
      </w:pPr>
      <w:r>
        <w:rPr>
          <w:noProof/>
        </w:rPr>
        <w:t>Working Group</w:t>
      </w:r>
      <w:r>
        <w:rPr>
          <w:noProof/>
        </w:rPr>
        <w:tab/>
        <w:t>ix</w:t>
      </w:r>
    </w:p>
    <w:p w:rsidR="00064540" w:rsidRDefault="00064540" w:rsidP="00064540">
      <w:pPr>
        <w:pStyle w:val="TOC1"/>
        <w:rPr>
          <w:rFonts w:asciiTheme="minorHAnsi" w:eastAsiaTheme="minorEastAsia" w:hAnsiTheme="minorHAnsi" w:cstheme="minorBidi"/>
          <w:b w:val="0"/>
          <w:noProof/>
          <w:sz w:val="22"/>
          <w:szCs w:val="22"/>
          <w:lang w:eastAsia="en-AU"/>
        </w:rPr>
      </w:pPr>
      <w:r>
        <w:rPr>
          <w:noProof/>
        </w:rPr>
        <w:t>1</w:t>
      </w:r>
      <w:r>
        <w:rPr>
          <w:rFonts w:asciiTheme="minorHAnsi" w:eastAsiaTheme="minorEastAsia" w:hAnsiTheme="minorHAnsi" w:cstheme="minorBidi"/>
          <w:b w:val="0"/>
          <w:noProof/>
          <w:sz w:val="22"/>
          <w:szCs w:val="22"/>
          <w:lang w:eastAsia="en-AU"/>
        </w:rPr>
        <w:tab/>
      </w:r>
      <w:r>
        <w:rPr>
          <w:noProof/>
        </w:rPr>
        <w:t>Introduction</w:t>
      </w:r>
      <w:r>
        <w:rPr>
          <w:noProof/>
        </w:rPr>
        <w:tab/>
        <w:t>1</w:t>
      </w:r>
    </w:p>
    <w:p w:rsidR="00064540" w:rsidRDefault="00064540" w:rsidP="00064540">
      <w:pPr>
        <w:pStyle w:val="TOC2"/>
        <w:tabs>
          <w:tab w:val="left" w:pos="1190"/>
        </w:tabs>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What’s new</w:t>
      </w:r>
      <w:r>
        <w:rPr>
          <w:noProof/>
        </w:rPr>
        <w:tab/>
        <w:t>2</w:t>
      </w:r>
    </w:p>
    <w:p w:rsidR="00064540" w:rsidRDefault="00064540" w:rsidP="00064540">
      <w:pPr>
        <w:pStyle w:val="TOC2"/>
        <w:tabs>
          <w:tab w:val="left" w:pos="1190"/>
        </w:tabs>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Methodology overview</w:t>
      </w:r>
      <w:r>
        <w:rPr>
          <w:noProof/>
        </w:rPr>
        <w:tab/>
        <w:t>2</w:t>
      </w:r>
    </w:p>
    <w:p w:rsidR="00064540" w:rsidRDefault="00064540" w:rsidP="00064540">
      <w:pPr>
        <w:pStyle w:val="TOC2"/>
        <w:tabs>
          <w:tab w:val="left" w:pos="1190"/>
        </w:tabs>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Indigenous Expenditure Report manuals</w:t>
      </w:r>
      <w:r>
        <w:rPr>
          <w:noProof/>
        </w:rPr>
        <w:tab/>
        <w:t>5</w:t>
      </w:r>
    </w:p>
    <w:p w:rsidR="00064540" w:rsidRDefault="00064540" w:rsidP="00064540">
      <w:pPr>
        <w:pStyle w:val="TOC2"/>
        <w:tabs>
          <w:tab w:val="left" w:pos="1190"/>
        </w:tabs>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Structure of the manual</w:t>
      </w:r>
      <w:r>
        <w:rPr>
          <w:noProof/>
        </w:rPr>
        <w:tab/>
        <w:t>6</w:t>
      </w:r>
    </w:p>
    <w:p w:rsidR="00064540" w:rsidRDefault="00064540" w:rsidP="00064540">
      <w:pPr>
        <w:pStyle w:val="TOC1"/>
        <w:rPr>
          <w:rFonts w:asciiTheme="minorHAnsi" w:eastAsiaTheme="minorEastAsia" w:hAnsiTheme="minorHAnsi" w:cstheme="minorBidi"/>
          <w:b w:val="0"/>
          <w:noProof/>
          <w:sz w:val="22"/>
          <w:szCs w:val="22"/>
          <w:lang w:eastAsia="en-AU"/>
        </w:rPr>
      </w:pPr>
      <w:r>
        <w:rPr>
          <w:noProof/>
        </w:rPr>
        <w:t>2</w:t>
      </w:r>
      <w:r>
        <w:rPr>
          <w:rFonts w:asciiTheme="minorHAnsi" w:eastAsiaTheme="minorEastAsia" w:hAnsiTheme="minorHAnsi" w:cstheme="minorBidi"/>
          <w:b w:val="0"/>
          <w:noProof/>
          <w:sz w:val="22"/>
          <w:szCs w:val="22"/>
          <w:lang w:eastAsia="en-AU"/>
        </w:rPr>
        <w:tab/>
      </w:r>
      <w:r>
        <w:rPr>
          <w:noProof/>
        </w:rPr>
        <w:t>Prorating mainstream expenditure</w:t>
      </w:r>
      <w:r>
        <w:rPr>
          <w:noProof/>
        </w:rPr>
        <w:tab/>
        <w:t>7</w:t>
      </w:r>
    </w:p>
    <w:p w:rsidR="00064540" w:rsidRDefault="00064540" w:rsidP="00064540">
      <w:pPr>
        <w:pStyle w:val="TOC2"/>
        <w:tabs>
          <w:tab w:val="left" w:pos="1190"/>
        </w:tabs>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Prorating expenditure on mainstream services</w:t>
      </w:r>
      <w:r>
        <w:rPr>
          <w:noProof/>
        </w:rPr>
        <w:tab/>
        <w:t>7</w:t>
      </w:r>
    </w:p>
    <w:p w:rsidR="00064540" w:rsidRDefault="00064540" w:rsidP="00064540">
      <w:pPr>
        <w:pStyle w:val="TOC2"/>
        <w:tabs>
          <w:tab w:val="left" w:pos="1190"/>
        </w:tabs>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Interpreting expenditure estimates</w:t>
      </w:r>
      <w:r>
        <w:rPr>
          <w:noProof/>
        </w:rPr>
        <w:tab/>
        <w:t>10</w:t>
      </w:r>
    </w:p>
    <w:p w:rsidR="00064540" w:rsidRDefault="00064540" w:rsidP="00064540">
      <w:pPr>
        <w:pStyle w:val="TOC1"/>
        <w:rPr>
          <w:rFonts w:asciiTheme="minorHAnsi" w:eastAsiaTheme="minorEastAsia" w:hAnsiTheme="minorHAnsi" w:cstheme="minorBidi"/>
          <w:b w:val="0"/>
          <w:noProof/>
          <w:sz w:val="22"/>
          <w:szCs w:val="22"/>
          <w:lang w:eastAsia="en-AU"/>
        </w:rPr>
      </w:pPr>
      <w:r>
        <w:rPr>
          <w:noProof/>
        </w:rPr>
        <w:t>3</w:t>
      </w:r>
      <w:r>
        <w:rPr>
          <w:rFonts w:asciiTheme="minorHAnsi" w:eastAsiaTheme="minorEastAsia" w:hAnsiTheme="minorHAnsi" w:cstheme="minorBidi"/>
          <w:b w:val="0"/>
          <w:noProof/>
          <w:sz w:val="22"/>
          <w:szCs w:val="22"/>
          <w:lang w:eastAsia="en-AU"/>
        </w:rPr>
        <w:tab/>
      </w:r>
      <w:r>
        <w:rPr>
          <w:noProof/>
        </w:rPr>
        <w:t>Identifying service use measures</w:t>
      </w:r>
      <w:r>
        <w:rPr>
          <w:noProof/>
        </w:rPr>
        <w:tab/>
        <w:t>13</w:t>
      </w:r>
    </w:p>
    <w:p w:rsidR="00064540" w:rsidRDefault="00064540" w:rsidP="00064540">
      <w:pPr>
        <w:pStyle w:val="TOC2"/>
        <w:tabs>
          <w:tab w:val="left" w:pos="1190"/>
        </w:tabs>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Service use measure concepts</w:t>
      </w:r>
      <w:r>
        <w:rPr>
          <w:noProof/>
        </w:rPr>
        <w:tab/>
        <w:t>13</w:t>
      </w:r>
    </w:p>
    <w:p w:rsidR="00064540" w:rsidRDefault="00064540" w:rsidP="00064540">
      <w:pPr>
        <w:pStyle w:val="TOC2"/>
        <w:tabs>
          <w:tab w:val="left" w:pos="1190"/>
        </w:tabs>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Service use measure sources and methods</w:t>
      </w:r>
      <w:r>
        <w:rPr>
          <w:noProof/>
        </w:rPr>
        <w:tab/>
        <w:t>16</w:t>
      </w:r>
    </w:p>
    <w:p w:rsidR="00064540" w:rsidRDefault="00064540" w:rsidP="00064540">
      <w:pPr>
        <w:pStyle w:val="TOC1"/>
        <w:rPr>
          <w:rFonts w:asciiTheme="minorHAnsi" w:eastAsiaTheme="minorEastAsia" w:hAnsiTheme="minorHAnsi" w:cstheme="minorBidi"/>
          <w:b w:val="0"/>
          <w:noProof/>
          <w:sz w:val="22"/>
          <w:szCs w:val="22"/>
          <w:lang w:eastAsia="en-AU"/>
        </w:rPr>
      </w:pPr>
      <w:r>
        <w:rPr>
          <w:noProof/>
        </w:rPr>
        <w:t>4</w:t>
      </w:r>
      <w:r>
        <w:rPr>
          <w:rFonts w:asciiTheme="minorHAnsi" w:eastAsiaTheme="minorEastAsia" w:hAnsiTheme="minorHAnsi" w:cstheme="minorBidi"/>
          <w:b w:val="0"/>
          <w:noProof/>
          <w:sz w:val="22"/>
          <w:szCs w:val="22"/>
          <w:lang w:eastAsia="en-AU"/>
        </w:rPr>
        <w:tab/>
      </w:r>
      <w:r>
        <w:rPr>
          <w:noProof/>
        </w:rPr>
        <w:t>Adjusting for Indigenous under-identification</w:t>
      </w:r>
      <w:r>
        <w:rPr>
          <w:noProof/>
        </w:rPr>
        <w:tab/>
        <w:t>19</w:t>
      </w:r>
    </w:p>
    <w:p w:rsidR="00064540" w:rsidRDefault="00064540" w:rsidP="00064540">
      <w:pPr>
        <w:pStyle w:val="TOC2"/>
        <w:tabs>
          <w:tab w:val="left" w:pos="1190"/>
        </w:tabs>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Indigenous under-identification concepts</w:t>
      </w:r>
      <w:r>
        <w:rPr>
          <w:noProof/>
        </w:rPr>
        <w:tab/>
        <w:t>19</w:t>
      </w:r>
    </w:p>
    <w:p w:rsidR="00064540" w:rsidRDefault="00064540" w:rsidP="00064540">
      <w:pPr>
        <w:pStyle w:val="TOC2"/>
        <w:tabs>
          <w:tab w:val="left" w:pos="1190"/>
        </w:tabs>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Indigenous under-identification information and adjustments</w:t>
      </w:r>
      <w:r>
        <w:rPr>
          <w:noProof/>
        </w:rPr>
        <w:tab/>
        <w:t>21</w:t>
      </w:r>
    </w:p>
    <w:p w:rsidR="00064540" w:rsidRDefault="00064540" w:rsidP="00064540">
      <w:pPr>
        <w:pStyle w:val="TOC1"/>
        <w:rPr>
          <w:rFonts w:asciiTheme="minorHAnsi" w:eastAsiaTheme="minorEastAsia" w:hAnsiTheme="minorHAnsi" w:cstheme="minorBidi"/>
          <w:b w:val="0"/>
          <w:noProof/>
          <w:sz w:val="22"/>
          <w:szCs w:val="22"/>
          <w:lang w:eastAsia="en-AU"/>
        </w:rPr>
      </w:pPr>
      <w:r>
        <w:rPr>
          <w:noProof/>
        </w:rPr>
        <w:t>5</w:t>
      </w:r>
      <w:r>
        <w:rPr>
          <w:rFonts w:asciiTheme="minorHAnsi" w:eastAsiaTheme="minorEastAsia" w:hAnsiTheme="minorHAnsi" w:cstheme="minorBidi"/>
          <w:b w:val="0"/>
          <w:noProof/>
          <w:sz w:val="22"/>
          <w:szCs w:val="22"/>
          <w:lang w:eastAsia="en-AU"/>
        </w:rPr>
        <w:tab/>
      </w:r>
      <w:r>
        <w:rPr>
          <w:noProof/>
        </w:rPr>
        <w:t>Adjusting for cost differentials</w:t>
      </w:r>
      <w:r>
        <w:rPr>
          <w:noProof/>
        </w:rPr>
        <w:tab/>
        <w:t>25</w:t>
      </w:r>
    </w:p>
    <w:p w:rsidR="00064540" w:rsidRDefault="00064540" w:rsidP="00064540">
      <w:pPr>
        <w:pStyle w:val="TOC2"/>
        <w:tabs>
          <w:tab w:val="left" w:pos="1190"/>
        </w:tabs>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Cost differential concepts</w:t>
      </w:r>
      <w:r>
        <w:rPr>
          <w:noProof/>
        </w:rPr>
        <w:tab/>
        <w:t>25</w:t>
      </w:r>
    </w:p>
    <w:p w:rsidR="00064540" w:rsidRDefault="00064540" w:rsidP="00064540">
      <w:pPr>
        <w:pStyle w:val="TOC2"/>
        <w:tabs>
          <w:tab w:val="left" w:pos="1190"/>
        </w:tabs>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Cost differential information and adjustments</w:t>
      </w:r>
      <w:r>
        <w:rPr>
          <w:noProof/>
        </w:rPr>
        <w:tab/>
        <w:t>28</w:t>
      </w:r>
    </w:p>
    <w:p w:rsidR="00064540" w:rsidRDefault="00064540" w:rsidP="00064540">
      <w:pPr>
        <w:pStyle w:val="TOC2"/>
        <w:tabs>
          <w:tab w:val="left" w:pos="1190"/>
        </w:tabs>
        <w:rPr>
          <w:rFonts w:asciiTheme="minorHAnsi" w:eastAsiaTheme="minorEastAsia" w:hAnsiTheme="minorHAnsi" w:cstheme="minorBidi"/>
          <w:noProof/>
          <w:sz w:val="22"/>
          <w:szCs w:val="22"/>
          <w:lang w:eastAsia="en-AU"/>
        </w:rPr>
      </w:pPr>
      <w:r>
        <w:rPr>
          <w:noProof/>
        </w:rPr>
        <w:t>5.3</w:t>
      </w:r>
      <w:r>
        <w:rPr>
          <w:rFonts w:asciiTheme="minorHAnsi" w:eastAsiaTheme="minorEastAsia" w:hAnsiTheme="minorHAnsi" w:cstheme="minorBidi"/>
          <w:noProof/>
          <w:sz w:val="22"/>
          <w:szCs w:val="22"/>
          <w:lang w:eastAsia="en-AU"/>
        </w:rPr>
        <w:tab/>
      </w:r>
      <w:r>
        <w:rPr>
          <w:noProof/>
        </w:rPr>
        <w:t>Frequently asked questions on cost differentials</w:t>
      </w:r>
      <w:r>
        <w:rPr>
          <w:noProof/>
        </w:rPr>
        <w:tab/>
        <w:t>33</w:t>
      </w:r>
    </w:p>
    <w:p w:rsidR="00064540" w:rsidRDefault="00064540" w:rsidP="00064540">
      <w:pPr>
        <w:pStyle w:val="TOC1"/>
        <w:rPr>
          <w:rFonts w:asciiTheme="minorHAnsi" w:eastAsiaTheme="minorEastAsia" w:hAnsiTheme="minorHAnsi" w:cstheme="minorBidi"/>
          <w:b w:val="0"/>
          <w:noProof/>
          <w:sz w:val="22"/>
          <w:szCs w:val="22"/>
          <w:lang w:eastAsia="en-AU"/>
        </w:rPr>
      </w:pPr>
      <w:r>
        <w:rPr>
          <w:noProof/>
        </w:rPr>
        <w:t>6</w:t>
      </w:r>
      <w:r>
        <w:rPr>
          <w:rFonts w:asciiTheme="minorHAnsi" w:eastAsiaTheme="minorEastAsia" w:hAnsiTheme="minorHAnsi" w:cstheme="minorBidi"/>
          <w:b w:val="0"/>
          <w:noProof/>
          <w:sz w:val="22"/>
          <w:szCs w:val="22"/>
          <w:lang w:eastAsia="en-AU"/>
        </w:rPr>
        <w:tab/>
      </w:r>
      <w:r>
        <w:rPr>
          <w:noProof/>
        </w:rPr>
        <w:t>Indigenous specific expenditure</w:t>
      </w:r>
      <w:r>
        <w:rPr>
          <w:noProof/>
        </w:rPr>
        <w:tab/>
        <w:t>37</w:t>
      </w:r>
    </w:p>
    <w:p w:rsidR="00064540" w:rsidRDefault="00064540" w:rsidP="00064540">
      <w:pPr>
        <w:pStyle w:val="TOC2"/>
        <w:tabs>
          <w:tab w:val="left" w:pos="1190"/>
        </w:tabs>
        <w:rPr>
          <w:rFonts w:asciiTheme="minorHAnsi" w:eastAsiaTheme="minorEastAsia" w:hAnsiTheme="minorHAnsi" w:cstheme="minorBidi"/>
          <w:noProof/>
          <w:sz w:val="22"/>
          <w:szCs w:val="22"/>
          <w:lang w:eastAsia="en-AU"/>
        </w:rPr>
      </w:pPr>
      <w:r>
        <w:rPr>
          <w:noProof/>
        </w:rPr>
        <w:t>6.1</w:t>
      </w:r>
      <w:r>
        <w:rPr>
          <w:rFonts w:asciiTheme="minorHAnsi" w:eastAsiaTheme="minorEastAsia" w:hAnsiTheme="minorHAnsi" w:cstheme="minorBidi"/>
          <w:noProof/>
          <w:sz w:val="22"/>
          <w:szCs w:val="22"/>
          <w:lang w:eastAsia="en-AU"/>
        </w:rPr>
        <w:tab/>
      </w:r>
      <w:r>
        <w:rPr>
          <w:noProof/>
        </w:rPr>
        <w:t>Indigenous specific expenditure concepts</w:t>
      </w:r>
      <w:r>
        <w:rPr>
          <w:noProof/>
        </w:rPr>
        <w:tab/>
        <w:t>38</w:t>
      </w:r>
    </w:p>
    <w:p w:rsidR="00064540" w:rsidRDefault="00064540" w:rsidP="00064540">
      <w:pPr>
        <w:pStyle w:val="TOC2"/>
        <w:tabs>
          <w:tab w:val="left" w:pos="1190"/>
        </w:tabs>
        <w:rPr>
          <w:rFonts w:asciiTheme="minorHAnsi" w:eastAsiaTheme="minorEastAsia" w:hAnsiTheme="minorHAnsi" w:cstheme="minorBidi"/>
          <w:noProof/>
          <w:sz w:val="22"/>
          <w:szCs w:val="22"/>
          <w:lang w:eastAsia="en-AU"/>
        </w:rPr>
      </w:pPr>
      <w:r>
        <w:rPr>
          <w:noProof/>
        </w:rPr>
        <w:t>6.2</w:t>
      </w:r>
      <w:r>
        <w:rPr>
          <w:rFonts w:asciiTheme="minorHAnsi" w:eastAsiaTheme="minorEastAsia" w:hAnsiTheme="minorHAnsi" w:cstheme="minorBidi"/>
          <w:noProof/>
          <w:sz w:val="22"/>
          <w:szCs w:val="22"/>
          <w:lang w:eastAsia="en-AU"/>
        </w:rPr>
        <w:tab/>
      </w:r>
      <w:r>
        <w:rPr>
          <w:noProof/>
        </w:rPr>
        <w:t>Indigenous specific expenditure information and adjustment methods</w:t>
      </w:r>
      <w:r>
        <w:rPr>
          <w:noProof/>
        </w:rPr>
        <w:tab/>
        <w:t>38</w:t>
      </w:r>
      <w:r>
        <w:rPr>
          <w:noProof/>
        </w:rPr>
        <w:br/>
      </w:r>
    </w:p>
    <w:p w:rsidR="00064540" w:rsidRDefault="00064540" w:rsidP="00064540">
      <w:pPr>
        <w:pStyle w:val="TOC1"/>
        <w:rPr>
          <w:rFonts w:asciiTheme="minorHAnsi" w:eastAsiaTheme="minorEastAsia" w:hAnsiTheme="minorHAnsi" w:cstheme="minorBidi"/>
          <w:b w:val="0"/>
          <w:noProof/>
          <w:sz w:val="22"/>
          <w:szCs w:val="22"/>
          <w:lang w:eastAsia="en-AU"/>
        </w:rPr>
      </w:pPr>
      <w:r>
        <w:rPr>
          <w:noProof/>
        </w:rPr>
        <w:lastRenderedPageBreak/>
        <w:t>7</w:t>
      </w:r>
      <w:r>
        <w:rPr>
          <w:rFonts w:asciiTheme="minorHAnsi" w:eastAsiaTheme="minorEastAsia" w:hAnsiTheme="minorHAnsi" w:cstheme="minorBidi"/>
          <w:b w:val="0"/>
          <w:noProof/>
          <w:sz w:val="22"/>
          <w:szCs w:val="22"/>
          <w:lang w:eastAsia="en-AU"/>
        </w:rPr>
        <w:tab/>
      </w:r>
      <w:r>
        <w:rPr>
          <w:noProof/>
        </w:rPr>
        <w:t>Australian Government expenditure by state and territory</w:t>
      </w:r>
      <w:r>
        <w:rPr>
          <w:noProof/>
        </w:rPr>
        <w:tab/>
        <w:t>41</w:t>
      </w:r>
    </w:p>
    <w:p w:rsidR="00064540" w:rsidRDefault="00064540" w:rsidP="00064540">
      <w:pPr>
        <w:pStyle w:val="TOC2"/>
        <w:tabs>
          <w:tab w:val="left" w:pos="1190"/>
        </w:tabs>
        <w:rPr>
          <w:rFonts w:asciiTheme="minorHAnsi" w:eastAsiaTheme="minorEastAsia" w:hAnsiTheme="minorHAnsi" w:cstheme="minorBidi"/>
          <w:noProof/>
          <w:sz w:val="22"/>
          <w:szCs w:val="22"/>
          <w:lang w:eastAsia="en-AU"/>
        </w:rPr>
      </w:pPr>
      <w:r>
        <w:rPr>
          <w:noProof/>
        </w:rPr>
        <w:t>7.1</w:t>
      </w:r>
      <w:r>
        <w:rPr>
          <w:rFonts w:asciiTheme="minorHAnsi" w:eastAsiaTheme="minorEastAsia" w:hAnsiTheme="minorHAnsi" w:cstheme="minorBidi"/>
          <w:noProof/>
          <w:sz w:val="22"/>
          <w:szCs w:val="22"/>
          <w:lang w:eastAsia="en-AU"/>
        </w:rPr>
        <w:tab/>
      </w:r>
      <w:r>
        <w:rPr>
          <w:noProof/>
        </w:rPr>
        <w:t>Australian Government expenditure in each state and territory</w:t>
      </w:r>
      <w:r>
        <w:rPr>
          <w:noProof/>
        </w:rPr>
        <w:tab/>
        <w:t>41</w:t>
      </w:r>
    </w:p>
    <w:p w:rsidR="00064540" w:rsidRDefault="00064540" w:rsidP="00064540">
      <w:pPr>
        <w:pStyle w:val="TOC2"/>
        <w:tabs>
          <w:tab w:val="left" w:pos="1190"/>
        </w:tabs>
        <w:rPr>
          <w:rFonts w:asciiTheme="minorHAnsi" w:eastAsiaTheme="minorEastAsia" w:hAnsiTheme="minorHAnsi" w:cstheme="minorBidi"/>
          <w:noProof/>
          <w:sz w:val="22"/>
          <w:szCs w:val="22"/>
          <w:lang w:eastAsia="en-AU"/>
        </w:rPr>
      </w:pPr>
      <w:r>
        <w:rPr>
          <w:noProof/>
        </w:rPr>
        <w:t>7.2</w:t>
      </w:r>
      <w:r>
        <w:rPr>
          <w:rFonts w:asciiTheme="minorHAnsi" w:eastAsiaTheme="minorEastAsia" w:hAnsiTheme="minorHAnsi" w:cstheme="minorBidi"/>
          <w:noProof/>
          <w:sz w:val="22"/>
          <w:szCs w:val="22"/>
          <w:lang w:eastAsia="en-AU"/>
        </w:rPr>
        <w:tab/>
      </w:r>
      <w:r>
        <w:rPr>
          <w:noProof/>
        </w:rPr>
        <w:t>Estimating Australian Government expenditure in each state and territory</w:t>
      </w:r>
      <w:r>
        <w:rPr>
          <w:noProof/>
        </w:rPr>
        <w:tab/>
        <w:t>42</w:t>
      </w:r>
    </w:p>
    <w:p w:rsidR="00064540" w:rsidRDefault="00064540" w:rsidP="00064540">
      <w:pPr>
        <w:pStyle w:val="TOC2"/>
        <w:tabs>
          <w:tab w:val="left" w:pos="1190"/>
        </w:tabs>
        <w:rPr>
          <w:rFonts w:asciiTheme="minorHAnsi" w:eastAsiaTheme="minorEastAsia" w:hAnsiTheme="minorHAnsi" w:cstheme="minorBidi"/>
          <w:noProof/>
          <w:sz w:val="22"/>
          <w:szCs w:val="22"/>
          <w:lang w:eastAsia="en-AU"/>
        </w:rPr>
      </w:pPr>
      <w:r>
        <w:rPr>
          <w:noProof/>
        </w:rPr>
        <w:t>7.3</w:t>
      </w:r>
      <w:r>
        <w:rPr>
          <w:rFonts w:asciiTheme="minorHAnsi" w:eastAsiaTheme="minorEastAsia" w:hAnsiTheme="minorHAnsi" w:cstheme="minorBidi"/>
          <w:noProof/>
          <w:sz w:val="22"/>
          <w:szCs w:val="22"/>
          <w:lang w:eastAsia="en-AU"/>
        </w:rPr>
        <w:tab/>
      </w:r>
      <w:r>
        <w:rPr>
          <w:noProof/>
        </w:rPr>
        <w:t>Interpreting expenditure estimates</w:t>
      </w:r>
      <w:r>
        <w:rPr>
          <w:noProof/>
        </w:rPr>
        <w:tab/>
        <w:t>44</w:t>
      </w:r>
    </w:p>
    <w:p w:rsidR="00064540" w:rsidRDefault="00064540" w:rsidP="00064540">
      <w:pPr>
        <w:pStyle w:val="TOC1"/>
        <w:rPr>
          <w:rFonts w:asciiTheme="minorHAnsi" w:eastAsiaTheme="minorEastAsia" w:hAnsiTheme="minorHAnsi" w:cstheme="minorBidi"/>
          <w:b w:val="0"/>
          <w:noProof/>
          <w:sz w:val="22"/>
          <w:szCs w:val="22"/>
          <w:lang w:eastAsia="en-AU"/>
        </w:rPr>
      </w:pPr>
      <w:r>
        <w:rPr>
          <w:noProof/>
        </w:rPr>
        <w:t>8</w:t>
      </w:r>
      <w:r>
        <w:rPr>
          <w:rFonts w:asciiTheme="minorHAnsi" w:eastAsiaTheme="minorEastAsia" w:hAnsiTheme="minorHAnsi" w:cstheme="minorBidi"/>
          <w:b w:val="0"/>
          <w:noProof/>
          <w:sz w:val="22"/>
          <w:szCs w:val="22"/>
          <w:lang w:eastAsia="en-AU"/>
        </w:rPr>
        <w:tab/>
      </w:r>
      <w:r>
        <w:rPr>
          <w:noProof/>
        </w:rPr>
        <w:t>Sensitivity analysis</w:t>
      </w:r>
      <w:r>
        <w:rPr>
          <w:noProof/>
        </w:rPr>
        <w:tab/>
        <w:t>45</w:t>
      </w:r>
    </w:p>
    <w:p w:rsidR="00064540" w:rsidRDefault="00064540" w:rsidP="00064540">
      <w:pPr>
        <w:pStyle w:val="TOC2"/>
        <w:tabs>
          <w:tab w:val="left" w:pos="1190"/>
        </w:tabs>
        <w:rPr>
          <w:rFonts w:asciiTheme="minorHAnsi" w:eastAsiaTheme="minorEastAsia" w:hAnsiTheme="minorHAnsi" w:cstheme="minorBidi"/>
          <w:noProof/>
          <w:sz w:val="22"/>
          <w:szCs w:val="22"/>
          <w:lang w:eastAsia="en-AU"/>
        </w:rPr>
      </w:pPr>
      <w:r>
        <w:rPr>
          <w:noProof/>
        </w:rPr>
        <w:t>8.1</w:t>
      </w:r>
      <w:r>
        <w:rPr>
          <w:rFonts w:asciiTheme="minorHAnsi" w:eastAsiaTheme="minorEastAsia" w:hAnsiTheme="minorHAnsi" w:cstheme="minorBidi"/>
          <w:noProof/>
          <w:sz w:val="22"/>
          <w:szCs w:val="22"/>
          <w:lang w:eastAsia="en-AU"/>
        </w:rPr>
        <w:tab/>
      </w:r>
      <w:r>
        <w:rPr>
          <w:noProof/>
        </w:rPr>
        <w:t>Why do sensitivity analysis?</w:t>
      </w:r>
      <w:r>
        <w:rPr>
          <w:noProof/>
        </w:rPr>
        <w:tab/>
        <w:t>45</w:t>
      </w:r>
    </w:p>
    <w:p w:rsidR="00064540" w:rsidRDefault="00064540" w:rsidP="00064540">
      <w:pPr>
        <w:pStyle w:val="TOC2"/>
        <w:tabs>
          <w:tab w:val="left" w:pos="1190"/>
        </w:tabs>
        <w:rPr>
          <w:rFonts w:asciiTheme="minorHAnsi" w:eastAsiaTheme="minorEastAsia" w:hAnsiTheme="minorHAnsi" w:cstheme="minorBidi"/>
          <w:noProof/>
          <w:sz w:val="22"/>
          <w:szCs w:val="22"/>
          <w:lang w:eastAsia="en-AU"/>
        </w:rPr>
      </w:pPr>
      <w:r>
        <w:rPr>
          <w:noProof/>
        </w:rPr>
        <w:t>8.2</w:t>
      </w:r>
      <w:r>
        <w:rPr>
          <w:rFonts w:asciiTheme="minorHAnsi" w:eastAsiaTheme="minorEastAsia" w:hAnsiTheme="minorHAnsi" w:cstheme="minorBidi"/>
          <w:noProof/>
          <w:sz w:val="22"/>
          <w:szCs w:val="22"/>
          <w:lang w:eastAsia="en-AU"/>
        </w:rPr>
        <w:tab/>
      </w:r>
      <w:r>
        <w:rPr>
          <w:noProof/>
        </w:rPr>
        <w:t>Measuring uncertainty</w:t>
      </w:r>
      <w:r>
        <w:rPr>
          <w:noProof/>
        </w:rPr>
        <w:tab/>
        <w:t>47</w:t>
      </w:r>
    </w:p>
    <w:p w:rsidR="00064540" w:rsidRDefault="00064540" w:rsidP="00064540">
      <w:pPr>
        <w:pStyle w:val="TOC2"/>
        <w:tabs>
          <w:tab w:val="left" w:pos="1190"/>
        </w:tabs>
        <w:rPr>
          <w:rFonts w:asciiTheme="minorHAnsi" w:eastAsiaTheme="minorEastAsia" w:hAnsiTheme="minorHAnsi" w:cstheme="minorBidi"/>
          <w:noProof/>
          <w:sz w:val="22"/>
          <w:szCs w:val="22"/>
          <w:lang w:eastAsia="en-AU"/>
        </w:rPr>
      </w:pPr>
      <w:r>
        <w:rPr>
          <w:noProof/>
        </w:rPr>
        <w:t>8.3</w:t>
      </w:r>
      <w:r>
        <w:rPr>
          <w:rFonts w:asciiTheme="minorHAnsi" w:eastAsiaTheme="minorEastAsia" w:hAnsiTheme="minorHAnsi" w:cstheme="minorBidi"/>
          <w:noProof/>
          <w:sz w:val="22"/>
          <w:szCs w:val="22"/>
          <w:lang w:eastAsia="en-AU"/>
        </w:rPr>
        <w:tab/>
      </w:r>
      <w:r>
        <w:rPr>
          <w:noProof/>
        </w:rPr>
        <w:t>Limitations of sensitivity analysis</w:t>
      </w:r>
      <w:r>
        <w:rPr>
          <w:noProof/>
        </w:rPr>
        <w:tab/>
        <w:t>49</w:t>
      </w:r>
    </w:p>
    <w:p w:rsidR="00064540" w:rsidRDefault="00064540" w:rsidP="00064540">
      <w:pPr>
        <w:pStyle w:val="TOC2"/>
        <w:tabs>
          <w:tab w:val="left" w:pos="1190"/>
        </w:tabs>
        <w:rPr>
          <w:rFonts w:asciiTheme="minorHAnsi" w:eastAsiaTheme="minorEastAsia" w:hAnsiTheme="minorHAnsi" w:cstheme="minorBidi"/>
          <w:noProof/>
          <w:sz w:val="22"/>
          <w:szCs w:val="22"/>
          <w:lang w:eastAsia="en-AU"/>
        </w:rPr>
      </w:pPr>
      <w:r>
        <w:rPr>
          <w:noProof/>
        </w:rPr>
        <w:t>8.4</w:t>
      </w:r>
      <w:r>
        <w:rPr>
          <w:rFonts w:asciiTheme="minorHAnsi" w:eastAsiaTheme="minorEastAsia" w:hAnsiTheme="minorHAnsi" w:cstheme="minorBidi"/>
          <w:noProof/>
          <w:sz w:val="22"/>
          <w:szCs w:val="22"/>
          <w:lang w:eastAsia="en-AU"/>
        </w:rPr>
        <w:tab/>
      </w:r>
      <w:r>
        <w:rPr>
          <w:noProof/>
        </w:rPr>
        <w:t>Qualitative description of uncertainty</w:t>
      </w:r>
      <w:r>
        <w:rPr>
          <w:noProof/>
        </w:rPr>
        <w:tab/>
        <w:t>50</w:t>
      </w:r>
    </w:p>
    <w:p w:rsidR="00064540" w:rsidRDefault="00064540" w:rsidP="00064540">
      <w:pPr>
        <w:pStyle w:val="TOC1"/>
        <w:rPr>
          <w:rFonts w:asciiTheme="minorHAnsi" w:eastAsiaTheme="minorEastAsia" w:hAnsiTheme="minorHAnsi" w:cstheme="minorBidi"/>
          <w:b w:val="0"/>
          <w:noProof/>
          <w:sz w:val="22"/>
          <w:szCs w:val="22"/>
          <w:lang w:eastAsia="en-AU"/>
        </w:rPr>
      </w:pPr>
      <w:r>
        <w:rPr>
          <w:noProof/>
        </w:rPr>
        <w:t>Appendix A    Service use measure definitions</w:t>
      </w:r>
      <w:r>
        <w:rPr>
          <w:noProof/>
        </w:rPr>
        <w:tab/>
        <w:t>53</w:t>
      </w:r>
    </w:p>
    <w:p w:rsidR="00064540" w:rsidRPr="006F60DD" w:rsidRDefault="00064540" w:rsidP="00064540">
      <w:pPr>
        <w:pStyle w:val="TOC1"/>
        <w:rPr>
          <w:rFonts w:asciiTheme="minorHAnsi" w:eastAsiaTheme="minorEastAsia" w:hAnsiTheme="minorHAnsi" w:cstheme="minorBidi"/>
          <w:b w:val="0"/>
          <w:noProof/>
          <w:sz w:val="22"/>
          <w:szCs w:val="22"/>
          <w:lang w:eastAsia="en-AU"/>
        </w:rPr>
      </w:pPr>
      <w:r w:rsidRPr="006F60DD">
        <w:rPr>
          <w:b w:val="0"/>
          <w:i/>
          <w:noProof/>
        </w:rPr>
        <w:tab/>
        <w:t>General public services GPC 01</w:t>
      </w:r>
      <w:r w:rsidRPr="006F60DD">
        <w:rPr>
          <w:b w:val="0"/>
          <w:noProof/>
        </w:rPr>
        <w:tab/>
        <w:t>55</w:t>
      </w:r>
    </w:p>
    <w:p w:rsidR="00064540" w:rsidRPr="006F60DD" w:rsidRDefault="00064540" w:rsidP="00064540">
      <w:pPr>
        <w:pStyle w:val="TOC1"/>
        <w:rPr>
          <w:rFonts w:asciiTheme="minorHAnsi" w:eastAsiaTheme="minorEastAsia" w:hAnsiTheme="minorHAnsi" w:cstheme="minorBidi"/>
          <w:b w:val="0"/>
          <w:noProof/>
          <w:sz w:val="22"/>
          <w:szCs w:val="22"/>
          <w:lang w:eastAsia="en-AU"/>
        </w:rPr>
      </w:pPr>
      <w:r w:rsidRPr="006F60DD">
        <w:rPr>
          <w:b w:val="0"/>
          <w:i/>
          <w:noProof/>
        </w:rPr>
        <w:tab/>
        <w:t>Defence GPC 02</w:t>
      </w:r>
      <w:r w:rsidRPr="006F60DD">
        <w:rPr>
          <w:b w:val="0"/>
          <w:noProof/>
        </w:rPr>
        <w:tab/>
        <w:t>59</w:t>
      </w:r>
    </w:p>
    <w:p w:rsidR="00064540" w:rsidRPr="006F60DD" w:rsidRDefault="00064540" w:rsidP="00064540">
      <w:pPr>
        <w:pStyle w:val="TOC1"/>
        <w:rPr>
          <w:rFonts w:asciiTheme="minorHAnsi" w:eastAsiaTheme="minorEastAsia" w:hAnsiTheme="minorHAnsi" w:cstheme="minorBidi"/>
          <w:b w:val="0"/>
          <w:noProof/>
          <w:sz w:val="22"/>
          <w:szCs w:val="22"/>
          <w:lang w:eastAsia="en-AU"/>
        </w:rPr>
      </w:pPr>
      <w:r w:rsidRPr="006F60DD">
        <w:rPr>
          <w:b w:val="0"/>
          <w:i/>
          <w:noProof/>
        </w:rPr>
        <w:tab/>
        <w:t>Public order and safety GPC 03</w:t>
      </w:r>
      <w:r w:rsidRPr="006F60DD">
        <w:rPr>
          <w:b w:val="0"/>
          <w:noProof/>
        </w:rPr>
        <w:tab/>
        <w:t>63</w:t>
      </w:r>
    </w:p>
    <w:p w:rsidR="00064540" w:rsidRPr="006F60DD" w:rsidRDefault="00064540" w:rsidP="00064540">
      <w:pPr>
        <w:pStyle w:val="TOC1"/>
        <w:rPr>
          <w:rFonts w:asciiTheme="minorHAnsi" w:eastAsiaTheme="minorEastAsia" w:hAnsiTheme="minorHAnsi" w:cstheme="minorBidi"/>
          <w:b w:val="0"/>
          <w:noProof/>
          <w:sz w:val="22"/>
          <w:szCs w:val="22"/>
          <w:lang w:eastAsia="en-AU"/>
        </w:rPr>
      </w:pPr>
      <w:r w:rsidRPr="006F60DD">
        <w:rPr>
          <w:b w:val="0"/>
          <w:i/>
          <w:noProof/>
        </w:rPr>
        <w:tab/>
        <w:t>Education GPC 04</w:t>
      </w:r>
      <w:r w:rsidRPr="006F60DD">
        <w:rPr>
          <w:b w:val="0"/>
          <w:noProof/>
        </w:rPr>
        <w:tab/>
        <w:t>77</w:t>
      </w:r>
    </w:p>
    <w:p w:rsidR="00064540" w:rsidRPr="006F60DD" w:rsidRDefault="00064540" w:rsidP="00064540">
      <w:pPr>
        <w:pStyle w:val="TOC1"/>
        <w:rPr>
          <w:rFonts w:asciiTheme="minorHAnsi" w:eastAsiaTheme="minorEastAsia" w:hAnsiTheme="minorHAnsi" w:cstheme="minorBidi"/>
          <w:b w:val="0"/>
          <w:noProof/>
          <w:sz w:val="22"/>
          <w:szCs w:val="22"/>
          <w:lang w:eastAsia="en-AU"/>
        </w:rPr>
      </w:pPr>
      <w:r w:rsidRPr="006F60DD">
        <w:rPr>
          <w:b w:val="0"/>
          <w:i/>
          <w:noProof/>
        </w:rPr>
        <w:tab/>
        <w:t>Health GPC 05</w:t>
      </w:r>
      <w:r w:rsidRPr="006F60DD">
        <w:rPr>
          <w:b w:val="0"/>
          <w:noProof/>
        </w:rPr>
        <w:tab/>
        <w:t>95</w:t>
      </w:r>
    </w:p>
    <w:p w:rsidR="00064540" w:rsidRPr="006F60DD" w:rsidRDefault="00064540" w:rsidP="00064540">
      <w:pPr>
        <w:pStyle w:val="TOC1"/>
        <w:rPr>
          <w:rFonts w:asciiTheme="minorHAnsi" w:eastAsiaTheme="minorEastAsia" w:hAnsiTheme="minorHAnsi" w:cstheme="minorBidi"/>
          <w:b w:val="0"/>
          <w:noProof/>
          <w:sz w:val="22"/>
          <w:szCs w:val="22"/>
          <w:lang w:eastAsia="en-AU"/>
        </w:rPr>
      </w:pPr>
      <w:r w:rsidRPr="006F60DD">
        <w:rPr>
          <w:b w:val="0"/>
          <w:i/>
          <w:noProof/>
        </w:rPr>
        <w:tab/>
        <w:t>Social security and welfare GPC 06</w:t>
      </w:r>
      <w:r w:rsidRPr="006F60DD">
        <w:rPr>
          <w:b w:val="0"/>
          <w:noProof/>
        </w:rPr>
        <w:tab/>
        <w:t>127</w:t>
      </w:r>
    </w:p>
    <w:p w:rsidR="00064540" w:rsidRPr="006F60DD" w:rsidRDefault="00064540" w:rsidP="00064540">
      <w:pPr>
        <w:pStyle w:val="TOC1"/>
        <w:rPr>
          <w:rFonts w:asciiTheme="minorHAnsi" w:eastAsiaTheme="minorEastAsia" w:hAnsiTheme="minorHAnsi" w:cstheme="minorBidi"/>
          <w:b w:val="0"/>
          <w:noProof/>
          <w:sz w:val="22"/>
          <w:szCs w:val="22"/>
          <w:lang w:eastAsia="en-AU"/>
        </w:rPr>
      </w:pPr>
      <w:r w:rsidRPr="006F60DD">
        <w:rPr>
          <w:b w:val="0"/>
          <w:i/>
          <w:noProof/>
        </w:rPr>
        <w:tab/>
        <w:t>Housing and community amenities GPC 07</w:t>
      </w:r>
      <w:r w:rsidRPr="006F60DD">
        <w:rPr>
          <w:b w:val="0"/>
          <w:noProof/>
        </w:rPr>
        <w:tab/>
        <w:t>145</w:t>
      </w:r>
    </w:p>
    <w:p w:rsidR="00064540" w:rsidRPr="006F60DD" w:rsidRDefault="00064540" w:rsidP="00064540">
      <w:pPr>
        <w:pStyle w:val="TOC1"/>
        <w:rPr>
          <w:rFonts w:asciiTheme="minorHAnsi" w:eastAsiaTheme="minorEastAsia" w:hAnsiTheme="minorHAnsi" w:cstheme="minorBidi"/>
          <w:b w:val="0"/>
          <w:noProof/>
          <w:sz w:val="22"/>
          <w:szCs w:val="22"/>
          <w:lang w:eastAsia="en-AU"/>
        </w:rPr>
      </w:pPr>
      <w:r w:rsidRPr="006F60DD">
        <w:rPr>
          <w:b w:val="0"/>
          <w:i/>
          <w:noProof/>
        </w:rPr>
        <w:tab/>
        <w:t>Recreation and culture GPC 08</w:t>
      </w:r>
      <w:r w:rsidRPr="006F60DD">
        <w:rPr>
          <w:b w:val="0"/>
          <w:noProof/>
        </w:rPr>
        <w:tab/>
        <w:t>155</w:t>
      </w:r>
    </w:p>
    <w:p w:rsidR="00064540" w:rsidRPr="006F60DD" w:rsidRDefault="00064540" w:rsidP="00064540">
      <w:pPr>
        <w:pStyle w:val="TOC1"/>
        <w:rPr>
          <w:rFonts w:asciiTheme="minorHAnsi" w:eastAsiaTheme="minorEastAsia" w:hAnsiTheme="minorHAnsi" w:cstheme="minorBidi"/>
          <w:b w:val="0"/>
          <w:noProof/>
          <w:sz w:val="22"/>
          <w:szCs w:val="22"/>
          <w:lang w:eastAsia="en-AU"/>
        </w:rPr>
      </w:pPr>
      <w:r w:rsidRPr="006F60DD">
        <w:rPr>
          <w:b w:val="0"/>
          <w:i/>
          <w:noProof/>
        </w:rPr>
        <w:tab/>
        <w:t>Fuel and energy GPC 09</w:t>
      </w:r>
      <w:r w:rsidRPr="006F60DD">
        <w:rPr>
          <w:b w:val="0"/>
          <w:noProof/>
        </w:rPr>
        <w:tab/>
        <w:t>163</w:t>
      </w:r>
    </w:p>
    <w:p w:rsidR="00064540" w:rsidRPr="006F60DD" w:rsidRDefault="00064540" w:rsidP="00064540">
      <w:pPr>
        <w:pStyle w:val="TOC1"/>
        <w:rPr>
          <w:rFonts w:asciiTheme="minorHAnsi" w:eastAsiaTheme="minorEastAsia" w:hAnsiTheme="minorHAnsi" w:cstheme="minorBidi"/>
          <w:b w:val="0"/>
          <w:noProof/>
          <w:sz w:val="22"/>
          <w:szCs w:val="22"/>
          <w:lang w:eastAsia="en-AU"/>
        </w:rPr>
      </w:pPr>
      <w:r w:rsidRPr="006F60DD">
        <w:rPr>
          <w:b w:val="0"/>
          <w:i/>
          <w:noProof/>
        </w:rPr>
        <w:tab/>
        <w:t>Agriculture, forestry, fishing and hunting GPC 10</w:t>
      </w:r>
      <w:r w:rsidRPr="006F60DD">
        <w:rPr>
          <w:b w:val="0"/>
          <w:noProof/>
        </w:rPr>
        <w:tab/>
        <w:t>171</w:t>
      </w:r>
    </w:p>
    <w:p w:rsidR="00064540" w:rsidRPr="006F60DD" w:rsidRDefault="00064540" w:rsidP="00064540">
      <w:pPr>
        <w:pStyle w:val="TOC1"/>
        <w:rPr>
          <w:b w:val="0"/>
          <w:i/>
          <w:noProof/>
        </w:rPr>
      </w:pPr>
      <w:r w:rsidRPr="006F60DD">
        <w:rPr>
          <w:b w:val="0"/>
          <w:i/>
          <w:noProof/>
        </w:rPr>
        <w:tab/>
        <w:t>Mining and mineral resources other than fuels;</w:t>
      </w:r>
    </w:p>
    <w:p w:rsidR="00064540" w:rsidRPr="006F60DD" w:rsidRDefault="00064540" w:rsidP="00064540">
      <w:pPr>
        <w:pStyle w:val="TOC1"/>
        <w:spacing w:before="0"/>
        <w:rPr>
          <w:rFonts w:asciiTheme="minorHAnsi" w:eastAsiaTheme="minorEastAsia" w:hAnsiTheme="minorHAnsi" w:cstheme="minorBidi"/>
          <w:b w:val="0"/>
          <w:noProof/>
          <w:sz w:val="22"/>
          <w:szCs w:val="22"/>
          <w:lang w:eastAsia="en-AU"/>
        </w:rPr>
      </w:pPr>
      <w:r w:rsidRPr="006F60DD">
        <w:rPr>
          <w:b w:val="0"/>
          <w:i/>
          <w:noProof/>
        </w:rPr>
        <w:tab/>
        <w:t>manufacturing; and construction GPC 11</w:t>
      </w:r>
      <w:r w:rsidRPr="006F60DD">
        <w:rPr>
          <w:b w:val="0"/>
          <w:noProof/>
        </w:rPr>
        <w:tab/>
        <w:t>175</w:t>
      </w:r>
    </w:p>
    <w:p w:rsidR="00064540" w:rsidRPr="006F60DD" w:rsidRDefault="00064540" w:rsidP="00064540">
      <w:pPr>
        <w:pStyle w:val="TOC1"/>
        <w:rPr>
          <w:rFonts w:asciiTheme="minorHAnsi" w:eastAsiaTheme="minorEastAsia" w:hAnsiTheme="minorHAnsi" w:cstheme="minorBidi"/>
          <w:b w:val="0"/>
          <w:noProof/>
          <w:sz w:val="22"/>
          <w:szCs w:val="22"/>
          <w:lang w:eastAsia="en-AU"/>
        </w:rPr>
      </w:pPr>
      <w:r w:rsidRPr="006F60DD">
        <w:rPr>
          <w:b w:val="0"/>
          <w:i/>
          <w:noProof/>
        </w:rPr>
        <w:tab/>
        <w:t>Transport and communications GPC 12</w:t>
      </w:r>
      <w:r w:rsidRPr="006F60DD">
        <w:rPr>
          <w:b w:val="0"/>
          <w:noProof/>
        </w:rPr>
        <w:tab/>
        <w:t>181</w:t>
      </w:r>
    </w:p>
    <w:p w:rsidR="00064540" w:rsidRPr="006F60DD" w:rsidRDefault="00064540" w:rsidP="00064540">
      <w:pPr>
        <w:pStyle w:val="TOC1"/>
        <w:rPr>
          <w:rFonts w:asciiTheme="minorHAnsi" w:eastAsiaTheme="minorEastAsia" w:hAnsiTheme="minorHAnsi" w:cstheme="minorBidi"/>
          <w:b w:val="0"/>
          <w:noProof/>
          <w:sz w:val="22"/>
          <w:szCs w:val="22"/>
          <w:lang w:eastAsia="en-AU"/>
        </w:rPr>
      </w:pPr>
      <w:r w:rsidRPr="006F60DD">
        <w:rPr>
          <w:b w:val="0"/>
          <w:i/>
          <w:noProof/>
        </w:rPr>
        <w:tab/>
        <w:t>Other economic affairs GPC 13</w:t>
      </w:r>
      <w:r w:rsidRPr="006F60DD">
        <w:rPr>
          <w:b w:val="0"/>
          <w:noProof/>
        </w:rPr>
        <w:tab/>
        <w:t>195</w:t>
      </w:r>
    </w:p>
    <w:p w:rsidR="00064540" w:rsidRPr="006F60DD" w:rsidRDefault="00064540" w:rsidP="00064540">
      <w:pPr>
        <w:pStyle w:val="TOC1"/>
        <w:rPr>
          <w:rFonts w:asciiTheme="minorHAnsi" w:eastAsiaTheme="minorEastAsia" w:hAnsiTheme="minorHAnsi" w:cstheme="minorBidi"/>
          <w:b w:val="0"/>
          <w:noProof/>
          <w:sz w:val="22"/>
          <w:szCs w:val="22"/>
          <w:lang w:eastAsia="en-AU"/>
        </w:rPr>
      </w:pPr>
      <w:r w:rsidRPr="006F60DD">
        <w:rPr>
          <w:b w:val="0"/>
          <w:i/>
          <w:noProof/>
        </w:rPr>
        <w:tab/>
        <w:t>Other purposes GPC 14</w:t>
      </w:r>
      <w:r w:rsidRPr="006F60DD">
        <w:rPr>
          <w:b w:val="0"/>
          <w:noProof/>
        </w:rPr>
        <w:tab/>
        <w:t>205</w:t>
      </w:r>
    </w:p>
    <w:p w:rsidR="00064540" w:rsidRDefault="00064540" w:rsidP="00064540">
      <w:pPr>
        <w:pStyle w:val="TOC1"/>
        <w:rPr>
          <w:rFonts w:asciiTheme="minorHAnsi" w:eastAsiaTheme="minorEastAsia" w:hAnsiTheme="minorHAnsi" w:cstheme="minorBidi"/>
          <w:b w:val="0"/>
          <w:noProof/>
          <w:sz w:val="22"/>
          <w:szCs w:val="22"/>
          <w:lang w:eastAsia="en-AU"/>
        </w:rPr>
      </w:pPr>
      <w:r>
        <w:rPr>
          <w:noProof/>
        </w:rPr>
        <w:t xml:space="preserve">Appendix B    Indigenous under-identification adjustment   </w:t>
      </w:r>
      <w:r>
        <w:rPr>
          <w:noProof/>
        </w:rPr>
        <w:br/>
        <w:t xml:space="preserve">                 methods</w:t>
      </w:r>
      <w:r>
        <w:rPr>
          <w:noProof/>
        </w:rPr>
        <w:tab/>
        <w:t>211</w:t>
      </w:r>
    </w:p>
    <w:p w:rsidR="00064540" w:rsidRDefault="00064540" w:rsidP="00064540">
      <w:pPr>
        <w:pStyle w:val="Heading1NotTOC"/>
      </w:pPr>
    </w:p>
    <w:p w:rsidR="00064540" w:rsidRDefault="00064540" w:rsidP="00064540">
      <w:pPr>
        <w:pStyle w:val="BodyText"/>
        <w:sectPr w:rsidR="00064540" w:rsidSect="007448F7">
          <w:headerReference w:type="even" r:id="rId15"/>
          <w:headerReference w:type="default" r:id="rId16"/>
          <w:footerReference w:type="even" r:id="rId17"/>
          <w:footerReference w:type="default" r:id="rId18"/>
          <w:type w:val="oddPage"/>
          <w:pgSz w:w="11907" w:h="16840" w:code="9"/>
          <w:pgMar w:top="1985" w:right="1304" w:bottom="1247" w:left="1814" w:header="1701" w:footer="397" w:gutter="0"/>
          <w:pgNumType w:fmt="lowerRoman"/>
          <w:cols w:space="720"/>
        </w:sectPr>
      </w:pPr>
    </w:p>
    <w:p w:rsidR="00064540" w:rsidRDefault="00064540" w:rsidP="00064540">
      <w:pPr>
        <w:pStyle w:val="Heading1"/>
      </w:pPr>
      <w:bookmarkStart w:id="10" w:name="Abbreviations"/>
      <w:bookmarkStart w:id="11" w:name="RDnote"/>
      <w:bookmarkStart w:id="12" w:name="_Toc494096433"/>
      <w:bookmarkStart w:id="13" w:name="_Toc494096497"/>
      <w:bookmarkStart w:id="14" w:name="_Toc494110578"/>
      <w:bookmarkStart w:id="15" w:name="_Toc494266196"/>
      <w:bookmarkEnd w:id="10"/>
      <w:bookmarkEnd w:id="11"/>
      <w:r>
        <w:lastRenderedPageBreak/>
        <w:t>Steering Committee</w:t>
      </w:r>
      <w:bookmarkEnd w:id="12"/>
      <w:bookmarkEnd w:id="13"/>
      <w:bookmarkEnd w:id="14"/>
      <w:bookmarkEnd w:id="15"/>
    </w:p>
    <w:p w:rsidR="00064540" w:rsidRDefault="00064540" w:rsidP="00064540">
      <w:pPr>
        <w:pStyle w:val="BodyText"/>
        <w:rPr>
          <w:lang w:eastAsia="en-US"/>
        </w:rPr>
      </w:pPr>
      <w:r>
        <w:rPr>
          <w:lang w:eastAsia="en-US"/>
        </w:rPr>
        <w:t>This report was produced under the direction of the Steering Committee for the Review of Government Service Provision (SCRGSP). The Steering Committee comprises the following current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ore details can be found within the text surrounding this image."/>
      </w:tblPr>
      <w:tblGrid>
        <w:gridCol w:w="2552"/>
        <w:gridCol w:w="1417"/>
        <w:gridCol w:w="4809"/>
      </w:tblGrid>
      <w:tr w:rsidR="00064540" w:rsidTr="00AC7A1F">
        <w:tc>
          <w:tcPr>
            <w:tcW w:w="2552" w:type="dxa"/>
          </w:tcPr>
          <w:p w:rsidR="00064540" w:rsidRDefault="00064540" w:rsidP="00AC7A1F">
            <w:pPr>
              <w:pStyle w:val="BodyText"/>
              <w:rPr>
                <w:lang w:eastAsia="en-US"/>
              </w:rPr>
            </w:pPr>
            <w:r>
              <w:rPr>
                <w:lang w:eastAsia="en-US"/>
              </w:rPr>
              <w:t>Mr Peter Harris</w:t>
            </w:r>
          </w:p>
        </w:tc>
        <w:tc>
          <w:tcPr>
            <w:tcW w:w="1417" w:type="dxa"/>
          </w:tcPr>
          <w:p w:rsidR="00064540" w:rsidRDefault="00064540" w:rsidP="00AC7A1F">
            <w:pPr>
              <w:pStyle w:val="BodyText"/>
              <w:rPr>
                <w:lang w:eastAsia="en-US"/>
              </w:rPr>
            </w:pPr>
            <w:r>
              <w:rPr>
                <w:lang w:eastAsia="en-US"/>
              </w:rPr>
              <w:t>Chairman</w:t>
            </w:r>
          </w:p>
        </w:tc>
        <w:tc>
          <w:tcPr>
            <w:tcW w:w="4809" w:type="dxa"/>
          </w:tcPr>
          <w:p w:rsidR="00064540" w:rsidRDefault="00064540" w:rsidP="00AC7A1F">
            <w:pPr>
              <w:pStyle w:val="BodyText"/>
              <w:rPr>
                <w:lang w:eastAsia="en-US"/>
              </w:rPr>
            </w:pPr>
            <w:r>
              <w:rPr>
                <w:lang w:eastAsia="en-US"/>
              </w:rPr>
              <w:t>Productivity Commission</w:t>
            </w:r>
          </w:p>
        </w:tc>
      </w:tr>
      <w:tr w:rsidR="00064540" w:rsidTr="00AC7A1F">
        <w:tc>
          <w:tcPr>
            <w:tcW w:w="2552" w:type="dxa"/>
          </w:tcPr>
          <w:p w:rsidR="00064540" w:rsidRDefault="00064540" w:rsidP="00AC7A1F">
            <w:pPr>
              <w:pStyle w:val="BodyText"/>
              <w:rPr>
                <w:lang w:eastAsia="en-US"/>
              </w:rPr>
            </w:pPr>
            <w:r>
              <w:rPr>
                <w:lang w:eastAsia="en-US"/>
              </w:rPr>
              <w:t>Mr Nicholas Hunt</w:t>
            </w:r>
          </w:p>
        </w:tc>
        <w:tc>
          <w:tcPr>
            <w:tcW w:w="1417" w:type="dxa"/>
          </w:tcPr>
          <w:p w:rsidR="00064540" w:rsidRDefault="00064540" w:rsidP="00AC7A1F">
            <w:pPr>
              <w:pStyle w:val="BodyText"/>
              <w:rPr>
                <w:lang w:eastAsia="en-US"/>
              </w:rPr>
            </w:pPr>
            <w:r>
              <w:rPr>
                <w:lang w:eastAsia="en-US"/>
              </w:rPr>
              <w:t>Aust. Govt.</w:t>
            </w:r>
          </w:p>
        </w:tc>
        <w:tc>
          <w:tcPr>
            <w:tcW w:w="4809" w:type="dxa"/>
          </w:tcPr>
          <w:p w:rsidR="00064540" w:rsidRDefault="00064540" w:rsidP="00AC7A1F">
            <w:pPr>
              <w:pStyle w:val="BodyText"/>
              <w:rPr>
                <w:lang w:eastAsia="en-US"/>
              </w:rPr>
            </w:pPr>
            <w:r>
              <w:rPr>
                <w:lang w:eastAsia="en-US"/>
              </w:rPr>
              <w:t>Department of Finance</w:t>
            </w:r>
          </w:p>
        </w:tc>
      </w:tr>
      <w:tr w:rsidR="00064540" w:rsidTr="00AC7A1F">
        <w:tc>
          <w:tcPr>
            <w:tcW w:w="2552" w:type="dxa"/>
          </w:tcPr>
          <w:p w:rsidR="00064540" w:rsidRDefault="00064540" w:rsidP="00AC7A1F">
            <w:pPr>
              <w:pStyle w:val="BodyText"/>
              <w:spacing w:before="0"/>
              <w:rPr>
                <w:lang w:eastAsia="en-US"/>
              </w:rPr>
            </w:pPr>
            <w:r>
              <w:rPr>
                <w:lang w:eastAsia="en-US"/>
              </w:rPr>
              <w:t>Ms Joanne Evans</w:t>
            </w:r>
          </w:p>
        </w:tc>
        <w:tc>
          <w:tcPr>
            <w:tcW w:w="1417" w:type="dxa"/>
          </w:tcPr>
          <w:p w:rsidR="00064540" w:rsidRDefault="00064540" w:rsidP="00AC7A1F">
            <w:pPr>
              <w:pStyle w:val="BodyText"/>
              <w:spacing w:before="0"/>
              <w:rPr>
                <w:lang w:eastAsia="en-US"/>
              </w:rPr>
            </w:pPr>
            <w:r>
              <w:rPr>
                <w:lang w:eastAsia="en-US"/>
              </w:rPr>
              <w:t>Aust. Govt.</w:t>
            </w:r>
          </w:p>
        </w:tc>
        <w:tc>
          <w:tcPr>
            <w:tcW w:w="4809" w:type="dxa"/>
          </w:tcPr>
          <w:p w:rsidR="00064540" w:rsidRDefault="00064540" w:rsidP="00AC7A1F">
            <w:pPr>
              <w:pStyle w:val="BodyText"/>
              <w:spacing w:before="0"/>
              <w:rPr>
                <w:lang w:eastAsia="en-US"/>
              </w:rPr>
            </w:pPr>
            <w:r>
              <w:rPr>
                <w:lang w:eastAsia="en-US"/>
              </w:rPr>
              <w:t>The Treasury</w:t>
            </w:r>
          </w:p>
        </w:tc>
      </w:tr>
      <w:tr w:rsidR="00064540" w:rsidTr="00AC7A1F">
        <w:tc>
          <w:tcPr>
            <w:tcW w:w="2552" w:type="dxa"/>
          </w:tcPr>
          <w:p w:rsidR="00064540" w:rsidRDefault="00064540" w:rsidP="00AC7A1F">
            <w:pPr>
              <w:pStyle w:val="BodyText"/>
              <w:spacing w:before="0"/>
              <w:rPr>
                <w:lang w:eastAsia="en-US"/>
              </w:rPr>
            </w:pPr>
            <w:r>
              <w:rPr>
                <w:lang w:eastAsia="en-US"/>
              </w:rPr>
              <w:t>Ms Dominique Lowe</w:t>
            </w:r>
          </w:p>
        </w:tc>
        <w:tc>
          <w:tcPr>
            <w:tcW w:w="1417" w:type="dxa"/>
          </w:tcPr>
          <w:p w:rsidR="00064540" w:rsidRDefault="00064540" w:rsidP="00AC7A1F">
            <w:pPr>
              <w:pStyle w:val="BodyText"/>
              <w:spacing w:before="0"/>
              <w:rPr>
                <w:lang w:eastAsia="en-US"/>
              </w:rPr>
            </w:pPr>
            <w:r>
              <w:rPr>
                <w:lang w:eastAsia="en-US"/>
              </w:rPr>
              <w:t>Aust. Govt.</w:t>
            </w:r>
          </w:p>
        </w:tc>
        <w:tc>
          <w:tcPr>
            <w:tcW w:w="4809" w:type="dxa"/>
          </w:tcPr>
          <w:p w:rsidR="00064540" w:rsidRDefault="00064540" w:rsidP="00AC7A1F">
            <w:pPr>
              <w:pStyle w:val="BodyText"/>
              <w:spacing w:before="0"/>
              <w:rPr>
                <w:lang w:eastAsia="en-US"/>
              </w:rPr>
            </w:pPr>
            <w:r>
              <w:rPr>
                <w:lang w:eastAsia="en-US"/>
              </w:rPr>
              <w:t>Department of the Prime Minister and Cabinet</w:t>
            </w:r>
          </w:p>
        </w:tc>
      </w:tr>
      <w:tr w:rsidR="00064540" w:rsidTr="00AC7A1F">
        <w:tc>
          <w:tcPr>
            <w:tcW w:w="2552" w:type="dxa"/>
          </w:tcPr>
          <w:p w:rsidR="00064540" w:rsidRDefault="00064540" w:rsidP="00AC7A1F">
            <w:pPr>
              <w:pStyle w:val="BodyText"/>
              <w:rPr>
                <w:lang w:eastAsia="en-US"/>
              </w:rPr>
            </w:pPr>
            <w:r>
              <w:rPr>
                <w:lang w:eastAsia="en-US"/>
              </w:rPr>
              <w:t xml:space="preserve">Mr Rick </w:t>
            </w:r>
            <w:proofErr w:type="spellStart"/>
            <w:r>
              <w:rPr>
                <w:lang w:eastAsia="en-US"/>
              </w:rPr>
              <w:t>Sondalini</w:t>
            </w:r>
            <w:proofErr w:type="spellEnd"/>
          </w:p>
        </w:tc>
        <w:tc>
          <w:tcPr>
            <w:tcW w:w="1417" w:type="dxa"/>
          </w:tcPr>
          <w:p w:rsidR="00064540" w:rsidRDefault="00064540" w:rsidP="00AC7A1F">
            <w:pPr>
              <w:pStyle w:val="BodyText"/>
              <w:rPr>
                <w:lang w:eastAsia="en-US"/>
              </w:rPr>
            </w:pPr>
            <w:r>
              <w:rPr>
                <w:lang w:eastAsia="en-US"/>
              </w:rPr>
              <w:t>NSW</w:t>
            </w:r>
          </w:p>
        </w:tc>
        <w:tc>
          <w:tcPr>
            <w:tcW w:w="4809" w:type="dxa"/>
          </w:tcPr>
          <w:p w:rsidR="00064540" w:rsidRDefault="00064540" w:rsidP="00AC7A1F">
            <w:pPr>
              <w:pStyle w:val="BodyText"/>
              <w:rPr>
                <w:lang w:eastAsia="en-US"/>
              </w:rPr>
            </w:pPr>
            <w:r>
              <w:rPr>
                <w:lang w:eastAsia="en-US"/>
              </w:rPr>
              <w:t>NSW Treasury</w:t>
            </w:r>
          </w:p>
        </w:tc>
      </w:tr>
      <w:tr w:rsidR="00064540" w:rsidTr="00AC7A1F">
        <w:tc>
          <w:tcPr>
            <w:tcW w:w="2552" w:type="dxa"/>
          </w:tcPr>
          <w:p w:rsidR="00064540" w:rsidRDefault="00064540" w:rsidP="00AC7A1F">
            <w:pPr>
              <w:pStyle w:val="BodyText"/>
              <w:spacing w:before="0"/>
              <w:rPr>
                <w:lang w:eastAsia="en-US"/>
              </w:rPr>
            </w:pPr>
            <w:r>
              <w:rPr>
                <w:lang w:eastAsia="en-US"/>
              </w:rPr>
              <w:t xml:space="preserve">Ms Anita </w:t>
            </w:r>
            <w:proofErr w:type="spellStart"/>
            <w:r>
              <w:rPr>
                <w:lang w:eastAsia="en-US"/>
              </w:rPr>
              <w:t>Truninger</w:t>
            </w:r>
            <w:proofErr w:type="spellEnd"/>
          </w:p>
        </w:tc>
        <w:tc>
          <w:tcPr>
            <w:tcW w:w="1417" w:type="dxa"/>
          </w:tcPr>
          <w:p w:rsidR="00064540" w:rsidRDefault="00064540" w:rsidP="00AC7A1F">
            <w:pPr>
              <w:pStyle w:val="BodyText"/>
              <w:spacing w:before="0"/>
              <w:rPr>
                <w:lang w:eastAsia="en-US"/>
              </w:rPr>
            </w:pPr>
            <w:r>
              <w:rPr>
                <w:lang w:eastAsia="en-US"/>
              </w:rPr>
              <w:t>NSW</w:t>
            </w:r>
          </w:p>
        </w:tc>
        <w:tc>
          <w:tcPr>
            <w:tcW w:w="4809" w:type="dxa"/>
          </w:tcPr>
          <w:p w:rsidR="00064540" w:rsidRDefault="00064540" w:rsidP="00AC7A1F">
            <w:pPr>
              <w:pStyle w:val="BodyText"/>
              <w:spacing w:before="0"/>
              <w:rPr>
                <w:lang w:eastAsia="en-US"/>
              </w:rPr>
            </w:pPr>
            <w:r>
              <w:rPr>
                <w:lang w:eastAsia="en-US"/>
              </w:rPr>
              <w:t>Department of Premier and Cabinet</w:t>
            </w:r>
          </w:p>
        </w:tc>
      </w:tr>
      <w:tr w:rsidR="00064540" w:rsidTr="00AC7A1F">
        <w:tc>
          <w:tcPr>
            <w:tcW w:w="2552" w:type="dxa"/>
          </w:tcPr>
          <w:p w:rsidR="00064540" w:rsidRDefault="00064540" w:rsidP="00AC7A1F">
            <w:pPr>
              <w:pStyle w:val="BodyText"/>
              <w:rPr>
                <w:lang w:eastAsia="en-US"/>
              </w:rPr>
            </w:pPr>
            <w:r>
              <w:rPr>
                <w:lang w:eastAsia="en-US"/>
              </w:rPr>
              <w:t xml:space="preserve">Ms Brigid </w:t>
            </w:r>
            <w:proofErr w:type="spellStart"/>
            <w:r>
              <w:rPr>
                <w:lang w:eastAsia="en-US"/>
              </w:rPr>
              <w:t>Monagle</w:t>
            </w:r>
            <w:proofErr w:type="spellEnd"/>
          </w:p>
        </w:tc>
        <w:tc>
          <w:tcPr>
            <w:tcW w:w="1417" w:type="dxa"/>
          </w:tcPr>
          <w:p w:rsidR="00064540" w:rsidRDefault="00064540" w:rsidP="00AC7A1F">
            <w:pPr>
              <w:pStyle w:val="BodyText"/>
              <w:rPr>
                <w:lang w:eastAsia="en-US"/>
              </w:rPr>
            </w:pPr>
            <w:r>
              <w:rPr>
                <w:lang w:eastAsia="en-US"/>
              </w:rPr>
              <w:t>Vic</w:t>
            </w:r>
          </w:p>
        </w:tc>
        <w:tc>
          <w:tcPr>
            <w:tcW w:w="4809" w:type="dxa"/>
          </w:tcPr>
          <w:p w:rsidR="00064540" w:rsidRDefault="00064540" w:rsidP="00AC7A1F">
            <w:pPr>
              <w:pStyle w:val="BodyText"/>
              <w:rPr>
                <w:lang w:eastAsia="en-US"/>
              </w:rPr>
            </w:pPr>
            <w:r>
              <w:rPr>
                <w:lang w:eastAsia="en-US"/>
              </w:rPr>
              <w:t>Department of Premier and Cabinet</w:t>
            </w:r>
          </w:p>
        </w:tc>
      </w:tr>
      <w:tr w:rsidR="00064540" w:rsidTr="00AC7A1F">
        <w:tc>
          <w:tcPr>
            <w:tcW w:w="2552" w:type="dxa"/>
          </w:tcPr>
          <w:p w:rsidR="00064540" w:rsidRDefault="00064540" w:rsidP="00AC7A1F">
            <w:pPr>
              <w:pStyle w:val="BodyText"/>
              <w:spacing w:before="0"/>
              <w:rPr>
                <w:lang w:eastAsia="en-US"/>
              </w:rPr>
            </w:pPr>
            <w:r>
              <w:rPr>
                <w:lang w:eastAsia="en-US"/>
              </w:rPr>
              <w:t>Mr Jeremy Nott</w:t>
            </w:r>
          </w:p>
        </w:tc>
        <w:tc>
          <w:tcPr>
            <w:tcW w:w="1417" w:type="dxa"/>
          </w:tcPr>
          <w:p w:rsidR="00064540" w:rsidRDefault="00064540" w:rsidP="00AC7A1F">
            <w:pPr>
              <w:pStyle w:val="BodyText"/>
              <w:spacing w:before="0"/>
              <w:rPr>
                <w:lang w:eastAsia="en-US"/>
              </w:rPr>
            </w:pPr>
            <w:r>
              <w:rPr>
                <w:lang w:eastAsia="en-US"/>
              </w:rPr>
              <w:t>Vic</w:t>
            </w:r>
          </w:p>
        </w:tc>
        <w:tc>
          <w:tcPr>
            <w:tcW w:w="4809" w:type="dxa"/>
          </w:tcPr>
          <w:p w:rsidR="00064540" w:rsidRDefault="00064540" w:rsidP="00AC7A1F">
            <w:pPr>
              <w:pStyle w:val="BodyText"/>
              <w:spacing w:before="0"/>
              <w:rPr>
                <w:lang w:eastAsia="en-US"/>
              </w:rPr>
            </w:pPr>
            <w:r>
              <w:rPr>
                <w:lang w:eastAsia="en-US"/>
              </w:rPr>
              <w:t>Department of Treasury and Finance</w:t>
            </w:r>
          </w:p>
        </w:tc>
      </w:tr>
      <w:tr w:rsidR="00064540" w:rsidTr="00AC7A1F">
        <w:tc>
          <w:tcPr>
            <w:tcW w:w="2552" w:type="dxa"/>
          </w:tcPr>
          <w:p w:rsidR="00064540" w:rsidRDefault="00064540" w:rsidP="00AC7A1F">
            <w:pPr>
              <w:pStyle w:val="BodyText"/>
              <w:rPr>
                <w:lang w:eastAsia="en-US"/>
              </w:rPr>
            </w:pPr>
            <w:r>
              <w:rPr>
                <w:lang w:eastAsia="en-US"/>
              </w:rPr>
              <w:t>Ms Nicole Tabb</w:t>
            </w:r>
          </w:p>
        </w:tc>
        <w:tc>
          <w:tcPr>
            <w:tcW w:w="1417" w:type="dxa"/>
          </w:tcPr>
          <w:p w:rsidR="00064540" w:rsidRDefault="00064540" w:rsidP="00AC7A1F">
            <w:pPr>
              <w:pStyle w:val="BodyText"/>
              <w:rPr>
                <w:lang w:eastAsia="en-US"/>
              </w:rPr>
            </w:pPr>
            <w:r>
              <w:rPr>
                <w:lang w:eastAsia="en-US"/>
              </w:rPr>
              <w:t>Qld</w:t>
            </w:r>
          </w:p>
        </w:tc>
        <w:tc>
          <w:tcPr>
            <w:tcW w:w="4809" w:type="dxa"/>
          </w:tcPr>
          <w:p w:rsidR="00064540" w:rsidRDefault="00064540" w:rsidP="00AC7A1F">
            <w:pPr>
              <w:pStyle w:val="BodyText"/>
              <w:rPr>
                <w:lang w:eastAsia="en-US"/>
              </w:rPr>
            </w:pPr>
            <w:r>
              <w:rPr>
                <w:lang w:eastAsia="en-US"/>
              </w:rPr>
              <w:t>Department of the Premier and Cabinet</w:t>
            </w:r>
          </w:p>
        </w:tc>
      </w:tr>
      <w:tr w:rsidR="00064540" w:rsidTr="00AC7A1F">
        <w:tc>
          <w:tcPr>
            <w:tcW w:w="2552" w:type="dxa"/>
          </w:tcPr>
          <w:p w:rsidR="00064540" w:rsidRDefault="00064540" w:rsidP="00AC7A1F">
            <w:pPr>
              <w:pStyle w:val="BodyText"/>
              <w:spacing w:before="0"/>
              <w:rPr>
                <w:lang w:eastAsia="en-US"/>
              </w:rPr>
            </w:pPr>
            <w:r>
              <w:rPr>
                <w:lang w:eastAsia="en-US"/>
              </w:rPr>
              <w:t xml:space="preserve">Ms Janelle </w:t>
            </w:r>
            <w:proofErr w:type="spellStart"/>
            <w:r>
              <w:rPr>
                <w:lang w:eastAsia="en-US"/>
              </w:rPr>
              <w:t>Thurlby</w:t>
            </w:r>
            <w:proofErr w:type="spellEnd"/>
          </w:p>
        </w:tc>
        <w:tc>
          <w:tcPr>
            <w:tcW w:w="1417" w:type="dxa"/>
          </w:tcPr>
          <w:p w:rsidR="00064540" w:rsidRDefault="00064540" w:rsidP="00AC7A1F">
            <w:pPr>
              <w:pStyle w:val="BodyText"/>
              <w:spacing w:before="0"/>
              <w:rPr>
                <w:lang w:eastAsia="en-US"/>
              </w:rPr>
            </w:pPr>
            <w:r>
              <w:rPr>
                <w:lang w:eastAsia="en-US"/>
              </w:rPr>
              <w:t>Qld</w:t>
            </w:r>
          </w:p>
        </w:tc>
        <w:tc>
          <w:tcPr>
            <w:tcW w:w="4809" w:type="dxa"/>
          </w:tcPr>
          <w:p w:rsidR="00064540" w:rsidRDefault="00064540" w:rsidP="00AC7A1F">
            <w:pPr>
              <w:pStyle w:val="BodyText"/>
              <w:spacing w:before="0"/>
              <w:rPr>
                <w:lang w:eastAsia="en-US"/>
              </w:rPr>
            </w:pPr>
            <w:r>
              <w:rPr>
                <w:lang w:eastAsia="en-US"/>
              </w:rPr>
              <w:t>Queensland Treasury</w:t>
            </w:r>
          </w:p>
        </w:tc>
      </w:tr>
      <w:tr w:rsidR="00064540" w:rsidTr="00AC7A1F">
        <w:tc>
          <w:tcPr>
            <w:tcW w:w="2552" w:type="dxa"/>
          </w:tcPr>
          <w:p w:rsidR="00064540" w:rsidRDefault="00064540" w:rsidP="00AC7A1F">
            <w:pPr>
              <w:pStyle w:val="BodyText"/>
              <w:rPr>
                <w:lang w:eastAsia="en-US"/>
              </w:rPr>
            </w:pPr>
            <w:r>
              <w:rPr>
                <w:lang w:eastAsia="en-US"/>
              </w:rPr>
              <w:t xml:space="preserve">Ms Melissa </w:t>
            </w:r>
            <w:proofErr w:type="spellStart"/>
            <w:r>
              <w:rPr>
                <w:lang w:eastAsia="en-US"/>
              </w:rPr>
              <w:t>Rudez</w:t>
            </w:r>
            <w:proofErr w:type="spellEnd"/>
          </w:p>
        </w:tc>
        <w:tc>
          <w:tcPr>
            <w:tcW w:w="1417" w:type="dxa"/>
          </w:tcPr>
          <w:p w:rsidR="00064540" w:rsidRDefault="00064540" w:rsidP="00AC7A1F">
            <w:pPr>
              <w:pStyle w:val="BodyText"/>
              <w:rPr>
                <w:lang w:eastAsia="en-US"/>
              </w:rPr>
            </w:pPr>
            <w:r>
              <w:rPr>
                <w:lang w:eastAsia="en-US"/>
              </w:rPr>
              <w:t>WA</w:t>
            </w:r>
          </w:p>
        </w:tc>
        <w:tc>
          <w:tcPr>
            <w:tcW w:w="4809" w:type="dxa"/>
          </w:tcPr>
          <w:p w:rsidR="00064540" w:rsidRDefault="00064540" w:rsidP="00AC7A1F">
            <w:pPr>
              <w:pStyle w:val="BodyText"/>
              <w:rPr>
                <w:lang w:eastAsia="en-US"/>
              </w:rPr>
            </w:pPr>
            <w:r>
              <w:rPr>
                <w:lang w:eastAsia="en-US"/>
              </w:rPr>
              <w:t>Department of the Premier and Cabinet</w:t>
            </w:r>
          </w:p>
        </w:tc>
      </w:tr>
      <w:tr w:rsidR="00064540" w:rsidTr="00AC7A1F">
        <w:tc>
          <w:tcPr>
            <w:tcW w:w="2552" w:type="dxa"/>
          </w:tcPr>
          <w:p w:rsidR="00064540" w:rsidRDefault="00064540" w:rsidP="00AC7A1F">
            <w:pPr>
              <w:pStyle w:val="BodyText"/>
              <w:spacing w:before="0"/>
              <w:rPr>
                <w:lang w:eastAsia="en-US"/>
              </w:rPr>
            </w:pPr>
            <w:r>
              <w:rPr>
                <w:lang w:eastAsia="en-US"/>
              </w:rPr>
              <w:t xml:space="preserve">Mr Kurt </w:t>
            </w:r>
            <w:proofErr w:type="spellStart"/>
            <w:r>
              <w:rPr>
                <w:lang w:eastAsia="en-US"/>
              </w:rPr>
              <w:t>Sibma</w:t>
            </w:r>
            <w:proofErr w:type="spellEnd"/>
          </w:p>
        </w:tc>
        <w:tc>
          <w:tcPr>
            <w:tcW w:w="1417" w:type="dxa"/>
          </w:tcPr>
          <w:p w:rsidR="00064540" w:rsidRDefault="00064540" w:rsidP="00AC7A1F">
            <w:pPr>
              <w:pStyle w:val="BodyText"/>
              <w:spacing w:before="0"/>
              <w:rPr>
                <w:lang w:eastAsia="en-US"/>
              </w:rPr>
            </w:pPr>
            <w:r>
              <w:rPr>
                <w:lang w:eastAsia="en-US"/>
              </w:rPr>
              <w:t>WA</w:t>
            </w:r>
          </w:p>
        </w:tc>
        <w:tc>
          <w:tcPr>
            <w:tcW w:w="4809" w:type="dxa"/>
          </w:tcPr>
          <w:p w:rsidR="00064540" w:rsidRDefault="00064540" w:rsidP="00AC7A1F">
            <w:pPr>
              <w:pStyle w:val="BodyText"/>
              <w:spacing w:before="0"/>
              <w:rPr>
                <w:lang w:eastAsia="en-US"/>
              </w:rPr>
            </w:pPr>
            <w:r>
              <w:rPr>
                <w:lang w:eastAsia="en-US"/>
              </w:rPr>
              <w:t>Department of Treasury</w:t>
            </w:r>
          </w:p>
        </w:tc>
      </w:tr>
      <w:tr w:rsidR="00064540" w:rsidTr="00AC7A1F">
        <w:tc>
          <w:tcPr>
            <w:tcW w:w="2552" w:type="dxa"/>
          </w:tcPr>
          <w:p w:rsidR="00064540" w:rsidRDefault="00064540" w:rsidP="00AC7A1F">
            <w:pPr>
              <w:pStyle w:val="BodyText"/>
              <w:rPr>
                <w:lang w:eastAsia="en-US"/>
              </w:rPr>
            </w:pPr>
            <w:r>
              <w:rPr>
                <w:lang w:eastAsia="en-US"/>
              </w:rPr>
              <w:t xml:space="preserve">Ms Tammie </w:t>
            </w:r>
            <w:proofErr w:type="spellStart"/>
            <w:r>
              <w:rPr>
                <w:lang w:eastAsia="en-US"/>
              </w:rPr>
              <w:t>Pribanic</w:t>
            </w:r>
            <w:proofErr w:type="spellEnd"/>
          </w:p>
        </w:tc>
        <w:tc>
          <w:tcPr>
            <w:tcW w:w="1417" w:type="dxa"/>
          </w:tcPr>
          <w:p w:rsidR="00064540" w:rsidRDefault="00064540" w:rsidP="00AC7A1F">
            <w:pPr>
              <w:pStyle w:val="BodyText"/>
              <w:rPr>
                <w:lang w:eastAsia="en-US"/>
              </w:rPr>
            </w:pPr>
            <w:r>
              <w:rPr>
                <w:lang w:eastAsia="en-US"/>
              </w:rPr>
              <w:t>SA</w:t>
            </w:r>
          </w:p>
        </w:tc>
        <w:tc>
          <w:tcPr>
            <w:tcW w:w="4809" w:type="dxa"/>
          </w:tcPr>
          <w:p w:rsidR="00064540" w:rsidRDefault="00064540" w:rsidP="00AC7A1F">
            <w:pPr>
              <w:pStyle w:val="BodyText"/>
              <w:rPr>
                <w:lang w:eastAsia="en-US"/>
              </w:rPr>
            </w:pPr>
            <w:r>
              <w:rPr>
                <w:lang w:eastAsia="en-US"/>
              </w:rPr>
              <w:t>Department of Treasury and Finance</w:t>
            </w:r>
          </w:p>
        </w:tc>
      </w:tr>
      <w:tr w:rsidR="00064540" w:rsidTr="00AC7A1F">
        <w:tc>
          <w:tcPr>
            <w:tcW w:w="2552" w:type="dxa"/>
          </w:tcPr>
          <w:p w:rsidR="00064540" w:rsidRDefault="00064540" w:rsidP="00AC7A1F">
            <w:pPr>
              <w:pStyle w:val="BodyText"/>
              <w:spacing w:before="0"/>
              <w:rPr>
                <w:lang w:eastAsia="en-US"/>
              </w:rPr>
            </w:pPr>
            <w:r>
              <w:rPr>
                <w:lang w:eastAsia="en-US"/>
              </w:rPr>
              <w:t>Mr Chris McGowan</w:t>
            </w:r>
          </w:p>
        </w:tc>
        <w:tc>
          <w:tcPr>
            <w:tcW w:w="1417" w:type="dxa"/>
          </w:tcPr>
          <w:p w:rsidR="00064540" w:rsidRDefault="00064540" w:rsidP="00AC7A1F">
            <w:pPr>
              <w:pStyle w:val="BodyText"/>
              <w:spacing w:before="0"/>
              <w:rPr>
                <w:lang w:eastAsia="en-US"/>
              </w:rPr>
            </w:pPr>
            <w:r>
              <w:rPr>
                <w:lang w:eastAsia="en-US"/>
              </w:rPr>
              <w:t>SA</w:t>
            </w:r>
          </w:p>
        </w:tc>
        <w:tc>
          <w:tcPr>
            <w:tcW w:w="4809" w:type="dxa"/>
          </w:tcPr>
          <w:p w:rsidR="00064540" w:rsidRDefault="00064540" w:rsidP="00AC7A1F">
            <w:pPr>
              <w:pStyle w:val="BodyText"/>
              <w:spacing w:before="0"/>
              <w:rPr>
                <w:lang w:eastAsia="en-US"/>
              </w:rPr>
            </w:pPr>
            <w:r>
              <w:rPr>
                <w:lang w:eastAsia="en-US"/>
              </w:rPr>
              <w:t>Department of the Premier and Cabinet</w:t>
            </w:r>
          </w:p>
        </w:tc>
      </w:tr>
      <w:tr w:rsidR="00064540" w:rsidTr="00AC7A1F">
        <w:tc>
          <w:tcPr>
            <w:tcW w:w="2552" w:type="dxa"/>
          </w:tcPr>
          <w:p w:rsidR="00064540" w:rsidRDefault="00064540" w:rsidP="00AC7A1F">
            <w:pPr>
              <w:pStyle w:val="BodyText"/>
              <w:rPr>
                <w:lang w:eastAsia="en-US"/>
              </w:rPr>
            </w:pPr>
            <w:r>
              <w:rPr>
                <w:lang w:eastAsia="en-US"/>
              </w:rPr>
              <w:t>Ms Ruth McArdle</w:t>
            </w:r>
          </w:p>
        </w:tc>
        <w:tc>
          <w:tcPr>
            <w:tcW w:w="1417" w:type="dxa"/>
          </w:tcPr>
          <w:p w:rsidR="00064540" w:rsidRDefault="00064540" w:rsidP="00AC7A1F">
            <w:pPr>
              <w:pStyle w:val="BodyText"/>
              <w:rPr>
                <w:lang w:eastAsia="en-US"/>
              </w:rPr>
            </w:pPr>
            <w:proofErr w:type="spellStart"/>
            <w:r>
              <w:rPr>
                <w:lang w:eastAsia="en-US"/>
              </w:rPr>
              <w:t>Tas</w:t>
            </w:r>
            <w:proofErr w:type="spellEnd"/>
          </w:p>
        </w:tc>
        <w:tc>
          <w:tcPr>
            <w:tcW w:w="4809" w:type="dxa"/>
          </w:tcPr>
          <w:p w:rsidR="00064540" w:rsidRDefault="00064540" w:rsidP="00AC7A1F">
            <w:pPr>
              <w:pStyle w:val="BodyText"/>
              <w:rPr>
                <w:lang w:eastAsia="en-US"/>
              </w:rPr>
            </w:pPr>
            <w:r>
              <w:rPr>
                <w:lang w:eastAsia="en-US"/>
              </w:rPr>
              <w:t>Department of Premier and Cabinet</w:t>
            </w:r>
          </w:p>
        </w:tc>
      </w:tr>
      <w:tr w:rsidR="00064540" w:rsidTr="00AC7A1F">
        <w:tc>
          <w:tcPr>
            <w:tcW w:w="2552" w:type="dxa"/>
          </w:tcPr>
          <w:p w:rsidR="00064540" w:rsidRDefault="00064540" w:rsidP="00AC7A1F">
            <w:pPr>
              <w:pStyle w:val="BodyText"/>
              <w:rPr>
                <w:lang w:eastAsia="en-US"/>
              </w:rPr>
            </w:pPr>
            <w:r>
              <w:rPr>
                <w:lang w:eastAsia="en-US"/>
              </w:rPr>
              <w:t>Mr Geoffrey Rutledge</w:t>
            </w:r>
          </w:p>
        </w:tc>
        <w:tc>
          <w:tcPr>
            <w:tcW w:w="1417" w:type="dxa"/>
          </w:tcPr>
          <w:p w:rsidR="00064540" w:rsidRDefault="00064540" w:rsidP="00AC7A1F">
            <w:pPr>
              <w:pStyle w:val="BodyText"/>
              <w:rPr>
                <w:lang w:eastAsia="en-US"/>
              </w:rPr>
            </w:pPr>
            <w:r>
              <w:rPr>
                <w:lang w:eastAsia="en-US"/>
              </w:rPr>
              <w:t>ACT</w:t>
            </w:r>
          </w:p>
        </w:tc>
        <w:tc>
          <w:tcPr>
            <w:tcW w:w="4809" w:type="dxa"/>
          </w:tcPr>
          <w:p w:rsidR="00064540" w:rsidRDefault="00064540" w:rsidP="00AC7A1F">
            <w:pPr>
              <w:pStyle w:val="BodyText"/>
              <w:jc w:val="left"/>
              <w:rPr>
                <w:lang w:eastAsia="en-US"/>
              </w:rPr>
            </w:pPr>
            <w:r>
              <w:rPr>
                <w:lang w:eastAsia="en-US"/>
              </w:rPr>
              <w:t>Chief Minister, Treasury and Economic</w:t>
            </w:r>
            <w:r>
              <w:rPr>
                <w:lang w:eastAsia="en-US"/>
              </w:rPr>
              <w:br/>
              <w:t xml:space="preserve">Development Directorate </w:t>
            </w:r>
          </w:p>
        </w:tc>
      </w:tr>
      <w:tr w:rsidR="00064540" w:rsidTr="00AC7A1F">
        <w:tc>
          <w:tcPr>
            <w:tcW w:w="2552" w:type="dxa"/>
          </w:tcPr>
          <w:p w:rsidR="00064540" w:rsidRDefault="00064540" w:rsidP="00AC7A1F">
            <w:pPr>
              <w:pStyle w:val="BodyText"/>
              <w:rPr>
                <w:lang w:eastAsia="en-US"/>
              </w:rPr>
            </w:pPr>
            <w:r>
              <w:rPr>
                <w:lang w:eastAsia="en-US"/>
              </w:rPr>
              <w:t>Ms Jean Doherty</w:t>
            </w:r>
          </w:p>
        </w:tc>
        <w:tc>
          <w:tcPr>
            <w:tcW w:w="1417" w:type="dxa"/>
          </w:tcPr>
          <w:p w:rsidR="00064540" w:rsidRDefault="00064540" w:rsidP="00AC7A1F">
            <w:pPr>
              <w:pStyle w:val="BodyText"/>
              <w:rPr>
                <w:lang w:eastAsia="en-US"/>
              </w:rPr>
            </w:pPr>
            <w:r>
              <w:rPr>
                <w:lang w:eastAsia="en-US"/>
              </w:rPr>
              <w:t>NT</w:t>
            </w:r>
          </w:p>
        </w:tc>
        <w:tc>
          <w:tcPr>
            <w:tcW w:w="4809" w:type="dxa"/>
          </w:tcPr>
          <w:p w:rsidR="00064540" w:rsidRDefault="00064540" w:rsidP="00AC7A1F">
            <w:pPr>
              <w:pStyle w:val="BodyText"/>
              <w:jc w:val="left"/>
              <w:rPr>
                <w:lang w:eastAsia="en-US"/>
              </w:rPr>
            </w:pPr>
            <w:r>
              <w:rPr>
                <w:lang w:eastAsia="en-US"/>
              </w:rPr>
              <w:t>Department of the Chief Minister</w:t>
            </w:r>
          </w:p>
        </w:tc>
      </w:tr>
      <w:tr w:rsidR="00064540" w:rsidTr="00AC7A1F">
        <w:tc>
          <w:tcPr>
            <w:tcW w:w="2552" w:type="dxa"/>
          </w:tcPr>
          <w:p w:rsidR="00064540" w:rsidRDefault="00064540" w:rsidP="00AC7A1F">
            <w:pPr>
              <w:pStyle w:val="BodyText"/>
              <w:spacing w:before="0"/>
              <w:rPr>
                <w:lang w:eastAsia="en-US"/>
              </w:rPr>
            </w:pPr>
            <w:r>
              <w:rPr>
                <w:lang w:eastAsia="en-US"/>
              </w:rPr>
              <w:t xml:space="preserve">Ms Linda </w:t>
            </w:r>
            <w:proofErr w:type="spellStart"/>
            <w:r>
              <w:rPr>
                <w:lang w:eastAsia="en-US"/>
              </w:rPr>
              <w:t>Weatherhead</w:t>
            </w:r>
            <w:proofErr w:type="spellEnd"/>
          </w:p>
        </w:tc>
        <w:tc>
          <w:tcPr>
            <w:tcW w:w="1417" w:type="dxa"/>
          </w:tcPr>
          <w:p w:rsidR="00064540" w:rsidRDefault="00064540" w:rsidP="00AC7A1F">
            <w:pPr>
              <w:pStyle w:val="BodyText"/>
              <w:spacing w:before="0"/>
              <w:rPr>
                <w:lang w:eastAsia="en-US"/>
              </w:rPr>
            </w:pPr>
            <w:r>
              <w:rPr>
                <w:lang w:eastAsia="en-US"/>
              </w:rPr>
              <w:t>NT</w:t>
            </w:r>
          </w:p>
        </w:tc>
        <w:tc>
          <w:tcPr>
            <w:tcW w:w="4809" w:type="dxa"/>
          </w:tcPr>
          <w:p w:rsidR="00064540" w:rsidRDefault="00064540" w:rsidP="00AC7A1F">
            <w:pPr>
              <w:pStyle w:val="BodyText"/>
              <w:spacing w:before="0"/>
              <w:rPr>
                <w:lang w:eastAsia="en-US"/>
              </w:rPr>
            </w:pPr>
            <w:r>
              <w:rPr>
                <w:lang w:eastAsia="en-US"/>
              </w:rPr>
              <w:t>Department of the Chief Minister</w:t>
            </w:r>
          </w:p>
        </w:tc>
      </w:tr>
      <w:tr w:rsidR="00064540" w:rsidTr="00AC7A1F">
        <w:tc>
          <w:tcPr>
            <w:tcW w:w="2552" w:type="dxa"/>
          </w:tcPr>
          <w:p w:rsidR="00064540" w:rsidRDefault="00064540" w:rsidP="00AC7A1F">
            <w:pPr>
              <w:pStyle w:val="BodyText"/>
              <w:spacing w:before="0"/>
              <w:rPr>
                <w:lang w:eastAsia="en-US"/>
              </w:rPr>
            </w:pPr>
            <w:r>
              <w:rPr>
                <w:lang w:eastAsia="en-US"/>
              </w:rPr>
              <w:t xml:space="preserve">Ms </w:t>
            </w:r>
            <w:proofErr w:type="spellStart"/>
            <w:r>
              <w:rPr>
                <w:lang w:eastAsia="en-US"/>
              </w:rPr>
              <w:t>Nardia</w:t>
            </w:r>
            <w:proofErr w:type="spellEnd"/>
            <w:r>
              <w:rPr>
                <w:lang w:eastAsia="en-US"/>
              </w:rPr>
              <w:t xml:space="preserve"> Harris</w:t>
            </w:r>
          </w:p>
        </w:tc>
        <w:tc>
          <w:tcPr>
            <w:tcW w:w="1417" w:type="dxa"/>
          </w:tcPr>
          <w:p w:rsidR="00064540" w:rsidRDefault="00064540" w:rsidP="00AC7A1F">
            <w:pPr>
              <w:pStyle w:val="BodyText"/>
              <w:spacing w:before="0"/>
              <w:rPr>
                <w:lang w:eastAsia="en-US"/>
              </w:rPr>
            </w:pPr>
            <w:r>
              <w:rPr>
                <w:lang w:eastAsia="en-US"/>
              </w:rPr>
              <w:t>NT</w:t>
            </w:r>
          </w:p>
        </w:tc>
        <w:tc>
          <w:tcPr>
            <w:tcW w:w="4809" w:type="dxa"/>
          </w:tcPr>
          <w:p w:rsidR="00064540" w:rsidRDefault="00064540" w:rsidP="00AC7A1F">
            <w:pPr>
              <w:pStyle w:val="BodyText"/>
              <w:spacing w:before="0"/>
              <w:rPr>
                <w:lang w:eastAsia="en-US"/>
              </w:rPr>
            </w:pPr>
            <w:r>
              <w:rPr>
                <w:lang w:eastAsia="en-US"/>
              </w:rPr>
              <w:t>Department of Treasury and Finance</w:t>
            </w:r>
          </w:p>
        </w:tc>
      </w:tr>
      <w:tr w:rsidR="00064540" w:rsidRPr="002D1FF4" w:rsidTr="00AC7A1F">
        <w:tc>
          <w:tcPr>
            <w:tcW w:w="2552" w:type="dxa"/>
          </w:tcPr>
          <w:p w:rsidR="00064540" w:rsidRDefault="00064540" w:rsidP="00AC7A1F">
            <w:pPr>
              <w:pStyle w:val="BodyText"/>
              <w:rPr>
                <w:lang w:eastAsia="en-US"/>
              </w:rPr>
            </w:pPr>
            <w:r>
              <w:rPr>
                <w:lang w:eastAsia="en-US"/>
              </w:rPr>
              <w:t>Mr Barry Sandison</w:t>
            </w:r>
          </w:p>
        </w:tc>
        <w:tc>
          <w:tcPr>
            <w:tcW w:w="1417" w:type="dxa"/>
          </w:tcPr>
          <w:p w:rsidR="00064540" w:rsidRDefault="00064540" w:rsidP="00AC7A1F">
            <w:pPr>
              <w:pStyle w:val="BodyText"/>
              <w:rPr>
                <w:lang w:eastAsia="en-US"/>
              </w:rPr>
            </w:pPr>
          </w:p>
        </w:tc>
        <w:tc>
          <w:tcPr>
            <w:tcW w:w="4809" w:type="dxa"/>
          </w:tcPr>
          <w:p w:rsidR="00064540" w:rsidRDefault="00064540" w:rsidP="00AC7A1F">
            <w:pPr>
              <w:pStyle w:val="BodyText"/>
              <w:rPr>
                <w:lang w:eastAsia="en-US"/>
              </w:rPr>
            </w:pPr>
            <w:r>
              <w:rPr>
                <w:lang w:eastAsia="en-US"/>
              </w:rPr>
              <w:t>Australian Institute of Health and Welfare</w:t>
            </w:r>
          </w:p>
        </w:tc>
      </w:tr>
      <w:tr w:rsidR="00064540" w:rsidRPr="002D1FF4" w:rsidTr="00AC7A1F">
        <w:tc>
          <w:tcPr>
            <w:tcW w:w="2552" w:type="dxa"/>
          </w:tcPr>
          <w:p w:rsidR="00064540" w:rsidRDefault="00064540" w:rsidP="00AC7A1F">
            <w:pPr>
              <w:pStyle w:val="BodyText"/>
              <w:rPr>
                <w:lang w:eastAsia="en-US"/>
              </w:rPr>
            </w:pPr>
            <w:r>
              <w:rPr>
                <w:lang w:eastAsia="en-US"/>
              </w:rPr>
              <w:t xml:space="preserve">Dr Paul </w:t>
            </w:r>
            <w:proofErr w:type="spellStart"/>
            <w:r>
              <w:rPr>
                <w:lang w:eastAsia="en-US"/>
              </w:rPr>
              <w:t>Jelfs</w:t>
            </w:r>
            <w:proofErr w:type="spellEnd"/>
          </w:p>
        </w:tc>
        <w:tc>
          <w:tcPr>
            <w:tcW w:w="1417" w:type="dxa"/>
          </w:tcPr>
          <w:p w:rsidR="00064540" w:rsidRDefault="00064540" w:rsidP="00AC7A1F">
            <w:pPr>
              <w:pStyle w:val="BodyText"/>
              <w:rPr>
                <w:lang w:eastAsia="en-US"/>
              </w:rPr>
            </w:pPr>
          </w:p>
        </w:tc>
        <w:tc>
          <w:tcPr>
            <w:tcW w:w="4809" w:type="dxa"/>
          </w:tcPr>
          <w:p w:rsidR="00064540" w:rsidRDefault="00064540" w:rsidP="00AC7A1F">
            <w:pPr>
              <w:pStyle w:val="BodyText"/>
              <w:rPr>
                <w:lang w:eastAsia="en-US"/>
              </w:rPr>
            </w:pPr>
            <w:r>
              <w:rPr>
                <w:lang w:eastAsia="en-US"/>
              </w:rPr>
              <w:t>Australian Bureau of Statistics</w:t>
            </w:r>
          </w:p>
        </w:tc>
      </w:tr>
      <w:tr w:rsidR="00064540" w:rsidRPr="002D1FF4" w:rsidTr="00AC7A1F">
        <w:tc>
          <w:tcPr>
            <w:tcW w:w="2552" w:type="dxa"/>
          </w:tcPr>
          <w:p w:rsidR="00064540" w:rsidRDefault="00064540" w:rsidP="00AC7A1F">
            <w:pPr>
              <w:pStyle w:val="BodyText"/>
              <w:rPr>
                <w:lang w:eastAsia="en-US"/>
              </w:rPr>
            </w:pPr>
          </w:p>
        </w:tc>
        <w:tc>
          <w:tcPr>
            <w:tcW w:w="1417" w:type="dxa"/>
          </w:tcPr>
          <w:p w:rsidR="00064540" w:rsidRDefault="00064540" w:rsidP="00AC7A1F">
            <w:pPr>
              <w:pStyle w:val="BodyText"/>
              <w:rPr>
                <w:lang w:eastAsia="en-US"/>
              </w:rPr>
            </w:pPr>
          </w:p>
        </w:tc>
        <w:tc>
          <w:tcPr>
            <w:tcW w:w="4809" w:type="dxa"/>
          </w:tcPr>
          <w:p w:rsidR="00064540" w:rsidRDefault="00064540" w:rsidP="00AC7A1F">
            <w:pPr>
              <w:pStyle w:val="BodyText"/>
              <w:rPr>
                <w:lang w:eastAsia="en-US"/>
              </w:rPr>
            </w:pPr>
          </w:p>
        </w:tc>
      </w:tr>
      <w:tr w:rsidR="00064540" w:rsidRPr="002D1FF4" w:rsidTr="00AC7A1F">
        <w:tc>
          <w:tcPr>
            <w:tcW w:w="8778" w:type="dxa"/>
            <w:gridSpan w:val="3"/>
          </w:tcPr>
          <w:p w:rsidR="00064540" w:rsidRPr="003C140C" w:rsidRDefault="00064540" w:rsidP="00AC7A1F">
            <w:pPr>
              <w:pStyle w:val="BodyText"/>
            </w:pPr>
            <w:r>
              <w:lastRenderedPageBreak/>
              <w:t xml:space="preserve">People who also served on the Steering Committee during the production of this report include: </w:t>
            </w:r>
          </w:p>
        </w:tc>
      </w:tr>
      <w:tr w:rsidR="00064540" w:rsidRPr="002D1FF4" w:rsidTr="00AC7A1F">
        <w:tc>
          <w:tcPr>
            <w:tcW w:w="2552" w:type="dxa"/>
          </w:tcPr>
          <w:p w:rsidR="00064540" w:rsidRDefault="00064540" w:rsidP="00AC7A1F">
            <w:pPr>
              <w:pStyle w:val="BodyText"/>
              <w:rPr>
                <w:lang w:eastAsia="en-US"/>
              </w:rPr>
            </w:pPr>
            <w:r>
              <w:rPr>
                <w:lang w:eastAsia="en-US"/>
              </w:rPr>
              <w:t xml:space="preserve">Ms Josephine </w:t>
            </w:r>
            <w:proofErr w:type="spellStart"/>
            <w:r>
              <w:rPr>
                <w:lang w:eastAsia="en-US"/>
              </w:rPr>
              <w:t>Laduzko</w:t>
            </w:r>
            <w:proofErr w:type="spellEnd"/>
          </w:p>
        </w:tc>
        <w:tc>
          <w:tcPr>
            <w:tcW w:w="1417" w:type="dxa"/>
          </w:tcPr>
          <w:p w:rsidR="00064540" w:rsidRDefault="00064540" w:rsidP="00AC7A1F">
            <w:pPr>
              <w:pStyle w:val="BodyText"/>
              <w:rPr>
                <w:lang w:eastAsia="en-US"/>
              </w:rPr>
            </w:pPr>
            <w:r>
              <w:rPr>
                <w:lang w:eastAsia="en-US"/>
              </w:rPr>
              <w:t>Aust. Govt.</w:t>
            </w:r>
          </w:p>
        </w:tc>
        <w:tc>
          <w:tcPr>
            <w:tcW w:w="4809" w:type="dxa"/>
          </w:tcPr>
          <w:p w:rsidR="00064540" w:rsidRDefault="00064540" w:rsidP="00AC7A1F">
            <w:pPr>
              <w:pStyle w:val="BodyText"/>
              <w:jc w:val="left"/>
              <w:rPr>
                <w:lang w:eastAsia="en-US"/>
              </w:rPr>
            </w:pPr>
            <w:r>
              <w:rPr>
                <w:lang w:eastAsia="en-US"/>
              </w:rPr>
              <w:t>Department of the Prime Minister and Cabinet</w:t>
            </w:r>
          </w:p>
        </w:tc>
      </w:tr>
      <w:tr w:rsidR="00064540" w:rsidRPr="002D1FF4" w:rsidTr="00AC7A1F">
        <w:tc>
          <w:tcPr>
            <w:tcW w:w="2552" w:type="dxa"/>
          </w:tcPr>
          <w:p w:rsidR="00064540" w:rsidRDefault="00064540" w:rsidP="00AC7A1F">
            <w:pPr>
              <w:pStyle w:val="BodyText"/>
              <w:spacing w:before="0"/>
              <w:rPr>
                <w:lang w:eastAsia="en-US"/>
              </w:rPr>
            </w:pPr>
            <w:r>
              <w:rPr>
                <w:lang w:eastAsia="en-US"/>
              </w:rPr>
              <w:t>Ms Emily Martin</w:t>
            </w:r>
          </w:p>
        </w:tc>
        <w:tc>
          <w:tcPr>
            <w:tcW w:w="1417" w:type="dxa"/>
          </w:tcPr>
          <w:p w:rsidR="00064540" w:rsidRDefault="00064540" w:rsidP="00AC7A1F">
            <w:pPr>
              <w:pStyle w:val="BodyText"/>
              <w:spacing w:before="0"/>
              <w:rPr>
                <w:lang w:eastAsia="en-US"/>
              </w:rPr>
            </w:pPr>
            <w:r>
              <w:rPr>
                <w:lang w:eastAsia="en-US"/>
              </w:rPr>
              <w:t>Aust. Govt.</w:t>
            </w:r>
          </w:p>
        </w:tc>
        <w:tc>
          <w:tcPr>
            <w:tcW w:w="4809" w:type="dxa"/>
          </w:tcPr>
          <w:p w:rsidR="00064540" w:rsidRDefault="00064540" w:rsidP="00AC7A1F">
            <w:pPr>
              <w:pStyle w:val="BodyText"/>
              <w:spacing w:before="0"/>
              <w:rPr>
                <w:lang w:eastAsia="en-US"/>
              </w:rPr>
            </w:pPr>
            <w:r>
              <w:rPr>
                <w:lang w:eastAsia="en-US"/>
              </w:rPr>
              <w:t>The Treasury</w:t>
            </w:r>
          </w:p>
        </w:tc>
      </w:tr>
      <w:tr w:rsidR="00064540" w:rsidRPr="002D1FF4" w:rsidTr="00AC7A1F">
        <w:tc>
          <w:tcPr>
            <w:tcW w:w="2552" w:type="dxa"/>
          </w:tcPr>
          <w:p w:rsidR="00064540" w:rsidRDefault="00064540" w:rsidP="00AC7A1F">
            <w:pPr>
              <w:pStyle w:val="BodyText"/>
              <w:spacing w:before="0"/>
              <w:rPr>
                <w:lang w:eastAsia="en-US"/>
              </w:rPr>
            </w:pPr>
            <w:r>
              <w:rPr>
                <w:lang w:eastAsia="en-US"/>
              </w:rPr>
              <w:t>Ms Sam Reinhardt</w:t>
            </w:r>
          </w:p>
        </w:tc>
        <w:tc>
          <w:tcPr>
            <w:tcW w:w="1417" w:type="dxa"/>
          </w:tcPr>
          <w:p w:rsidR="00064540" w:rsidRDefault="00064540" w:rsidP="00AC7A1F">
            <w:pPr>
              <w:pStyle w:val="BodyText"/>
              <w:spacing w:before="0"/>
              <w:rPr>
                <w:lang w:eastAsia="en-US"/>
              </w:rPr>
            </w:pPr>
            <w:r>
              <w:rPr>
                <w:lang w:eastAsia="en-US"/>
              </w:rPr>
              <w:t>Aust. Govt.</w:t>
            </w:r>
          </w:p>
        </w:tc>
        <w:tc>
          <w:tcPr>
            <w:tcW w:w="4809" w:type="dxa"/>
          </w:tcPr>
          <w:p w:rsidR="00064540" w:rsidRDefault="00064540" w:rsidP="00AC7A1F">
            <w:pPr>
              <w:pStyle w:val="BodyText"/>
              <w:spacing w:before="0"/>
              <w:rPr>
                <w:lang w:eastAsia="en-US"/>
              </w:rPr>
            </w:pPr>
            <w:r>
              <w:rPr>
                <w:lang w:eastAsia="en-US"/>
              </w:rPr>
              <w:t>The Treasury</w:t>
            </w:r>
          </w:p>
        </w:tc>
      </w:tr>
      <w:tr w:rsidR="00064540" w:rsidRPr="002D1FF4" w:rsidTr="00AC7A1F">
        <w:tc>
          <w:tcPr>
            <w:tcW w:w="2552" w:type="dxa"/>
          </w:tcPr>
          <w:p w:rsidR="00064540" w:rsidRDefault="00064540" w:rsidP="00AC7A1F">
            <w:pPr>
              <w:pStyle w:val="BodyText"/>
              <w:spacing w:before="0"/>
              <w:rPr>
                <w:lang w:eastAsia="en-US"/>
              </w:rPr>
            </w:pPr>
            <w:r>
              <w:rPr>
                <w:lang w:eastAsia="en-US"/>
              </w:rPr>
              <w:t>Mr Marty Robinson</w:t>
            </w:r>
          </w:p>
        </w:tc>
        <w:tc>
          <w:tcPr>
            <w:tcW w:w="1417" w:type="dxa"/>
          </w:tcPr>
          <w:p w:rsidR="00064540" w:rsidRDefault="00064540" w:rsidP="00AC7A1F">
            <w:pPr>
              <w:pStyle w:val="BodyText"/>
              <w:spacing w:before="0"/>
              <w:rPr>
                <w:lang w:eastAsia="en-US"/>
              </w:rPr>
            </w:pPr>
            <w:r>
              <w:rPr>
                <w:lang w:eastAsia="en-US"/>
              </w:rPr>
              <w:t>Aust. Govt.</w:t>
            </w:r>
          </w:p>
        </w:tc>
        <w:tc>
          <w:tcPr>
            <w:tcW w:w="4809" w:type="dxa"/>
          </w:tcPr>
          <w:p w:rsidR="00064540" w:rsidRDefault="00064540" w:rsidP="00AC7A1F">
            <w:pPr>
              <w:pStyle w:val="BodyText"/>
              <w:spacing w:before="0"/>
              <w:rPr>
                <w:lang w:eastAsia="en-US"/>
              </w:rPr>
            </w:pPr>
            <w:r>
              <w:rPr>
                <w:lang w:eastAsia="en-US"/>
              </w:rPr>
              <w:t>The Treasury</w:t>
            </w:r>
          </w:p>
        </w:tc>
      </w:tr>
      <w:tr w:rsidR="00064540" w:rsidRPr="002D1FF4" w:rsidTr="00AC7A1F">
        <w:tc>
          <w:tcPr>
            <w:tcW w:w="2552" w:type="dxa"/>
          </w:tcPr>
          <w:p w:rsidR="00064540" w:rsidRDefault="00064540" w:rsidP="00AC7A1F">
            <w:pPr>
              <w:pStyle w:val="BodyText"/>
              <w:spacing w:before="0"/>
              <w:rPr>
                <w:lang w:eastAsia="en-US"/>
              </w:rPr>
            </w:pPr>
            <w:r>
              <w:rPr>
                <w:lang w:eastAsia="en-US"/>
              </w:rPr>
              <w:t xml:space="preserve">Mr Jonathan </w:t>
            </w:r>
            <w:proofErr w:type="spellStart"/>
            <w:r>
              <w:rPr>
                <w:lang w:eastAsia="en-US"/>
              </w:rPr>
              <w:t>Rollings</w:t>
            </w:r>
            <w:proofErr w:type="spellEnd"/>
          </w:p>
        </w:tc>
        <w:tc>
          <w:tcPr>
            <w:tcW w:w="1417" w:type="dxa"/>
          </w:tcPr>
          <w:p w:rsidR="00064540" w:rsidRDefault="00064540" w:rsidP="00AC7A1F">
            <w:pPr>
              <w:pStyle w:val="BodyText"/>
              <w:spacing w:before="0"/>
              <w:rPr>
                <w:lang w:eastAsia="en-US"/>
              </w:rPr>
            </w:pPr>
            <w:r>
              <w:rPr>
                <w:lang w:eastAsia="en-US"/>
              </w:rPr>
              <w:t>Aust. Govt.</w:t>
            </w:r>
          </w:p>
        </w:tc>
        <w:tc>
          <w:tcPr>
            <w:tcW w:w="4809" w:type="dxa"/>
          </w:tcPr>
          <w:p w:rsidR="00064540" w:rsidRDefault="00064540" w:rsidP="00AC7A1F">
            <w:pPr>
              <w:pStyle w:val="BodyText"/>
              <w:spacing w:before="0"/>
              <w:rPr>
                <w:lang w:eastAsia="en-US"/>
              </w:rPr>
            </w:pPr>
            <w:r>
              <w:rPr>
                <w:lang w:eastAsia="en-US"/>
              </w:rPr>
              <w:t>The Treasury</w:t>
            </w:r>
          </w:p>
        </w:tc>
      </w:tr>
      <w:tr w:rsidR="00064540" w:rsidRPr="002D1FF4" w:rsidTr="00AC7A1F">
        <w:tc>
          <w:tcPr>
            <w:tcW w:w="2552" w:type="dxa"/>
          </w:tcPr>
          <w:p w:rsidR="00064540" w:rsidRDefault="00064540" w:rsidP="00AC7A1F">
            <w:pPr>
              <w:pStyle w:val="BodyText"/>
              <w:spacing w:before="0"/>
              <w:rPr>
                <w:lang w:eastAsia="en-US"/>
              </w:rPr>
            </w:pPr>
            <w:r>
              <w:rPr>
                <w:lang w:eastAsia="en-US"/>
              </w:rPr>
              <w:t xml:space="preserve">Mr Mark </w:t>
            </w:r>
            <w:proofErr w:type="spellStart"/>
            <w:r>
              <w:rPr>
                <w:lang w:eastAsia="en-US"/>
              </w:rPr>
              <w:t>Thomann</w:t>
            </w:r>
            <w:proofErr w:type="spellEnd"/>
          </w:p>
        </w:tc>
        <w:tc>
          <w:tcPr>
            <w:tcW w:w="1417" w:type="dxa"/>
          </w:tcPr>
          <w:p w:rsidR="00064540" w:rsidRDefault="00064540" w:rsidP="00AC7A1F">
            <w:pPr>
              <w:pStyle w:val="BodyText"/>
              <w:spacing w:before="0"/>
              <w:rPr>
                <w:lang w:eastAsia="en-US"/>
              </w:rPr>
            </w:pPr>
            <w:r>
              <w:rPr>
                <w:lang w:eastAsia="en-US"/>
              </w:rPr>
              <w:t>Aust. Govt.</w:t>
            </w:r>
          </w:p>
        </w:tc>
        <w:tc>
          <w:tcPr>
            <w:tcW w:w="4809" w:type="dxa"/>
          </w:tcPr>
          <w:p w:rsidR="00064540" w:rsidRDefault="00064540" w:rsidP="00AC7A1F">
            <w:pPr>
              <w:pStyle w:val="BodyText"/>
              <w:spacing w:before="0"/>
              <w:rPr>
                <w:lang w:eastAsia="en-US"/>
              </w:rPr>
            </w:pPr>
            <w:r>
              <w:rPr>
                <w:lang w:eastAsia="en-US"/>
              </w:rPr>
              <w:t>Department of Finance</w:t>
            </w:r>
          </w:p>
        </w:tc>
      </w:tr>
      <w:tr w:rsidR="00064540" w:rsidRPr="002D1FF4" w:rsidTr="00AC7A1F">
        <w:tc>
          <w:tcPr>
            <w:tcW w:w="2552" w:type="dxa"/>
          </w:tcPr>
          <w:p w:rsidR="00064540" w:rsidRDefault="00064540" w:rsidP="00AC7A1F">
            <w:pPr>
              <w:pStyle w:val="BodyText"/>
              <w:rPr>
                <w:lang w:eastAsia="en-US"/>
              </w:rPr>
            </w:pPr>
            <w:r>
              <w:rPr>
                <w:lang w:eastAsia="en-US"/>
              </w:rPr>
              <w:t xml:space="preserve">Ms Michelle </w:t>
            </w:r>
            <w:proofErr w:type="spellStart"/>
            <w:r>
              <w:rPr>
                <w:lang w:eastAsia="en-US"/>
              </w:rPr>
              <w:t>Dumazel</w:t>
            </w:r>
            <w:proofErr w:type="spellEnd"/>
          </w:p>
        </w:tc>
        <w:tc>
          <w:tcPr>
            <w:tcW w:w="1417" w:type="dxa"/>
          </w:tcPr>
          <w:p w:rsidR="00064540" w:rsidRDefault="00064540" w:rsidP="00AC7A1F">
            <w:pPr>
              <w:pStyle w:val="BodyText"/>
              <w:rPr>
                <w:lang w:eastAsia="en-US"/>
              </w:rPr>
            </w:pPr>
            <w:r>
              <w:rPr>
                <w:lang w:eastAsia="en-US"/>
              </w:rPr>
              <w:t>NSW</w:t>
            </w:r>
          </w:p>
        </w:tc>
        <w:tc>
          <w:tcPr>
            <w:tcW w:w="4809" w:type="dxa"/>
          </w:tcPr>
          <w:p w:rsidR="00064540" w:rsidRDefault="00064540" w:rsidP="00AC7A1F">
            <w:pPr>
              <w:pStyle w:val="BodyText"/>
              <w:jc w:val="left"/>
              <w:rPr>
                <w:lang w:eastAsia="en-US"/>
              </w:rPr>
            </w:pPr>
            <w:r>
              <w:rPr>
                <w:lang w:eastAsia="en-US"/>
              </w:rPr>
              <w:t>Department of Premier and Cabinet</w:t>
            </w:r>
          </w:p>
        </w:tc>
      </w:tr>
      <w:tr w:rsidR="00064540" w:rsidRPr="002D1FF4" w:rsidTr="00AC7A1F">
        <w:tc>
          <w:tcPr>
            <w:tcW w:w="2552" w:type="dxa"/>
          </w:tcPr>
          <w:p w:rsidR="00064540" w:rsidRDefault="00064540" w:rsidP="00AC7A1F">
            <w:pPr>
              <w:pStyle w:val="BodyText"/>
              <w:rPr>
                <w:lang w:eastAsia="en-US"/>
              </w:rPr>
            </w:pPr>
            <w:r>
              <w:rPr>
                <w:lang w:eastAsia="en-US"/>
              </w:rPr>
              <w:t xml:space="preserve">Ms </w:t>
            </w:r>
            <w:proofErr w:type="spellStart"/>
            <w:r>
              <w:rPr>
                <w:lang w:eastAsia="en-US"/>
              </w:rPr>
              <w:t>Bronwen</w:t>
            </w:r>
            <w:proofErr w:type="spellEnd"/>
            <w:r>
              <w:rPr>
                <w:lang w:eastAsia="en-US"/>
              </w:rPr>
              <w:t xml:space="preserve"> FitzGerald</w:t>
            </w:r>
          </w:p>
        </w:tc>
        <w:tc>
          <w:tcPr>
            <w:tcW w:w="1417" w:type="dxa"/>
          </w:tcPr>
          <w:p w:rsidR="00064540" w:rsidRDefault="00064540" w:rsidP="00AC7A1F">
            <w:pPr>
              <w:pStyle w:val="BodyText"/>
              <w:rPr>
                <w:lang w:eastAsia="en-US"/>
              </w:rPr>
            </w:pPr>
            <w:r>
              <w:rPr>
                <w:lang w:eastAsia="en-US"/>
              </w:rPr>
              <w:t>Vic</w:t>
            </w:r>
          </w:p>
        </w:tc>
        <w:tc>
          <w:tcPr>
            <w:tcW w:w="4809" w:type="dxa"/>
          </w:tcPr>
          <w:p w:rsidR="00064540" w:rsidRDefault="00064540" w:rsidP="00AC7A1F">
            <w:pPr>
              <w:pStyle w:val="BodyText"/>
              <w:jc w:val="left"/>
              <w:rPr>
                <w:lang w:eastAsia="en-US"/>
              </w:rPr>
            </w:pPr>
            <w:r>
              <w:rPr>
                <w:lang w:eastAsia="en-US"/>
              </w:rPr>
              <w:t>Department of Premier and Cabinet</w:t>
            </w:r>
          </w:p>
        </w:tc>
      </w:tr>
      <w:tr w:rsidR="00064540" w:rsidRPr="002D1FF4" w:rsidTr="00AC7A1F">
        <w:tc>
          <w:tcPr>
            <w:tcW w:w="2552" w:type="dxa"/>
          </w:tcPr>
          <w:p w:rsidR="00064540" w:rsidRDefault="00064540" w:rsidP="00AC7A1F">
            <w:pPr>
              <w:pStyle w:val="BodyText"/>
              <w:rPr>
                <w:lang w:eastAsia="en-US"/>
              </w:rPr>
            </w:pPr>
            <w:r>
              <w:rPr>
                <w:lang w:eastAsia="en-US"/>
              </w:rPr>
              <w:t xml:space="preserve">Ms Marion </w:t>
            </w:r>
            <w:proofErr w:type="spellStart"/>
            <w:r>
              <w:rPr>
                <w:lang w:eastAsia="en-US"/>
              </w:rPr>
              <w:t>Burchell</w:t>
            </w:r>
            <w:proofErr w:type="spellEnd"/>
          </w:p>
        </w:tc>
        <w:tc>
          <w:tcPr>
            <w:tcW w:w="1417" w:type="dxa"/>
          </w:tcPr>
          <w:p w:rsidR="00064540" w:rsidRDefault="00064540" w:rsidP="00AC7A1F">
            <w:pPr>
              <w:pStyle w:val="BodyText"/>
              <w:rPr>
                <w:lang w:eastAsia="en-US"/>
              </w:rPr>
            </w:pPr>
            <w:r>
              <w:rPr>
                <w:lang w:eastAsia="en-US"/>
              </w:rPr>
              <w:t>WA</w:t>
            </w:r>
          </w:p>
        </w:tc>
        <w:tc>
          <w:tcPr>
            <w:tcW w:w="4809" w:type="dxa"/>
          </w:tcPr>
          <w:p w:rsidR="00064540" w:rsidRDefault="00064540" w:rsidP="00AC7A1F">
            <w:pPr>
              <w:pStyle w:val="BodyText"/>
              <w:rPr>
                <w:lang w:eastAsia="en-US"/>
              </w:rPr>
            </w:pPr>
            <w:r>
              <w:rPr>
                <w:lang w:eastAsia="en-US"/>
              </w:rPr>
              <w:t>Department of the Premier and Cabinet</w:t>
            </w:r>
          </w:p>
        </w:tc>
      </w:tr>
      <w:tr w:rsidR="00064540" w:rsidRPr="002D1FF4" w:rsidTr="00AC7A1F">
        <w:tc>
          <w:tcPr>
            <w:tcW w:w="2552" w:type="dxa"/>
          </w:tcPr>
          <w:p w:rsidR="00064540" w:rsidRDefault="00064540" w:rsidP="00AC7A1F">
            <w:pPr>
              <w:pStyle w:val="BodyText"/>
              <w:spacing w:before="0"/>
              <w:rPr>
                <w:lang w:eastAsia="en-US"/>
              </w:rPr>
            </w:pPr>
            <w:r>
              <w:rPr>
                <w:lang w:eastAsia="en-US"/>
              </w:rPr>
              <w:t xml:space="preserve">Ms </w:t>
            </w:r>
            <w:proofErr w:type="spellStart"/>
            <w:r>
              <w:rPr>
                <w:lang w:eastAsia="en-US"/>
              </w:rPr>
              <w:t>Lorissa</w:t>
            </w:r>
            <w:proofErr w:type="spellEnd"/>
            <w:r>
              <w:rPr>
                <w:lang w:eastAsia="en-US"/>
              </w:rPr>
              <w:t xml:space="preserve"> Kelly</w:t>
            </w:r>
          </w:p>
        </w:tc>
        <w:tc>
          <w:tcPr>
            <w:tcW w:w="1417" w:type="dxa"/>
          </w:tcPr>
          <w:p w:rsidR="00064540" w:rsidRDefault="00064540" w:rsidP="00AC7A1F">
            <w:pPr>
              <w:pStyle w:val="BodyText"/>
              <w:spacing w:before="0"/>
              <w:rPr>
                <w:lang w:eastAsia="en-US"/>
              </w:rPr>
            </w:pPr>
            <w:r>
              <w:rPr>
                <w:lang w:eastAsia="en-US"/>
              </w:rPr>
              <w:t>WA</w:t>
            </w:r>
          </w:p>
        </w:tc>
        <w:tc>
          <w:tcPr>
            <w:tcW w:w="4809" w:type="dxa"/>
          </w:tcPr>
          <w:p w:rsidR="00064540" w:rsidRDefault="00064540" w:rsidP="00AC7A1F">
            <w:pPr>
              <w:pStyle w:val="BodyText"/>
              <w:spacing w:before="0"/>
              <w:rPr>
                <w:lang w:eastAsia="en-US"/>
              </w:rPr>
            </w:pPr>
            <w:r>
              <w:rPr>
                <w:lang w:eastAsia="en-US"/>
              </w:rPr>
              <w:t>Department of the Premier and Cabinet</w:t>
            </w:r>
          </w:p>
        </w:tc>
      </w:tr>
      <w:tr w:rsidR="00064540" w:rsidRPr="002D1FF4" w:rsidTr="00AC7A1F">
        <w:tc>
          <w:tcPr>
            <w:tcW w:w="2552" w:type="dxa"/>
          </w:tcPr>
          <w:p w:rsidR="00064540" w:rsidRDefault="00064540" w:rsidP="00AC7A1F">
            <w:pPr>
              <w:pStyle w:val="BodyText"/>
              <w:spacing w:before="0"/>
              <w:rPr>
                <w:lang w:eastAsia="en-US"/>
              </w:rPr>
            </w:pPr>
            <w:r>
              <w:rPr>
                <w:lang w:eastAsia="en-US"/>
              </w:rPr>
              <w:t>Mr Barry Thomas</w:t>
            </w:r>
          </w:p>
        </w:tc>
        <w:tc>
          <w:tcPr>
            <w:tcW w:w="1417" w:type="dxa"/>
          </w:tcPr>
          <w:p w:rsidR="00064540" w:rsidRDefault="00064540" w:rsidP="00AC7A1F">
            <w:pPr>
              <w:pStyle w:val="BodyText"/>
              <w:spacing w:before="0"/>
              <w:rPr>
                <w:lang w:eastAsia="en-US"/>
              </w:rPr>
            </w:pPr>
            <w:r>
              <w:rPr>
                <w:lang w:eastAsia="en-US"/>
              </w:rPr>
              <w:t>WA</w:t>
            </w:r>
          </w:p>
        </w:tc>
        <w:tc>
          <w:tcPr>
            <w:tcW w:w="4809" w:type="dxa"/>
          </w:tcPr>
          <w:p w:rsidR="00064540" w:rsidRDefault="00064540" w:rsidP="00AC7A1F">
            <w:pPr>
              <w:pStyle w:val="BodyText"/>
              <w:spacing w:before="0"/>
              <w:rPr>
                <w:lang w:eastAsia="en-US"/>
              </w:rPr>
            </w:pPr>
            <w:r>
              <w:rPr>
                <w:lang w:eastAsia="en-US"/>
              </w:rPr>
              <w:t>Department of Treasury</w:t>
            </w:r>
          </w:p>
        </w:tc>
      </w:tr>
      <w:tr w:rsidR="00064540" w:rsidRPr="002D1FF4" w:rsidTr="00AC7A1F">
        <w:tc>
          <w:tcPr>
            <w:tcW w:w="2552" w:type="dxa"/>
          </w:tcPr>
          <w:p w:rsidR="00064540" w:rsidRDefault="00064540" w:rsidP="00AC7A1F">
            <w:pPr>
              <w:pStyle w:val="BodyText"/>
              <w:rPr>
                <w:lang w:eastAsia="en-US"/>
              </w:rPr>
            </w:pPr>
            <w:r>
              <w:rPr>
                <w:lang w:eastAsia="en-US"/>
              </w:rPr>
              <w:t>Ms Katrina Ball</w:t>
            </w:r>
          </w:p>
        </w:tc>
        <w:tc>
          <w:tcPr>
            <w:tcW w:w="1417" w:type="dxa"/>
          </w:tcPr>
          <w:p w:rsidR="00064540" w:rsidRDefault="00064540" w:rsidP="00AC7A1F">
            <w:pPr>
              <w:pStyle w:val="BodyText"/>
              <w:rPr>
                <w:lang w:eastAsia="en-US"/>
              </w:rPr>
            </w:pPr>
            <w:r>
              <w:rPr>
                <w:lang w:eastAsia="en-US"/>
              </w:rPr>
              <w:t>SA</w:t>
            </w:r>
          </w:p>
        </w:tc>
        <w:tc>
          <w:tcPr>
            <w:tcW w:w="4809" w:type="dxa"/>
          </w:tcPr>
          <w:p w:rsidR="00064540" w:rsidRDefault="00064540" w:rsidP="00AC7A1F">
            <w:pPr>
              <w:pStyle w:val="BodyText"/>
              <w:rPr>
                <w:lang w:eastAsia="en-US"/>
              </w:rPr>
            </w:pPr>
            <w:r>
              <w:rPr>
                <w:lang w:eastAsia="en-US"/>
              </w:rPr>
              <w:t>Department of Treasury and Finance</w:t>
            </w:r>
          </w:p>
        </w:tc>
      </w:tr>
      <w:tr w:rsidR="00064540" w:rsidRPr="002D1FF4" w:rsidTr="00AC7A1F">
        <w:tc>
          <w:tcPr>
            <w:tcW w:w="2552" w:type="dxa"/>
          </w:tcPr>
          <w:p w:rsidR="00064540" w:rsidRDefault="00064540" w:rsidP="00AC7A1F">
            <w:pPr>
              <w:pStyle w:val="BodyText"/>
              <w:spacing w:before="0"/>
              <w:rPr>
                <w:lang w:eastAsia="en-US"/>
              </w:rPr>
            </w:pPr>
            <w:r>
              <w:rPr>
                <w:lang w:eastAsia="en-US"/>
              </w:rPr>
              <w:t>Ms Nicole Hunter</w:t>
            </w:r>
          </w:p>
        </w:tc>
        <w:tc>
          <w:tcPr>
            <w:tcW w:w="1417" w:type="dxa"/>
          </w:tcPr>
          <w:p w:rsidR="00064540" w:rsidRDefault="00064540" w:rsidP="00AC7A1F">
            <w:pPr>
              <w:pStyle w:val="BodyText"/>
              <w:spacing w:before="0"/>
              <w:rPr>
                <w:lang w:eastAsia="en-US"/>
              </w:rPr>
            </w:pPr>
            <w:r>
              <w:rPr>
                <w:lang w:eastAsia="en-US"/>
              </w:rPr>
              <w:t>SA</w:t>
            </w:r>
          </w:p>
        </w:tc>
        <w:tc>
          <w:tcPr>
            <w:tcW w:w="4809" w:type="dxa"/>
          </w:tcPr>
          <w:p w:rsidR="00064540" w:rsidRDefault="00064540" w:rsidP="00AC7A1F">
            <w:pPr>
              <w:pStyle w:val="BodyText"/>
              <w:spacing w:before="0"/>
              <w:rPr>
                <w:lang w:eastAsia="en-US"/>
              </w:rPr>
            </w:pPr>
            <w:r>
              <w:rPr>
                <w:lang w:eastAsia="en-US"/>
              </w:rPr>
              <w:t>Department of the Premier and Cabinet</w:t>
            </w:r>
          </w:p>
        </w:tc>
      </w:tr>
      <w:tr w:rsidR="00064540" w:rsidRPr="002D1FF4" w:rsidTr="00AC7A1F">
        <w:tc>
          <w:tcPr>
            <w:tcW w:w="2552" w:type="dxa"/>
          </w:tcPr>
          <w:p w:rsidR="00064540" w:rsidRDefault="00064540" w:rsidP="00AC7A1F">
            <w:pPr>
              <w:pStyle w:val="BodyText"/>
              <w:rPr>
                <w:lang w:eastAsia="en-US"/>
              </w:rPr>
            </w:pPr>
            <w:r>
              <w:rPr>
                <w:lang w:eastAsia="en-US"/>
              </w:rPr>
              <w:t>Ms Rebekah Burton</w:t>
            </w:r>
          </w:p>
        </w:tc>
        <w:tc>
          <w:tcPr>
            <w:tcW w:w="1417" w:type="dxa"/>
          </w:tcPr>
          <w:p w:rsidR="00064540" w:rsidRDefault="00064540" w:rsidP="00AC7A1F">
            <w:pPr>
              <w:pStyle w:val="BodyText"/>
              <w:rPr>
                <w:lang w:eastAsia="en-US"/>
              </w:rPr>
            </w:pPr>
            <w:proofErr w:type="spellStart"/>
            <w:r>
              <w:rPr>
                <w:lang w:eastAsia="en-US"/>
              </w:rPr>
              <w:t>Tas</w:t>
            </w:r>
            <w:proofErr w:type="spellEnd"/>
          </w:p>
        </w:tc>
        <w:tc>
          <w:tcPr>
            <w:tcW w:w="4809" w:type="dxa"/>
          </w:tcPr>
          <w:p w:rsidR="00064540" w:rsidRDefault="00064540" w:rsidP="00AC7A1F">
            <w:pPr>
              <w:pStyle w:val="BodyText"/>
              <w:rPr>
                <w:lang w:eastAsia="en-US"/>
              </w:rPr>
            </w:pPr>
            <w:r>
              <w:rPr>
                <w:lang w:eastAsia="en-US"/>
              </w:rPr>
              <w:t>Department of Premier and Cabinet</w:t>
            </w:r>
          </w:p>
        </w:tc>
      </w:tr>
      <w:tr w:rsidR="00064540" w:rsidRPr="002D1FF4" w:rsidTr="00AC7A1F">
        <w:tc>
          <w:tcPr>
            <w:tcW w:w="2552" w:type="dxa"/>
          </w:tcPr>
          <w:p w:rsidR="00064540" w:rsidRDefault="00064540" w:rsidP="00AC7A1F">
            <w:pPr>
              <w:pStyle w:val="BodyText"/>
              <w:rPr>
                <w:lang w:eastAsia="en-US"/>
              </w:rPr>
            </w:pPr>
            <w:r>
              <w:rPr>
                <w:lang w:eastAsia="en-US"/>
              </w:rPr>
              <w:t xml:space="preserve">Mr Sam </w:t>
            </w:r>
            <w:proofErr w:type="spellStart"/>
            <w:r>
              <w:rPr>
                <w:lang w:eastAsia="en-US"/>
              </w:rPr>
              <w:t>Engele</w:t>
            </w:r>
            <w:proofErr w:type="spellEnd"/>
          </w:p>
        </w:tc>
        <w:tc>
          <w:tcPr>
            <w:tcW w:w="1417" w:type="dxa"/>
          </w:tcPr>
          <w:p w:rsidR="00064540" w:rsidRDefault="00064540" w:rsidP="00AC7A1F">
            <w:pPr>
              <w:pStyle w:val="BodyText"/>
              <w:rPr>
                <w:lang w:eastAsia="en-US"/>
              </w:rPr>
            </w:pPr>
            <w:r>
              <w:rPr>
                <w:lang w:eastAsia="en-US"/>
              </w:rPr>
              <w:t>ACT</w:t>
            </w:r>
          </w:p>
        </w:tc>
        <w:tc>
          <w:tcPr>
            <w:tcW w:w="4809" w:type="dxa"/>
          </w:tcPr>
          <w:p w:rsidR="00064540" w:rsidRDefault="00064540" w:rsidP="00AC7A1F">
            <w:pPr>
              <w:pStyle w:val="BodyText"/>
              <w:jc w:val="left"/>
              <w:rPr>
                <w:lang w:eastAsia="en-US"/>
              </w:rPr>
            </w:pPr>
            <w:r>
              <w:rPr>
                <w:lang w:eastAsia="en-US"/>
              </w:rPr>
              <w:t>Chief Minister, Treasury and Economic Development Directorate</w:t>
            </w:r>
          </w:p>
        </w:tc>
      </w:tr>
      <w:tr w:rsidR="00064540" w:rsidRPr="002D1FF4" w:rsidTr="00AC7A1F">
        <w:tc>
          <w:tcPr>
            <w:tcW w:w="2552" w:type="dxa"/>
          </w:tcPr>
          <w:p w:rsidR="00064540" w:rsidRDefault="00064540" w:rsidP="00AC7A1F">
            <w:pPr>
              <w:pStyle w:val="BodyText"/>
              <w:rPr>
                <w:lang w:eastAsia="en-US"/>
              </w:rPr>
            </w:pPr>
            <w:r>
              <w:rPr>
                <w:lang w:eastAsia="en-US"/>
              </w:rPr>
              <w:t>Ms Kerry Flanagan</w:t>
            </w:r>
          </w:p>
        </w:tc>
        <w:tc>
          <w:tcPr>
            <w:tcW w:w="1417" w:type="dxa"/>
          </w:tcPr>
          <w:p w:rsidR="00064540" w:rsidRDefault="00064540" w:rsidP="00AC7A1F">
            <w:pPr>
              <w:pStyle w:val="BodyText"/>
              <w:rPr>
                <w:lang w:eastAsia="en-US"/>
              </w:rPr>
            </w:pPr>
          </w:p>
        </w:tc>
        <w:tc>
          <w:tcPr>
            <w:tcW w:w="4809" w:type="dxa"/>
          </w:tcPr>
          <w:p w:rsidR="00064540" w:rsidRDefault="00064540" w:rsidP="00AC7A1F">
            <w:pPr>
              <w:pStyle w:val="BodyText"/>
              <w:rPr>
                <w:lang w:eastAsia="en-US"/>
              </w:rPr>
            </w:pPr>
            <w:r>
              <w:rPr>
                <w:lang w:eastAsia="en-US"/>
              </w:rPr>
              <w:t>Australian Institute of Health and Welfare</w:t>
            </w:r>
          </w:p>
        </w:tc>
      </w:tr>
      <w:tr w:rsidR="00064540" w:rsidRPr="002D1FF4" w:rsidTr="00AC7A1F">
        <w:tc>
          <w:tcPr>
            <w:tcW w:w="2552" w:type="dxa"/>
          </w:tcPr>
          <w:p w:rsidR="00064540" w:rsidRDefault="00064540" w:rsidP="00AC7A1F">
            <w:pPr>
              <w:pStyle w:val="BodyText"/>
              <w:spacing w:before="0"/>
              <w:rPr>
                <w:lang w:eastAsia="en-US"/>
              </w:rPr>
            </w:pPr>
            <w:r>
              <w:rPr>
                <w:lang w:eastAsia="en-US"/>
              </w:rPr>
              <w:t>Mr Andrew Kettle</w:t>
            </w:r>
          </w:p>
        </w:tc>
        <w:tc>
          <w:tcPr>
            <w:tcW w:w="1417" w:type="dxa"/>
          </w:tcPr>
          <w:p w:rsidR="00064540" w:rsidRDefault="00064540" w:rsidP="00AC7A1F">
            <w:pPr>
              <w:pStyle w:val="BodyText"/>
              <w:spacing w:before="0"/>
              <w:rPr>
                <w:lang w:eastAsia="en-US"/>
              </w:rPr>
            </w:pPr>
          </w:p>
        </w:tc>
        <w:tc>
          <w:tcPr>
            <w:tcW w:w="4809" w:type="dxa"/>
          </w:tcPr>
          <w:p w:rsidR="00064540" w:rsidRDefault="00064540" w:rsidP="00AC7A1F">
            <w:pPr>
              <w:pStyle w:val="BodyText"/>
              <w:spacing w:before="0"/>
              <w:rPr>
                <w:lang w:eastAsia="en-US"/>
              </w:rPr>
            </w:pPr>
            <w:r>
              <w:rPr>
                <w:lang w:eastAsia="en-US"/>
              </w:rPr>
              <w:t>Australian Institute of Health and Welfare</w:t>
            </w:r>
          </w:p>
        </w:tc>
      </w:tr>
      <w:tr w:rsidR="00064540" w:rsidRPr="002D1FF4" w:rsidTr="00AC7A1F">
        <w:tc>
          <w:tcPr>
            <w:tcW w:w="2552" w:type="dxa"/>
          </w:tcPr>
          <w:p w:rsidR="00064540" w:rsidRDefault="00064540" w:rsidP="00AC7A1F">
            <w:pPr>
              <w:pStyle w:val="BodyText"/>
              <w:rPr>
                <w:lang w:eastAsia="en-US"/>
              </w:rPr>
            </w:pPr>
            <w:r>
              <w:rPr>
                <w:lang w:eastAsia="en-US"/>
              </w:rPr>
              <w:t>Mr Peter Harper</w:t>
            </w:r>
          </w:p>
        </w:tc>
        <w:tc>
          <w:tcPr>
            <w:tcW w:w="1417" w:type="dxa"/>
          </w:tcPr>
          <w:p w:rsidR="00064540" w:rsidRDefault="00064540" w:rsidP="00AC7A1F">
            <w:pPr>
              <w:pStyle w:val="BodyText"/>
              <w:rPr>
                <w:lang w:eastAsia="en-US"/>
              </w:rPr>
            </w:pPr>
          </w:p>
        </w:tc>
        <w:tc>
          <w:tcPr>
            <w:tcW w:w="4809" w:type="dxa"/>
          </w:tcPr>
          <w:p w:rsidR="00064540" w:rsidRDefault="00064540" w:rsidP="00AC7A1F">
            <w:pPr>
              <w:pStyle w:val="BodyText"/>
              <w:rPr>
                <w:lang w:eastAsia="en-US"/>
              </w:rPr>
            </w:pPr>
            <w:r>
              <w:rPr>
                <w:lang w:eastAsia="en-US"/>
              </w:rPr>
              <w:t>Australian Bureau of Statistics</w:t>
            </w:r>
          </w:p>
        </w:tc>
      </w:tr>
    </w:tbl>
    <w:p w:rsidR="00064540" w:rsidRDefault="00064540" w:rsidP="00064540">
      <w:pPr>
        <w:pStyle w:val="BodyText"/>
        <w:rPr>
          <w:lang w:eastAsia="en-US"/>
        </w:rPr>
      </w:pPr>
    </w:p>
    <w:p w:rsidR="00064540" w:rsidRPr="00FC1961" w:rsidRDefault="00064540" w:rsidP="00064540">
      <w:pPr>
        <w:pStyle w:val="BodyText"/>
        <w:rPr>
          <w:lang w:eastAsia="en-US"/>
        </w:rPr>
      </w:pPr>
    </w:p>
    <w:p w:rsidR="00064540" w:rsidRDefault="00064540" w:rsidP="00064540">
      <w:pPr>
        <w:pStyle w:val="BodyText"/>
        <w:rPr>
          <w:lang w:eastAsia="en-US"/>
        </w:rPr>
      </w:pPr>
    </w:p>
    <w:p w:rsidR="00064540" w:rsidRPr="00883E8C" w:rsidRDefault="00064540" w:rsidP="00064540">
      <w:pPr>
        <w:pStyle w:val="BodyText"/>
        <w:rPr>
          <w:lang w:eastAsia="en-US"/>
        </w:rPr>
      </w:pPr>
    </w:p>
    <w:p w:rsidR="00064540" w:rsidRDefault="00064540" w:rsidP="00064540">
      <w:pPr>
        <w:pStyle w:val="BodyText"/>
        <w:sectPr w:rsidR="00064540" w:rsidSect="00883E8C">
          <w:headerReference w:type="even" r:id="rId19"/>
          <w:headerReference w:type="default" r:id="rId20"/>
          <w:footerReference w:type="even" r:id="rId21"/>
          <w:footerReference w:type="default" r:id="rId22"/>
          <w:pgSz w:w="11906" w:h="16838" w:code="9"/>
          <w:pgMar w:top="1985" w:right="1304" w:bottom="1247" w:left="1814" w:header="1701" w:footer="397" w:gutter="0"/>
          <w:pgNumType w:fmt="lowerRoman"/>
          <w:cols w:space="708"/>
          <w:docGrid w:linePitch="360"/>
        </w:sectPr>
      </w:pPr>
    </w:p>
    <w:p w:rsidR="00064540" w:rsidRDefault="00064540" w:rsidP="00064540">
      <w:pPr>
        <w:pStyle w:val="Heading1"/>
      </w:pPr>
      <w:bookmarkStart w:id="16" w:name="EndContents"/>
      <w:bookmarkStart w:id="17" w:name="_Toc494096434"/>
      <w:bookmarkStart w:id="18" w:name="_Toc494096498"/>
      <w:bookmarkStart w:id="19" w:name="_Toc494110579"/>
      <w:bookmarkStart w:id="20" w:name="_Toc494266197"/>
      <w:bookmarkEnd w:id="16"/>
      <w:r>
        <w:lastRenderedPageBreak/>
        <w:t>Working Group</w:t>
      </w:r>
      <w:bookmarkEnd w:id="17"/>
      <w:bookmarkEnd w:id="18"/>
      <w:bookmarkEnd w:id="19"/>
      <w:bookmarkEnd w:id="20"/>
    </w:p>
    <w:p w:rsidR="00064540" w:rsidRDefault="00064540" w:rsidP="00064540">
      <w:pPr>
        <w:pStyle w:val="BodyText"/>
      </w:pPr>
      <w:bookmarkStart w:id="21" w:name="Glossary"/>
      <w:bookmarkEnd w:id="21"/>
      <w:r>
        <w:t>The Indigenous Expenditure Report Working Group undertakes the development and production of the Indigenous Expenditure Report under the auspice of the Steering Committee. The Working Group comprises the following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ore details can be found within the text surrounding this image."/>
      </w:tblPr>
      <w:tblGrid>
        <w:gridCol w:w="2552"/>
        <w:gridCol w:w="1417"/>
        <w:gridCol w:w="4809"/>
      </w:tblGrid>
      <w:tr w:rsidR="00064540" w:rsidTr="00AC7A1F">
        <w:tc>
          <w:tcPr>
            <w:tcW w:w="2552" w:type="dxa"/>
            <w:hideMark/>
          </w:tcPr>
          <w:p w:rsidR="00064540" w:rsidRDefault="00064540" w:rsidP="00AC7A1F">
            <w:pPr>
              <w:pStyle w:val="BodyText"/>
              <w:rPr>
                <w:lang w:eastAsia="en-US"/>
              </w:rPr>
            </w:pPr>
            <w:r>
              <w:rPr>
                <w:lang w:eastAsia="en-US"/>
              </w:rPr>
              <w:t>Ms Nina Davidson</w:t>
            </w:r>
          </w:p>
        </w:tc>
        <w:tc>
          <w:tcPr>
            <w:tcW w:w="1417" w:type="dxa"/>
            <w:hideMark/>
          </w:tcPr>
          <w:p w:rsidR="00064540" w:rsidRDefault="00064540" w:rsidP="00AC7A1F">
            <w:pPr>
              <w:pStyle w:val="BodyText"/>
              <w:rPr>
                <w:lang w:eastAsia="en-US"/>
              </w:rPr>
            </w:pPr>
            <w:r>
              <w:rPr>
                <w:lang w:eastAsia="en-US"/>
              </w:rPr>
              <w:t>Convenor</w:t>
            </w:r>
          </w:p>
        </w:tc>
        <w:tc>
          <w:tcPr>
            <w:tcW w:w="4809" w:type="dxa"/>
            <w:hideMark/>
          </w:tcPr>
          <w:p w:rsidR="00064540" w:rsidRDefault="00064540" w:rsidP="00AC7A1F">
            <w:pPr>
              <w:pStyle w:val="BodyText"/>
              <w:jc w:val="left"/>
              <w:rPr>
                <w:lang w:eastAsia="en-US"/>
              </w:rPr>
            </w:pPr>
            <w:r>
              <w:rPr>
                <w:lang w:eastAsia="en-US"/>
              </w:rPr>
              <w:t>Productivity Commission</w:t>
            </w:r>
          </w:p>
        </w:tc>
      </w:tr>
      <w:tr w:rsidR="00064540" w:rsidRPr="00D35E3D" w:rsidTr="00AC7A1F">
        <w:tc>
          <w:tcPr>
            <w:tcW w:w="2552" w:type="dxa"/>
            <w:hideMark/>
          </w:tcPr>
          <w:p w:rsidR="00064540" w:rsidRDefault="00064540" w:rsidP="00AC7A1F">
            <w:pPr>
              <w:pStyle w:val="BodyText"/>
              <w:spacing w:before="120"/>
              <w:rPr>
                <w:lang w:eastAsia="en-US"/>
              </w:rPr>
            </w:pPr>
            <w:r>
              <w:rPr>
                <w:lang w:eastAsia="en-US"/>
              </w:rPr>
              <w:t>Ms Jody Hughes</w:t>
            </w:r>
          </w:p>
        </w:tc>
        <w:tc>
          <w:tcPr>
            <w:tcW w:w="1417" w:type="dxa"/>
            <w:hideMark/>
          </w:tcPr>
          <w:p w:rsidR="00064540" w:rsidRDefault="00064540" w:rsidP="00AC7A1F">
            <w:pPr>
              <w:pStyle w:val="BodyText"/>
              <w:spacing w:before="120"/>
              <w:rPr>
                <w:lang w:eastAsia="en-US"/>
              </w:rPr>
            </w:pPr>
            <w:r>
              <w:rPr>
                <w:lang w:eastAsia="en-US"/>
              </w:rPr>
              <w:t>Aust. Govt.</w:t>
            </w:r>
          </w:p>
        </w:tc>
        <w:tc>
          <w:tcPr>
            <w:tcW w:w="4809" w:type="dxa"/>
            <w:hideMark/>
          </w:tcPr>
          <w:p w:rsidR="00064540" w:rsidRDefault="00064540" w:rsidP="00AC7A1F">
            <w:pPr>
              <w:pStyle w:val="BodyText"/>
              <w:spacing w:before="120"/>
              <w:rPr>
                <w:lang w:eastAsia="en-US"/>
              </w:rPr>
            </w:pPr>
            <w:r>
              <w:rPr>
                <w:lang w:eastAsia="en-US"/>
              </w:rPr>
              <w:t>Department of the Prime Minister and Cabinet</w:t>
            </w:r>
          </w:p>
        </w:tc>
      </w:tr>
      <w:tr w:rsidR="00064540" w:rsidRPr="00D35E3D" w:rsidTr="00AC7A1F">
        <w:tc>
          <w:tcPr>
            <w:tcW w:w="2552" w:type="dxa"/>
            <w:hideMark/>
          </w:tcPr>
          <w:p w:rsidR="00064540" w:rsidRDefault="00064540" w:rsidP="00D35E3D">
            <w:pPr>
              <w:pStyle w:val="BodyText"/>
              <w:spacing w:before="120"/>
              <w:rPr>
                <w:lang w:eastAsia="en-US"/>
              </w:rPr>
            </w:pPr>
            <w:r>
              <w:rPr>
                <w:lang w:eastAsia="en-US"/>
              </w:rPr>
              <w:t>Ms Katie Rae</w:t>
            </w:r>
          </w:p>
        </w:tc>
        <w:tc>
          <w:tcPr>
            <w:tcW w:w="1417" w:type="dxa"/>
            <w:hideMark/>
          </w:tcPr>
          <w:p w:rsidR="00064540" w:rsidRDefault="00064540" w:rsidP="00D35E3D">
            <w:pPr>
              <w:pStyle w:val="BodyText"/>
              <w:spacing w:before="120"/>
              <w:rPr>
                <w:lang w:eastAsia="en-US"/>
              </w:rPr>
            </w:pPr>
            <w:r>
              <w:rPr>
                <w:lang w:eastAsia="en-US"/>
              </w:rPr>
              <w:t>Aust. Govt.</w:t>
            </w:r>
          </w:p>
        </w:tc>
        <w:tc>
          <w:tcPr>
            <w:tcW w:w="4809" w:type="dxa"/>
            <w:hideMark/>
          </w:tcPr>
          <w:p w:rsidR="00064540" w:rsidRDefault="00064540" w:rsidP="00D35E3D">
            <w:pPr>
              <w:pStyle w:val="BodyText"/>
              <w:spacing w:before="120"/>
              <w:rPr>
                <w:lang w:eastAsia="en-US"/>
              </w:rPr>
            </w:pPr>
            <w:r>
              <w:rPr>
                <w:lang w:eastAsia="en-US"/>
              </w:rPr>
              <w:t>Department of Finance</w:t>
            </w:r>
          </w:p>
        </w:tc>
      </w:tr>
      <w:tr w:rsidR="00064540" w:rsidRPr="00D35E3D" w:rsidTr="00AC7A1F">
        <w:tc>
          <w:tcPr>
            <w:tcW w:w="2552" w:type="dxa"/>
            <w:hideMark/>
          </w:tcPr>
          <w:p w:rsidR="00064540" w:rsidRDefault="00064540" w:rsidP="00D35E3D">
            <w:pPr>
              <w:pStyle w:val="BodyText"/>
              <w:spacing w:before="120"/>
              <w:rPr>
                <w:lang w:eastAsia="en-US"/>
              </w:rPr>
            </w:pPr>
            <w:r>
              <w:rPr>
                <w:lang w:eastAsia="en-US"/>
              </w:rPr>
              <w:t>Mr Timothy Goodland</w:t>
            </w:r>
          </w:p>
        </w:tc>
        <w:tc>
          <w:tcPr>
            <w:tcW w:w="1417" w:type="dxa"/>
            <w:hideMark/>
          </w:tcPr>
          <w:p w:rsidR="00064540" w:rsidRDefault="00064540" w:rsidP="00D35E3D">
            <w:pPr>
              <w:pStyle w:val="BodyText"/>
              <w:spacing w:before="120"/>
              <w:rPr>
                <w:lang w:eastAsia="en-US"/>
              </w:rPr>
            </w:pPr>
            <w:r>
              <w:rPr>
                <w:lang w:eastAsia="en-US"/>
              </w:rPr>
              <w:t>Aust. Govt.</w:t>
            </w:r>
          </w:p>
        </w:tc>
        <w:tc>
          <w:tcPr>
            <w:tcW w:w="4809" w:type="dxa"/>
            <w:hideMark/>
          </w:tcPr>
          <w:p w:rsidR="00064540" w:rsidRDefault="00064540" w:rsidP="00D35E3D">
            <w:pPr>
              <w:pStyle w:val="BodyText"/>
              <w:spacing w:before="120"/>
              <w:rPr>
                <w:lang w:eastAsia="en-US"/>
              </w:rPr>
            </w:pPr>
            <w:r>
              <w:rPr>
                <w:lang w:eastAsia="en-US"/>
              </w:rPr>
              <w:t>The Treasury</w:t>
            </w:r>
          </w:p>
        </w:tc>
      </w:tr>
      <w:tr w:rsidR="00064540" w:rsidTr="00AC7A1F">
        <w:tc>
          <w:tcPr>
            <w:tcW w:w="2552" w:type="dxa"/>
            <w:hideMark/>
          </w:tcPr>
          <w:p w:rsidR="00064540" w:rsidRDefault="00064540" w:rsidP="00AC7A1F">
            <w:pPr>
              <w:pStyle w:val="BodyText"/>
              <w:spacing w:before="120"/>
              <w:rPr>
                <w:lang w:eastAsia="en-US"/>
              </w:rPr>
            </w:pPr>
            <w:r>
              <w:rPr>
                <w:lang w:eastAsia="en-US"/>
              </w:rPr>
              <w:t>Mr Lawrence Freeman</w:t>
            </w:r>
          </w:p>
        </w:tc>
        <w:tc>
          <w:tcPr>
            <w:tcW w:w="1417" w:type="dxa"/>
            <w:hideMark/>
          </w:tcPr>
          <w:p w:rsidR="00064540" w:rsidRDefault="00064540" w:rsidP="00AC7A1F">
            <w:pPr>
              <w:pStyle w:val="BodyText"/>
              <w:spacing w:before="120"/>
              <w:rPr>
                <w:lang w:eastAsia="en-US"/>
              </w:rPr>
            </w:pPr>
            <w:r>
              <w:rPr>
                <w:lang w:eastAsia="en-US"/>
              </w:rPr>
              <w:t>NSW</w:t>
            </w:r>
          </w:p>
        </w:tc>
        <w:tc>
          <w:tcPr>
            <w:tcW w:w="4809" w:type="dxa"/>
            <w:hideMark/>
          </w:tcPr>
          <w:p w:rsidR="00064540" w:rsidRPr="00BF3E69" w:rsidRDefault="00064540" w:rsidP="00AC7A1F">
            <w:pPr>
              <w:pStyle w:val="BodyText"/>
              <w:spacing w:before="120"/>
              <w:rPr>
                <w:lang w:eastAsia="en-US"/>
              </w:rPr>
            </w:pPr>
            <w:r w:rsidRPr="00BF3E69">
              <w:rPr>
                <w:lang w:eastAsia="en-US"/>
              </w:rPr>
              <w:t>NSW Treasury</w:t>
            </w:r>
          </w:p>
        </w:tc>
      </w:tr>
      <w:tr w:rsidR="00064540" w:rsidTr="00AC7A1F">
        <w:tc>
          <w:tcPr>
            <w:tcW w:w="2552" w:type="dxa"/>
            <w:hideMark/>
          </w:tcPr>
          <w:p w:rsidR="00064540" w:rsidRDefault="00064540" w:rsidP="00AC7A1F">
            <w:pPr>
              <w:pStyle w:val="BodyText"/>
              <w:spacing w:before="120"/>
              <w:rPr>
                <w:lang w:eastAsia="en-US"/>
              </w:rPr>
            </w:pPr>
            <w:r>
              <w:rPr>
                <w:lang w:eastAsia="en-US"/>
              </w:rPr>
              <w:t xml:space="preserve">Ms Claire </w:t>
            </w:r>
            <w:proofErr w:type="spellStart"/>
            <w:r>
              <w:rPr>
                <w:lang w:eastAsia="en-US"/>
              </w:rPr>
              <w:t>Bickell</w:t>
            </w:r>
            <w:proofErr w:type="spellEnd"/>
          </w:p>
        </w:tc>
        <w:tc>
          <w:tcPr>
            <w:tcW w:w="1417" w:type="dxa"/>
            <w:hideMark/>
          </w:tcPr>
          <w:p w:rsidR="00064540" w:rsidRDefault="00064540" w:rsidP="00AC7A1F">
            <w:pPr>
              <w:pStyle w:val="BodyText"/>
              <w:spacing w:before="120"/>
              <w:rPr>
                <w:lang w:eastAsia="en-US"/>
              </w:rPr>
            </w:pPr>
            <w:r>
              <w:rPr>
                <w:lang w:eastAsia="en-US"/>
              </w:rPr>
              <w:t>Vic</w:t>
            </w:r>
          </w:p>
        </w:tc>
        <w:tc>
          <w:tcPr>
            <w:tcW w:w="4809" w:type="dxa"/>
            <w:hideMark/>
          </w:tcPr>
          <w:p w:rsidR="00064540" w:rsidRPr="00BF3E69" w:rsidRDefault="00064540" w:rsidP="00AC7A1F">
            <w:pPr>
              <w:pStyle w:val="BodyText"/>
              <w:spacing w:before="120"/>
              <w:rPr>
                <w:lang w:eastAsia="en-US"/>
              </w:rPr>
            </w:pPr>
            <w:r w:rsidRPr="00BF3E69">
              <w:rPr>
                <w:lang w:eastAsia="en-US"/>
              </w:rPr>
              <w:t>Department of Treasury and Finance</w:t>
            </w:r>
          </w:p>
        </w:tc>
        <w:bookmarkStart w:id="22" w:name="_GoBack"/>
        <w:bookmarkEnd w:id="22"/>
      </w:tr>
      <w:tr w:rsidR="00064540" w:rsidTr="00AC7A1F">
        <w:tc>
          <w:tcPr>
            <w:tcW w:w="2552" w:type="dxa"/>
            <w:hideMark/>
          </w:tcPr>
          <w:p w:rsidR="00064540" w:rsidRDefault="00064540" w:rsidP="00AC7A1F">
            <w:pPr>
              <w:pStyle w:val="BodyText"/>
              <w:spacing w:before="120"/>
              <w:rPr>
                <w:lang w:eastAsia="en-US"/>
              </w:rPr>
            </w:pPr>
            <w:r>
              <w:rPr>
                <w:lang w:eastAsia="en-US"/>
              </w:rPr>
              <w:t xml:space="preserve">Ms Janelle </w:t>
            </w:r>
            <w:proofErr w:type="spellStart"/>
            <w:r>
              <w:rPr>
                <w:lang w:eastAsia="en-US"/>
              </w:rPr>
              <w:t>Thurlby</w:t>
            </w:r>
            <w:proofErr w:type="spellEnd"/>
          </w:p>
        </w:tc>
        <w:tc>
          <w:tcPr>
            <w:tcW w:w="1417" w:type="dxa"/>
            <w:hideMark/>
          </w:tcPr>
          <w:p w:rsidR="00064540" w:rsidRDefault="00064540" w:rsidP="00AC7A1F">
            <w:pPr>
              <w:pStyle w:val="BodyText"/>
              <w:spacing w:before="120"/>
              <w:rPr>
                <w:lang w:eastAsia="en-US"/>
              </w:rPr>
            </w:pPr>
            <w:r>
              <w:rPr>
                <w:lang w:eastAsia="en-US"/>
              </w:rPr>
              <w:t>Qld</w:t>
            </w:r>
          </w:p>
        </w:tc>
        <w:tc>
          <w:tcPr>
            <w:tcW w:w="4809" w:type="dxa"/>
            <w:hideMark/>
          </w:tcPr>
          <w:p w:rsidR="00064540" w:rsidRPr="00BF3E69" w:rsidRDefault="00064540" w:rsidP="00AC7A1F">
            <w:pPr>
              <w:pStyle w:val="BodyText"/>
              <w:spacing w:before="120"/>
              <w:rPr>
                <w:lang w:eastAsia="en-US"/>
              </w:rPr>
            </w:pPr>
            <w:r w:rsidRPr="00BF3E69">
              <w:rPr>
                <w:lang w:eastAsia="en-US"/>
              </w:rPr>
              <w:t>Queensland Treasury</w:t>
            </w:r>
          </w:p>
        </w:tc>
      </w:tr>
      <w:tr w:rsidR="00064540" w:rsidTr="00AC7A1F">
        <w:tc>
          <w:tcPr>
            <w:tcW w:w="2552" w:type="dxa"/>
            <w:hideMark/>
          </w:tcPr>
          <w:p w:rsidR="00064540" w:rsidRDefault="00064540" w:rsidP="00AC7A1F">
            <w:pPr>
              <w:pStyle w:val="BodyText"/>
              <w:spacing w:before="120"/>
              <w:rPr>
                <w:lang w:eastAsia="en-US"/>
              </w:rPr>
            </w:pPr>
            <w:r>
              <w:rPr>
                <w:lang w:eastAsia="en-US"/>
              </w:rPr>
              <w:t>Ms Maria Lee</w:t>
            </w:r>
          </w:p>
        </w:tc>
        <w:tc>
          <w:tcPr>
            <w:tcW w:w="1417" w:type="dxa"/>
            <w:hideMark/>
          </w:tcPr>
          <w:p w:rsidR="00064540" w:rsidRDefault="00064540" w:rsidP="00AC7A1F">
            <w:pPr>
              <w:pStyle w:val="BodyText"/>
              <w:spacing w:before="120"/>
              <w:rPr>
                <w:lang w:eastAsia="en-US"/>
              </w:rPr>
            </w:pPr>
            <w:r>
              <w:rPr>
                <w:lang w:eastAsia="en-US"/>
              </w:rPr>
              <w:t>WA</w:t>
            </w:r>
          </w:p>
        </w:tc>
        <w:tc>
          <w:tcPr>
            <w:tcW w:w="4809" w:type="dxa"/>
            <w:hideMark/>
          </w:tcPr>
          <w:p w:rsidR="00064540" w:rsidRPr="00BF3E69" w:rsidRDefault="00064540" w:rsidP="00AC7A1F">
            <w:pPr>
              <w:pStyle w:val="BodyText"/>
              <w:spacing w:before="120"/>
              <w:rPr>
                <w:lang w:eastAsia="en-US"/>
              </w:rPr>
            </w:pPr>
            <w:r w:rsidRPr="00BF3E69">
              <w:rPr>
                <w:lang w:eastAsia="en-US"/>
              </w:rPr>
              <w:t>Department of Treasury</w:t>
            </w:r>
          </w:p>
        </w:tc>
      </w:tr>
      <w:tr w:rsidR="00064540" w:rsidTr="00AC7A1F">
        <w:tc>
          <w:tcPr>
            <w:tcW w:w="2552" w:type="dxa"/>
            <w:hideMark/>
          </w:tcPr>
          <w:p w:rsidR="00064540" w:rsidRDefault="00064540" w:rsidP="00AC7A1F">
            <w:pPr>
              <w:pStyle w:val="BodyText"/>
              <w:spacing w:before="120"/>
              <w:rPr>
                <w:lang w:eastAsia="en-US"/>
              </w:rPr>
            </w:pPr>
            <w:r>
              <w:rPr>
                <w:lang w:eastAsia="en-US"/>
              </w:rPr>
              <w:t>Ms Tracey Scott</w:t>
            </w:r>
          </w:p>
        </w:tc>
        <w:tc>
          <w:tcPr>
            <w:tcW w:w="1417" w:type="dxa"/>
            <w:hideMark/>
          </w:tcPr>
          <w:p w:rsidR="00064540" w:rsidRDefault="00064540" w:rsidP="00AC7A1F">
            <w:pPr>
              <w:pStyle w:val="BodyText"/>
              <w:spacing w:before="120"/>
              <w:rPr>
                <w:lang w:eastAsia="en-US"/>
              </w:rPr>
            </w:pPr>
            <w:r>
              <w:rPr>
                <w:lang w:eastAsia="en-US"/>
              </w:rPr>
              <w:t>SA</w:t>
            </w:r>
          </w:p>
        </w:tc>
        <w:tc>
          <w:tcPr>
            <w:tcW w:w="4809" w:type="dxa"/>
            <w:hideMark/>
          </w:tcPr>
          <w:p w:rsidR="00064540" w:rsidRPr="00BF3E69" w:rsidRDefault="00064540" w:rsidP="00AC7A1F">
            <w:pPr>
              <w:pStyle w:val="BodyText"/>
              <w:spacing w:before="120"/>
              <w:rPr>
                <w:lang w:eastAsia="en-US"/>
              </w:rPr>
            </w:pPr>
            <w:r w:rsidRPr="00BF3E69">
              <w:rPr>
                <w:lang w:eastAsia="en-US"/>
              </w:rPr>
              <w:t>Department of Treasury and Finance</w:t>
            </w:r>
          </w:p>
        </w:tc>
      </w:tr>
      <w:tr w:rsidR="00064540" w:rsidTr="00AC7A1F">
        <w:tc>
          <w:tcPr>
            <w:tcW w:w="2552" w:type="dxa"/>
            <w:hideMark/>
          </w:tcPr>
          <w:p w:rsidR="00064540" w:rsidRDefault="00064540" w:rsidP="00AC7A1F">
            <w:pPr>
              <w:pStyle w:val="BodyText"/>
              <w:spacing w:before="120"/>
              <w:rPr>
                <w:lang w:eastAsia="en-US"/>
              </w:rPr>
            </w:pPr>
            <w:r>
              <w:rPr>
                <w:lang w:eastAsia="en-US"/>
              </w:rPr>
              <w:t xml:space="preserve">Mr Damien </w:t>
            </w:r>
            <w:proofErr w:type="spellStart"/>
            <w:r>
              <w:rPr>
                <w:lang w:eastAsia="en-US"/>
              </w:rPr>
              <w:t>Febey</w:t>
            </w:r>
            <w:proofErr w:type="spellEnd"/>
          </w:p>
        </w:tc>
        <w:tc>
          <w:tcPr>
            <w:tcW w:w="1417" w:type="dxa"/>
            <w:hideMark/>
          </w:tcPr>
          <w:p w:rsidR="00064540" w:rsidRDefault="00064540" w:rsidP="00AC7A1F">
            <w:pPr>
              <w:pStyle w:val="BodyText"/>
              <w:spacing w:before="120"/>
              <w:rPr>
                <w:lang w:eastAsia="en-US"/>
              </w:rPr>
            </w:pPr>
            <w:proofErr w:type="spellStart"/>
            <w:r>
              <w:rPr>
                <w:lang w:eastAsia="en-US"/>
              </w:rPr>
              <w:t>Tas</w:t>
            </w:r>
            <w:proofErr w:type="spellEnd"/>
          </w:p>
        </w:tc>
        <w:tc>
          <w:tcPr>
            <w:tcW w:w="4809" w:type="dxa"/>
            <w:hideMark/>
          </w:tcPr>
          <w:p w:rsidR="00064540" w:rsidRDefault="00064540" w:rsidP="00AC7A1F">
            <w:pPr>
              <w:pStyle w:val="BodyText"/>
              <w:spacing w:before="120"/>
              <w:rPr>
                <w:lang w:eastAsia="en-US"/>
              </w:rPr>
            </w:pPr>
            <w:r>
              <w:rPr>
                <w:lang w:eastAsia="en-US"/>
              </w:rPr>
              <w:t>Department of Treasury and Finance</w:t>
            </w:r>
          </w:p>
        </w:tc>
      </w:tr>
      <w:tr w:rsidR="00064540" w:rsidTr="00AC7A1F">
        <w:tc>
          <w:tcPr>
            <w:tcW w:w="2552" w:type="dxa"/>
            <w:hideMark/>
          </w:tcPr>
          <w:p w:rsidR="00064540" w:rsidRDefault="00064540" w:rsidP="00AC7A1F">
            <w:pPr>
              <w:pStyle w:val="BodyText"/>
              <w:spacing w:before="120"/>
              <w:rPr>
                <w:lang w:eastAsia="en-US"/>
              </w:rPr>
            </w:pPr>
            <w:r>
              <w:rPr>
                <w:lang w:eastAsia="en-US"/>
              </w:rPr>
              <w:t>Ms Natasha Bourke</w:t>
            </w:r>
          </w:p>
        </w:tc>
        <w:tc>
          <w:tcPr>
            <w:tcW w:w="1417" w:type="dxa"/>
            <w:hideMark/>
          </w:tcPr>
          <w:p w:rsidR="00064540" w:rsidRDefault="00064540" w:rsidP="00AC7A1F">
            <w:pPr>
              <w:pStyle w:val="BodyText"/>
              <w:spacing w:before="120"/>
              <w:rPr>
                <w:lang w:eastAsia="en-US"/>
              </w:rPr>
            </w:pPr>
            <w:r>
              <w:rPr>
                <w:lang w:eastAsia="en-US"/>
              </w:rPr>
              <w:t>ACT</w:t>
            </w:r>
          </w:p>
        </w:tc>
        <w:tc>
          <w:tcPr>
            <w:tcW w:w="4809" w:type="dxa"/>
            <w:hideMark/>
          </w:tcPr>
          <w:p w:rsidR="00064540" w:rsidRDefault="00064540" w:rsidP="00AC7A1F">
            <w:pPr>
              <w:pStyle w:val="BodyText"/>
              <w:spacing w:before="120"/>
              <w:jc w:val="left"/>
              <w:rPr>
                <w:lang w:eastAsia="en-US"/>
              </w:rPr>
            </w:pPr>
            <w:r>
              <w:rPr>
                <w:lang w:eastAsia="en-US"/>
              </w:rPr>
              <w:t>Treasury and Economic Development Directorate</w:t>
            </w:r>
          </w:p>
        </w:tc>
      </w:tr>
      <w:tr w:rsidR="00064540" w:rsidTr="00AC7A1F">
        <w:tc>
          <w:tcPr>
            <w:tcW w:w="2552" w:type="dxa"/>
            <w:hideMark/>
          </w:tcPr>
          <w:p w:rsidR="00064540" w:rsidRDefault="00064540" w:rsidP="00AC7A1F">
            <w:pPr>
              <w:pStyle w:val="BodyText"/>
              <w:spacing w:before="120"/>
              <w:rPr>
                <w:lang w:eastAsia="en-US"/>
              </w:rPr>
            </w:pPr>
            <w:r>
              <w:rPr>
                <w:lang w:eastAsia="en-US"/>
              </w:rPr>
              <w:t xml:space="preserve">Ms </w:t>
            </w:r>
            <w:proofErr w:type="spellStart"/>
            <w:r>
              <w:rPr>
                <w:lang w:eastAsia="en-US"/>
              </w:rPr>
              <w:t>Nardia</w:t>
            </w:r>
            <w:proofErr w:type="spellEnd"/>
            <w:r>
              <w:rPr>
                <w:lang w:eastAsia="en-US"/>
              </w:rPr>
              <w:t xml:space="preserve"> Harris</w:t>
            </w:r>
          </w:p>
        </w:tc>
        <w:tc>
          <w:tcPr>
            <w:tcW w:w="1417" w:type="dxa"/>
            <w:hideMark/>
          </w:tcPr>
          <w:p w:rsidR="00064540" w:rsidRDefault="00064540" w:rsidP="00AC7A1F">
            <w:pPr>
              <w:pStyle w:val="BodyText"/>
              <w:spacing w:before="120"/>
              <w:rPr>
                <w:lang w:eastAsia="en-US"/>
              </w:rPr>
            </w:pPr>
            <w:r>
              <w:rPr>
                <w:lang w:eastAsia="en-US"/>
              </w:rPr>
              <w:t>NT</w:t>
            </w:r>
          </w:p>
        </w:tc>
        <w:tc>
          <w:tcPr>
            <w:tcW w:w="4809" w:type="dxa"/>
            <w:hideMark/>
          </w:tcPr>
          <w:p w:rsidR="00064540" w:rsidRDefault="00064540" w:rsidP="00AC7A1F">
            <w:pPr>
              <w:pStyle w:val="BodyText"/>
              <w:spacing w:before="120"/>
              <w:rPr>
                <w:highlight w:val="yellow"/>
                <w:lang w:eastAsia="en-US"/>
              </w:rPr>
            </w:pPr>
            <w:r>
              <w:rPr>
                <w:lang w:eastAsia="en-US"/>
              </w:rPr>
              <w:t>Department of Treasury and Finance</w:t>
            </w:r>
          </w:p>
        </w:tc>
      </w:tr>
      <w:tr w:rsidR="00064540" w:rsidTr="00AC7A1F">
        <w:tc>
          <w:tcPr>
            <w:tcW w:w="2552" w:type="dxa"/>
            <w:hideMark/>
          </w:tcPr>
          <w:p w:rsidR="00064540" w:rsidRDefault="00064540" w:rsidP="00AC7A1F">
            <w:pPr>
              <w:pStyle w:val="BodyText"/>
              <w:spacing w:before="120"/>
              <w:rPr>
                <w:lang w:eastAsia="en-US"/>
              </w:rPr>
            </w:pPr>
            <w:r>
              <w:rPr>
                <w:lang w:eastAsia="en-US"/>
              </w:rPr>
              <w:t xml:space="preserve">Mr Jonathan </w:t>
            </w:r>
            <w:proofErr w:type="spellStart"/>
            <w:r>
              <w:rPr>
                <w:lang w:eastAsia="en-US"/>
              </w:rPr>
              <w:t>Khoo</w:t>
            </w:r>
            <w:proofErr w:type="spellEnd"/>
          </w:p>
        </w:tc>
        <w:tc>
          <w:tcPr>
            <w:tcW w:w="1417" w:type="dxa"/>
          </w:tcPr>
          <w:p w:rsidR="00064540" w:rsidRDefault="00064540" w:rsidP="00AC7A1F">
            <w:pPr>
              <w:pStyle w:val="BodyText"/>
              <w:spacing w:before="120"/>
              <w:rPr>
                <w:lang w:eastAsia="en-US"/>
              </w:rPr>
            </w:pPr>
          </w:p>
        </w:tc>
        <w:tc>
          <w:tcPr>
            <w:tcW w:w="4809" w:type="dxa"/>
            <w:hideMark/>
          </w:tcPr>
          <w:p w:rsidR="00064540" w:rsidRDefault="00064540" w:rsidP="00AC7A1F">
            <w:pPr>
              <w:pStyle w:val="BodyText"/>
              <w:spacing w:before="120"/>
              <w:rPr>
                <w:lang w:eastAsia="en-US"/>
              </w:rPr>
            </w:pPr>
            <w:r>
              <w:rPr>
                <w:lang w:eastAsia="en-US"/>
              </w:rPr>
              <w:t>Australian Bureau of Statistics</w:t>
            </w:r>
          </w:p>
        </w:tc>
      </w:tr>
      <w:tr w:rsidR="00064540" w:rsidTr="00AC7A1F">
        <w:tc>
          <w:tcPr>
            <w:tcW w:w="2552" w:type="dxa"/>
            <w:hideMark/>
          </w:tcPr>
          <w:p w:rsidR="00064540" w:rsidRDefault="00064540" w:rsidP="00AC7A1F">
            <w:pPr>
              <w:pStyle w:val="BodyText"/>
              <w:spacing w:before="120"/>
              <w:rPr>
                <w:lang w:eastAsia="en-US"/>
              </w:rPr>
            </w:pPr>
            <w:r>
              <w:rPr>
                <w:lang w:eastAsia="en-US"/>
              </w:rPr>
              <w:t>Ms Vicki Bennett</w:t>
            </w:r>
          </w:p>
        </w:tc>
        <w:tc>
          <w:tcPr>
            <w:tcW w:w="1417" w:type="dxa"/>
          </w:tcPr>
          <w:p w:rsidR="00064540" w:rsidRDefault="00064540" w:rsidP="00AC7A1F">
            <w:pPr>
              <w:pStyle w:val="BodyText"/>
              <w:spacing w:before="120"/>
              <w:rPr>
                <w:lang w:eastAsia="en-US"/>
              </w:rPr>
            </w:pPr>
          </w:p>
        </w:tc>
        <w:tc>
          <w:tcPr>
            <w:tcW w:w="4809" w:type="dxa"/>
            <w:hideMark/>
          </w:tcPr>
          <w:p w:rsidR="00064540" w:rsidRDefault="00064540" w:rsidP="00AC7A1F">
            <w:pPr>
              <w:pStyle w:val="BodyText"/>
              <w:spacing w:before="120"/>
              <w:rPr>
                <w:lang w:eastAsia="en-US"/>
              </w:rPr>
            </w:pPr>
            <w:r>
              <w:rPr>
                <w:lang w:eastAsia="en-US"/>
              </w:rPr>
              <w:t>Australian Institute of Health and Welfare</w:t>
            </w:r>
          </w:p>
        </w:tc>
      </w:tr>
      <w:tr w:rsidR="00064540" w:rsidTr="00AC7A1F">
        <w:tc>
          <w:tcPr>
            <w:tcW w:w="2552" w:type="dxa"/>
            <w:hideMark/>
          </w:tcPr>
          <w:p w:rsidR="00064540" w:rsidRDefault="00064540" w:rsidP="00AC7A1F">
            <w:pPr>
              <w:pStyle w:val="BodyText"/>
              <w:spacing w:before="120"/>
              <w:rPr>
                <w:lang w:eastAsia="en-US"/>
              </w:rPr>
            </w:pPr>
            <w:r>
              <w:rPr>
                <w:lang w:eastAsia="en-US"/>
              </w:rPr>
              <w:t>Mr Tim Carlton</w:t>
            </w:r>
          </w:p>
        </w:tc>
        <w:tc>
          <w:tcPr>
            <w:tcW w:w="1417" w:type="dxa"/>
          </w:tcPr>
          <w:p w:rsidR="00064540" w:rsidRDefault="00064540" w:rsidP="00AC7A1F">
            <w:pPr>
              <w:pStyle w:val="BodyText"/>
              <w:spacing w:before="120"/>
              <w:rPr>
                <w:lang w:eastAsia="en-US"/>
              </w:rPr>
            </w:pPr>
          </w:p>
        </w:tc>
        <w:tc>
          <w:tcPr>
            <w:tcW w:w="4809" w:type="dxa"/>
            <w:hideMark/>
          </w:tcPr>
          <w:p w:rsidR="00064540" w:rsidRDefault="00064540" w:rsidP="00AC7A1F">
            <w:pPr>
              <w:pStyle w:val="BodyText"/>
              <w:spacing w:before="120"/>
              <w:rPr>
                <w:lang w:eastAsia="en-US"/>
              </w:rPr>
            </w:pPr>
            <w:r>
              <w:rPr>
                <w:lang w:eastAsia="en-US"/>
              </w:rPr>
              <w:t>Commonwealth Grants Commission</w:t>
            </w:r>
          </w:p>
        </w:tc>
      </w:tr>
      <w:tr w:rsidR="00064540" w:rsidRPr="00D35E3D" w:rsidTr="00AC7A1F">
        <w:tc>
          <w:tcPr>
            <w:tcW w:w="2552" w:type="dxa"/>
            <w:hideMark/>
          </w:tcPr>
          <w:p w:rsidR="00064540" w:rsidRDefault="00064540" w:rsidP="00D35E3D">
            <w:pPr>
              <w:pStyle w:val="BodyText"/>
              <w:spacing w:before="120"/>
              <w:rPr>
                <w:lang w:eastAsia="en-US"/>
              </w:rPr>
            </w:pPr>
            <w:r>
              <w:rPr>
                <w:lang w:eastAsia="en-US"/>
              </w:rPr>
              <w:t xml:space="preserve">Mr Stephen </w:t>
            </w:r>
            <w:proofErr w:type="spellStart"/>
            <w:r>
              <w:rPr>
                <w:lang w:eastAsia="en-US"/>
              </w:rPr>
              <w:t>Powrie</w:t>
            </w:r>
            <w:proofErr w:type="spellEnd"/>
          </w:p>
        </w:tc>
        <w:tc>
          <w:tcPr>
            <w:tcW w:w="1417" w:type="dxa"/>
            <w:hideMark/>
          </w:tcPr>
          <w:p w:rsidR="00064540" w:rsidRDefault="00064540" w:rsidP="00D35E3D">
            <w:pPr>
              <w:pStyle w:val="BodyText"/>
              <w:spacing w:before="120"/>
              <w:rPr>
                <w:lang w:eastAsia="en-US"/>
              </w:rPr>
            </w:pPr>
            <w:r>
              <w:rPr>
                <w:lang w:eastAsia="en-US"/>
              </w:rPr>
              <w:t>Aust. Govt.</w:t>
            </w:r>
          </w:p>
        </w:tc>
        <w:tc>
          <w:tcPr>
            <w:tcW w:w="4809" w:type="dxa"/>
            <w:hideMark/>
          </w:tcPr>
          <w:p w:rsidR="00064540" w:rsidRDefault="00064540" w:rsidP="00D35E3D">
            <w:pPr>
              <w:pStyle w:val="BodyText"/>
              <w:spacing w:before="120"/>
              <w:jc w:val="left"/>
              <w:rPr>
                <w:lang w:eastAsia="en-US"/>
              </w:rPr>
            </w:pPr>
            <w:r>
              <w:rPr>
                <w:lang w:eastAsia="en-US"/>
              </w:rPr>
              <w:t>Department of the Prime Minister and Cabinet</w:t>
            </w:r>
          </w:p>
        </w:tc>
      </w:tr>
      <w:tr w:rsidR="00064540" w:rsidRPr="00D35E3D" w:rsidTr="00AC7A1F">
        <w:tc>
          <w:tcPr>
            <w:tcW w:w="2552" w:type="dxa"/>
            <w:hideMark/>
          </w:tcPr>
          <w:p w:rsidR="00064540" w:rsidRDefault="00064540" w:rsidP="00D35E3D">
            <w:pPr>
              <w:pStyle w:val="BodyText"/>
              <w:spacing w:before="120"/>
              <w:rPr>
                <w:lang w:eastAsia="en-US"/>
              </w:rPr>
            </w:pPr>
            <w:r>
              <w:rPr>
                <w:lang w:eastAsia="en-US"/>
              </w:rPr>
              <w:t>Ms Jessica Del Rio</w:t>
            </w:r>
          </w:p>
        </w:tc>
        <w:tc>
          <w:tcPr>
            <w:tcW w:w="1417" w:type="dxa"/>
            <w:hideMark/>
          </w:tcPr>
          <w:p w:rsidR="00064540" w:rsidRDefault="00064540" w:rsidP="00D35E3D">
            <w:pPr>
              <w:pStyle w:val="BodyText"/>
              <w:spacing w:before="120"/>
              <w:rPr>
                <w:lang w:eastAsia="en-US"/>
              </w:rPr>
            </w:pPr>
            <w:r>
              <w:rPr>
                <w:lang w:eastAsia="en-US"/>
              </w:rPr>
              <w:t>Aust. Govt.</w:t>
            </w:r>
          </w:p>
        </w:tc>
        <w:tc>
          <w:tcPr>
            <w:tcW w:w="4809" w:type="dxa"/>
            <w:hideMark/>
          </w:tcPr>
          <w:p w:rsidR="00064540" w:rsidRDefault="00064540" w:rsidP="00D35E3D">
            <w:pPr>
              <w:pStyle w:val="BodyText"/>
              <w:spacing w:before="120"/>
              <w:rPr>
                <w:lang w:eastAsia="en-US"/>
              </w:rPr>
            </w:pPr>
            <w:r>
              <w:rPr>
                <w:lang w:eastAsia="en-US"/>
              </w:rPr>
              <w:t>Department of Finance</w:t>
            </w:r>
          </w:p>
        </w:tc>
      </w:tr>
      <w:tr w:rsidR="00064540" w:rsidRPr="00D35E3D" w:rsidTr="00AC7A1F">
        <w:tc>
          <w:tcPr>
            <w:tcW w:w="2552" w:type="dxa"/>
            <w:hideMark/>
          </w:tcPr>
          <w:p w:rsidR="00064540" w:rsidRDefault="00064540" w:rsidP="00D35E3D">
            <w:pPr>
              <w:pStyle w:val="BodyText"/>
              <w:spacing w:before="120"/>
              <w:rPr>
                <w:lang w:eastAsia="en-US"/>
              </w:rPr>
            </w:pPr>
            <w:r>
              <w:rPr>
                <w:lang w:eastAsia="en-US"/>
              </w:rPr>
              <w:t>Ms Michelle Craigie</w:t>
            </w:r>
          </w:p>
        </w:tc>
        <w:tc>
          <w:tcPr>
            <w:tcW w:w="1417" w:type="dxa"/>
            <w:hideMark/>
          </w:tcPr>
          <w:p w:rsidR="00064540" w:rsidRDefault="00064540" w:rsidP="00D35E3D">
            <w:pPr>
              <w:pStyle w:val="BodyText"/>
              <w:spacing w:before="120"/>
              <w:rPr>
                <w:lang w:eastAsia="en-US"/>
              </w:rPr>
            </w:pPr>
            <w:r>
              <w:rPr>
                <w:lang w:eastAsia="en-US"/>
              </w:rPr>
              <w:t>Aust. Govt.</w:t>
            </w:r>
          </w:p>
        </w:tc>
        <w:tc>
          <w:tcPr>
            <w:tcW w:w="4809" w:type="dxa"/>
            <w:hideMark/>
          </w:tcPr>
          <w:p w:rsidR="00064540" w:rsidRDefault="00064540" w:rsidP="00D35E3D">
            <w:pPr>
              <w:pStyle w:val="BodyText"/>
              <w:spacing w:before="120"/>
              <w:rPr>
                <w:lang w:eastAsia="en-US"/>
              </w:rPr>
            </w:pPr>
            <w:r>
              <w:rPr>
                <w:lang w:eastAsia="en-US"/>
              </w:rPr>
              <w:t>Department of Finance</w:t>
            </w:r>
          </w:p>
        </w:tc>
      </w:tr>
      <w:tr w:rsidR="00064540" w:rsidRPr="00D35E3D" w:rsidTr="00AC7A1F">
        <w:tc>
          <w:tcPr>
            <w:tcW w:w="2552" w:type="dxa"/>
            <w:hideMark/>
          </w:tcPr>
          <w:p w:rsidR="00064540" w:rsidRDefault="00064540" w:rsidP="00D35E3D">
            <w:pPr>
              <w:pStyle w:val="BodyText"/>
              <w:spacing w:before="120"/>
              <w:rPr>
                <w:lang w:eastAsia="en-US"/>
              </w:rPr>
            </w:pPr>
            <w:r>
              <w:rPr>
                <w:lang w:eastAsia="en-US"/>
              </w:rPr>
              <w:t>Ms Veronica Glanville</w:t>
            </w:r>
          </w:p>
        </w:tc>
        <w:tc>
          <w:tcPr>
            <w:tcW w:w="1417" w:type="dxa"/>
            <w:hideMark/>
          </w:tcPr>
          <w:p w:rsidR="00064540" w:rsidRDefault="00064540" w:rsidP="00D35E3D">
            <w:pPr>
              <w:pStyle w:val="BodyText"/>
              <w:spacing w:before="120"/>
              <w:rPr>
                <w:lang w:eastAsia="en-US"/>
              </w:rPr>
            </w:pPr>
            <w:r>
              <w:rPr>
                <w:lang w:eastAsia="en-US"/>
              </w:rPr>
              <w:t>Aust. Govt.</w:t>
            </w:r>
          </w:p>
        </w:tc>
        <w:tc>
          <w:tcPr>
            <w:tcW w:w="4809" w:type="dxa"/>
            <w:hideMark/>
          </w:tcPr>
          <w:p w:rsidR="00064540" w:rsidRDefault="00064540" w:rsidP="00D35E3D">
            <w:pPr>
              <w:pStyle w:val="BodyText"/>
              <w:spacing w:before="120"/>
              <w:rPr>
                <w:lang w:eastAsia="en-US"/>
              </w:rPr>
            </w:pPr>
            <w:r>
              <w:rPr>
                <w:lang w:eastAsia="en-US"/>
              </w:rPr>
              <w:t>The Treasury</w:t>
            </w:r>
          </w:p>
        </w:tc>
      </w:tr>
      <w:tr w:rsidR="00064540" w:rsidRPr="00D35E3D" w:rsidTr="00AC7A1F">
        <w:tc>
          <w:tcPr>
            <w:tcW w:w="2552" w:type="dxa"/>
            <w:hideMark/>
          </w:tcPr>
          <w:p w:rsidR="00064540" w:rsidRDefault="00064540" w:rsidP="00D35E3D">
            <w:pPr>
              <w:pStyle w:val="BodyText"/>
              <w:spacing w:before="120"/>
              <w:rPr>
                <w:lang w:eastAsia="en-US"/>
              </w:rPr>
            </w:pPr>
            <w:r>
              <w:rPr>
                <w:lang w:eastAsia="en-US"/>
              </w:rPr>
              <w:t>Ms Katarina Trinh</w:t>
            </w:r>
          </w:p>
        </w:tc>
        <w:tc>
          <w:tcPr>
            <w:tcW w:w="1417" w:type="dxa"/>
            <w:hideMark/>
          </w:tcPr>
          <w:p w:rsidR="00064540" w:rsidRDefault="00064540" w:rsidP="00D35E3D">
            <w:pPr>
              <w:pStyle w:val="BodyText"/>
              <w:spacing w:before="120"/>
              <w:rPr>
                <w:lang w:eastAsia="en-US"/>
              </w:rPr>
            </w:pPr>
            <w:r>
              <w:rPr>
                <w:lang w:eastAsia="en-US"/>
              </w:rPr>
              <w:t>Aust. Govt.</w:t>
            </w:r>
          </w:p>
        </w:tc>
        <w:tc>
          <w:tcPr>
            <w:tcW w:w="4809" w:type="dxa"/>
            <w:hideMark/>
          </w:tcPr>
          <w:p w:rsidR="00064540" w:rsidRDefault="00064540" w:rsidP="00D35E3D">
            <w:pPr>
              <w:pStyle w:val="BodyText"/>
              <w:spacing w:before="120"/>
              <w:rPr>
                <w:lang w:eastAsia="en-US"/>
              </w:rPr>
            </w:pPr>
            <w:r>
              <w:rPr>
                <w:lang w:eastAsia="en-US"/>
              </w:rPr>
              <w:t>The Treasury</w:t>
            </w:r>
          </w:p>
        </w:tc>
      </w:tr>
      <w:tr w:rsidR="00064540" w:rsidRPr="00D35E3D" w:rsidTr="00AC7A1F">
        <w:tc>
          <w:tcPr>
            <w:tcW w:w="2552" w:type="dxa"/>
            <w:hideMark/>
          </w:tcPr>
          <w:p w:rsidR="00064540" w:rsidRDefault="00064540" w:rsidP="00D35E3D">
            <w:pPr>
              <w:pStyle w:val="BodyText"/>
              <w:spacing w:before="120"/>
              <w:rPr>
                <w:lang w:eastAsia="en-US"/>
              </w:rPr>
            </w:pPr>
            <w:r>
              <w:rPr>
                <w:lang w:eastAsia="en-US"/>
              </w:rPr>
              <w:t>Mr Nick Loan</w:t>
            </w:r>
          </w:p>
        </w:tc>
        <w:tc>
          <w:tcPr>
            <w:tcW w:w="1417" w:type="dxa"/>
            <w:hideMark/>
          </w:tcPr>
          <w:p w:rsidR="00064540" w:rsidRDefault="00064540" w:rsidP="00D35E3D">
            <w:pPr>
              <w:pStyle w:val="BodyText"/>
              <w:spacing w:before="120"/>
              <w:rPr>
                <w:lang w:eastAsia="en-US"/>
              </w:rPr>
            </w:pPr>
            <w:r>
              <w:rPr>
                <w:lang w:eastAsia="en-US"/>
              </w:rPr>
              <w:t>Aust. Govt.</w:t>
            </w:r>
          </w:p>
        </w:tc>
        <w:tc>
          <w:tcPr>
            <w:tcW w:w="4809" w:type="dxa"/>
            <w:hideMark/>
          </w:tcPr>
          <w:p w:rsidR="00064540" w:rsidRDefault="00064540" w:rsidP="00D35E3D">
            <w:pPr>
              <w:pStyle w:val="BodyText"/>
              <w:spacing w:before="120"/>
              <w:rPr>
                <w:lang w:eastAsia="en-US"/>
              </w:rPr>
            </w:pPr>
            <w:r>
              <w:rPr>
                <w:lang w:eastAsia="en-US"/>
              </w:rPr>
              <w:t>The Treasury</w:t>
            </w:r>
          </w:p>
        </w:tc>
      </w:tr>
      <w:tr w:rsidR="00064540" w:rsidRPr="00D35E3D" w:rsidTr="00AC7A1F">
        <w:tc>
          <w:tcPr>
            <w:tcW w:w="2552" w:type="dxa"/>
            <w:hideMark/>
          </w:tcPr>
          <w:p w:rsidR="00064540" w:rsidRDefault="00064540" w:rsidP="00D35E3D">
            <w:pPr>
              <w:pStyle w:val="BodyText"/>
              <w:spacing w:before="120"/>
              <w:rPr>
                <w:lang w:eastAsia="en-US"/>
              </w:rPr>
            </w:pPr>
            <w:r w:rsidRPr="00EA151C">
              <w:rPr>
                <w:lang w:eastAsia="en-US"/>
              </w:rPr>
              <w:t xml:space="preserve">Ms </w:t>
            </w:r>
            <w:r>
              <w:rPr>
                <w:lang w:eastAsia="en-US"/>
              </w:rPr>
              <w:t xml:space="preserve">Kamala </w:t>
            </w:r>
            <w:proofErr w:type="spellStart"/>
            <w:r>
              <w:rPr>
                <w:lang w:eastAsia="en-US"/>
              </w:rPr>
              <w:t>Rangarajan</w:t>
            </w:r>
            <w:proofErr w:type="spellEnd"/>
          </w:p>
        </w:tc>
        <w:tc>
          <w:tcPr>
            <w:tcW w:w="1417" w:type="dxa"/>
            <w:hideMark/>
          </w:tcPr>
          <w:p w:rsidR="00064540" w:rsidRDefault="00064540" w:rsidP="00D35E3D">
            <w:pPr>
              <w:pStyle w:val="BodyText"/>
              <w:spacing w:before="120"/>
              <w:rPr>
                <w:lang w:eastAsia="en-US"/>
              </w:rPr>
            </w:pPr>
            <w:r>
              <w:rPr>
                <w:lang w:eastAsia="en-US"/>
              </w:rPr>
              <w:t xml:space="preserve">Aust. Govt. </w:t>
            </w:r>
          </w:p>
        </w:tc>
        <w:tc>
          <w:tcPr>
            <w:tcW w:w="4809" w:type="dxa"/>
            <w:hideMark/>
          </w:tcPr>
          <w:p w:rsidR="00064540" w:rsidRDefault="00064540" w:rsidP="00D35E3D">
            <w:pPr>
              <w:pStyle w:val="BodyText"/>
              <w:spacing w:before="120"/>
              <w:rPr>
                <w:lang w:eastAsia="en-US"/>
              </w:rPr>
            </w:pPr>
            <w:r>
              <w:rPr>
                <w:lang w:eastAsia="en-US"/>
              </w:rPr>
              <w:t>The Treasury</w:t>
            </w:r>
          </w:p>
        </w:tc>
      </w:tr>
      <w:tr w:rsidR="00064540" w:rsidTr="00AC7A1F">
        <w:tc>
          <w:tcPr>
            <w:tcW w:w="2552" w:type="dxa"/>
            <w:hideMark/>
          </w:tcPr>
          <w:p w:rsidR="00064540" w:rsidRDefault="00064540" w:rsidP="00AC7A1F">
            <w:pPr>
              <w:pStyle w:val="BodyText"/>
              <w:spacing w:before="120"/>
              <w:rPr>
                <w:lang w:eastAsia="en-US"/>
              </w:rPr>
            </w:pPr>
            <w:r>
              <w:rPr>
                <w:lang w:eastAsia="en-US"/>
              </w:rPr>
              <w:t>Mr Karl Eaves</w:t>
            </w:r>
          </w:p>
        </w:tc>
        <w:tc>
          <w:tcPr>
            <w:tcW w:w="1417" w:type="dxa"/>
            <w:hideMark/>
          </w:tcPr>
          <w:p w:rsidR="00064540" w:rsidRDefault="00064540" w:rsidP="00AC7A1F">
            <w:pPr>
              <w:pStyle w:val="BodyText"/>
              <w:spacing w:before="120"/>
              <w:rPr>
                <w:lang w:eastAsia="en-US"/>
              </w:rPr>
            </w:pPr>
            <w:r>
              <w:rPr>
                <w:lang w:eastAsia="en-US"/>
              </w:rPr>
              <w:t>NSW</w:t>
            </w:r>
          </w:p>
        </w:tc>
        <w:tc>
          <w:tcPr>
            <w:tcW w:w="4809" w:type="dxa"/>
            <w:hideMark/>
          </w:tcPr>
          <w:p w:rsidR="00064540" w:rsidRDefault="00064540" w:rsidP="00AC7A1F">
            <w:pPr>
              <w:pStyle w:val="BodyText"/>
              <w:spacing w:before="120"/>
              <w:rPr>
                <w:lang w:eastAsia="en-US"/>
              </w:rPr>
            </w:pPr>
            <w:r>
              <w:rPr>
                <w:lang w:eastAsia="en-US"/>
              </w:rPr>
              <w:t>NSW Treasury</w:t>
            </w:r>
          </w:p>
        </w:tc>
      </w:tr>
      <w:tr w:rsidR="00064540" w:rsidTr="00AC7A1F">
        <w:tc>
          <w:tcPr>
            <w:tcW w:w="2552" w:type="dxa"/>
            <w:hideMark/>
          </w:tcPr>
          <w:p w:rsidR="00064540" w:rsidRDefault="00064540" w:rsidP="00AC7A1F">
            <w:pPr>
              <w:pStyle w:val="BodyText"/>
              <w:spacing w:before="120"/>
              <w:rPr>
                <w:lang w:eastAsia="en-US"/>
              </w:rPr>
            </w:pPr>
            <w:r>
              <w:rPr>
                <w:lang w:eastAsia="en-US"/>
              </w:rPr>
              <w:t>Ms Jennifer Wong</w:t>
            </w:r>
          </w:p>
        </w:tc>
        <w:tc>
          <w:tcPr>
            <w:tcW w:w="1417" w:type="dxa"/>
            <w:hideMark/>
          </w:tcPr>
          <w:p w:rsidR="00064540" w:rsidRDefault="00064540" w:rsidP="00AC7A1F">
            <w:pPr>
              <w:pStyle w:val="BodyText"/>
              <w:spacing w:before="120"/>
              <w:rPr>
                <w:lang w:eastAsia="en-US"/>
              </w:rPr>
            </w:pPr>
            <w:r>
              <w:rPr>
                <w:lang w:eastAsia="en-US"/>
              </w:rPr>
              <w:t>Vic</w:t>
            </w:r>
          </w:p>
        </w:tc>
        <w:tc>
          <w:tcPr>
            <w:tcW w:w="4809" w:type="dxa"/>
            <w:hideMark/>
          </w:tcPr>
          <w:p w:rsidR="00064540" w:rsidRDefault="00064540" w:rsidP="00AC7A1F">
            <w:pPr>
              <w:pStyle w:val="BodyText"/>
              <w:spacing w:before="120"/>
              <w:rPr>
                <w:lang w:eastAsia="en-US"/>
              </w:rPr>
            </w:pPr>
            <w:r>
              <w:rPr>
                <w:lang w:eastAsia="en-US"/>
              </w:rPr>
              <w:t>Department of Treasury and Finance</w:t>
            </w:r>
          </w:p>
        </w:tc>
      </w:tr>
      <w:tr w:rsidR="00064540" w:rsidTr="00AC7A1F">
        <w:tc>
          <w:tcPr>
            <w:tcW w:w="2552" w:type="dxa"/>
            <w:hideMark/>
          </w:tcPr>
          <w:p w:rsidR="00064540" w:rsidRDefault="00064540" w:rsidP="00AC7A1F">
            <w:pPr>
              <w:pStyle w:val="BodyText"/>
              <w:spacing w:before="120"/>
              <w:rPr>
                <w:lang w:eastAsia="en-US"/>
              </w:rPr>
            </w:pPr>
            <w:r>
              <w:rPr>
                <w:lang w:eastAsia="en-US"/>
              </w:rPr>
              <w:lastRenderedPageBreak/>
              <w:t xml:space="preserve">Ms Adriana </w:t>
            </w:r>
            <w:proofErr w:type="spellStart"/>
            <w:r>
              <w:rPr>
                <w:lang w:eastAsia="en-US"/>
              </w:rPr>
              <w:t>Arantes</w:t>
            </w:r>
            <w:proofErr w:type="spellEnd"/>
          </w:p>
        </w:tc>
        <w:tc>
          <w:tcPr>
            <w:tcW w:w="1417" w:type="dxa"/>
            <w:hideMark/>
          </w:tcPr>
          <w:p w:rsidR="00064540" w:rsidRDefault="00064540" w:rsidP="00AC7A1F">
            <w:pPr>
              <w:pStyle w:val="BodyText"/>
              <w:spacing w:before="120"/>
              <w:rPr>
                <w:lang w:eastAsia="en-US"/>
              </w:rPr>
            </w:pPr>
            <w:r>
              <w:rPr>
                <w:lang w:eastAsia="en-US"/>
              </w:rPr>
              <w:t>WA</w:t>
            </w:r>
          </w:p>
        </w:tc>
        <w:tc>
          <w:tcPr>
            <w:tcW w:w="4809" w:type="dxa"/>
            <w:hideMark/>
          </w:tcPr>
          <w:p w:rsidR="00064540" w:rsidRDefault="00064540" w:rsidP="00AC7A1F">
            <w:pPr>
              <w:pStyle w:val="BodyText"/>
              <w:spacing w:before="120"/>
              <w:rPr>
                <w:lang w:eastAsia="en-US"/>
              </w:rPr>
            </w:pPr>
            <w:r>
              <w:rPr>
                <w:lang w:eastAsia="en-US"/>
              </w:rPr>
              <w:t>Department of Treasury</w:t>
            </w:r>
          </w:p>
        </w:tc>
      </w:tr>
      <w:tr w:rsidR="00064540" w:rsidTr="00AC7A1F">
        <w:tc>
          <w:tcPr>
            <w:tcW w:w="2552" w:type="dxa"/>
            <w:hideMark/>
          </w:tcPr>
          <w:p w:rsidR="00064540" w:rsidRDefault="00064540" w:rsidP="00AC7A1F">
            <w:pPr>
              <w:pStyle w:val="BodyText"/>
              <w:spacing w:before="120"/>
              <w:rPr>
                <w:lang w:eastAsia="en-US"/>
              </w:rPr>
            </w:pPr>
            <w:r>
              <w:rPr>
                <w:lang w:eastAsia="en-US"/>
              </w:rPr>
              <w:t xml:space="preserve">Mr Jason </w:t>
            </w:r>
            <w:proofErr w:type="spellStart"/>
            <w:r>
              <w:rPr>
                <w:lang w:eastAsia="en-US"/>
              </w:rPr>
              <w:t>Farren</w:t>
            </w:r>
            <w:proofErr w:type="spellEnd"/>
          </w:p>
        </w:tc>
        <w:tc>
          <w:tcPr>
            <w:tcW w:w="1417" w:type="dxa"/>
            <w:hideMark/>
          </w:tcPr>
          <w:p w:rsidR="00064540" w:rsidRDefault="00064540" w:rsidP="00AC7A1F">
            <w:pPr>
              <w:pStyle w:val="BodyText"/>
              <w:spacing w:before="120"/>
              <w:rPr>
                <w:lang w:eastAsia="en-US"/>
              </w:rPr>
            </w:pPr>
            <w:r>
              <w:rPr>
                <w:lang w:eastAsia="en-US"/>
              </w:rPr>
              <w:t>SA</w:t>
            </w:r>
          </w:p>
        </w:tc>
        <w:tc>
          <w:tcPr>
            <w:tcW w:w="4809" w:type="dxa"/>
            <w:hideMark/>
          </w:tcPr>
          <w:p w:rsidR="00064540" w:rsidRDefault="00064540" w:rsidP="00AC7A1F">
            <w:pPr>
              <w:pStyle w:val="BodyText"/>
              <w:spacing w:before="120"/>
              <w:rPr>
                <w:lang w:eastAsia="en-US"/>
              </w:rPr>
            </w:pPr>
            <w:r>
              <w:rPr>
                <w:lang w:eastAsia="en-US"/>
              </w:rPr>
              <w:t>Department of Treasury and Finance</w:t>
            </w:r>
          </w:p>
        </w:tc>
      </w:tr>
      <w:tr w:rsidR="00064540" w:rsidTr="00AC7A1F">
        <w:tc>
          <w:tcPr>
            <w:tcW w:w="2552" w:type="dxa"/>
            <w:hideMark/>
          </w:tcPr>
          <w:p w:rsidR="00064540" w:rsidRDefault="00064540" w:rsidP="00AC7A1F">
            <w:pPr>
              <w:pStyle w:val="BodyText"/>
              <w:spacing w:before="0"/>
              <w:rPr>
                <w:lang w:eastAsia="en-US"/>
              </w:rPr>
            </w:pPr>
            <w:r>
              <w:rPr>
                <w:lang w:eastAsia="en-US"/>
              </w:rPr>
              <w:t xml:space="preserve">Mr Steven </w:t>
            </w:r>
            <w:proofErr w:type="spellStart"/>
            <w:r>
              <w:rPr>
                <w:lang w:eastAsia="en-US"/>
              </w:rPr>
              <w:t>Rech</w:t>
            </w:r>
            <w:proofErr w:type="spellEnd"/>
          </w:p>
        </w:tc>
        <w:tc>
          <w:tcPr>
            <w:tcW w:w="1417" w:type="dxa"/>
            <w:hideMark/>
          </w:tcPr>
          <w:p w:rsidR="00064540" w:rsidRDefault="00064540" w:rsidP="00AC7A1F">
            <w:pPr>
              <w:pStyle w:val="BodyText"/>
              <w:spacing w:before="0"/>
              <w:rPr>
                <w:lang w:eastAsia="en-US"/>
              </w:rPr>
            </w:pPr>
            <w:r>
              <w:rPr>
                <w:lang w:eastAsia="en-US"/>
              </w:rPr>
              <w:t>SA</w:t>
            </w:r>
          </w:p>
        </w:tc>
        <w:tc>
          <w:tcPr>
            <w:tcW w:w="4809" w:type="dxa"/>
            <w:hideMark/>
          </w:tcPr>
          <w:p w:rsidR="00064540" w:rsidRDefault="00064540" w:rsidP="00AC7A1F">
            <w:pPr>
              <w:pStyle w:val="BodyText"/>
              <w:spacing w:before="0"/>
              <w:rPr>
                <w:lang w:eastAsia="en-US"/>
              </w:rPr>
            </w:pPr>
            <w:r>
              <w:rPr>
                <w:lang w:eastAsia="en-US"/>
              </w:rPr>
              <w:t>Department of Treasury and Finance</w:t>
            </w:r>
          </w:p>
        </w:tc>
      </w:tr>
      <w:tr w:rsidR="00064540" w:rsidTr="00AC7A1F">
        <w:tc>
          <w:tcPr>
            <w:tcW w:w="2552" w:type="dxa"/>
            <w:hideMark/>
          </w:tcPr>
          <w:p w:rsidR="00064540" w:rsidRDefault="00064540" w:rsidP="00AC7A1F">
            <w:pPr>
              <w:pStyle w:val="BodyText"/>
              <w:spacing w:before="120"/>
              <w:rPr>
                <w:lang w:eastAsia="en-US"/>
              </w:rPr>
            </w:pPr>
            <w:r>
              <w:rPr>
                <w:lang w:eastAsia="en-US"/>
              </w:rPr>
              <w:t>Dr Adrian Webster</w:t>
            </w:r>
          </w:p>
        </w:tc>
        <w:tc>
          <w:tcPr>
            <w:tcW w:w="1417" w:type="dxa"/>
          </w:tcPr>
          <w:p w:rsidR="00064540" w:rsidRDefault="00064540" w:rsidP="00AC7A1F">
            <w:pPr>
              <w:pStyle w:val="BodyText"/>
              <w:spacing w:before="120"/>
              <w:rPr>
                <w:lang w:eastAsia="en-US"/>
              </w:rPr>
            </w:pPr>
          </w:p>
        </w:tc>
        <w:tc>
          <w:tcPr>
            <w:tcW w:w="4809" w:type="dxa"/>
            <w:hideMark/>
          </w:tcPr>
          <w:p w:rsidR="00064540" w:rsidRDefault="00064540" w:rsidP="00AC7A1F">
            <w:pPr>
              <w:pStyle w:val="BodyText"/>
              <w:spacing w:before="120"/>
              <w:rPr>
                <w:lang w:eastAsia="en-US"/>
              </w:rPr>
            </w:pPr>
            <w:r>
              <w:rPr>
                <w:lang w:eastAsia="en-US"/>
              </w:rPr>
              <w:t>Australian Institute of Health and Welfare</w:t>
            </w:r>
          </w:p>
        </w:tc>
      </w:tr>
    </w:tbl>
    <w:p w:rsidR="00064540" w:rsidRDefault="00064540" w:rsidP="00064540">
      <w:pPr>
        <w:pStyle w:val="BodyText"/>
        <w:spacing w:before="480"/>
        <w:rPr>
          <w:rStyle w:val="CommentReference"/>
          <w:b w:val="0"/>
          <w:vanish w:val="0"/>
        </w:rPr>
        <w:sectPr w:rsidR="00064540" w:rsidSect="00585B3F">
          <w:headerReference w:type="even" r:id="rId23"/>
          <w:headerReference w:type="default" r:id="rId24"/>
          <w:footerReference w:type="even" r:id="rId25"/>
          <w:footerReference w:type="default" r:id="rId26"/>
          <w:pgSz w:w="11907" w:h="16840" w:code="9"/>
          <w:pgMar w:top="1332" w:right="1304" w:bottom="1247" w:left="1814" w:header="1701" w:footer="397" w:gutter="0"/>
          <w:pgNumType w:fmt="lowerRoman"/>
          <w:cols w:space="720"/>
        </w:sectPr>
      </w:pPr>
    </w:p>
    <w:p w:rsidR="009A7F87" w:rsidRDefault="009A7F87" w:rsidP="009A7F87">
      <w:pPr>
        <w:pStyle w:val="Heading1"/>
        <w:spacing w:before="0"/>
      </w:pPr>
      <w:r>
        <w:lastRenderedPageBreak/>
        <w:t>1</w:t>
      </w:r>
      <w:bookmarkEnd w:id="0"/>
      <w:r>
        <w:tab/>
      </w:r>
      <w:bookmarkStart w:id="23" w:name="ChapterTitle"/>
      <w:r>
        <w:t>Introduction</w:t>
      </w:r>
      <w:bookmarkEnd w:id="23"/>
    </w:p>
    <w:p w:rsidR="009A7F87" w:rsidRPr="00317BFD" w:rsidRDefault="009A7F87" w:rsidP="00892381">
      <w:pPr>
        <w:pStyle w:val="BodyText"/>
      </w:pPr>
      <w:bookmarkStart w:id="24" w:name="begin"/>
      <w:bookmarkEnd w:id="24"/>
      <w:r w:rsidRPr="00317BFD">
        <w:t>Despite the commitment of significant government expenditure over many years, disparities between outcomes for Aboriginal and Torres Strait Islander and non</w:t>
      </w:r>
      <w:r>
        <w:noBreakHyphen/>
      </w:r>
      <w:r w:rsidRPr="00317BFD">
        <w:t xml:space="preserve">Indigenous Australians persist (particularly in the areas of life expectancy, child mortality, educational attainment and economic participation). The reasons for these persistent gaps are complex, arising from a mix of historical, social and economic causes. </w:t>
      </w:r>
    </w:p>
    <w:p w:rsidR="009A7F87" w:rsidRPr="00317BFD" w:rsidRDefault="009A7F87" w:rsidP="009A7F87">
      <w:pPr>
        <w:spacing w:before="240" w:line="320" w:lineRule="atLeast"/>
        <w:jc w:val="both"/>
      </w:pPr>
      <w:r w:rsidRPr="00892381">
        <w:rPr>
          <w:rStyle w:val="BodyTextChar"/>
        </w:rPr>
        <w:t>The Steering Committee for the Review of Government Service Provision — under the auspices of the Council of Australian Governments (COAG) — has developed a national framework for collecting and reporting government expenditure on services for Aboriginal and Torres Strait Islander and non</w:t>
      </w:r>
      <w:r w:rsidRPr="00892381">
        <w:rPr>
          <w:rStyle w:val="BodyTextChar"/>
        </w:rPr>
        <w:noBreakHyphen/>
        <w:t>Indigenous Australians.</w:t>
      </w:r>
      <w:r w:rsidRPr="00892381">
        <w:rPr>
          <w:rStyle w:val="NoteLabel"/>
        </w:rPr>
        <w:footnoteReference w:id="1"/>
      </w:r>
    </w:p>
    <w:p w:rsidR="009A7F87" w:rsidRDefault="009A7F87" w:rsidP="00892381">
      <w:pPr>
        <w:pStyle w:val="BodyText"/>
      </w:pPr>
      <w:r w:rsidRPr="00317BFD">
        <w:t>This manual describes the fundamental concepts, definitions and methods for prorating expenditure on mainstream services</w:t>
      </w:r>
      <w:r>
        <w:t>,</w:t>
      </w:r>
      <w:r w:rsidRPr="00317BFD">
        <w:t xml:space="preserve"> in order to identify the share of expenditure related to Aboriginal and Torres Strait Islander Australians. </w:t>
      </w:r>
    </w:p>
    <w:p w:rsidR="009A7F87" w:rsidRPr="00D8163E" w:rsidRDefault="009A7F87" w:rsidP="00D8163E">
      <w:pPr>
        <w:pStyle w:val="BodyText"/>
      </w:pPr>
      <w:r w:rsidRPr="00D8163E">
        <w:t>This manual relates to the</w:t>
      </w:r>
      <w:r w:rsidRPr="00125764">
        <w:t xml:space="preserve"> </w:t>
      </w:r>
      <w:r w:rsidRPr="00D8163E">
        <w:t>2017 Indigenous Expenditure Report</w:t>
      </w:r>
      <w:r w:rsidRPr="009C36E9">
        <w:t xml:space="preserve"> </w:t>
      </w:r>
      <w:r w:rsidRPr="00D8163E">
        <w:t>(2017 Report), which contains estimates of the levels and patterns of government expenditure for 2008</w:t>
      </w:r>
      <w:r w:rsidRPr="00D8163E">
        <w:noBreakHyphen/>
        <w:t>09, 2010</w:t>
      </w:r>
      <w:r w:rsidRPr="00D8163E">
        <w:noBreakHyphen/>
        <w:t>11, 2012</w:t>
      </w:r>
      <w:r w:rsidRPr="00D8163E">
        <w:noBreakHyphen/>
        <w:t>13 and 2015</w:t>
      </w:r>
      <w:r w:rsidRPr="00D8163E">
        <w:noBreakHyphen/>
        <w:t xml:space="preserve">16. The 2017 Report was released on 26 October 2017, and is available from the Report web page at </w:t>
      </w:r>
      <w:r w:rsidR="00A73D12" w:rsidRPr="00D8163E">
        <w:t>http://www.pc.gov.au/research/ongoing/indigenous-expenditure-report/2017</w:t>
      </w:r>
      <w:r w:rsidRPr="00D8163E">
        <w:t>.</w:t>
      </w:r>
    </w:p>
    <w:p w:rsidR="009A7F87" w:rsidRDefault="009A7F87" w:rsidP="009A7F87">
      <w:pPr>
        <w:pStyle w:val="BodyText"/>
      </w:pPr>
      <w:r w:rsidRPr="00317BFD">
        <w:rPr>
          <w:szCs w:val="24"/>
        </w:rPr>
        <w:t xml:space="preserve">A summary of </w:t>
      </w:r>
      <w:r>
        <w:rPr>
          <w:szCs w:val="24"/>
        </w:rPr>
        <w:t xml:space="preserve">updates </w:t>
      </w:r>
      <w:r w:rsidRPr="00317BFD">
        <w:rPr>
          <w:szCs w:val="24"/>
        </w:rPr>
        <w:t xml:space="preserve">from the </w:t>
      </w:r>
      <w:r>
        <w:rPr>
          <w:szCs w:val="24"/>
        </w:rPr>
        <w:t>2014</w:t>
      </w:r>
      <w:r w:rsidRPr="00317BFD">
        <w:rPr>
          <w:szCs w:val="24"/>
        </w:rPr>
        <w:t xml:space="preserve"> Report </w:t>
      </w:r>
      <w:r w:rsidRPr="00317BFD">
        <w:rPr>
          <w:i/>
          <w:szCs w:val="24"/>
        </w:rPr>
        <w:t>Service Use Measure Definitions Manual</w:t>
      </w:r>
      <w:r w:rsidRPr="00317BFD">
        <w:rPr>
          <w:szCs w:val="24"/>
        </w:rPr>
        <w:t xml:space="preserve"> is provided in section</w:t>
      </w:r>
      <w:r>
        <w:rPr>
          <w:szCs w:val="24"/>
        </w:rPr>
        <w:t> </w:t>
      </w:r>
      <w:r w:rsidRPr="00317BFD">
        <w:rPr>
          <w:szCs w:val="24"/>
        </w:rPr>
        <w:t xml:space="preserve">1.1. An overview of the </w:t>
      </w:r>
      <w:r w:rsidRPr="00317BFD">
        <w:rPr>
          <w:i/>
          <w:szCs w:val="24"/>
        </w:rPr>
        <w:t>Indigenous Expenditure Report</w:t>
      </w:r>
      <w:r w:rsidRPr="00317BFD">
        <w:rPr>
          <w:szCs w:val="24"/>
        </w:rPr>
        <w:t xml:space="preserve"> method is presented in section 1.2. Information about this manual and the 201</w:t>
      </w:r>
      <w:r>
        <w:rPr>
          <w:szCs w:val="24"/>
        </w:rPr>
        <w:t>7 </w:t>
      </w:r>
      <w:r w:rsidRPr="00317BFD">
        <w:rPr>
          <w:szCs w:val="24"/>
        </w:rPr>
        <w:t xml:space="preserve">Report </w:t>
      </w:r>
      <w:r w:rsidRPr="00317BFD">
        <w:rPr>
          <w:i/>
          <w:szCs w:val="24"/>
        </w:rPr>
        <w:t>Expenditure Data Manual</w:t>
      </w:r>
      <w:r w:rsidRPr="00317BFD">
        <w:rPr>
          <w:szCs w:val="24"/>
        </w:rPr>
        <w:t xml:space="preserve"> — and how to obtain copies of these — is provided in section 1.3. Section 1.</w:t>
      </w:r>
      <w:r>
        <w:rPr>
          <w:szCs w:val="24"/>
        </w:rPr>
        <w:t>4</w:t>
      </w:r>
      <w:r w:rsidRPr="00317BFD">
        <w:rPr>
          <w:szCs w:val="24"/>
        </w:rPr>
        <w:t xml:space="preserve"> summarises the structure of the remainder of this manual.</w:t>
      </w:r>
    </w:p>
    <w:p w:rsidR="009A7F87" w:rsidRDefault="009A7F87" w:rsidP="00120072">
      <w:pPr>
        <w:pStyle w:val="BodyText"/>
      </w:pPr>
    </w:p>
    <w:p w:rsidR="009A7F87" w:rsidRDefault="009A7F87" w:rsidP="00120072">
      <w:pPr>
        <w:pStyle w:val="BodyText"/>
      </w:pPr>
      <w:r>
        <w:br w:type="page"/>
      </w:r>
    </w:p>
    <w:p w:rsidR="009A7F87" w:rsidRDefault="009A7F87" w:rsidP="009A7F87">
      <w:pPr>
        <w:pStyle w:val="Heading2"/>
      </w:pPr>
      <w:r>
        <w:lastRenderedPageBreak/>
        <w:t>1.</w:t>
      </w:r>
      <w:r>
        <w:rPr>
          <w:noProof/>
        </w:rPr>
        <w:t>1</w:t>
      </w:r>
      <w:r>
        <w:tab/>
        <w:t>What’s new</w:t>
      </w:r>
    </w:p>
    <w:p w:rsidR="009A7F87" w:rsidRPr="00DD6059" w:rsidRDefault="009A7F87" w:rsidP="009A7F87">
      <w:pPr>
        <w:pStyle w:val="BodyText"/>
      </w:pPr>
      <w:r w:rsidRPr="00317BFD">
        <w:t xml:space="preserve">The Steering </w:t>
      </w:r>
      <w:r w:rsidRPr="00DD6059">
        <w:t>Committee</w:t>
      </w:r>
      <w:r w:rsidRPr="00317BFD">
        <w:t xml:space="preserve"> is committed to continual improvement of the data and method employed for the </w:t>
      </w:r>
      <w:r w:rsidRPr="00317BFD">
        <w:rPr>
          <w:i/>
        </w:rPr>
        <w:t>Indigenous Expenditure Report</w:t>
      </w:r>
      <w:r w:rsidRPr="00317BFD">
        <w:t xml:space="preserve"> estimates. </w:t>
      </w:r>
      <w:r>
        <w:t>A range of s</w:t>
      </w:r>
      <w:r w:rsidRPr="00317BFD">
        <w:t xml:space="preserve">ubstantive changes </w:t>
      </w:r>
      <w:r>
        <w:t xml:space="preserve">were introduced in </w:t>
      </w:r>
      <w:r w:rsidRPr="00317BFD">
        <w:t xml:space="preserve">the </w:t>
      </w:r>
      <w:r>
        <w:t>2014</w:t>
      </w:r>
      <w:r w:rsidRPr="00317BFD">
        <w:t xml:space="preserve"> Report </w:t>
      </w:r>
      <w:r w:rsidRPr="00317BFD">
        <w:rPr>
          <w:i/>
        </w:rPr>
        <w:t>Service Use Measure Definitions Manual</w:t>
      </w:r>
      <w:r>
        <w:rPr>
          <w:i/>
        </w:rPr>
        <w:t>.</w:t>
      </w:r>
      <w:r>
        <w:t xml:space="preserve"> The method outlined in the 2017 Report </w:t>
      </w:r>
      <w:r w:rsidRPr="00317BFD">
        <w:rPr>
          <w:i/>
        </w:rPr>
        <w:t>Service Use Measure Definitions Manual</w:t>
      </w:r>
      <w:r>
        <w:rPr>
          <w:i/>
        </w:rPr>
        <w:t xml:space="preserve"> </w:t>
      </w:r>
      <w:r>
        <w:t>is unchanged from 2014, however, data sources for particular expenditure categories have been updated where appropriate and are noted in appendix A.</w:t>
      </w:r>
    </w:p>
    <w:p w:rsidR="009A7F87" w:rsidRDefault="009A7F87" w:rsidP="009A7F87">
      <w:pPr>
        <w:pStyle w:val="Heading2"/>
      </w:pPr>
      <w:r>
        <w:t>1.</w:t>
      </w:r>
      <w:r>
        <w:rPr>
          <w:noProof/>
        </w:rPr>
        <w:t>2</w:t>
      </w:r>
      <w:r>
        <w:tab/>
        <w:t>Methodology overview</w:t>
      </w:r>
    </w:p>
    <w:p w:rsidR="009A7F87" w:rsidRPr="00317BFD" w:rsidRDefault="009A7F87" w:rsidP="009A7F87">
      <w:pPr>
        <w:pStyle w:val="BodyText"/>
      </w:pPr>
      <w:r w:rsidRPr="00317BFD">
        <w:t xml:space="preserve">Identifying government expenditure on services related to Aboriginal and Torres Strait Islander Australians is difficult, and involves a process of estimation. The </w:t>
      </w:r>
      <w:r w:rsidRPr="00317BFD">
        <w:rPr>
          <w:i/>
        </w:rPr>
        <w:t>Indigenous Expenditure Report</w:t>
      </w:r>
      <w:r w:rsidRPr="00317BFD">
        <w:t xml:space="preserve"> method is based on approaches used in similar exercises,</w:t>
      </w:r>
      <w:r w:rsidRPr="00317BFD">
        <w:rPr>
          <w:position w:val="6"/>
        </w:rPr>
        <w:footnoteReference w:id="2"/>
      </w:r>
      <w:r>
        <w:t xml:space="preserve"> </w:t>
      </w:r>
      <w:r w:rsidRPr="00317BFD">
        <w:t>and involves two stages (figure</w:t>
      </w:r>
      <w:r>
        <w:t> </w:t>
      </w:r>
      <w:r w:rsidRPr="00317BFD">
        <w:t>1.1):</w:t>
      </w:r>
    </w:p>
    <w:p w:rsidR="009A7F87" w:rsidRPr="00317BFD" w:rsidRDefault="009A7F87" w:rsidP="009A7F87">
      <w:pPr>
        <w:pStyle w:val="ListNumber"/>
      </w:pPr>
      <w:r w:rsidRPr="00317BFD">
        <w:t>identifying total expenditure by service area and, where applicable, total expenditure for Indigenous specific services and programs</w:t>
      </w:r>
    </w:p>
    <w:p w:rsidR="009A7F87" w:rsidRDefault="009A7F87" w:rsidP="009A7F87">
      <w:pPr>
        <w:pStyle w:val="ListNumber"/>
      </w:pPr>
      <w:r w:rsidRPr="00317BFD">
        <w:t>prorating mainstream (that is, non</w:t>
      </w:r>
      <w:r>
        <w:noBreakHyphen/>
      </w:r>
      <w:r w:rsidRPr="00317BFD">
        <w:t>Indigenous specific) expenditure between Aboriginal and Torres Strait Islander and non</w:t>
      </w:r>
      <w:r>
        <w:noBreakHyphen/>
      </w:r>
      <w:r w:rsidRPr="00317BFD">
        <w:t>Indigenous Australians.</w:t>
      </w:r>
    </w:p>
    <w:p w:rsidR="009A7F87" w:rsidRPr="00825423" w:rsidRDefault="009A7F87" w:rsidP="009A7F87">
      <w:pPr>
        <w:pStyle w:val="BodyText"/>
      </w:pPr>
      <w:r w:rsidRPr="00825423">
        <w:t>The Report defines expenditure as all expense transactions undertaken by the general government sector of the Australian Government and State and Territory governments, following the ABS Government Finance Statistics framework. This excludes capital expenditure but includes expenditure related to depreciation and asset maintenance and capital grants made outside the general government sector.</w:t>
      </w:r>
    </w:p>
    <w:p w:rsidR="009A7F87" w:rsidRDefault="009A7F87" w:rsidP="009A7F8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9A7F87" w:rsidTr="009A7F87">
        <w:trPr>
          <w:tblHeader/>
        </w:trPr>
        <w:tc>
          <w:tcPr>
            <w:tcW w:w="5000" w:type="pct"/>
            <w:tcBorders>
              <w:top w:val="single" w:sz="6" w:space="0" w:color="78A22F"/>
              <w:left w:val="nil"/>
              <w:bottom w:val="nil"/>
              <w:right w:val="nil"/>
            </w:tcBorders>
            <w:shd w:val="clear" w:color="auto" w:fill="auto"/>
          </w:tcPr>
          <w:p w:rsidR="009A7F87" w:rsidRPr="00176D3F" w:rsidRDefault="009A7F87" w:rsidP="009A7F87">
            <w:pPr>
              <w:pStyle w:val="FigureTitle"/>
            </w:pPr>
            <w:r w:rsidRPr="00784A05">
              <w:rPr>
                <w:b w:val="0"/>
              </w:rPr>
              <w:t xml:space="preserve">Figure </w:t>
            </w:r>
            <w:r>
              <w:rPr>
                <w:b w:val="0"/>
              </w:rPr>
              <w:t>1.</w:t>
            </w:r>
            <w:r>
              <w:rPr>
                <w:b w:val="0"/>
                <w:noProof/>
              </w:rPr>
              <w:t>1</w:t>
            </w:r>
            <w:r>
              <w:tab/>
              <w:t>Data collection and proration process</w:t>
            </w:r>
          </w:p>
        </w:tc>
      </w:tr>
      <w:tr w:rsidR="009A7F87" w:rsidTr="009A7F87">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A7F87" w:rsidRPr="00B1465D" w:rsidTr="009A7F87">
              <w:trPr>
                <w:tblHeader/>
                <w:jc w:val="center"/>
              </w:trPr>
              <w:tc>
                <w:tcPr>
                  <w:tcW w:w="5000" w:type="pct"/>
                  <w:tcBorders>
                    <w:top w:val="nil"/>
                    <w:bottom w:val="nil"/>
                  </w:tcBorders>
                </w:tcPr>
                <w:p w:rsidR="009A7F87" w:rsidRPr="00B1465D" w:rsidRDefault="009A7F87" w:rsidP="009A7F87">
                  <w:pPr>
                    <w:pStyle w:val="Figure"/>
                    <w:spacing w:before="60" w:after="60"/>
                    <w:rPr>
                      <w:rFonts w:ascii="Arial" w:hAnsi="Arial" w:cs="Arial"/>
                      <w:sz w:val="18"/>
                      <w:szCs w:val="18"/>
                    </w:rPr>
                  </w:pPr>
                  <w:r>
                    <w:rPr>
                      <w:noProof/>
                    </w:rPr>
                    <w:drawing>
                      <wp:inline distT="0" distB="0" distL="0" distR="0" wp14:anchorId="4746596E" wp14:editId="70E1B5BD">
                        <wp:extent cx="5382895" cy="4209415"/>
                        <wp:effectExtent l="0" t="0" r="0" b="635"/>
                        <wp:docPr id="2" name="Picture 2" descr="Figure 1.1. Data collection and proration process. Using a flow-diagram approach, this figure describes the Report’s approach to estimating expenditure on Aboriginal and Torres Strait Islander Australians and non-Indigenous Australians. The flow diagram starts at the top with total annual expenditure, then separately identifying indigenous specific expenditure and mainstream expenditure, and then, service use data are used to estimate the component of mainstream expenditure to be allocated to Aboriginal and Torres Strait Islander Australians and non-Indigenous Austral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1. Data collection and proration process. Using a flow-diagram approach, this figure describes the Report’s approach to estimating expenditure on Aboriginal and Torres Strait Islander Australians and non-Indigenous Australians. The flow diagram starts at the top with total annual expenditure, then separately identifying indigenous specific expenditure and mainstream expenditure, and then, service use data are used to estimate the component of mainstream expenditure to be allocated to Aboriginal and Torres Strait Islander Australians and non-Indigenous Australian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82895" cy="4209415"/>
                                </a:xfrm>
                                <a:prstGeom prst="rect">
                                  <a:avLst/>
                                </a:prstGeom>
                                <a:noFill/>
                                <a:ln>
                                  <a:noFill/>
                                </a:ln>
                              </pic:spPr>
                            </pic:pic>
                          </a:graphicData>
                        </a:graphic>
                      </wp:inline>
                    </w:drawing>
                  </w:r>
                </w:p>
              </w:tc>
            </w:tr>
          </w:tbl>
          <w:p w:rsidR="009A7F87" w:rsidRDefault="009A7F87" w:rsidP="009A7F87">
            <w:pPr>
              <w:pStyle w:val="Figure"/>
            </w:pPr>
          </w:p>
        </w:tc>
      </w:tr>
      <w:tr w:rsidR="009A7F87" w:rsidTr="009A7F87">
        <w:tc>
          <w:tcPr>
            <w:tcW w:w="5000" w:type="pct"/>
            <w:tcBorders>
              <w:top w:val="nil"/>
              <w:left w:val="nil"/>
              <w:bottom w:val="single" w:sz="6" w:space="0" w:color="78A22F"/>
              <w:right w:val="nil"/>
            </w:tcBorders>
            <w:shd w:val="clear" w:color="auto" w:fill="auto"/>
          </w:tcPr>
          <w:p w:rsidR="009A7F87" w:rsidRDefault="009A7F87" w:rsidP="009A7F87">
            <w:pPr>
              <w:pStyle w:val="Figurespace"/>
            </w:pPr>
          </w:p>
        </w:tc>
      </w:tr>
      <w:tr w:rsidR="009A7F87" w:rsidRPr="000863A5" w:rsidTr="009A7F87">
        <w:tc>
          <w:tcPr>
            <w:tcW w:w="5000" w:type="pct"/>
            <w:tcBorders>
              <w:top w:val="single" w:sz="6" w:space="0" w:color="78A22F"/>
              <w:left w:val="nil"/>
              <w:bottom w:val="nil"/>
              <w:right w:val="nil"/>
            </w:tcBorders>
          </w:tcPr>
          <w:p w:rsidR="009A7F87" w:rsidRPr="00626D32" w:rsidRDefault="009A7F87" w:rsidP="009A7F87">
            <w:pPr>
              <w:pStyle w:val="BoxSpaceBelow"/>
            </w:pPr>
          </w:p>
        </w:tc>
      </w:tr>
    </w:tbl>
    <w:p w:rsidR="009A7F87" w:rsidRDefault="009A7F87" w:rsidP="009A7F87">
      <w:pPr>
        <w:pStyle w:val="Heading3"/>
      </w:pPr>
      <w:r>
        <w:t>Indigenous specific and mainstream expenditure by service area</w:t>
      </w:r>
    </w:p>
    <w:p w:rsidR="009A7F87" w:rsidRPr="00317BFD" w:rsidRDefault="009A7F87" w:rsidP="009A7F87">
      <w:pPr>
        <w:pStyle w:val="BodyText"/>
      </w:pPr>
      <w:r w:rsidRPr="00317BFD">
        <w:t>The 201</w:t>
      </w:r>
      <w:r>
        <w:t>7</w:t>
      </w:r>
      <w:r w:rsidRPr="00317BFD">
        <w:t xml:space="preserve"> Report provides estimates of </w:t>
      </w:r>
      <w:r>
        <w:t>g</w:t>
      </w:r>
      <w:r w:rsidRPr="00317BFD">
        <w:t xml:space="preserve">overnment expenditure </w:t>
      </w:r>
      <w:r>
        <w:t>across more than 150</w:t>
      </w:r>
      <w:r w:rsidRPr="00317BFD">
        <w:t xml:space="preserve"> expenditure categories</w:t>
      </w:r>
      <w:r>
        <w:t xml:space="preserve"> </w:t>
      </w:r>
      <w:r w:rsidRPr="00551387">
        <w:t xml:space="preserve">according to the ABS Government Purpose Classification (GPC). </w:t>
      </w:r>
    </w:p>
    <w:p w:rsidR="009A7F87" w:rsidRDefault="009A7F87" w:rsidP="009A7F87">
      <w:pPr>
        <w:pStyle w:val="BodyText"/>
      </w:pPr>
      <w:r w:rsidRPr="00317BFD">
        <w:t>Before this expenditure can be allocated to Aboriginal and Torres Strait Islander Australians and non</w:t>
      </w:r>
      <w:r w:rsidRPr="00317BFD">
        <w:noBreakHyphen/>
        <w:t>Indigenous Australians, it needs to be allocated to service areas (giving a measure of total expenditure for each service area). The next task is to identify (by service area) any expenditure on services that specifically target Aboriginal and Torres Strait Islander Australians. Taking this Indigenous specific expenditure from the total provides an estimate for mainstream expenditure in each service area.</w:t>
      </w:r>
    </w:p>
    <w:p w:rsidR="009A7F87" w:rsidRPr="00317BFD" w:rsidRDefault="009A7F87" w:rsidP="009A7F87">
      <w:pPr>
        <w:keepLines/>
        <w:pBdr>
          <w:left w:val="single" w:sz="24" w:space="12" w:color="C0C0C0"/>
        </w:pBdr>
        <w:spacing w:before="240" w:line="320" w:lineRule="atLeast"/>
        <w:jc w:val="both"/>
        <w:rPr>
          <w:b/>
          <w:i/>
        </w:rPr>
      </w:pPr>
      <w:r w:rsidRPr="00317BFD">
        <w:rPr>
          <w:b/>
          <w:i/>
        </w:rPr>
        <w:t>The definition of ‘expenditure’ that is us</w:t>
      </w:r>
      <w:r>
        <w:rPr>
          <w:b/>
          <w:i/>
        </w:rPr>
        <w:t>ed for the 2017</w:t>
      </w:r>
      <w:r w:rsidRPr="00317BFD">
        <w:rPr>
          <w:b/>
          <w:i/>
        </w:rPr>
        <w:t xml:space="preserve"> Report is presented in chapter 2 of the 201</w:t>
      </w:r>
      <w:r>
        <w:rPr>
          <w:b/>
          <w:i/>
        </w:rPr>
        <w:t>7</w:t>
      </w:r>
      <w:r w:rsidRPr="00317BFD">
        <w:rPr>
          <w:b/>
          <w:i/>
        </w:rPr>
        <w:t xml:space="preserve"> </w:t>
      </w:r>
      <w:r>
        <w:rPr>
          <w:b/>
          <w:i/>
        </w:rPr>
        <w:t xml:space="preserve">Report </w:t>
      </w:r>
      <w:r w:rsidRPr="00317BFD">
        <w:rPr>
          <w:b/>
          <w:i/>
        </w:rPr>
        <w:t>Expenditure Data Manual.</w:t>
      </w:r>
    </w:p>
    <w:p w:rsidR="009A7F87" w:rsidRPr="00825423" w:rsidRDefault="009A7F87" w:rsidP="009A7F87">
      <w:pPr>
        <w:pStyle w:val="Heading4"/>
        <w:rPr>
          <w:i/>
        </w:rPr>
      </w:pPr>
      <w:r w:rsidRPr="00825423">
        <w:rPr>
          <w:i/>
        </w:rPr>
        <w:lastRenderedPageBreak/>
        <w:t>Service areas</w:t>
      </w:r>
    </w:p>
    <w:p w:rsidR="009A7F87" w:rsidRPr="00317BFD" w:rsidRDefault="009A7F87" w:rsidP="009A7F87">
      <w:pPr>
        <w:pStyle w:val="BodyText"/>
      </w:pPr>
      <w:r w:rsidRPr="00317BFD">
        <w:t xml:space="preserve">The </w:t>
      </w:r>
      <w:r w:rsidRPr="00317BFD">
        <w:rPr>
          <w:i/>
        </w:rPr>
        <w:t>Indigenous Expenditure Report</w:t>
      </w:r>
      <w:r w:rsidRPr="00317BFD">
        <w:t xml:space="preserve"> method uses the ABS Government Purpose Classification (GPC) to categorise expenditure by service area. However, data collected under the National Framework are also mapped to the outcome categories agreed by the Council of Australian Governments (COAG) for the National Indigenous Reform Agreement (NIRA) and the Overcoming Indigenous Disadvantage (OID) framework. In some cases, the GPC framework does not provide sufficient disaggregation to map to these outcome categories. </w:t>
      </w:r>
    </w:p>
    <w:p w:rsidR="009A7F87" w:rsidRPr="00317BFD" w:rsidRDefault="009A7F87" w:rsidP="009A7F87">
      <w:pPr>
        <w:keepLines/>
        <w:pBdr>
          <w:left w:val="single" w:sz="24" w:space="12" w:color="C0C0C0"/>
        </w:pBdr>
        <w:spacing w:before="240" w:line="320" w:lineRule="atLeast"/>
        <w:jc w:val="both"/>
        <w:rPr>
          <w:b/>
          <w:i/>
        </w:rPr>
      </w:pPr>
      <w:r w:rsidRPr="00317BFD">
        <w:rPr>
          <w:b/>
          <w:i/>
        </w:rPr>
        <w:t>The definitions and guidelines for the classification structure used in the Indigenous Expenditure Report are pr</w:t>
      </w:r>
      <w:r>
        <w:rPr>
          <w:b/>
          <w:i/>
        </w:rPr>
        <w:t>esented in chapter 4 of the 2017</w:t>
      </w:r>
      <w:r w:rsidRPr="00317BFD">
        <w:rPr>
          <w:b/>
          <w:i/>
        </w:rPr>
        <w:t xml:space="preserve"> </w:t>
      </w:r>
      <w:r>
        <w:rPr>
          <w:b/>
          <w:i/>
        </w:rPr>
        <w:t xml:space="preserve">Report </w:t>
      </w:r>
      <w:r w:rsidRPr="00317BFD">
        <w:rPr>
          <w:b/>
          <w:i/>
        </w:rPr>
        <w:t>Expenditure Data Manual.</w:t>
      </w:r>
    </w:p>
    <w:p w:rsidR="009A7F87" w:rsidRDefault="009A7F87" w:rsidP="009A7F87">
      <w:pPr>
        <w:pStyle w:val="Heading4"/>
        <w:rPr>
          <w:i/>
        </w:rPr>
      </w:pPr>
      <w:r>
        <w:rPr>
          <w:i/>
        </w:rPr>
        <w:t>Indigenous specific services and programs</w:t>
      </w:r>
    </w:p>
    <w:p w:rsidR="009A7F87" w:rsidRPr="00317BFD" w:rsidRDefault="009A7F87" w:rsidP="009A7F87">
      <w:pPr>
        <w:pStyle w:val="BodyText"/>
      </w:pPr>
      <w:r w:rsidRPr="00317BFD">
        <w:t xml:space="preserve">Services for Aboriginal and Torres Strait Islander Australians are provided through a combination of targeted and mainstream services. Expenditure on Indigenous specific services can generally be assumed to be exclusively for Aboriginal and Torres Strait Islander Australians. There can however, be some use of </w:t>
      </w:r>
      <w:r>
        <w:t xml:space="preserve">these </w:t>
      </w:r>
      <w:r w:rsidRPr="00317BFD">
        <w:t>services and programs by non</w:t>
      </w:r>
      <w:r>
        <w:noBreakHyphen/>
      </w:r>
      <w:r w:rsidRPr="00317BFD">
        <w:t>Indigenous Australians in particular locations (for example, health services in remote communities).</w:t>
      </w:r>
    </w:p>
    <w:p w:rsidR="009A7F87" w:rsidRPr="00317BFD" w:rsidRDefault="009A7F87" w:rsidP="009A7F87">
      <w:pPr>
        <w:keepLines/>
        <w:pBdr>
          <w:left w:val="single" w:sz="24" w:space="12" w:color="C0C0C0"/>
        </w:pBdr>
        <w:spacing w:before="240" w:line="320" w:lineRule="atLeast"/>
        <w:jc w:val="both"/>
        <w:rPr>
          <w:b/>
          <w:i/>
        </w:rPr>
      </w:pPr>
      <w:r w:rsidRPr="00317BFD">
        <w:rPr>
          <w:b/>
          <w:i/>
        </w:rPr>
        <w:t>The definition of Indigenous specific expenditure used for the 201</w:t>
      </w:r>
      <w:r>
        <w:rPr>
          <w:b/>
          <w:i/>
        </w:rPr>
        <w:t>7</w:t>
      </w:r>
      <w:r w:rsidRPr="00317BFD">
        <w:rPr>
          <w:b/>
          <w:i/>
        </w:rPr>
        <w:t xml:space="preserve"> Report is presented in chapter</w:t>
      </w:r>
      <w:r>
        <w:rPr>
          <w:b/>
          <w:i/>
        </w:rPr>
        <w:t> </w:t>
      </w:r>
      <w:r w:rsidRPr="00317BFD">
        <w:rPr>
          <w:b/>
          <w:i/>
        </w:rPr>
        <w:t>3 of the 201</w:t>
      </w:r>
      <w:r>
        <w:rPr>
          <w:b/>
          <w:i/>
        </w:rPr>
        <w:t>7</w:t>
      </w:r>
      <w:r w:rsidRPr="00317BFD">
        <w:rPr>
          <w:b/>
          <w:i/>
        </w:rPr>
        <w:t xml:space="preserve"> </w:t>
      </w:r>
      <w:r>
        <w:rPr>
          <w:b/>
          <w:i/>
        </w:rPr>
        <w:t xml:space="preserve">Report </w:t>
      </w:r>
      <w:r w:rsidRPr="00317BFD">
        <w:rPr>
          <w:b/>
          <w:i/>
        </w:rPr>
        <w:t>Expenditure Data Manual.</w:t>
      </w:r>
    </w:p>
    <w:p w:rsidR="009A7F87" w:rsidRDefault="009A7F87" w:rsidP="009A7F87">
      <w:pPr>
        <w:pStyle w:val="Heading4"/>
        <w:rPr>
          <w:i/>
        </w:rPr>
      </w:pPr>
      <w:r>
        <w:rPr>
          <w:i/>
        </w:rPr>
        <w:t>Expenditure on mainstream services</w:t>
      </w:r>
    </w:p>
    <w:p w:rsidR="009A7F87" w:rsidRPr="00317BFD" w:rsidRDefault="009A7F87" w:rsidP="009A7F87">
      <w:pPr>
        <w:pStyle w:val="BodyText"/>
      </w:pPr>
      <w:r w:rsidRPr="00317BFD">
        <w:t xml:space="preserve">Aboriginal and Torres Strait Islander Australians also receive support through services aimed at the broader community (mainstream services), such as </w:t>
      </w:r>
      <w:r>
        <w:t>Medicare</w:t>
      </w:r>
      <w:r w:rsidRPr="00317BFD">
        <w:t xml:space="preserve">. Expenditure on mainstream services for each expenditure category is calculated as the </w:t>
      </w:r>
      <w:r w:rsidRPr="00BD5ED0">
        <w:t xml:space="preserve">residual of total expenditure less any </w:t>
      </w:r>
      <w:r>
        <w:t xml:space="preserve">identified </w:t>
      </w:r>
      <w:r w:rsidRPr="00BD5ED0">
        <w:t>expenditure on Indigenous specific services</w:t>
      </w:r>
      <w:r w:rsidRPr="00317BFD">
        <w:t>.</w:t>
      </w:r>
    </w:p>
    <w:p w:rsidR="009A7F87" w:rsidRPr="00317BFD" w:rsidRDefault="009A7F87" w:rsidP="009A7F87">
      <w:pPr>
        <w:keepLines/>
        <w:pBdr>
          <w:left w:val="single" w:sz="24" w:space="12" w:color="C0C0C0"/>
        </w:pBdr>
        <w:spacing w:before="240" w:line="320" w:lineRule="atLeast"/>
        <w:jc w:val="both"/>
        <w:rPr>
          <w:b/>
          <w:i/>
        </w:rPr>
      </w:pPr>
      <w:r w:rsidRPr="00317BFD">
        <w:rPr>
          <w:b/>
          <w:i/>
        </w:rPr>
        <w:t>The definition of expenditure on mainstream se</w:t>
      </w:r>
      <w:r>
        <w:rPr>
          <w:b/>
          <w:i/>
        </w:rPr>
        <w:t>rvices that is used for the 2017  </w:t>
      </w:r>
      <w:r w:rsidRPr="00317BFD">
        <w:rPr>
          <w:b/>
          <w:i/>
        </w:rPr>
        <w:t>Report is presented in chapter 3 of the 201</w:t>
      </w:r>
      <w:r>
        <w:rPr>
          <w:b/>
          <w:i/>
        </w:rPr>
        <w:t>7</w:t>
      </w:r>
      <w:r w:rsidRPr="00317BFD">
        <w:rPr>
          <w:b/>
          <w:i/>
        </w:rPr>
        <w:t xml:space="preserve"> </w:t>
      </w:r>
      <w:r>
        <w:rPr>
          <w:b/>
          <w:i/>
        </w:rPr>
        <w:t xml:space="preserve">Report </w:t>
      </w:r>
      <w:r w:rsidRPr="00317BFD">
        <w:rPr>
          <w:b/>
          <w:i/>
        </w:rPr>
        <w:t>Expenditure Data Manual.</w:t>
      </w:r>
    </w:p>
    <w:p w:rsidR="009A7F87" w:rsidRPr="00317BFD" w:rsidRDefault="009A7F87" w:rsidP="009A7F87">
      <w:pPr>
        <w:pStyle w:val="BodyText"/>
      </w:pPr>
      <w:r w:rsidRPr="00317BFD">
        <w:t xml:space="preserve">The share of expenditure on mainstream services explicitly related to Aboriginal and Torres Strait Islander Australians will be identified where possible (for example, the share of expenditure on </w:t>
      </w:r>
      <w:r>
        <w:t>Medicare</w:t>
      </w:r>
      <w:r w:rsidRPr="00317BFD">
        <w:t xml:space="preserve"> that relates to services for Aboriginal and Torres Strait Islander Australians). However, this is often not possible because of the nature of the services (such as national defence, public transport, the operations of parliaments) or because of the limitations of existing information systems.</w:t>
      </w:r>
    </w:p>
    <w:p w:rsidR="009A7F87" w:rsidRDefault="009A7F87" w:rsidP="009A7F87">
      <w:pPr>
        <w:pStyle w:val="BodyText"/>
      </w:pPr>
      <w:r w:rsidRPr="00317BFD">
        <w:lastRenderedPageBreak/>
        <w:t>Where the Aboriginal and Torres Strait Islander share of expenditure on mainstream services cannot be identified, it must be estimated.</w:t>
      </w:r>
    </w:p>
    <w:p w:rsidR="009A7F87" w:rsidRDefault="009A7F87" w:rsidP="009A7F87">
      <w:pPr>
        <w:pStyle w:val="Heading3"/>
      </w:pPr>
      <w:r>
        <w:t>Prorating mainstream expenditure</w:t>
      </w:r>
    </w:p>
    <w:p w:rsidR="009A7F87" w:rsidRDefault="009A7F87" w:rsidP="009A7F87">
      <w:pPr>
        <w:pStyle w:val="BodyText"/>
      </w:pPr>
      <w:r w:rsidRPr="00825423">
        <w:t>The Aboriginal and Torres Strait Islander share of expenditure on mainstream services is rarely explicitly recorded and must be estimated on the basis of service use. Measures of service use provide a proxy of the distribution of costs (</w:t>
      </w:r>
      <w:r w:rsidRPr="00825423">
        <w:rPr>
          <w:b/>
        </w:rPr>
        <w:t>not benefits</w:t>
      </w:r>
      <w:r w:rsidRPr="00825423">
        <w:t>) among service users. Where possible, the service use measures should be adjusted for:</w:t>
      </w:r>
    </w:p>
    <w:p w:rsidR="009A7F87" w:rsidRDefault="009A7F87" w:rsidP="009A7F87">
      <w:pPr>
        <w:pStyle w:val="ListBullet"/>
      </w:pPr>
      <w:r>
        <w:rPr>
          <w:i/>
        </w:rPr>
        <w:t xml:space="preserve">Indigenous under-identification </w:t>
      </w:r>
      <w:r>
        <w:t xml:space="preserve">— </w:t>
      </w:r>
      <w:r w:rsidRPr="00825423">
        <w:t>the degree to which service users do not identify as Aboriginal and Torres Strait Islander. For example, a person’s Indigenous status might not always be asked as part of the service delivery process. There might also be a disincentive for service users to identify as being Aboriginal and/or Torres Strait Islander</w:t>
      </w:r>
    </w:p>
    <w:p w:rsidR="009A7F87" w:rsidRPr="00825423" w:rsidRDefault="009A7F87" w:rsidP="009A7F87">
      <w:pPr>
        <w:pStyle w:val="ListBullet"/>
      </w:pPr>
      <w:r>
        <w:rPr>
          <w:i/>
        </w:rPr>
        <w:t xml:space="preserve">cost differential </w:t>
      </w:r>
      <w:r>
        <w:t xml:space="preserve">— </w:t>
      </w:r>
      <w:r w:rsidRPr="00317BFD">
        <w:rPr>
          <w:szCs w:val="24"/>
        </w:rPr>
        <w:t>the extent to which the cost of providing services to Aboriginal and Torres Strait Islander and non</w:t>
      </w:r>
      <w:r>
        <w:rPr>
          <w:szCs w:val="24"/>
        </w:rPr>
        <w:noBreakHyphen/>
      </w:r>
      <w:r w:rsidRPr="00317BFD">
        <w:rPr>
          <w:szCs w:val="24"/>
        </w:rPr>
        <w:t xml:space="preserve">Indigenous Australians varies. The provision of services to Aboriginal and Torres Strait Islander Australians might be more costly on average if they are disproportionately located in remote areas, or if </w:t>
      </w:r>
      <w:r>
        <w:rPr>
          <w:szCs w:val="24"/>
        </w:rPr>
        <w:t>Aboriginal and Torres Strait Islander</w:t>
      </w:r>
      <w:r w:rsidRPr="00317BFD">
        <w:rPr>
          <w:szCs w:val="24"/>
        </w:rPr>
        <w:t xml:space="preserve"> service users have additional service needs (such as specific language requirement</w:t>
      </w:r>
      <w:r>
        <w:rPr>
          <w:szCs w:val="24"/>
        </w:rPr>
        <w:t>s) regardless of their location</w:t>
      </w:r>
    </w:p>
    <w:p w:rsidR="009A7F87" w:rsidRPr="00825423" w:rsidRDefault="009A7F87" w:rsidP="009A7F87">
      <w:pPr>
        <w:pStyle w:val="ListBullet"/>
      </w:pPr>
      <w:r>
        <w:rPr>
          <w:i/>
        </w:rPr>
        <w:t>Indigenous specific service use adjustment factor</w:t>
      </w:r>
      <w:r>
        <w:t xml:space="preserve"> — </w:t>
      </w:r>
      <w:r w:rsidRPr="008548C1">
        <w:rPr>
          <w:szCs w:val="24"/>
        </w:rPr>
        <w:t>the nature of a substitute Indigenous specific service is that it is given instead of a mainstream service. Because of this, it is necessary to remove the associated service use population if it is included in the mainstream population in order to avoid double counting.</w:t>
      </w:r>
    </w:p>
    <w:p w:rsidR="009A7F87" w:rsidRPr="00317BFD" w:rsidRDefault="009A7F87" w:rsidP="009A7F87">
      <w:pPr>
        <w:keepLines/>
        <w:pBdr>
          <w:left w:val="single" w:sz="24" w:space="12" w:color="C0C0C0"/>
        </w:pBdr>
        <w:spacing w:before="240" w:line="320" w:lineRule="atLeast"/>
        <w:jc w:val="both"/>
        <w:rPr>
          <w:b/>
          <w:i/>
        </w:rPr>
      </w:pPr>
      <w:r w:rsidRPr="00317BFD">
        <w:rPr>
          <w:b/>
          <w:i/>
        </w:rPr>
        <w:t>The definitions, concepts and methods for prorating expenditure on mainstream services are discussed in more detail in chapter</w:t>
      </w:r>
      <w:r>
        <w:rPr>
          <w:b/>
          <w:i/>
        </w:rPr>
        <w:t> </w:t>
      </w:r>
      <w:r w:rsidRPr="00317BFD">
        <w:rPr>
          <w:b/>
          <w:i/>
        </w:rPr>
        <w:t xml:space="preserve">2. </w:t>
      </w:r>
    </w:p>
    <w:p w:rsidR="009A7F87" w:rsidRDefault="009A7F87" w:rsidP="009A7F87">
      <w:pPr>
        <w:pStyle w:val="Heading2"/>
      </w:pPr>
      <w:r>
        <w:t>1.</w:t>
      </w:r>
      <w:r>
        <w:rPr>
          <w:noProof/>
        </w:rPr>
        <w:t>3</w:t>
      </w:r>
      <w:r>
        <w:tab/>
        <w:t>Indigenous Expenditure Report manuals</w:t>
      </w:r>
    </w:p>
    <w:p w:rsidR="009A7F87" w:rsidRDefault="009A7F87" w:rsidP="009A7F87">
      <w:pPr>
        <w:pStyle w:val="BodyText"/>
        <w:rPr>
          <w:szCs w:val="24"/>
        </w:rPr>
      </w:pPr>
      <w:r w:rsidRPr="00317BFD">
        <w:rPr>
          <w:szCs w:val="24"/>
        </w:rPr>
        <w:t xml:space="preserve">Two manuals have been produced that represent the nationally agreed definitions, concepts, methods and data sources used to estimate Indigenous expenditure for the </w:t>
      </w:r>
      <w:r w:rsidRPr="008A14C6">
        <w:rPr>
          <w:szCs w:val="24"/>
        </w:rPr>
        <w:t>2017 Report:</w:t>
      </w:r>
    </w:p>
    <w:p w:rsidR="009A7F87" w:rsidRPr="00A373AA" w:rsidRDefault="009A7F87" w:rsidP="009A7F87">
      <w:pPr>
        <w:pStyle w:val="ListBullet"/>
      </w:pPr>
      <w:r>
        <w:rPr>
          <w:i/>
        </w:rPr>
        <w:t>Expenditure Data Manual</w:t>
      </w:r>
      <w:r>
        <w:t xml:space="preserve"> — </w:t>
      </w:r>
      <w:r w:rsidRPr="00317BFD">
        <w:rPr>
          <w:szCs w:val="24"/>
        </w:rPr>
        <w:t>provides a consistent set of agreed definitions and guidelines for jurisdictions to follow when providing expenditure data</w:t>
      </w:r>
    </w:p>
    <w:p w:rsidR="009A7F87" w:rsidRPr="00A373AA" w:rsidRDefault="009A7F87" w:rsidP="009A7F87">
      <w:pPr>
        <w:pStyle w:val="ListBullet"/>
      </w:pPr>
      <w:r>
        <w:rPr>
          <w:i/>
        </w:rPr>
        <w:t xml:space="preserve">Service Use Measure Definitions Manual </w:t>
      </w:r>
      <w:r>
        <w:t xml:space="preserve">— </w:t>
      </w:r>
      <w:r w:rsidRPr="00317BFD">
        <w:rPr>
          <w:szCs w:val="24"/>
        </w:rPr>
        <w:t>documents the agreed measures used to prorate mainstream expenditure between Aboriginal and Torres Strait Islander and non</w:t>
      </w:r>
      <w:r>
        <w:rPr>
          <w:szCs w:val="24"/>
        </w:rPr>
        <w:noBreakHyphen/>
      </w:r>
      <w:r w:rsidRPr="00317BFD">
        <w:rPr>
          <w:szCs w:val="24"/>
        </w:rPr>
        <w:t>Indigenous Australians.</w:t>
      </w:r>
    </w:p>
    <w:p w:rsidR="009A7F87" w:rsidRDefault="009A7F87" w:rsidP="009A7F87">
      <w:pPr>
        <w:pStyle w:val="BodyText"/>
        <w:rPr>
          <w:szCs w:val="24"/>
        </w:rPr>
      </w:pPr>
      <w:r w:rsidRPr="00317BFD">
        <w:rPr>
          <w:szCs w:val="24"/>
        </w:rPr>
        <w:lastRenderedPageBreak/>
        <w:t xml:space="preserve">These manuals are revised for each </w:t>
      </w:r>
      <w:r>
        <w:rPr>
          <w:szCs w:val="24"/>
        </w:rPr>
        <w:t xml:space="preserve">edition of the </w:t>
      </w:r>
      <w:r w:rsidRPr="00376328">
        <w:rPr>
          <w:szCs w:val="24"/>
        </w:rPr>
        <w:t>Indigenous Expenditure R</w:t>
      </w:r>
      <w:r w:rsidRPr="00317BFD">
        <w:rPr>
          <w:szCs w:val="24"/>
        </w:rPr>
        <w:t>eport</w:t>
      </w:r>
      <w:r>
        <w:rPr>
          <w:szCs w:val="24"/>
        </w:rPr>
        <w:t>.</w:t>
      </w:r>
      <w:r w:rsidRPr="00317BFD">
        <w:rPr>
          <w:szCs w:val="24"/>
        </w:rPr>
        <w:t xml:space="preserve"> Readers should ensure that the manuals they are referencing correspond to the appropriate data year.</w:t>
      </w:r>
    </w:p>
    <w:p w:rsidR="009A7F87" w:rsidRDefault="009A7F87" w:rsidP="009A7F87">
      <w:pPr>
        <w:pStyle w:val="Heading2"/>
      </w:pPr>
      <w:r>
        <w:t>1.</w:t>
      </w:r>
      <w:r>
        <w:rPr>
          <w:noProof/>
        </w:rPr>
        <w:t>4</w:t>
      </w:r>
      <w:r w:rsidRPr="00A373AA">
        <w:tab/>
      </w:r>
      <w:r>
        <w:t>Structure of the manual</w:t>
      </w:r>
    </w:p>
    <w:p w:rsidR="009A7F87" w:rsidRDefault="009A7F87" w:rsidP="009A7F87">
      <w:pPr>
        <w:pStyle w:val="BodyText"/>
        <w:rPr>
          <w:szCs w:val="24"/>
        </w:rPr>
      </w:pPr>
      <w:r w:rsidRPr="00317BFD">
        <w:rPr>
          <w:szCs w:val="24"/>
        </w:rPr>
        <w:t>The definitions, concepts and methods for prorating expenditure on mainstream services are discussed in the following chapters:</w:t>
      </w:r>
    </w:p>
    <w:p w:rsidR="009A7F87" w:rsidRPr="00A373AA" w:rsidRDefault="009A7F87" w:rsidP="009A7F87">
      <w:pPr>
        <w:pStyle w:val="ListBullet"/>
      </w:pPr>
      <w:r>
        <w:rPr>
          <w:i/>
        </w:rPr>
        <w:t>prorating mainstream expenditure (chapter 2)</w:t>
      </w:r>
      <w:r>
        <w:t xml:space="preserve"> — </w:t>
      </w:r>
      <w:r w:rsidRPr="00317BFD">
        <w:rPr>
          <w:szCs w:val="24"/>
        </w:rPr>
        <w:t>an overview of the theoretical basis of the proration approach and discussion of key issues</w:t>
      </w:r>
    </w:p>
    <w:p w:rsidR="009A7F87" w:rsidRPr="00A373AA" w:rsidRDefault="009A7F87" w:rsidP="009A7F87">
      <w:pPr>
        <w:pStyle w:val="ListBullet"/>
      </w:pPr>
      <w:r>
        <w:rPr>
          <w:i/>
        </w:rPr>
        <w:t>identifying service use measures (chapter 3)</w:t>
      </w:r>
      <w:r>
        <w:t xml:space="preserve"> — </w:t>
      </w:r>
      <w:r w:rsidRPr="00317BFD">
        <w:rPr>
          <w:szCs w:val="24"/>
        </w:rPr>
        <w:t>presents the concepts, sources and methods used in identifying the service use measure for each expenditure category</w:t>
      </w:r>
    </w:p>
    <w:p w:rsidR="009A7F87" w:rsidRPr="00317BFD" w:rsidRDefault="009A7F87" w:rsidP="009A7F87">
      <w:pPr>
        <w:pStyle w:val="ListBullet"/>
        <w:spacing w:line="320" w:lineRule="exact"/>
      </w:pPr>
      <w:r w:rsidRPr="00317BFD">
        <w:rPr>
          <w:i/>
        </w:rPr>
        <w:t>adjusting for under</w:t>
      </w:r>
      <w:r>
        <w:rPr>
          <w:i/>
        </w:rPr>
        <w:noBreakHyphen/>
      </w:r>
      <w:r w:rsidRPr="00317BFD">
        <w:rPr>
          <w:i/>
        </w:rPr>
        <w:t>identification (chapter 4)</w:t>
      </w:r>
      <w:r w:rsidRPr="00317BFD">
        <w:t xml:space="preserve"> — provides guidelines and methods for adjusting service use measures for Indigenous under</w:t>
      </w:r>
      <w:r>
        <w:noBreakHyphen/>
      </w:r>
      <w:r w:rsidRPr="00317BFD">
        <w:t>identification</w:t>
      </w:r>
    </w:p>
    <w:p w:rsidR="009A7F87" w:rsidRPr="00317BFD" w:rsidRDefault="009A7F87" w:rsidP="009A7F87">
      <w:pPr>
        <w:pStyle w:val="ListBullet"/>
        <w:spacing w:line="320" w:lineRule="exact"/>
        <w:rPr>
          <w:szCs w:val="24"/>
        </w:rPr>
      </w:pPr>
      <w:r w:rsidRPr="00317BFD">
        <w:rPr>
          <w:i/>
          <w:szCs w:val="24"/>
        </w:rPr>
        <w:t>adjusting for cost differentials</w:t>
      </w:r>
      <w:r w:rsidRPr="00317BFD">
        <w:rPr>
          <w:szCs w:val="24"/>
        </w:rPr>
        <w:t xml:space="preserve"> </w:t>
      </w:r>
      <w:r w:rsidRPr="00317BFD">
        <w:rPr>
          <w:i/>
          <w:szCs w:val="24"/>
        </w:rPr>
        <w:t xml:space="preserve">(chapter 5) </w:t>
      </w:r>
      <w:r w:rsidRPr="00317BFD">
        <w:rPr>
          <w:szCs w:val="24"/>
        </w:rPr>
        <w:t>— provides guidelines and methods for adjusting service use measures to account for the difference in the cost of providing services to Aboriginal and Torres Strait Islander and non</w:t>
      </w:r>
      <w:r w:rsidRPr="00317BFD">
        <w:rPr>
          <w:szCs w:val="24"/>
        </w:rPr>
        <w:noBreakHyphen/>
        <w:t>Indigenous Australians</w:t>
      </w:r>
    </w:p>
    <w:p w:rsidR="009A7F87" w:rsidRPr="00317BFD" w:rsidRDefault="009A7F87" w:rsidP="009A7F87">
      <w:pPr>
        <w:pStyle w:val="ListBullet"/>
        <w:spacing w:line="320" w:lineRule="exact"/>
        <w:rPr>
          <w:b/>
          <w:szCs w:val="24"/>
        </w:rPr>
      </w:pPr>
      <w:r w:rsidRPr="00317BFD">
        <w:rPr>
          <w:i/>
          <w:szCs w:val="24"/>
        </w:rPr>
        <w:t xml:space="preserve">Indigenous specific expenditure (chapter 6) </w:t>
      </w:r>
      <w:r w:rsidRPr="00317BFD">
        <w:rPr>
          <w:szCs w:val="24"/>
        </w:rPr>
        <w:t>— an overview of the approach used to prorate mainstream expenditure between Indigenous and non</w:t>
      </w:r>
      <w:r w:rsidRPr="00317BFD">
        <w:rPr>
          <w:szCs w:val="24"/>
        </w:rPr>
        <w:noBreakHyphen/>
        <w:t xml:space="preserve">Indigenous services </w:t>
      </w:r>
    </w:p>
    <w:p w:rsidR="009A7F87" w:rsidRPr="00317BFD" w:rsidRDefault="009A7F87" w:rsidP="009A7F87">
      <w:pPr>
        <w:pStyle w:val="ListBullet"/>
        <w:spacing w:line="320" w:lineRule="exact"/>
        <w:rPr>
          <w:szCs w:val="24"/>
        </w:rPr>
      </w:pPr>
      <w:r w:rsidRPr="00317BFD">
        <w:rPr>
          <w:i/>
          <w:szCs w:val="24"/>
        </w:rPr>
        <w:t>Australian Government expenditure (chapter 7)</w:t>
      </w:r>
      <w:r w:rsidRPr="00317BFD">
        <w:rPr>
          <w:szCs w:val="24"/>
        </w:rPr>
        <w:t xml:space="preserve"> — an overview of the method for allocating Australian Government direct and indirect expenditure across states and territories</w:t>
      </w:r>
    </w:p>
    <w:p w:rsidR="009A7F87" w:rsidRPr="00A373AA" w:rsidRDefault="009A7F87" w:rsidP="009A7F87">
      <w:pPr>
        <w:pStyle w:val="ListBullet"/>
      </w:pPr>
      <w:r w:rsidRPr="00317BFD">
        <w:rPr>
          <w:i/>
          <w:szCs w:val="24"/>
        </w:rPr>
        <w:t>sensitivity analysis (chapter 8)</w:t>
      </w:r>
      <w:r w:rsidRPr="00317BFD">
        <w:rPr>
          <w:szCs w:val="24"/>
        </w:rPr>
        <w:t xml:space="preserve"> — a discussion of the benefits of, and approaches to, sensitivity analysis for the Indigenous Expenditure Report</w:t>
      </w:r>
      <w:r>
        <w:rPr>
          <w:szCs w:val="24"/>
        </w:rPr>
        <w:t>.</w:t>
      </w:r>
    </w:p>
    <w:p w:rsidR="009A7F87" w:rsidRDefault="009A7F87" w:rsidP="009A7F87">
      <w:pPr>
        <w:pStyle w:val="BodyText"/>
      </w:pPr>
      <w:r>
        <w:t xml:space="preserve">The manual also includes the following appendixes that provide supporting information: </w:t>
      </w:r>
    </w:p>
    <w:p w:rsidR="009A7F87" w:rsidRPr="00BC2416" w:rsidRDefault="009A7F87" w:rsidP="009A7F87">
      <w:pPr>
        <w:pStyle w:val="ListBullet"/>
        <w:rPr>
          <w:szCs w:val="24"/>
        </w:rPr>
      </w:pPr>
      <w:r w:rsidRPr="00BC2416">
        <w:rPr>
          <w:i/>
          <w:szCs w:val="24"/>
        </w:rPr>
        <w:t xml:space="preserve">service use measure definitions (appendix A) </w:t>
      </w:r>
      <w:r w:rsidRPr="00BC2416">
        <w:rPr>
          <w:szCs w:val="24"/>
        </w:rPr>
        <w:t>— details the proration method and guidelines for each expenditure category</w:t>
      </w:r>
    </w:p>
    <w:p w:rsidR="009A7F87" w:rsidRPr="00A373AA" w:rsidRDefault="009A7F87" w:rsidP="009A7F87">
      <w:pPr>
        <w:pStyle w:val="ListBullet"/>
        <w:spacing w:line="320" w:lineRule="atLeast"/>
      </w:pPr>
      <w:r w:rsidRPr="008548C1">
        <w:rPr>
          <w:i/>
          <w:szCs w:val="24"/>
        </w:rPr>
        <w:t>Indigenous under</w:t>
      </w:r>
      <w:r w:rsidRPr="008548C1">
        <w:rPr>
          <w:i/>
          <w:szCs w:val="24"/>
        </w:rPr>
        <w:noBreakHyphen/>
        <w:t>identification</w:t>
      </w:r>
      <w:r w:rsidRPr="008548C1">
        <w:rPr>
          <w:szCs w:val="24"/>
        </w:rPr>
        <w:t xml:space="preserve"> </w:t>
      </w:r>
      <w:r w:rsidRPr="008548C1">
        <w:rPr>
          <w:i/>
          <w:szCs w:val="24"/>
        </w:rPr>
        <w:t>adjustment methods (appendix B)</w:t>
      </w:r>
      <w:r w:rsidRPr="008548C1">
        <w:rPr>
          <w:szCs w:val="24"/>
        </w:rPr>
        <w:t xml:space="preserve"> — a summary of how Indigenous under</w:t>
      </w:r>
      <w:r w:rsidRPr="008548C1">
        <w:rPr>
          <w:szCs w:val="24"/>
        </w:rPr>
        <w:noBreakHyphen/>
        <w:t>identification was addressed for each service use measure data source</w:t>
      </w:r>
      <w:r>
        <w:rPr>
          <w:szCs w:val="24"/>
        </w:rPr>
        <w:t>.</w:t>
      </w:r>
    </w:p>
    <w:p w:rsidR="009A7F87" w:rsidRDefault="009A7F87" w:rsidP="009A7F87">
      <w:pPr>
        <w:pStyle w:val="BodyText"/>
      </w:pPr>
    </w:p>
    <w:p w:rsidR="009A7F87" w:rsidRPr="00A373AA" w:rsidRDefault="009A7F87" w:rsidP="009A7F87">
      <w:pPr>
        <w:pStyle w:val="BodyText"/>
      </w:pPr>
    </w:p>
    <w:p w:rsidR="009A7F87" w:rsidRPr="00A373AA" w:rsidRDefault="009A7F87" w:rsidP="009A7F87">
      <w:pPr>
        <w:pStyle w:val="BodyText"/>
      </w:pPr>
    </w:p>
    <w:p w:rsidR="009A7F87" w:rsidRPr="00825423" w:rsidRDefault="009A7F87" w:rsidP="009A7F87">
      <w:pPr>
        <w:pStyle w:val="BodyText"/>
      </w:pPr>
    </w:p>
    <w:p w:rsidR="009A7F87" w:rsidRPr="00825423" w:rsidRDefault="009A7F87" w:rsidP="009A7F87">
      <w:pPr>
        <w:pStyle w:val="BodyText"/>
      </w:pPr>
    </w:p>
    <w:p w:rsidR="009A7F87" w:rsidRDefault="009A7F87" w:rsidP="009A7F87">
      <w:pPr>
        <w:sectPr w:rsidR="009A7F87" w:rsidSect="00064540">
          <w:headerReference w:type="even" r:id="rId28"/>
          <w:headerReference w:type="default" r:id="rId29"/>
          <w:footerReference w:type="even" r:id="rId30"/>
          <w:footerReference w:type="default" r:id="rId31"/>
          <w:headerReference w:type="first" r:id="rId32"/>
          <w:footnotePr>
            <w:numRestart w:val="eachSect"/>
          </w:footnotePr>
          <w:pgSz w:w="11907" w:h="16840" w:code="9"/>
          <w:pgMar w:top="1985" w:right="1304" w:bottom="1247" w:left="1814" w:header="1701" w:footer="397" w:gutter="0"/>
          <w:pgNumType w:start="1" w:chapSep="period"/>
          <w:cols w:space="720"/>
          <w:titlePg/>
          <w:docGrid w:linePitch="326"/>
        </w:sectPr>
      </w:pPr>
    </w:p>
    <w:p w:rsidR="009A7F87" w:rsidRDefault="009A7F87" w:rsidP="009A7F87">
      <w:pPr>
        <w:pStyle w:val="Heading1"/>
        <w:spacing w:before="0"/>
      </w:pPr>
      <w:r>
        <w:lastRenderedPageBreak/>
        <w:t>2</w:t>
      </w:r>
      <w:r>
        <w:tab/>
        <w:t xml:space="preserve">Prorating mainstream expenditure </w:t>
      </w:r>
    </w:p>
    <w:p w:rsidR="009A7F87" w:rsidRDefault="009A7F87" w:rsidP="009A7F87">
      <w:pPr>
        <w:pStyle w:val="BodyText"/>
      </w:pPr>
      <w:r w:rsidRPr="00EA12D6">
        <w:t>An overview of the Steering Committee’s approach to identifying government expenditure on services for Aboriginal and Torres Strait Islander Australians is provided in chapter 1 (section 1.2).</w:t>
      </w:r>
    </w:p>
    <w:p w:rsidR="009A7F87" w:rsidRDefault="009A7F87" w:rsidP="009A7F87">
      <w:pPr>
        <w:pStyle w:val="BodyText"/>
        <w:rPr>
          <w:szCs w:val="24"/>
        </w:rPr>
      </w:pPr>
      <w:r w:rsidRPr="00317BFD">
        <w:rPr>
          <w:szCs w:val="24"/>
        </w:rPr>
        <w:t>The proration of mainstream expenditure involves two stages:</w:t>
      </w:r>
    </w:p>
    <w:p w:rsidR="009A7F87" w:rsidRPr="00317BFD" w:rsidRDefault="009A7F87" w:rsidP="009A7F87">
      <w:pPr>
        <w:pStyle w:val="ListNumber"/>
        <w:numPr>
          <w:ilvl w:val="0"/>
          <w:numId w:val="22"/>
        </w:numPr>
        <w:spacing w:line="320" w:lineRule="atLeast"/>
        <w:rPr>
          <w:szCs w:val="24"/>
        </w:rPr>
      </w:pPr>
      <w:r>
        <w:t xml:space="preserve">identifying </w:t>
      </w:r>
      <w:r w:rsidRPr="00317BFD">
        <w:rPr>
          <w:szCs w:val="24"/>
        </w:rPr>
        <w:t>total expenditure by service area and, where applicable, total expenditure for Indigenous specific services and programs</w:t>
      </w:r>
    </w:p>
    <w:p w:rsidR="009A7F87" w:rsidRPr="00317BFD" w:rsidRDefault="009A7F87" w:rsidP="009A7F87">
      <w:pPr>
        <w:pStyle w:val="ListNumber"/>
        <w:numPr>
          <w:ilvl w:val="0"/>
          <w:numId w:val="22"/>
        </w:numPr>
        <w:spacing w:line="320" w:lineRule="atLeast"/>
        <w:rPr>
          <w:szCs w:val="24"/>
        </w:rPr>
      </w:pPr>
      <w:r w:rsidRPr="00317BFD">
        <w:rPr>
          <w:szCs w:val="24"/>
        </w:rPr>
        <w:t>prorating mainstream (that is, non</w:t>
      </w:r>
      <w:r>
        <w:rPr>
          <w:szCs w:val="24"/>
        </w:rPr>
        <w:noBreakHyphen/>
      </w:r>
      <w:r w:rsidRPr="00317BFD">
        <w:rPr>
          <w:szCs w:val="24"/>
        </w:rPr>
        <w:t>Indigenous specific) expenditure between Aboriginal and Torres Strait Islander Australians and non</w:t>
      </w:r>
      <w:r>
        <w:rPr>
          <w:szCs w:val="24"/>
        </w:rPr>
        <w:noBreakHyphen/>
      </w:r>
      <w:r w:rsidRPr="00317BFD">
        <w:rPr>
          <w:szCs w:val="24"/>
        </w:rPr>
        <w:t>Indigenous Australians.</w:t>
      </w:r>
    </w:p>
    <w:p w:rsidR="009A7F87" w:rsidRPr="00EA12D6" w:rsidRDefault="009A7F87" w:rsidP="009A7F87">
      <w:pPr>
        <w:pStyle w:val="BodyText"/>
      </w:pPr>
      <w:r w:rsidRPr="00EA12D6">
        <w:t>This chapter focuses on the definitions, concepts and methods for prorating expenditure on mainstream services. Australian Government expenditure is allocated across states and territories using the approach described in chapter 7 before the methods described in this chapter are applied.</w:t>
      </w:r>
    </w:p>
    <w:p w:rsidR="009A7F87" w:rsidRPr="00EA12D6" w:rsidRDefault="009A7F87" w:rsidP="009A7F87">
      <w:pPr>
        <w:pStyle w:val="BodyText"/>
      </w:pPr>
      <w:r w:rsidRPr="00EA12D6">
        <w:t xml:space="preserve">Definitions, concepts and methods for allocating expenditure to GPC categories, and for identifying Indigenous specific expenditure, are discussed in the 2017 Report </w:t>
      </w:r>
      <w:r w:rsidRPr="00CD105C">
        <w:rPr>
          <w:i/>
        </w:rPr>
        <w:t>Expenditure Data Manual</w:t>
      </w:r>
      <w:r w:rsidRPr="00EA12D6">
        <w:t>.</w:t>
      </w:r>
    </w:p>
    <w:p w:rsidR="009A7F87" w:rsidRPr="00EA12D6" w:rsidRDefault="009A7F87" w:rsidP="009A7F87">
      <w:pPr>
        <w:pStyle w:val="BodyText"/>
      </w:pPr>
      <w:r w:rsidRPr="00EA12D6">
        <w:t>An overview of the principles and parameters that are used for estimating the Aboriginal and Torres Strait Islander share of expenditure on mainstream services is provided in section 2.1. Estimates have their limitations and should be used with care. An overview of interpretation issues is provided in section 2.2.</w:t>
      </w:r>
    </w:p>
    <w:p w:rsidR="009A7F87" w:rsidRDefault="009A7F87" w:rsidP="009A7F87">
      <w:pPr>
        <w:pStyle w:val="Heading2"/>
      </w:pPr>
      <w:r>
        <w:t>2.</w:t>
      </w:r>
      <w:r>
        <w:rPr>
          <w:noProof/>
        </w:rPr>
        <w:t>1</w:t>
      </w:r>
      <w:r>
        <w:tab/>
        <w:t>Prorating expenditure on mainstream services</w:t>
      </w:r>
    </w:p>
    <w:p w:rsidR="009A7F87" w:rsidRPr="00317BFD" w:rsidRDefault="009A7F87" w:rsidP="009A7F87">
      <w:pPr>
        <w:pStyle w:val="BodyText"/>
        <w:rPr>
          <w:szCs w:val="24"/>
        </w:rPr>
      </w:pPr>
      <w:r w:rsidRPr="00317BFD">
        <w:rPr>
          <w:szCs w:val="24"/>
        </w:rPr>
        <w:t xml:space="preserve">Mainstream services are typically targeted at individuals or groups with particular needs (such as people with disabilities), specific policy objectives (for example, public housing or income support) or toward services collectively consumed by the entire community (such as national defence). </w:t>
      </w:r>
    </w:p>
    <w:p w:rsidR="009A7F87" w:rsidRDefault="009A7F87" w:rsidP="009A7F87">
      <w:pPr>
        <w:pStyle w:val="BodyText"/>
        <w:rPr>
          <w:szCs w:val="24"/>
        </w:rPr>
      </w:pPr>
      <w:r w:rsidRPr="00317BFD">
        <w:rPr>
          <w:szCs w:val="24"/>
        </w:rPr>
        <w:t>For each service area, Australian, State and Territory governments provide total expenditure and Indigenous specific expenditure, allowing mainstream expenditure to be derived as a residual.</w:t>
      </w:r>
    </w:p>
    <w:tbl>
      <w:tblPr>
        <w:tblW w:w="8429" w:type="dxa"/>
        <w:tblInd w:w="360" w:type="dxa"/>
        <w:tblLayout w:type="fixed"/>
        <w:tblCellMar>
          <w:left w:w="0" w:type="dxa"/>
          <w:right w:w="0" w:type="dxa"/>
        </w:tblCellMar>
        <w:tblLook w:val="01E0" w:firstRow="1" w:lastRow="1" w:firstColumn="1" w:lastColumn="1" w:noHBand="0" w:noVBand="0"/>
      </w:tblPr>
      <w:tblGrid>
        <w:gridCol w:w="2475"/>
        <w:gridCol w:w="455"/>
        <w:gridCol w:w="2097"/>
        <w:gridCol w:w="283"/>
        <w:gridCol w:w="1843"/>
        <w:gridCol w:w="1276"/>
      </w:tblGrid>
      <w:tr w:rsidR="009A7F87" w:rsidRPr="00770229" w:rsidTr="009A7F87">
        <w:tc>
          <w:tcPr>
            <w:tcW w:w="2475" w:type="dxa"/>
            <w:shd w:val="clear" w:color="auto" w:fill="auto"/>
            <w:vAlign w:val="center"/>
          </w:tcPr>
          <w:p w:rsidR="009A7F87" w:rsidRPr="00770229" w:rsidRDefault="009A7F87" w:rsidP="009A7F87">
            <w:pPr>
              <w:pStyle w:val="TableBodyText"/>
              <w:keepNext w:val="0"/>
              <w:jc w:val="center"/>
              <w:rPr>
                <w:bCs/>
                <w:i/>
              </w:rPr>
            </w:pPr>
            <w:r w:rsidRPr="00770229">
              <w:rPr>
                <w:bCs/>
                <w:i/>
              </w:rPr>
              <w:t xml:space="preserve">Total mainstream </w:t>
            </w:r>
            <w:r w:rsidRPr="00770229">
              <w:rPr>
                <w:bCs/>
                <w:i/>
              </w:rPr>
              <w:br/>
              <w:t>expenditure</w:t>
            </w:r>
          </w:p>
        </w:tc>
        <w:tc>
          <w:tcPr>
            <w:tcW w:w="455" w:type="dxa"/>
            <w:shd w:val="clear" w:color="auto" w:fill="auto"/>
            <w:vAlign w:val="center"/>
          </w:tcPr>
          <w:p w:rsidR="009A7F87" w:rsidRPr="00770229" w:rsidRDefault="009A7F87" w:rsidP="009A7F87">
            <w:pPr>
              <w:pStyle w:val="TableBodyText"/>
              <w:keepNext w:val="0"/>
              <w:jc w:val="center"/>
              <w:rPr>
                <w:bCs/>
                <w:sz w:val="48"/>
                <w:szCs w:val="48"/>
              </w:rPr>
            </w:pPr>
            <w:r w:rsidRPr="00770229">
              <w:rPr>
                <w:bCs/>
                <w:sz w:val="48"/>
                <w:szCs w:val="48"/>
              </w:rPr>
              <w:t>=</w:t>
            </w:r>
          </w:p>
        </w:tc>
        <w:tc>
          <w:tcPr>
            <w:tcW w:w="2097" w:type="dxa"/>
            <w:shd w:val="clear" w:color="auto" w:fill="auto"/>
            <w:vAlign w:val="center"/>
          </w:tcPr>
          <w:p w:rsidR="009A7F87" w:rsidRPr="00770229" w:rsidRDefault="009A7F87" w:rsidP="009A7F87">
            <w:pPr>
              <w:pStyle w:val="TableBodyText"/>
              <w:keepNext w:val="0"/>
              <w:jc w:val="center"/>
              <w:rPr>
                <w:bCs/>
              </w:rPr>
            </w:pPr>
            <w:r w:rsidRPr="00770229">
              <w:rPr>
                <w:bCs/>
                <w:i/>
              </w:rPr>
              <w:t xml:space="preserve">Total </w:t>
            </w:r>
            <w:r w:rsidRPr="00770229">
              <w:rPr>
                <w:bCs/>
                <w:i/>
              </w:rPr>
              <w:br/>
              <w:t>expenditure</w:t>
            </w:r>
          </w:p>
        </w:tc>
        <w:tc>
          <w:tcPr>
            <w:tcW w:w="283" w:type="dxa"/>
            <w:shd w:val="clear" w:color="auto" w:fill="auto"/>
            <w:vAlign w:val="center"/>
          </w:tcPr>
          <w:p w:rsidR="009A7F87" w:rsidRPr="00770229" w:rsidRDefault="009A7F87" w:rsidP="009A7F87">
            <w:pPr>
              <w:pStyle w:val="TableBodyText"/>
              <w:keepNext w:val="0"/>
              <w:rPr>
                <w:bCs/>
                <w:sz w:val="48"/>
                <w:szCs w:val="48"/>
              </w:rPr>
            </w:pPr>
            <w:r>
              <w:rPr>
                <w:bCs/>
                <w:sz w:val="48"/>
                <w:szCs w:val="48"/>
              </w:rPr>
              <w:noBreakHyphen/>
            </w:r>
          </w:p>
        </w:tc>
        <w:tc>
          <w:tcPr>
            <w:tcW w:w="1843" w:type="dxa"/>
            <w:shd w:val="clear" w:color="auto" w:fill="auto"/>
            <w:vAlign w:val="center"/>
          </w:tcPr>
          <w:p w:rsidR="009A7F87" w:rsidRPr="00770229" w:rsidRDefault="009A7F87" w:rsidP="009A7F87">
            <w:pPr>
              <w:pStyle w:val="TableBodyText"/>
              <w:keepNext w:val="0"/>
              <w:jc w:val="center"/>
              <w:rPr>
                <w:bCs/>
              </w:rPr>
            </w:pPr>
            <w:r w:rsidRPr="00770229">
              <w:rPr>
                <w:bCs/>
                <w:i/>
              </w:rPr>
              <w:t>Indigenous specific expenditure</w:t>
            </w:r>
          </w:p>
        </w:tc>
        <w:tc>
          <w:tcPr>
            <w:tcW w:w="1276" w:type="dxa"/>
            <w:shd w:val="clear" w:color="auto" w:fill="auto"/>
            <w:vAlign w:val="center"/>
          </w:tcPr>
          <w:p w:rsidR="009A7F87" w:rsidRPr="00770229" w:rsidRDefault="009A7F87" w:rsidP="009A7F87">
            <w:pPr>
              <w:pStyle w:val="TableBodyText"/>
              <w:keepNext w:val="0"/>
              <w:ind w:right="0"/>
              <w:rPr>
                <w:bCs/>
              </w:rPr>
            </w:pPr>
            <w:r w:rsidRPr="00770229">
              <w:rPr>
                <w:bCs/>
              </w:rPr>
              <w:t>[1]</w:t>
            </w:r>
          </w:p>
        </w:tc>
      </w:tr>
    </w:tbl>
    <w:p w:rsidR="009A7F87" w:rsidRPr="00317BFD" w:rsidRDefault="009A7F87" w:rsidP="009A7F87">
      <w:pPr>
        <w:pStyle w:val="BodyText"/>
        <w:rPr>
          <w:szCs w:val="24"/>
        </w:rPr>
      </w:pPr>
      <w:r w:rsidRPr="00317BFD">
        <w:rPr>
          <w:szCs w:val="24"/>
        </w:rPr>
        <w:lastRenderedPageBreak/>
        <w:t>For these mainstream services it is generally not possible to explicitly identify Aboriginal and Torres Strait Islander Australians’ share of expenditure. As a consequence, the Aboriginal and Torres Strait Islander share of expenditure must be estimated.</w:t>
      </w:r>
      <w:r w:rsidRPr="00317BFD">
        <w:rPr>
          <w:rStyle w:val="FootnoteReference"/>
          <w:szCs w:val="24"/>
        </w:rPr>
        <w:footnoteReference w:id="3"/>
      </w:r>
    </w:p>
    <w:p w:rsidR="009A7F87" w:rsidRDefault="009A7F87" w:rsidP="009A7F87">
      <w:pPr>
        <w:pStyle w:val="Heading4"/>
        <w:rPr>
          <w:i/>
        </w:rPr>
      </w:pPr>
      <w:r>
        <w:rPr>
          <w:i/>
        </w:rPr>
        <w:t>Linking service use to expenditure</w:t>
      </w:r>
    </w:p>
    <w:p w:rsidR="009A7F87" w:rsidRPr="00317BFD" w:rsidRDefault="009A7F87" w:rsidP="009A7F87">
      <w:pPr>
        <w:pStyle w:val="BodyText"/>
        <w:rPr>
          <w:szCs w:val="24"/>
        </w:rPr>
      </w:pPr>
      <w:r w:rsidRPr="00317BFD">
        <w:rPr>
          <w:szCs w:val="24"/>
        </w:rPr>
        <w:t>The terms of reference endorsed by the Council of Australian Governments (COAG) at its 2 July 2009 meeting, direct the Steering Committee to report on the share of expenditure directed to Aboriginal and Torres Strait Islander Australians, as distinct from the share of services, or benefit from services that Aboriginal and Torres Strait Islander Australians receive.</w:t>
      </w:r>
      <w:r w:rsidRPr="00317BFD">
        <w:rPr>
          <w:rStyle w:val="FootnoteReference"/>
          <w:szCs w:val="24"/>
        </w:rPr>
        <w:footnoteReference w:id="4"/>
      </w:r>
    </w:p>
    <w:p w:rsidR="009A7F87" w:rsidRPr="00CD105C" w:rsidRDefault="009A7F87" w:rsidP="009A7F87">
      <w:pPr>
        <w:pStyle w:val="BodyText"/>
      </w:pPr>
      <w:r w:rsidRPr="00317BFD">
        <w:rPr>
          <w:szCs w:val="24"/>
        </w:rPr>
        <w:t>The Indigenous Expenditure Report method estimates the share of expenditure on mainstream services that is attributed to Aboriginal and Torres Strait Islander Australians based on the impact that Aboriginal and Torres Strait Islander Australians have on total expenditure (not the benefit that service users receive). This requires an understanding of three important aspects of service delivery:</w:t>
      </w:r>
    </w:p>
    <w:p w:rsidR="009A7F87" w:rsidRPr="00CD105C" w:rsidRDefault="009A7F87" w:rsidP="009A7F87">
      <w:pPr>
        <w:pStyle w:val="ListBullet"/>
      </w:pPr>
      <w:r w:rsidRPr="00CD105C">
        <w:rPr>
          <w:i/>
        </w:rPr>
        <w:t>service cost drivers</w:t>
      </w:r>
      <w:r>
        <w:t xml:space="preserve"> — </w:t>
      </w:r>
      <w:r w:rsidRPr="00317BFD">
        <w:rPr>
          <w:szCs w:val="24"/>
        </w:rPr>
        <w:t>how Aboriginal and Torres Strait Islander Australians influence expenditure on services requires an understanding of the key service cost drivers. For many services, the number of service users will be a key cost driver (for example, the number of patients for each type of procedure treated in a hospital). For other services, the major cost driver might not be closely related to the number of service users at all (for example, expenditure on foreign aid is not directly related to the characteristics of any population group in Australia)</w:t>
      </w:r>
    </w:p>
    <w:p w:rsidR="009A7F87" w:rsidRPr="00CD105C" w:rsidRDefault="009A7F87" w:rsidP="009A7F87">
      <w:pPr>
        <w:pStyle w:val="ListBullet"/>
      </w:pPr>
      <w:r>
        <w:t xml:space="preserve">Indigenous </w:t>
      </w:r>
      <w:r>
        <w:rPr>
          <w:i/>
        </w:rPr>
        <w:t>service use</w:t>
      </w:r>
      <w:r>
        <w:t xml:space="preserve"> — </w:t>
      </w:r>
      <w:r w:rsidRPr="00317BFD">
        <w:rPr>
          <w:szCs w:val="24"/>
        </w:rPr>
        <w:t>how service use is defined and measured. Service use is defined differently for different services. For example, it could be based on:</w:t>
      </w:r>
    </w:p>
    <w:p w:rsidR="009A7F87" w:rsidRPr="00317BFD" w:rsidRDefault="009A7F87" w:rsidP="009A7F87">
      <w:pPr>
        <w:pStyle w:val="ListBullet2"/>
        <w:spacing w:line="320" w:lineRule="atLeast"/>
        <w:rPr>
          <w:szCs w:val="24"/>
        </w:rPr>
      </w:pPr>
      <w:r>
        <w:t xml:space="preserve">actual </w:t>
      </w:r>
      <w:r w:rsidRPr="00317BFD">
        <w:rPr>
          <w:szCs w:val="24"/>
        </w:rPr>
        <w:t>use of service (number of students in schools, or hours of Technical and Further Education (TAFE) study)</w:t>
      </w:r>
    </w:p>
    <w:p w:rsidR="009A7F87" w:rsidRPr="00CD105C" w:rsidRDefault="009A7F87" w:rsidP="009A7F87">
      <w:pPr>
        <w:pStyle w:val="ListBullet2"/>
      </w:pPr>
      <w:r w:rsidRPr="00317BFD">
        <w:rPr>
          <w:szCs w:val="24"/>
        </w:rPr>
        <w:t>potential use of service (all individuals in a given location are able to access fire protection services when they need them)</w:t>
      </w:r>
    </w:p>
    <w:p w:rsidR="009A7F87" w:rsidRPr="00CD105C" w:rsidRDefault="009A7F87" w:rsidP="009A7F87">
      <w:pPr>
        <w:pStyle w:val="ListBullet2"/>
      </w:pPr>
      <w:r w:rsidRPr="00317BFD">
        <w:rPr>
          <w:szCs w:val="24"/>
        </w:rPr>
        <w:t>service use through community membership (some services, such as the operation of parliament, are provided to, or on behalf of, all members of society).</w:t>
      </w:r>
    </w:p>
    <w:p w:rsidR="009A7F87" w:rsidRPr="00CD105C" w:rsidRDefault="009A7F87" w:rsidP="009A7F87">
      <w:pPr>
        <w:pStyle w:val="ListBullet"/>
      </w:pPr>
      <w:r>
        <w:rPr>
          <w:i/>
        </w:rPr>
        <w:t>link between cost and service use</w:t>
      </w:r>
      <w:r>
        <w:t xml:space="preserve"> — </w:t>
      </w:r>
      <w:r w:rsidRPr="00317BFD">
        <w:rPr>
          <w:szCs w:val="24"/>
        </w:rPr>
        <w:t>the extent to which service use drives costs. The previous two points highlight that not all costs can be directly associated with individuals.</w:t>
      </w:r>
    </w:p>
    <w:p w:rsidR="009A7F87" w:rsidRDefault="009A7F87" w:rsidP="009A7F87">
      <w:pPr>
        <w:pStyle w:val="BodyText"/>
        <w:rPr>
          <w:szCs w:val="24"/>
        </w:rPr>
      </w:pPr>
      <w:r w:rsidRPr="00317BFD">
        <w:rPr>
          <w:szCs w:val="24"/>
        </w:rPr>
        <w:lastRenderedPageBreak/>
        <w:t>The Indigenous Expenditure Report employs the concept of a service use measure, which attempts to incorporate all three aspects described above in order to identify the Aboriginal and Torres Strait Islander share of mainstream expenditure.</w:t>
      </w:r>
    </w:p>
    <w:p w:rsidR="009A7F87" w:rsidRPr="00317BFD" w:rsidRDefault="009A7F87" w:rsidP="009A7F87">
      <w:pPr>
        <w:pStyle w:val="RecBNoTitle"/>
        <w:rPr>
          <w:szCs w:val="24"/>
        </w:rPr>
      </w:pPr>
      <w:r w:rsidRPr="00317BFD">
        <w:rPr>
          <w:szCs w:val="24"/>
        </w:rPr>
        <w:t>A service use measure is a measure of the use of services that is closely linked with, or a proxy for, the impact that Aboriginal and Torres Strait Islander Australians have on the total expenditure of providing mainstream services.</w:t>
      </w:r>
    </w:p>
    <w:p w:rsidR="009A7F87" w:rsidRDefault="009A7F87" w:rsidP="009A7F87">
      <w:pPr>
        <w:pStyle w:val="Heading4"/>
        <w:rPr>
          <w:i/>
        </w:rPr>
      </w:pPr>
      <w:r w:rsidRPr="00882E4E">
        <w:rPr>
          <w:i/>
        </w:rPr>
        <w:t>General model for proration</w:t>
      </w:r>
    </w:p>
    <w:p w:rsidR="009A7F87" w:rsidRDefault="009A7F87" w:rsidP="009A7F87">
      <w:pPr>
        <w:pStyle w:val="BodyText"/>
        <w:rPr>
          <w:szCs w:val="24"/>
        </w:rPr>
      </w:pPr>
      <w:r w:rsidRPr="00317BFD">
        <w:rPr>
          <w:szCs w:val="24"/>
        </w:rPr>
        <w:t>The Steering Committee’s method for proration uses the ‘service use measure’ to estimate the Aboriginal and Torres Strait Islander share of mainstream expenditure:</w:t>
      </w:r>
    </w:p>
    <w:p w:rsidR="009A7F87" w:rsidRDefault="009A7F87" w:rsidP="009A7F87">
      <w:pPr>
        <w:pStyle w:val="BodyText"/>
        <w:spacing w:before="0"/>
        <w:rPr>
          <w:szCs w:val="24"/>
        </w:rPr>
      </w:pPr>
    </w:p>
    <w:tbl>
      <w:tblPr>
        <w:tblW w:w="8429" w:type="dxa"/>
        <w:tblInd w:w="360" w:type="dxa"/>
        <w:tblLayout w:type="fixed"/>
        <w:tblCellMar>
          <w:left w:w="0" w:type="dxa"/>
          <w:right w:w="0" w:type="dxa"/>
        </w:tblCellMar>
        <w:tblLook w:val="01E0" w:firstRow="1" w:lastRow="1" w:firstColumn="1" w:lastColumn="1" w:noHBand="0" w:noVBand="0"/>
      </w:tblPr>
      <w:tblGrid>
        <w:gridCol w:w="2475"/>
        <w:gridCol w:w="455"/>
        <w:gridCol w:w="2097"/>
        <w:gridCol w:w="283"/>
        <w:gridCol w:w="1843"/>
        <w:gridCol w:w="1276"/>
      </w:tblGrid>
      <w:tr w:rsidR="009A7F87" w:rsidRPr="00770229" w:rsidTr="00BD3517">
        <w:tc>
          <w:tcPr>
            <w:tcW w:w="2475" w:type="dxa"/>
            <w:shd w:val="clear" w:color="auto" w:fill="auto"/>
            <w:vAlign w:val="center"/>
          </w:tcPr>
          <w:p w:rsidR="009A7F87" w:rsidRPr="00770229" w:rsidRDefault="009A7F87" w:rsidP="009A7F87">
            <w:pPr>
              <w:pStyle w:val="TableBodyText"/>
              <w:jc w:val="center"/>
              <w:rPr>
                <w:i/>
              </w:rPr>
            </w:pPr>
            <w:r w:rsidRPr="00770229">
              <w:rPr>
                <w:i/>
              </w:rPr>
              <w:t xml:space="preserve">Aboriginal and Torres Strait Islander share of mainstream </w:t>
            </w:r>
            <w:r w:rsidRPr="00770229">
              <w:rPr>
                <w:i/>
              </w:rPr>
              <w:br/>
              <w:t>expenditure</w:t>
            </w:r>
          </w:p>
        </w:tc>
        <w:tc>
          <w:tcPr>
            <w:tcW w:w="455" w:type="dxa"/>
            <w:shd w:val="clear" w:color="auto" w:fill="auto"/>
            <w:vAlign w:val="center"/>
          </w:tcPr>
          <w:p w:rsidR="009A7F87" w:rsidRPr="00770229" w:rsidRDefault="009A7F87" w:rsidP="009A7F87">
            <w:pPr>
              <w:pStyle w:val="TableBodyText"/>
              <w:jc w:val="center"/>
              <w:rPr>
                <w:sz w:val="48"/>
                <w:szCs w:val="48"/>
              </w:rPr>
            </w:pPr>
            <w:r w:rsidRPr="00770229">
              <w:rPr>
                <w:sz w:val="48"/>
                <w:szCs w:val="48"/>
              </w:rPr>
              <w:t>=</w:t>
            </w:r>
          </w:p>
        </w:tc>
        <w:tc>
          <w:tcPr>
            <w:tcW w:w="2097" w:type="dxa"/>
            <w:shd w:val="clear" w:color="auto" w:fill="auto"/>
            <w:vAlign w:val="center"/>
          </w:tcPr>
          <w:p w:rsidR="009A7F87" w:rsidRPr="00770229" w:rsidRDefault="009A7F87" w:rsidP="009A7F87">
            <w:pPr>
              <w:pStyle w:val="TableBodyText"/>
              <w:jc w:val="center"/>
            </w:pPr>
            <w:r w:rsidRPr="00770229">
              <w:rPr>
                <w:i/>
              </w:rPr>
              <w:t>Total mainstream expenditure</w:t>
            </w:r>
          </w:p>
        </w:tc>
        <w:tc>
          <w:tcPr>
            <w:tcW w:w="283" w:type="dxa"/>
            <w:shd w:val="clear" w:color="auto" w:fill="auto"/>
            <w:vAlign w:val="center"/>
          </w:tcPr>
          <w:p w:rsidR="009A7F87" w:rsidRPr="00770229" w:rsidRDefault="009A7F87" w:rsidP="009A7F87">
            <w:pPr>
              <w:pStyle w:val="TableBodyText"/>
              <w:jc w:val="center"/>
              <w:rPr>
                <w:sz w:val="48"/>
                <w:szCs w:val="48"/>
              </w:rPr>
            </w:pPr>
            <w:r w:rsidRPr="00770229">
              <w:rPr>
                <w:sz w:val="48"/>
                <w:szCs w:val="48"/>
              </w:rPr>
              <w:t>×</w:t>
            </w:r>
          </w:p>
        </w:tc>
        <w:tc>
          <w:tcPr>
            <w:tcW w:w="1843" w:type="dxa"/>
            <w:shd w:val="clear" w:color="auto" w:fill="auto"/>
            <w:vAlign w:val="center"/>
          </w:tcPr>
          <w:p w:rsidR="009A7F87" w:rsidRPr="00770229" w:rsidRDefault="009A7F87" w:rsidP="009A7F87">
            <w:pPr>
              <w:pStyle w:val="TableBodyText"/>
              <w:jc w:val="center"/>
            </w:pPr>
            <w:r w:rsidRPr="00770229">
              <w:rPr>
                <w:i/>
              </w:rPr>
              <w:t xml:space="preserve">Service </w:t>
            </w:r>
            <w:r w:rsidRPr="00770229">
              <w:rPr>
                <w:i/>
              </w:rPr>
              <w:br/>
              <w:t xml:space="preserve">use </w:t>
            </w:r>
            <w:r w:rsidRPr="00770229">
              <w:rPr>
                <w:i/>
              </w:rPr>
              <w:br/>
              <w:t>measure</w:t>
            </w:r>
          </w:p>
        </w:tc>
        <w:tc>
          <w:tcPr>
            <w:tcW w:w="1276" w:type="dxa"/>
            <w:shd w:val="clear" w:color="auto" w:fill="auto"/>
            <w:vAlign w:val="center"/>
          </w:tcPr>
          <w:p w:rsidR="009A7F87" w:rsidRPr="00770229" w:rsidRDefault="009A7F87" w:rsidP="009A7F87">
            <w:pPr>
              <w:pStyle w:val="TableBodyText"/>
              <w:ind w:right="0"/>
            </w:pPr>
            <w:r w:rsidRPr="00770229">
              <w:t>[2]</w:t>
            </w:r>
          </w:p>
        </w:tc>
      </w:tr>
    </w:tbl>
    <w:p w:rsidR="009A7F87" w:rsidRDefault="009A7F87" w:rsidP="009A7F87">
      <w:pPr>
        <w:pStyle w:val="BodyText"/>
        <w:rPr>
          <w:szCs w:val="24"/>
        </w:rPr>
      </w:pPr>
      <w:r w:rsidRPr="00317BFD">
        <w:rPr>
          <w:szCs w:val="24"/>
        </w:rPr>
        <w:t>The approach in equation [2] is extended in practice to recognise that the service use measure might need to be adjusted for:</w:t>
      </w:r>
    </w:p>
    <w:p w:rsidR="009A7F87" w:rsidRPr="00882E4E" w:rsidRDefault="009A7F87" w:rsidP="009A7F87">
      <w:pPr>
        <w:pStyle w:val="ListBullet"/>
      </w:pPr>
      <w:r>
        <w:rPr>
          <w:i/>
        </w:rPr>
        <w:t>under-identification</w:t>
      </w:r>
      <w:r>
        <w:t xml:space="preserve"> —</w:t>
      </w:r>
      <w:r w:rsidRPr="00317BFD">
        <w:rPr>
          <w:szCs w:val="24"/>
        </w:rPr>
        <w:t>the degree to which service users do not identify as Aboriginal and Torres Strait Islander. For example, a person’s Indigenous status might not always be asked as part of the service process. Alternatively, there might be a disincentive for service users to identify their Indigenous status</w:t>
      </w:r>
    </w:p>
    <w:p w:rsidR="009A7F87" w:rsidRPr="00882E4E" w:rsidRDefault="009A7F87" w:rsidP="009A7F87">
      <w:pPr>
        <w:pStyle w:val="ListBullet"/>
      </w:pPr>
      <w:r>
        <w:rPr>
          <w:i/>
        </w:rPr>
        <w:t>cost differential</w:t>
      </w:r>
      <w:r>
        <w:t xml:space="preserve"> — </w:t>
      </w:r>
      <w:r w:rsidRPr="00317BFD">
        <w:rPr>
          <w:szCs w:val="24"/>
        </w:rPr>
        <w:t>the extent to which the cost of providing services to Aboriginal and Torres Strait Islander and non</w:t>
      </w:r>
      <w:r>
        <w:rPr>
          <w:szCs w:val="24"/>
        </w:rPr>
        <w:noBreakHyphen/>
      </w:r>
      <w:r w:rsidRPr="00317BFD">
        <w:rPr>
          <w:szCs w:val="24"/>
        </w:rPr>
        <w:t xml:space="preserve">Indigenous Australians varies. The provision of services to Aboriginal and Torres Strait Islander Australians might be more costly ‘on average’ if Aboriginal and Torres Strait Islander Australians are disproportionately located in remote areas, or if </w:t>
      </w:r>
      <w:r>
        <w:rPr>
          <w:szCs w:val="24"/>
        </w:rPr>
        <w:t>Aboriginal and Torres Strait Islander</w:t>
      </w:r>
      <w:r w:rsidRPr="00317BFD">
        <w:rPr>
          <w:szCs w:val="24"/>
        </w:rPr>
        <w:t xml:space="preserve"> service users have additional needs regardless of their location</w:t>
      </w:r>
    </w:p>
    <w:p w:rsidR="009A7F87" w:rsidRPr="00882E4E" w:rsidRDefault="009A7F87" w:rsidP="009A7F87">
      <w:pPr>
        <w:pStyle w:val="ListBullet"/>
      </w:pPr>
      <w:r>
        <w:rPr>
          <w:i/>
        </w:rPr>
        <w:t>Indigenous specific service use adjustment factor</w:t>
      </w:r>
      <w:r>
        <w:t xml:space="preserve"> — </w:t>
      </w:r>
      <w:r w:rsidRPr="00317BFD">
        <w:rPr>
          <w:szCs w:val="24"/>
        </w:rPr>
        <w:t xml:space="preserve">the nature of a substitute Indigenous specific service </w:t>
      </w:r>
      <w:r>
        <w:rPr>
          <w:szCs w:val="24"/>
        </w:rPr>
        <w:t>is</w:t>
      </w:r>
      <w:r w:rsidRPr="00317BFD">
        <w:rPr>
          <w:szCs w:val="24"/>
        </w:rPr>
        <w:t xml:space="preserve"> that it is </w:t>
      </w:r>
      <w:r>
        <w:rPr>
          <w:szCs w:val="24"/>
        </w:rPr>
        <w:t>given</w:t>
      </w:r>
      <w:r w:rsidRPr="00317BFD">
        <w:rPr>
          <w:szCs w:val="24"/>
        </w:rPr>
        <w:t xml:space="preserve"> instead of a mainstream service. Because of this, it is necessary to remove the associated service use population if it is included in the mainstream population in order to avoid double counting.</w:t>
      </w:r>
    </w:p>
    <w:p w:rsidR="009A7F87" w:rsidRPr="00882E4E" w:rsidRDefault="009A7F87" w:rsidP="009A7F87">
      <w:pPr>
        <w:pStyle w:val="BodyText"/>
        <w:spacing w:before="0"/>
      </w:pPr>
    </w:p>
    <w:tbl>
      <w:tblPr>
        <w:tblW w:w="8429" w:type="dxa"/>
        <w:tblInd w:w="360" w:type="dxa"/>
        <w:tblLayout w:type="fixed"/>
        <w:tblCellMar>
          <w:left w:w="0" w:type="dxa"/>
          <w:right w:w="0" w:type="dxa"/>
        </w:tblCellMar>
        <w:tblLook w:val="01E0" w:firstRow="1" w:lastRow="1" w:firstColumn="1" w:lastColumn="1" w:noHBand="0" w:noVBand="0"/>
      </w:tblPr>
      <w:tblGrid>
        <w:gridCol w:w="1341"/>
        <w:gridCol w:w="284"/>
        <w:gridCol w:w="1134"/>
        <w:gridCol w:w="283"/>
        <w:gridCol w:w="851"/>
        <w:gridCol w:w="283"/>
        <w:gridCol w:w="1276"/>
        <w:gridCol w:w="284"/>
        <w:gridCol w:w="992"/>
        <w:gridCol w:w="283"/>
        <w:gridCol w:w="1134"/>
        <w:gridCol w:w="284"/>
      </w:tblGrid>
      <w:tr w:rsidR="009A7F87" w:rsidRPr="00770229" w:rsidTr="009A7F87">
        <w:tc>
          <w:tcPr>
            <w:tcW w:w="1341" w:type="dxa"/>
            <w:shd w:val="clear" w:color="auto" w:fill="auto"/>
            <w:vAlign w:val="center"/>
          </w:tcPr>
          <w:p w:rsidR="009A7F87" w:rsidRPr="00770229" w:rsidRDefault="009A7F87" w:rsidP="009A7F87">
            <w:pPr>
              <w:pStyle w:val="TableBodyText"/>
              <w:jc w:val="center"/>
              <w:rPr>
                <w:rFonts w:cs="Tahoma"/>
                <w:i/>
                <w:szCs w:val="16"/>
              </w:rPr>
            </w:pPr>
            <w:r w:rsidRPr="00770229">
              <w:rPr>
                <w:rFonts w:cs="Tahoma"/>
                <w:i/>
                <w:szCs w:val="16"/>
              </w:rPr>
              <w:t xml:space="preserve">Aboriginal and Torres Strait Islander share of mainstream </w:t>
            </w:r>
            <w:r w:rsidRPr="00770229">
              <w:rPr>
                <w:rFonts w:cs="Tahoma"/>
                <w:i/>
                <w:szCs w:val="16"/>
              </w:rPr>
              <w:br/>
              <w:t>expenditure</w:t>
            </w:r>
          </w:p>
        </w:tc>
        <w:tc>
          <w:tcPr>
            <w:tcW w:w="284" w:type="dxa"/>
            <w:shd w:val="clear" w:color="auto" w:fill="auto"/>
            <w:vAlign w:val="center"/>
          </w:tcPr>
          <w:p w:rsidR="009A7F87" w:rsidRPr="00770229" w:rsidRDefault="009A7F87" w:rsidP="009A7F87">
            <w:pPr>
              <w:pStyle w:val="TableBodyText"/>
              <w:jc w:val="center"/>
              <w:rPr>
                <w:rFonts w:cs="Tahoma"/>
                <w:sz w:val="48"/>
                <w:szCs w:val="48"/>
              </w:rPr>
            </w:pPr>
            <w:r w:rsidRPr="00770229">
              <w:rPr>
                <w:rFonts w:cs="Tahoma"/>
                <w:sz w:val="48"/>
                <w:szCs w:val="48"/>
              </w:rPr>
              <w:t>=</w:t>
            </w:r>
          </w:p>
        </w:tc>
        <w:tc>
          <w:tcPr>
            <w:tcW w:w="1134" w:type="dxa"/>
            <w:shd w:val="clear" w:color="auto" w:fill="auto"/>
            <w:vAlign w:val="center"/>
          </w:tcPr>
          <w:p w:rsidR="009A7F87" w:rsidRPr="00770229" w:rsidRDefault="009A7F87" w:rsidP="009A7F87">
            <w:pPr>
              <w:pStyle w:val="TableBodyText"/>
              <w:jc w:val="center"/>
              <w:rPr>
                <w:rFonts w:cs="Tahoma"/>
                <w:szCs w:val="16"/>
              </w:rPr>
            </w:pPr>
            <w:r w:rsidRPr="00770229">
              <w:rPr>
                <w:rFonts w:cs="Tahoma"/>
                <w:i/>
                <w:szCs w:val="16"/>
              </w:rPr>
              <w:t>Mainstream</w:t>
            </w:r>
            <w:r w:rsidRPr="00770229">
              <w:rPr>
                <w:rFonts w:cs="Tahoma"/>
                <w:i/>
                <w:szCs w:val="16"/>
              </w:rPr>
              <w:br/>
              <w:t xml:space="preserve"> expenditure</w:t>
            </w:r>
          </w:p>
        </w:tc>
        <w:tc>
          <w:tcPr>
            <w:tcW w:w="283" w:type="dxa"/>
            <w:shd w:val="clear" w:color="auto" w:fill="auto"/>
            <w:vAlign w:val="center"/>
          </w:tcPr>
          <w:p w:rsidR="009A7F87" w:rsidRPr="00770229" w:rsidRDefault="009A7F87" w:rsidP="009A7F87">
            <w:pPr>
              <w:pStyle w:val="TableBodyText"/>
              <w:jc w:val="center"/>
              <w:rPr>
                <w:rFonts w:cs="Tahoma"/>
                <w:sz w:val="48"/>
                <w:szCs w:val="48"/>
              </w:rPr>
            </w:pPr>
            <w:r w:rsidRPr="00770229">
              <w:rPr>
                <w:rFonts w:cs="Tahoma"/>
                <w:sz w:val="48"/>
                <w:szCs w:val="48"/>
              </w:rPr>
              <w:t>×</w:t>
            </w:r>
          </w:p>
        </w:tc>
        <w:tc>
          <w:tcPr>
            <w:tcW w:w="851" w:type="dxa"/>
            <w:shd w:val="clear" w:color="auto" w:fill="auto"/>
            <w:vAlign w:val="center"/>
          </w:tcPr>
          <w:p w:rsidR="009A7F87" w:rsidRPr="00770229" w:rsidRDefault="009A7F87" w:rsidP="009A7F87">
            <w:pPr>
              <w:pStyle w:val="TableBodyText"/>
              <w:jc w:val="center"/>
              <w:rPr>
                <w:rFonts w:cs="Tahoma"/>
                <w:szCs w:val="16"/>
              </w:rPr>
            </w:pPr>
            <w:r w:rsidRPr="00770229">
              <w:rPr>
                <w:rFonts w:cs="Tahoma"/>
                <w:i/>
                <w:szCs w:val="16"/>
              </w:rPr>
              <w:t xml:space="preserve">Service </w:t>
            </w:r>
            <w:r w:rsidRPr="00770229">
              <w:rPr>
                <w:rFonts w:cs="Tahoma"/>
                <w:i/>
                <w:szCs w:val="16"/>
              </w:rPr>
              <w:br/>
              <w:t xml:space="preserve">use </w:t>
            </w:r>
            <w:r w:rsidRPr="00770229">
              <w:rPr>
                <w:rFonts w:cs="Tahoma"/>
                <w:i/>
                <w:szCs w:val="16"/>
              </w:rPr>
              <w:br/>
              <w:t>measure</w:t>
            </w:r>
          </w:p>
        </w:tc>
        <w:tc>
          <w:tcPr>
            <w:tcW w:w="283" w:type="dxa"/>
            <w:shd w:val="clear" w:color="auto" w:fill="auto"/>
            <w:vAlign w:val="center"/>
          </w:tcPr>
          <w:p w:rsidR="009A7F87" w:rsidRPr="00770229" w:rsidRDefault="009A7F87" w:rsidP="009A7F87">
            <w:pPr>
              <w:pStyle w:val="TableBodyText"/>
              <w:ind w:right="0"/>
              <w:rPr>
                <w:rFonts w:cs="Tahoma"/>
                <w:szCs w:val="16"/>
              </w:rPr>
            </w:pPr>
            <w:r w:rsidRPr="00770229">
              <w:rPr>
                <w:rFonts w:cs="Tahoma"/>
                <w:sz w:val="48"/>
                <w:szCs w:val="48"/>
              </w:rPr>
              <w:t>×</w:t>
            </w:r>
          </w:p>
        </w:tc>
        <w:tc>
          <w:tcPr>
            <w:tcW w:w="1276" w:type="dxa"/>
            <w:shd w:val="clear" w:color="auto" w:fill="auto"/>
            <w:vAlign w:val="center"/>
          </w:tcPr>
          <w:p w:rsidR="009A7F87" w:rsidRPr="00770229" w:rsidRDefault="009A7F87" w:rsidP="009A7F87">
            <w:pPr>
              <w:pStyle w:val="TableBodyText"/>
              <w:jc w:val="center"/>
              <w:rPr>
                <w:rFonts w:cs="Tahoma"/>
                <w:sz w:val="48"/>
                <w:szCs w:val="48"/>
              </w:rPr>
            </w:pPr>
            <w:r w:rsidRPr="00770229">
              <w:rPr>
                <w:rFonts w:cs="Tahoma"/>
                <w:i/>
                <w:szCs w:val="16"/>
              </w:rPr>
              <w:t>Under</w:t>
            </w:r>
            <w:r w:rsidRPr="00770229">
              <w:rPr>
                <w:rFonts w:cs="Tahoma"/>
                <w:i/>
                <w:szCs w:val="16"/>
              </w:rPr>
              <w:br/>
            </w:r>
            <w:r>
              <w:rPr>
                <w:rFonts w:cs="Tahoma"/>
                <w:i/>
                <w:szCs w:val="16"/>
              </w:rPr>
              <w:noBreakHyphen/>
            </w:r>
            <w:r w:rsidRPr="00770229">
              <w:rPr>
                <w:rFonts w:cs="Tahoma"/>
                <w:i/>
                <w:szCs w:val="16"/>
              </w:rPr>
              <w:t>identification</w:t>
            </w:r>
          </w:p>
        </w:tc>
        <w:tc>
          <w:tcPr>
            <w:tcW w:w="284" w:type="dxa"/>
            <w:shd w:val="clear" w:color="auto" w:fill="auto"/>
            <w:vAlign w:val="center"/>
          </w:tcPr>
          <w:p w:rsidR="009A7F87" w:rsidRPr="00770229" w:rsidRDefault="009A7F87" w:rsidP="009A7F87">
            <w:pPr>
              <w:pStyle w:val="TableBodyText"/>
              <w:ind w:right="0"/>
              <w:rPr>
                <w:rFonts w:cs="Tahoma"/>
                <w:szCs w:val="16"/>
              </w:rPr>
            </w:pPr>
            <w:r w:rsidRPr="00770229">
              <w:rPr>
                <w:rFonts w:cs="Tahoma"/>
                <w:sz w:val="48"/>
                <w:szCs w:val="48"/>
              </w:rPr>
              <w:t>×</w:t>
            </w:r>
          </w:p>
        </w:tc>
        <w:tc>
          <w:tcPr>
            <w:tcW w:w="992" w:type="dxa"/>
            <w:shd w:val="clear" w:color="auto" w:fill="auto"/>
            <w:vAlign w:val="center"/>
          </w:tcPr>
          <w:p w:rsidR="009A7F87" w:rsidRPr="00770229" w:rsidRDefault="009A7F87" w:rsidP="009A7F87">
            <w:pPr>
              <w:pStyle w:val="TableBodyText"/>
              <w:jc w:val="center"/>
              <w:rPr>
                <w:rFonts w:cs="Tahoma"/>
                <w:szCs w:val="16"/>
              </w:rPr>
            </w:pPr>
            <w:r w:rsidRPr="00770229">
              <w:rPr>
                <w:rFonts w:cs="Tahoma"/>
                <w:i/>
                <w:szCs w:val="16"/>
              </w:rPr>
              <w:t>Cost differential</w:t>
            </w:r>
          </w:p>
        </w:tc>
        <w:tc>
          <w:tcPr>
            <w:tcW w:w="283" w:type="dxa"/>
            <w:vAlign w:val="center"/>
          </w:tcPr>
          <w:p w:rsidR="009A7F87" w:rsidRPr="00770229" w:rsidRDefault="009A7F87" w:rsidP="009A7F87">
            <w:pPr>
              <w:pStyle w:val="TableBodyText"/>
              <w:ind w:right="0"/>
              <w:jc w:val="center"/>
              <w:rPr>
                <w:rFonts w:cs="Tahoma"/>
                <w:szCs w:val="16"/>
              </w:rPr>
            </w:pPr>
            <w:r w:rsidRPr="00770229">
              <w:rPr>
                <w:rFonts w:cs="Tahoma"/>
                <w:sz w:val="48"/>
                <w:szCs w:val="48"/>
              </w:rPr>
              <w:t>×</w:t>
            </w:r>
          </w:p>
        </w:tc>
        <w:tc>
          <w:tcPr>
            <w:tcW w:w="1134" w:type="dxa"/>
            <w:vAlign w:val="center"/>
          </w:tcPr>
          <w:p w:rsidR="009A7F87" w:rsidRPr="00770229" w:rsidRDefault="009A7F87" w:rsidP="009A7F87">
            <w:pPr>
              <w:pStyle w:val="TableBodyText"/>
              <w:jc w:val="center"/>
            </w:pPr>
            <w:r w:rsidRPr="00770229">
              <w:rPr>
                <w:rFonts w:cs="Tahoma"/>
                <w:i/>
                <w:szCs w:val="16"/>
              </w:rPr>
              <w:t>Indigenous specific service use adjustment factor</w:t>
            </w:r>
          </w:p>
        </w:tc>
        <w:tc>
          <w:tcPr>
            <w:tcW w:w="284" w:type="dxa"/>
            <w:shd w:val="clear" w:color="auto" w:fill="auto"/>
            <w:vAlign w:val="center"/>
          </w:tcPr>
          <w:p w:rsidR="009A7F87" w:rsidRPr="00770229" w:rsidRDefault="009A7F87" w:rsidP="009A7F87">
            <w:pPr>
              <w:pStyle w:val="TableBodyText"/>
              <w:keepNext w:val="0"/>
              <w:keepLines w:val="0"/>
              <w:spacing w:before="120" w:after="120"/>
              <w:ind w:left="-57" w:right="0"/>
              <w:rPr>
                <w:rFonts w:ascii="Times New Roman" w:hAnsi="Times New Roman"/>
                <w:b/>
                <w:bCs/>
                <w:sz w:val="26"/>
                <w:szCs w:val="26"/>
              </w:rPr>
            </w:pPr>
            <w:r w:rsidRPr="00770229">
              <w:t>[3]</w:t>
            </w:r>
            <w:r w:rsidRPr="00770229">
              <w:rPr>
                <w:rFonts w:ascii="Times New Roman" w:hAnsi="Times New Roman"/>
                <w:b/>
                <w:bCs/>
                <w:sz w:val="26"/>
                <w:szCs w:val="26"/>
              </w:rPr>
              <w:t xml:space="preserve"> </w:t>
            </w:r>
          </w:p>
        </w:tc>
      </w:tr>
    </w:tbl>
    <w:p w:rsidR="009A7F87" w:rsidRDefault="009A7F87" w:rsidP="009A7F87">
      <w:pPr>
        <w:pStyle w:val="BodyText"/>
        <w:rPr>
          <w:szCs w:val="24"/>
        </w:rPr>
      </w:pPr>
      <w:r w:rsidRPr="00317BFD">
        <w:rPr>
          <w:szCs w:val="24"/>
        </w:rPr>
        <w:t>The concepts and issues associated with the selection and application of service use measures and data for under</w:t>
      </w:r>
      <w:r>
        <w:rPr>
          <w:szCs w:val="24"/>
        </w:rPr>
        <w:noBreakHyphen/>
      </w:r>
      <w:r w:rsidRPr="00317BFD">
        <w:rPr>
          <w:szCs w:val="24"/>
        </w:rPr>
        <w:t>identification, cost differential factors and the Indigenous specific service use adjustment factor are discussed in chapters</w:t>
      </w:r>
      <w:r>
        <w:rPr>
          <w:szCs w:val="24"/>
        </w:rPr>
        <w:t> </w:t>
      </w:r>
      <w:r w:rsidRPr="00317BFD">
        <w:rPr>
          <w:szCs w:val="24"/>
        </w:rPr>
        <w:t>4, 5 and 6 respectively.</w:t>
      </w:r>
    </w:p>
    <w:p w:rsidR="009A7F87" w:rsidRDefault="009A7F87" w:rsidP="009A7F87">
      <w:pPr>
        <w:pStyle w:val="Heading2"/>
      </w:pPr>
      <w:r>
        <w:lastRenderedPageBreak/>
        <w:t>2.</w:t>
      </w:r>
      <w:r>
        <w:rPr>
          <w:noProof/>
        </w:rPr>
        <w:t>2</w:t>
      </w:r>
      <w:r>
        <w:tab/>
        <w:t>Interpreting expenditure estimates</w:t>
      </w:r>
    </w:p>
    <w:p w:rsidR="009A7F87" w:rsidRDefault="009A7F87" w:rsidP="009A7F87">
      <w:pPr>
        <w:pStyle w:val="BodyText"/>
        <w:rPr>
          <w:szCs w:val="24"/>
        </w:rPr>
      </w:pPr>
      <w:r w:rsidRPr="00317BFD">
        <w:rPr>
          <w:szCs w:val="24"/>
        </w:rPr>
        <w:t>The Indigenous Expenditure Report method is based on approaches used in similar exercises and benefits from the contribution of a wide range of data and service delivery specialists. However, all estimation processes — including proration — have their strengths and weaknesses. An understanding of the strengths and weaknesses of proration is important for the correct interpretation of the results.</w:t>
      </w:r>
    </w:p>
    <w:p w:rsidR="009A7F87" w:rsidRDefault="009A7F87" w:rsidP="009A7F87">
      <w:pPr>
        <w:pStyle w:val="Heading4"/>
        <w:rPr>
          <w:b/>
        </w:rPr>
      </w:pPr>
      <w:r>
        <w:rPr>
          <w:b/>
        </w:rPr>
        <w:t>Strengths and weaknesses of proration</w:t>
      </w:r>
    </w:p>
    <w:p w:rsidR="009A7F87" w:rsidRPr="00F91B73" w:rsidRDefault="009A7F87" w:rsidP="009A7F87">
      <w:pPr>
        <w:pStyle w:val="BodyText"/>
        <w:rPr>
          <w:szCs w:val="24"/>
        </w:rPr>
      </w:pPr>
      <w:r w:rsidRPr="00F91B73">
        <w:rPr>
          <w:szCs w:val="24"/>
        </w:rPr>
        <w:t>The strengths of the proration method include:</w:t>
      </w:r>
    </w:p>
    <w:p w:rsidR="009A7F87" w:rsidRPr="00317BFD" w:rsidRDefault="009A7F87" w:rsidP="009A7F87">
      <w:pPr>
        <w:pStyle w:val="ListBullet"/>
        <w:spacing w:line="320" w:lineRule="atLeast"/>
        <w:rPr>
          <w:szCs w:val="24"/>
        </w:rPr>
      </w:pPr>
      <w:r w:rsidRPr="00317BFD">
        <w:rPr>
          <w:szCs w:val="24"/>
        </w:rPr>
        <w:t>an established approach of estimating components of total expenditure where limited data are available. The proration approach has been used in a number of similar exercises including:</w:t>
      </w:r>
    </w:p>
    <w:p w:rsidR="009A7F87" w:rsidRPr="00317BFD" w:rsidRDefault="009A7F87" w:rsidP="009A7F87">
      <w:pPr>
        <w:pStyle w:val="ListBullet2"/>
        <w:spacing w:line="320" w:lineRule="atLeast"/>
        <w:rPr>
          <w:szCs w:val="24"/>
        </w:rPr>
      </w:pPr>
      <w:r w:rsidRPr="00317BFD">
        <w:rPr>
          <w:szCs w:val="24"/>
        </w:rPr>
        <w:t>the</w:t>
      </w:r>
      <w:r w:rsidRPr="00317BFD">
        <w:rPr>
          <w:i/>
          <w:szCs w:val="24"/>
        </w:rPr>
        <w:t xml:space="preserve"> </w:t>
      </w:r>
      <w:r w:rsidRPr="00317BFD">
        <w:rPr>
          <w:szCs w:val="24"/>
        </w:rPr>
        <w:t>AIHW’s</w:t>
      </w:r>
      <w:r w:rsidRPr="00317BFD">
        <w:rPr>
          <w:i/>
          <w:szCs w:val="24"/>
        </w:rPr>
        <w:t xml:space="preserve"> </w:t>
      </w:r>
      <w:r w:rsidRPr="00317BFD">
        <w:rPr>
          <w:szCs w:val="24"/>
        </w:rPr>
        <w:t>Expenditure on Health for Aboriginal and Torres Strait Islander peoples reports</w:t>
      </w:r>
      <w:r w:rsidRPr="00317BFD">
        <w:rPr>
          <w:rStyle w:val="FootnoteReference"/>
          <w:szCs w:val="24"/>
        </w:rPr>
        <w:footnoteReference w:id="5"/>
      </w:r>
    </w:p>
    <w:p w:rsidR="009A7F87" w:rsidRPr="00317BFD" w:rsidRDefault="009A7F87" w:rsidP="009A7F87">
      <w:pPr>
        <w:pStyle w:val="ListBullet2"/>
        <w:spacing w:line="320" w:lineRule="atLeast"/>
        <w:rPr>
          <w:szCs w:val="24"/>
        </w:rPr>
      </w:pPr>
      <w:r w:rsidRPr="00317BFD">
        <w:rPr>
          <w:szCs w:val="24"/>
        </w:rPr>
        <w:t>the NT Government’s Indigenous Expenditure Reviews.</w:t>
      </w:r>
      <w:r w:rsidRPr="00317BFD">
        <w:rPr>
          <w:rStyle w:val="FootnoteReference"/>
          <w:szCs w:val="24"/>
        </w:rPr>
        <w:footnoteReference w:id="6"/>
      </w:r>
    </w:p>
    <w:p w:rsidR="009A7F87" w:rsidRPr="00882E4E" w:rsidRDefault="009A7F87" w:rsidP="009A7F87">
      <w:pPr>
        <w:pStyle w:val="ListBullet"/>
      </w:pPr>
      <w:r w:rsidRPr="00317BFD">
        <w:rPr>
          <w:szCs w:val="24"/>
        </w:rPr>
        <w:t>a relatively inexpensive and timely approach to estimation, if sufficient data are available on the cost drivers of expenditure. Alternative methods, such as a survey of government service providers, could also yield Indigenous expenditure estimates, but it is unlikely that these could be achieved within the same timeframe or budget as for the Indigenous Expenditure Report.</w:t>
      </w:r>
    </w:p>
    <w:p w:rsidR="009A7F87" w:rsidRPr="00882E4E" w:rsidRDefault="009A7F87" w:rsidP="009A7F87">
      <w:pPr>
        <w:pStyle w:val="ListBullet"/>
      </w:pPr>
      <w:r w:rsidRPr="00317BFD">
        <w:rPr>
          <w:szCs w:val="24"/>
        </w:rPr>
        <w:t>there are established data sources, or suitable proxies, to estimate many of the cost drivers required for the Indigenous Expenditure Report.</w:t>
      </w:r>
    </w:p>
    <w:p w:rsidR="009A7F87" w:rsidRDefault="009A7F87" w:rsidP="009A7F87">
      <w:pPr>
        <w:pStyle w:val="BodyText"/>
        <w:rPr>
          <w:szCs w:val="24"/>
        </w:rPr>
      </w:pPr>
      <w:r w:rsidRPr="00317BFD">
        <w:rPr>
          <w:szCs w:val="24"/>
        </w:rPr>
        <w:t>The weaknesses of the proration method include:</w:t>
      </w:r>
    </w:p>
    <w:p w:rsidR="009A7F87" w:rsidRPr="00882E4E" w:rsidRDefault="009A7F87" w:rsidP="009A7F87">
      <w:pPr>
        <w:pStyle w:val="ListBullet"/>
      </w:pPr>
      <w:r w:rsidRPr="00317BFD">
        <w:rPr>
          <w:szCs w:val="24"/>
        </w:rPr>
        <w:t xml:space="preserve">greater difficulty in producing statistical measures of accuracy (such as relative standard errors) as compared to, for example, a sample survey. In future reports the Steering Committee </w:t>
      </w:r>
      <w:r>
        <w:rPr>
          <w:szCs w:val="24"/>
        </w:rPr>
        <w:t>could</w:t>
      </w:r>
      <w:r w:rsidRPr="00317BFD">
        <w:rPr>
          <w:szCs w:val="24"/>
        </w:rPr>
        <w:t xml:space="preserve"> explore the use of Monte Carlo simulation, where appropriate, to provide quality indicators for the Indigenous expenditure estimates (chapter 5)</w:t>
      </w:r>
    </w:p>
    <w:p w:rsidR="009A7F87" w:rsidRPr="00882E4E" w:rsidRDefault="009A7F87" w:rsidP="009A7F87">
      <w:pPr>
        <w:pStyle w:val="ListBullet"/>
      </w:pPr>
      <w:r w:rsidRPr="00317BFD">
        <w:rPr>
          <w:szCs w:val="24"/>
        </w:rPr>
        <w:t xml:space="preserve">the quality of the estimates is dependent on the selection of appropriate cost drivers and relevant data sources. Proration uses cost drivers as a proxy for the actual expenditure on Indigenous services — so it is possible that the actual delivery of services to Aboriginal and Torres Strait Islander Australians may not be related to the cost drivers </w:t>
      </w:r>
      <w:r w:rsidRPr="00317BFD">
        <w:rPr>
          <w:szCs w:val="24"/>
        </w:rPr>
        <w:lastRenderedPageBreak/>
        <w:t>selected. Appendix A of this manual outlines the choice of cost drivers for each service area</w:t>
      </w:r>
    </w:p>
    <w:p w:rsidR="009A7F87" w:rsidRPr="00317BFD" w:rsidRDefault="009A7F87" w:rsidP="009A7F87">
      <w:pPr>
        <w:pStyle w:val="ListBullet"/>
        <w:spacing w:line="320" w:lineRule="atLeast"/>
        <w:rPr>
          <w:szCs w:val="24"/>
        </w:rPr>
      </w:pPr>
      <w:r w:rsidRPr="00317BFD">
        <w:rPr>
          <w:szCs w:val="24"/>
        </w:rPr>
        <w:t>proration will only provide reasonable estimates of Indigenous expenditure at the GPC subgroup (four</w:t>
      </w:r>
      <w:r>
        <w:rPr>
          <w:szCs w:val="24"/>
        </w:rPr>
        <w:noBreakHyphen/>
      </w:r>
      <w:r w:rsidRPr="00317BFD">
        <w:rPr>
          <w:szCs w:val="24"/>
        </w:rPr>
        <w:t>digit) level and above. More detailed analysis — at an individual program level — cannot be supported by the proration methodology.</w:t>
      </w:r>
    </w:p>
    <w:p w:rsidR="009A7F87" w:rsidRDefault="009A7F87" w:rsidP="009A7F87">
      <w:pPr>
        <w:pStyle w:val="Heading4"/>
        <w:rPr>
          <w:b/>
        </w:rPr>
      </w:pPr>
      <w:r>
        <w:rPr>
          <w:b/>
        </w:rPr>
        <w:t>Interpretation of results</w:t>
      </w:r>
    </w:p>
    <w:p w:rsidR="009A7F87" w:rsidRPr="00317BFD" w:rsidRDefault="009A7F87" w:rsidP="009A7F87">
      <w:pPr>
        <w:pStyle w:val="BodyText"/>
        <w:rPr>
          <w:szCs w:val="24"/>
        </w:rPr>
      </w:pPr>
      <w:r w:rsidRPr="00317BFD">
        <w:rPr>
          <w:szCs w:val="24"/>
        </w:rPr>
        <w:t>The Indigenous Expenditure Report method has been designed to ensure good quality estimates of expenditure at the GPC subgroup (four</w:t>
      </w:r>
      <w:r>
        <w:rPr>
          <w:szCs w:val="24"/>
        </w:rPr>
        <w:noBreakHyphen/>
      </w:r>
      <w:r w:rsidRPr="00317BFD">
        <w:rPr>
          <w:szCs w:val="24"/>
        </w:rPr>
        <w:t>digit) level. A detailed assessment of the overall efficiency of particular government programs must be conducted on a case</w:t>
      </w:r>
      <w:r w:rsidRPr="00317BFD">
        <w:rPr>
          <w:szCs w:val="24"/>
        </w:rPr>
        <w:noBreakHyphen/>
        <w:t>by</w:t>
      </w:r>
      <w:r w:rsidRPr="00317BFD">
        <w:rPr>
          <w:szCs w:val="24"/>
        </w:rPr>
        <w:noBreakHyphen/>
        <w:t xml:space="preserve">case basis, taking into account the objectives and outcomes of the individual programs. </w:t>
      </w:r>
    </w:p>
    <w:p w:rsidR="009A7F87" w:rsidRPr="00317BFD" w:rsidRDefault="009A7F87" w:rsidP="009A7F87">
      <w:pPr>
        <w:pStyle w:val="BodyText"/>
        <w:rPr>
          <w:szCs w:val="24"/>
        </w:rPr>
      </w:pPr>
      <w:r w:rsidRPr="00317BFD">
        <w:rPr>
          <w:szCs w:val="24"/>
        </w:rPr>
        <w:t>The estimates do provide a baseline of total Indigenous and non</w:t>
      </w:r>
      <w:r w:rsidRPr="00317BFD">
        <w:rPr>
          <w:szCs w:val="24"/>
        </w:rPr>
        <w:noBreakHyphen/>
        <w:t>Indigenous expenditure that, when combined with other data on use and outcomes, could be used to provide appropriate context for any particular study of efficiency and effectiveness. However, the expenditure estimates in themselves do not indicate whether the existing levels of expenditure are sufficient to meet the needs of Aboriginal and Torres Strait Islander or non</w:t>
      </w:r>
      <w:r w:rsidRPr="00317BFD">
        <w:rPr>
          <w:szCs w:val="24"/>
        </w:rPr>
        <w:noBreakHyphen/>
        <w:t>Indigenous Australians.</w:t>
      </w:r>
    </w:p>
    <w:p w:rsidR="009A7F87" w:rsidRDefault="009A7F87" w:rsidP="009A7F87">
      <w:pPr>
        <w:pStyle w:val="BodyText"/>
        <w:rPr>
          <w:szCs w:val="24"/>
        </w:rPr>
      </w:pPr>
      <w:r w:rsidRPr="00317BFD">
        <w:rPr>
          <w:szCs w:val="24"/>
        </w:rPr>
        <w:t>It is also important to note that many mainstream programs do not provide direct services to individuals. As such, the Indigenous status of users is largely irrelevant to the delivery of these government services. Any proration across Aboriginal and Torres Strait Islander or non</w:t>
      </w:r>
      <w:r w:rsidRPr="00317BFD">
        <w:rPr>
          <w:szCs w:val="24"/>
        </w:rPr>
        <w:noBreakHyphen/>
        <w:t>Indigenous populations is therefore a theoretical construct and is based on the Steering Committee’s assessment of what drives the cost of these government services.</w:t>
      </w:r>
    </w:p>
    <w:p w:rsidR="009A7F87" w:rsidRDefault="009A7F87" w:rsidP="009A7F87">
      <w:pPr>
        <w:pStyle w:val="Heading4"/>
        <w:rPr>
          <w:b/>
        </w:rPr>
      </w:pPr>
      <w:r>
        <w:rPr>
          <w:b/>
        </w:rPr>
        <w:t>Sensitivity analysis</w:t>
      </w:r>
    </w:p>
    <w:p w:rsidR="009A7F87" w:rsidRPr="00596F97" w:rsidRDefault="009A7F87" w:rsidP="009A7F87">
      <w:pPr>
        <w:pStyle w:val="BodyText"/>
      </w:pPr>
      <w:r w:rsidRPr="00317BFD">
        <w:rPr>
          <w:szCs w:val="24"/>
        </w:rPr>
        <w:t>The estimation methodology draws on many parameters that include an inherent level of uncertainty because of the quality of the data available. Further information on sensitivity analysis</w:t>
      </w:r>
      <w:r>
        <w:rPr>
          <w:szCs w:val="24"/>
        </w:rPr>
        <w:t xml:space="preserve"> </w:t>
      </w:r>
      <w:r w:rsidRPr="00317BFD">
        <w:rPr>
          <w:szCs w:val="24"/>
        </w:rPr>
        <w:t>is provided in chapter</w:t>
      </w:r>
      <w:r>
        <w:rPr>
          <w:szCs w:val="24"/>
        </w:rPr>
        <w:t> </w:t>
      </w:r>
      <w:r w:rsidRPr="00317BFD">
        <w:rPr>
          <w:szCs w:val="24"/>
        </w:rPr>
        <w:t>8.</w:t>
      </w:r>
    </w:p>
    <w:p w:rsidR="009A7F87" w:rsidRPr="00882E4E" w:rsidRDefault="009A7F87" w:rsidP="009A7F87">
      <w:pPr>
        <w:pStyle w:val="BodyText"/>
      </w:pPr>
    </w:p>
    <w:p w:rsidR="009A7F87" w:rsidRDefault="009A7F87" w:rsidP="009A7F87">
      <w:pPr>
        <w:sectPr w:rsidR="009A7F87" w:rsidSect="009A7F87">
          <w:headerReference w:type="even" r:id="rId33"/>
          <w:headerReference w:type="default" r:id="rId34"/>
          <w:footerReference w:type="even" r:id="rId35"/>
          <w:footerReference w:type="default" r:id="rId36"/>
          <w:footnotePr>
            <w:numRestart w:val="eachSect"/>
          </w:footnotePr>
          <w:type w:val="oddPage"/>
          <w:pgSz w:w="11907" w:h="16840" w:code="9"/>
          <w:pgMar w:top="1985" w:right="1304" w:bottom="1247" w:left="1814" w:header="1701" w:footer="397" w:gutter="0"/>
          <w:pgNumType w:chapSep="period"/>
          <w:cols w:space="720"/>
          <w:docGrid w:linePitch="326"/>
        </w:sectPr>
      </w:pPr>
    </w:p>
    <w:p w:rsidR="009A7F87" w:rsidRDefault="009A7F87" w:rsidP="009A7F87">
      <w:pPr>
        <w:pStyle w:val="Heading1"/>
        <w:spacing w:before="0"/>
      </w:pPr>
      <w:r>
        <w:lastRenderedPageBreak/>
        <w:t>3</w:t>
      </w:r>
      <w:r>
        <w:tab/>
        <w:t>Identifying service use measures</w:t>
      </w:r>
    </w:p>
    <w:p w:rsidR="009A7F87" w:rsidRPr="00317BFD" w:rsidRDefault="009A7F87" w:rsidP="009A7F87">
      <w:pPr>
        <w:pStyle w:val="BodyText"/>
        <w:spacing w:after="120"/>
        <w:rPr>
          <w:szCs w:val="24"/>
        </w:rPr>
      </w:pPr>
      <w:r w:rsidRPr="00317BFD">
        <w:rPr>
          <w:szCs w:val="24"/>
        </w:rPr>
        <w:t>An overview of the Steering Committee’s approach to prorating mainstream (that is, non</w:t>
      </w:r>
      <w:r>
        <w:rPr>
          <w:szCs w:val="24"/>
        </w:rPr>
        <w:noBreakHyphen/>
      </w:r>
      <w:r w:rsidRPr="00317BFD">
        <w:rPr>
          <w:szCs w:val="24"/>
        </w:rPr>
        <w:t>Indigenous specific) expenditure between Aboriginal and Torres Strait Islander and non</w:t>
      </w:r>
      <w:r>
        <w:rPr>
          <w:szCs w:val="24"/>
        </w:rPr>
        <w:noBreakHyphen/>
      </w:r>
      <w:r w:rsidRPr="00317BFD">
        <w:rPr>
          <w:szCs w:val="24"/>
        </w:rPr>
        <w:t>Indigenous Australians is provided in chapter 2.</w:t>
      </w:r>
      <w:r w:rsidRPr="00317BFD">
        <w:rPr>
          <w:rStyle w:val="FootnoteReference"/>
          <w:szCs w:val="24"/>
        </w:rPr>
        <w:footnoteReference w:id="7"/>
      </w:r>
    </w:p>
    <w:p w:rsidR="009A7F87" w:rsidRDefault="009A7F87" w:rsidP="00120072">
      <w:pPr>
        <w:pStyle w:val="BodyText"/>
        <w:rPr>
          <w:szCs w:val="24"/>
        </w:rPr>
      </w:pPr>
      <w:r w:rsidRPr="00317BFD">
        <w:rPr>
          <w:szCs w:val="24"/>
        </w:rPr>
        <w:t>The Steering Committee’s method uses a service use measure to identify the Aboriginal and Torres Strait Islander share of expenditure:</w:t>
      </w:r>
    </w:p>
    <w:p w:rsidR="009A7F87" w:rsidRDefault="009A7F87" w:rsidP="009A7F87">
      <w:pPr>
        <w:pStyle w:val="BodyText"/>
        <w:spacing w:before="0"/>
        <w:rPr>
          <w:szCs w:val="24"/>
        </w:rPr>
      </w:pPr>
    </w:p>
    <w:tbl>
      <w:tblPr>
        <w:tblW w:w="8460" w:type="dxa"/>
        <w:tblInd w:w="360" w:type="dxa"/>
        <w:tblLayout w:type="fixed"/>
        <w:tblCellMar>
          <w:left w:w="0" w:type="dxa"/>
          <w:right w:w="0" w:type="dxa"/>
        </w:tblCellMar>
        <w:tblLook w:val="01E0" w:firstRow="1" w:lastRow="1" w:firstColumn="1" w:lastColumn="1" w:noHBand="0" w:noVBand="0"/>
      </w:tblPr>
      <w:tblGrid>
        <w:gridCol w:w="2475"/>
        <w:gridCol w:w="455"/>
        <w:gridCol w:w="2097"/>
        <w:gridCol w:w="283"/>
        <w:gridCol w:w="1843"/>
        <w:gridCol w:w="1307"/>
      </w:tblGrid>
      <w:tr w:rsidR="009A7F87" w:rsidRPr="00770229" w:rsidTr="009A7F87">
        <w:tc>
          <w:tcPr>
            <w:tcW w:w="2475" w:type="dxa"/>
            <w:shd w:val="clear" w:color="auto" w:fill="auto"/>
            <w:vAlign w:val="center"/>
          </w:tcPr>
          <w:p w:rsidR="009A7F87" w:rsidRPr="00770229" w:rsidRDefault="009A7F87" w:rsidP="009A7F87">
            <w:pPr>
              <w:pStyle w:val="TableBodyText"/>
              <w:jc w:val="center"/>
              <w:rPr>
                <w:i/>
              </w:rPr>
            </w:pPr>
            <w:r w:rsidRPr="00770229">
              <w:rPr>
                <w:i/>
              </w:rPr>
              <w:t xml:space="preserve">Aboriginal and Torres Strait Islander share of mainstream </w:t>
            </w:r>
            <w:r w:rsidRPr="00770229">
              <w:rPr>
                <w:i/>
              </w:rPr>
              <w:br/>
              <w:t>expenditure</w:t>
            </w:r>
          </w:p>
        </w:tc>
        <w:tc>
          <w:tcPr>
            <w:tcW w:w="455" w:type="dxa"/>
            <w:shd w:val="clear" w:color="auto" w:fill="auto"/>
            <w:vAlign w:val="center"/>
          </w:tcPr>
          <w:p w:rsidR="009A7F87" w:rsidRPr="00770229" w:rsidRDefault="009A7F87" w:rsidP="009A7F87">
            <w:pPr>
              <w:pStyle w:val="TableBodyText"/>
              <w:jc w:val="center"/>
              <w:rPr>
                <w:sz w:val="48"/>
                <w:szCs w:val="48"/>
              </w:rPr>
            </w:pPr>
            <w:r w:rsidRPr="00770229">
              <w:rPr>
                <w:sz w:val="48"/>
                <w:szCs w:val="48"/>
              </w:rPr>
              <w:t>=</w:t>
            </w:r>
          </w:p>
        </w:tc>
        <w:tc>
          <w:tcPr>
            <w:tcW w:w="2097" w:type="dxa"/>
            <w:shd w:val="clear" w:color="auto" w:fill="auto"/>
            <w:vAlign w:val="center"/>
          </w:tcPr>
          <w:p w:rsidR="009A7F87" w:rsidRPr="00770229" w:rsidRDefault="009A7F87" w:rsidP="009A7F87">
            <w:pPr>
              <w:pStyle w:val="TableBodyText"/>
              <w:jc w:val="center"/>
            </w:pPr>
            <w:r w:rsidRPr="00770229">
              <w:rPr>
                <w:i/>
              </w:rPr>
              <w:t>Total mainstream expenditure</w:t>
            </w:r>
          </w:p>
        </w:tc>
        <w:tc>
          <w:tcPr>
            <w:tcW w:w="283" w:type="dxa"/>
            <w:shd w:val="clear" w:color="auto" w:fill="auto"/>
            <w:vAlign w:val="center"/>
          </w:tcPr>
          <w:p w:rsidR="009A7F87" w:rsidRPr="00770229" w:rsidRDefault="009A7F87" w:rsidP="009A7F87">
            <w:pPr>
              <w:pStyle w:val="TableBodyText"/>
              <w:jc w:val="center"/>
              <w:rPr>
                <w:sz w:val="48"/>
                <w:szCs w:val="48"/>
              </w:rPr>
            </w:pPr>
            <w:r w:rsidRPr="00770229">
              <w:rPr>
                <w:sz w:val="48"/>
                <w:szCs w:val="48"/>
              </w:rPr>
              <w:t>×</w:t>
            </w:r>
          </w:p>
        </w:tc>
        <w:tc>
          <w:tcPr>
            <w:tcW w:w="1843" w:type="dxa"/>
            <w:shd w:val="clear" w:color="auto" w:fill="auto"/>
            <w:vAlign w:val="center"/>
          </w:tcPr>
          <w:p w:rsidR="009A7F87" w:rsidRPr="00770229" w:rsidRDefault="009A7F87" w:rsidP="009A7F87">
            <w:pPr>
              <w:pStyle w:val="TableBodyText"/>
              <w:jc w:val="center"/>
            </w:pPr>
            <w:r w:rsidRPr="00770229">
              <w:rPr>
                <w:i/>
              </w:rPr>
              <w:t xml:space="preserve">Service </w:t>
            </w:r>
            <w:r w:rsidRPr="00770229">
              <w:rPr>
                <w:i/>
              </w:rPr>
              <w:br/>
              <w:t xml:space="preserve">use </w:t>
            </w:r>
            <w:r w:rsidRPr="00770229">
              <w:rPr>
                <w:i/>
              </w:rPr>
              <w:br/>
              <w:t>measure</w:t>
            </w:r>
          </w:p>
        </w:tc>
        <w:tc>
          <w:tcPr>
            <w:tcW w:w="1307" w:type="dxa"/>
            <w:shd w:val="clear" w:color="auto" w:fill="auto"/>
            <w:vAlign w:val="center"/>
          </w:tcPr>
          <w:p w:rsidR="009A7F87" w:rsidRPr="00770229" w:rsidRDefault="009A7F87" w:rsidP="009A7F87">
            <w:pPr>
              <w:pStyle w:val="TableBodyText"/>
              <w:ind w:right="0"/>
            </w:pPr>
            <w:r w:rsidRPr="00770229">
              <w:t>[1]</w:t>
            </w:r>
          </w:p>
        </w:tc>
      </w:tr>
    </w:tbl>
    <w:p w:rsidR="009A7F87" w:rsidRPr="00317BFD" w:rsidRDefault="009A7F87" w:rsidP="009A7F87">
      <w:pPr>
        <w:pStyle w:val="BodyText"/>
        <w:rPr>
          <w:szCs w:val="24"/>
        </w:rPr>
      </w:pPr>
      <w:r w:rsidRPr="00317BFD">
        <w:rPr>
          <w:szCs w:val="24"/>
        </w:rPr>
        <w:t>The approach in equation [1] is extended to recognise that the service use measure may need to be adjusted for:</w:t>
      </w:r>
    </w:p>
    <w:p w:rsidR="009A7F87" w:rsidRPr="00154F6F" w:rsidRDefault="009A7F87" w:rsidP="009A7F87">
      <w:pPr>
        <w:pStyle w:val="ListBullet"/>
      </w:pPr>
      <w:r>
        <w:rPr>
          <w:i/>
        </w:rPr>
        <w:t>Indigenous under-identification</w:t>
      </w:r>
      <w:r>
        <w:t xml:space="preserve"> — </w:t>
      </w:r>
      <w:r w:rsidRPr="00266873">
        <w:rPr>
          <w:szCs w:val="24"/>
        </w:rPr>
        <w:t xml:space="preserve">the degree to which </w:t>
      </w:r>
      <w:r w:rsidRPr="00205272">
        <w:rPr>
          <w:szCs w:val="24"/>
        </w:rPr>
        <w:t xml:space="preserve">the Aboriginal and Torres Strait Islander </w:t>
      </w:r>
      <w:r>
        <w:rPr>
          <w:szCs w:val="24"/>
        </w:rPr>
        <w:t xml:space="preserve">status of </w:t>
      </w:r>
      <w:r w:rsidRPr="00205272">
        <w:rPr>
          <w:szCs w:val="24"/>
        </w:rPr>
        <w:t xml:space="preserve">service users </w:t>
      </w:r>
      <w:r>
        <w:rPr>
          <w:szCs w:val="24"/>
        </w:rPr>
        <w:t>is</w:t>
      </w:r>
      <w:r w:rsidRPr="00205272">
        <w:rPr>
          <w:szCs w:val="24"/>
        </w:rPr>
        <w:t xml:space="preserve"> not correctly identified</w:t>
      </w:r>
      <w:r w:rsidRPr="00266873">
        <w:rPr>
          <w:szCs w:val="24"/>
        </w:rPr>
        <w:t xml:space="preserve"> or recorded in data collections</w:t>
      </w:r>
    </w:p>
    <w:p w:rsidR="009A7F87" w:rsidRPr="00317BFD" w:rsidRDefault="009A7F87" w:rsidP="009A7F87">
      <w:pPr>
        <w:pStyle w:val="ListBullet"/>
        <w:spacing w:line="320" w:lineRule="atLeast"/>
        <w:rPr>
          <w:szCs w:val="24"/>
        </w:rPr>
      </w:pPr>
      <w:r>
        <w:rPr>
          <w:i/>
        </w:rPr>
        <w:t>Indigenous cost differential</w:t>
      </w:r>
      <w:r>
        <w:t xml:space="preserve"> — </w:t>
      </w:r>
      <w:r w:rsidRPr="00317BFD">
        <w:rPr>
          <w:szCs w:val="24"/>
        </w:rPr>
        <w:t>to account for the fact that the average cost of providing a government service to Aboriginal and Torres Strait Islander Australians may be more/less than the cost of providing the same service to non</w:t>
      </w:r>
      <w:r w:rsidRPr="00317BFD">
        <w:rPr>
          <w:szCs w:val="24"/>
        </w:rPr>
        <w:noBreakHyphen/>
        <w:t xml:space="preserve">Indigenous Australians. </w:t>
      </w:r>
    </w:p>
    <w:p w:rsidR="009A7F87" w:rsidRPr="00317BFD" w:rsidRDefault="009A7F87" w:rsidP="009A7F87">
      <w:pPr>
        <w:pStyle w:val="BodyText"/>
      </w:pPr>
      <w:r w:rsidRPr="00317BFD">
        <w:t xml:space="preserve">This chapter focuses on the concepts, sources and methods for identifying the service use measure for each expenditure category. The same methods are adopted for identifying service use measures for allocating Australian Government expenditure across states and territories (chapter 7). </w:t>
      </w:r>
    </w:p>
    <w:p w:rsidR="009A7F87" w:rsidRDefault="009A7F87" w:rsidP="009A7F87">
      <w:pPr>
        <w:pStyle w:val="BodyText"/>
      </w:pPr>
      <w:r w:rsidRPr="00317BFD">
        <w:t xml:space="preserve">A general overview of the concepts is </w:t>
      </w:r>
      <w:r w:rsidRPr="001A41C8">
        <w:t>provided in section 3.1. Section 3.2 discusses the data sources and estimation methods used for the 2017 Report.</w:t>
      </w:r>
    </w:p>
    <w:p w:rsidR="009A7F87" w:rsidRDefault="009A7F87" w:rsidP="009A7F87">
      <w:pPr>
        <w:pStyle w:val="Heading2"/>
      </w:pPr>
      <w:r>
        <w:t>3.</w:t>
      </w:r>
      <w:r>
        <w:rPr>
          <w:noProof/>
        </w:rPr>
        <w:t>1</w:t>
      </w:r>
      <w:r>
        <w:tab/>
        <w:t>Service use measure concepts</w:t>
      </w:r>
    </w:p>
    <w:p w:rsidR="009A7F87" w:rsidRPr="00317BFD" w:rsidRDefault="009A7F87" w:rsidP="009A7F87">
      <w:pPr>
        <w:pStyle w:val="RecB"/>
        <w:rPr>
          <w:szCs w:val="24"/>
        </w:rPr>
      </w:pPr>
      <w:r w:rsidRPr="00317BFD">
        <w:rPr>
          <w:szCs w:val="24"/>
        </w:rPr>
        <w:t>A service use measure is defined as ‘a measure of the use of services that is closely linked with, or a proxy for, the impact Aboriginal and Torres Strait Islander Australians have on the total cost of providing mainstream services’.</w:t>
      </w:r>
    </w:p>
    <w:p w:rsidR="009A7F87" w:rsidRPr="00154F6F" w:rsidRDefault="009A7F87" w:rsidP="009A7F87">
      <w:pPr>
        <w:pStyle w:val="BodyText"/>
      </w:pPr>
      <w:r w:rsidRPr="00154F6F">
        <w:t xml:space="preserve">Linking service use to expenditure is difficult because of the diverse nature of government services (chapter 2). As the basis for a consistent approach to identifying service use </w:t>
      </w:r>
      <w:r w:rsidRPr="00154F6F">
        <w:lastRenderedPageBreak/>
        <w:t>measures, the method classifies all government expenditure under the following broad categories:</w:t>
      </w:r>
    </w:p>
    <w:p w:rsidR="009A7F87" w:rsidRDefault="009A7F87" w:rsidP="009A7F87">
      <w:pPr>
        <w:pStyle w:val="ListBullet"/>
      </w:pPr>
      <w:r>
        <w:t>services to individuals or their families</w:t>
      </w:r>
    </w:p>
    <w:p w:rsidR="009A7F87" w:rsidRPr="00317BFD" w:rsidRDefault="009A7F87" w:rsidP="009A7F87">
      <w:pPr>
        <w:pStyle w:val="ListBullet"/>
        <w:spacing w:line="320" w:lineRule="atLeast"/>
        <w:rPr>
          <w:szCs w:val="24"/>
        </w:rPr>
      </w:pPr>
      <w:r w:rsidRPr="00317BFD">
        <w:rPr>
          <w:szCs w:val="24"/>
        </w:rPr>
        <w:t>collectively consumed services</w:t>
      </w:r>
    </w:p>
    <w:p w:rsidR="009A7F87" w:rsidRPr="00317BFD" w:rsidRDefault="009A7F87" w:rsidP="009A7F87">
      <w:pPr>
        <w:pStyle w:val="ListBullet"/>
        <w:spacing w:line="320" w:lineRule="atLeast"/>
        <w:rPr>
          <w:szCs w:val="24"/>
        </w:rPr>
      </w:pPr>
      <w:r w:rsidRPr="00317BFD">
        <w:rPr>
          <w:szCs w:val="24"/>
        </w:rPr>
        <w:t>support to businesses or industry</w:t>
      </w:r>
    </w:p>
    <w:p w:rsidR="009A7F87" w:rsidRPr="00317BFD" w:rsidRDefault="009A7F87" w:rsidP="009A7F87">
      <w:pPr>
        <w:pStyle w:val="ListBullet"/>
        <w:spacing w:line="320" w:lineRule="atLeast"/>
        <w:rPr>
          <w:szCs w:val="24"/>
        </w:rPr>
      </w:pPr>
      <w:r w:rsidRPr="00317BFD">
        <w:rPr>
          <w:szCs w:val="24"/>
        </w:rPr>
        <w:t>expenditure related to the operation of government</w:t>
      </w:r>
    </w:p>
    <w:p w:rsidR="009A7F87" w:rsidRPr="00154F6F" w:rsidRDefault="009A7F87" w:rsidP="009A7F87">
      <w:pPr>
        <w:pStyle w:val="ListBullet"/>
      </w:pPr>
      <w:r w:rsidRPr="00317BFD">
        <w:rPr>
          <w:szCs w:val="24"/>
        </w:rPr>
        <w:t>a combination of the above.</w:t>
      </w:r>
    </w:p>
    <w:p w:rsidR="009A7F87" w:rsidRDefault="009A7F87" w:rsidP="009A7F87">
      <w:pPr>
        <w:pStyle w:val="Heading4"/>
        <w:rPr>
          <w:i/>
        </w:rPr>
      </w:pPr>
      <w:r>
        <w:rPr>
          <w:i/>
        </w:rPr>
        <w:t>Services to individuals or their families</w:t>
      </w:r>
    </w:p>
    <w:p w:rsidR="009A7F87" w:rsidRDefault="009A7F87" w:rsidP="009A7F87">
      <w:pPr>
        <w:pStyle w:val="BodyText"/>
        <w:rPr>
          <w:szCs w:val="24"/>
        </w:rPr>
      </w:pPr>
      <w:r w:rsidRPr="00317BFD">
        <w:rPr>
          <w:szCs w:val="24"/>
        </w:rPr>
        <w:t xml:space="preserve">Services to individuals or their families includes expenditure on services and programs directed to individuals or their families such as education services, health care services, and social security. The majority of services can be mapped to the National Indigenous Reform Agreement and Overcoming Indigenous Disadvantage report framework ‘building blocks’: </w:t>
      </w:r>
      <w:r w:rsidRPr="00317BFD">
        <w:rPr>
          <w:i/>
          <w:szCs w:val="24"/>
        </w:rPr>
        <w:t xml:space="preserve">early childhood; schooling; health; economic participation; healthy homes; safe communities; </w:t>
      </w:r>
      <w:r w:rsidRPr="00317BFD">
        <w:rPr>
          <w:szCs w:val="24"/>
        </w:rPr>
        <w:t xml:space="preserve">and </w:t>
      </w:r>
      <w:r w:rsidRPr="00317BFD">
        <w:rPr>
          <w:i/>
          <w:szCs w:val="24"/>
        </w:rPr>
        <w:t>governance and leadership</w:t>
      </w:r>
      <w:r w:rsidRPr="00317BFD">
        <w:rPr>
          <w:szCs w:val="24"/>
        </w:rPr>
        <w:t>. These services account for about 80 per cent of government expenditure.</w:t>
      </w:r>
    </w:p>
    <w:p w:rsidR="009A7F87" w:rsidRDefault="009A7F87" w:rsidP="009A7F87">
      <w:pPr>
        <w:pStyle w:val="BodyText"/>
        <w:rPr>
          <w:szCs w:val="24"/>
        </w:rPr>
      </w:pPr>
      <w:r w:rsidRPr="00317BFD">
        <w:rPr>
          <w:szCs w:val="24"/>
        </w:rPr>
        <w:t>The service users and cost drivers for these government services are:</w:t>
      </w:r>
    </w:p>
    <w:p w:rsidR="009A7F87" w:rsidRPr="00154F6F" w:rsidRDefault="009A7F87" w:rsidP="009A7F87">
      <w:pPr>
        <w:pStyle w:val="ListBullet"/>
      </w:pPr>
      <w:r>
        <w:rPr>
          <w:i/>
        </w:rPr>
        <w:t>service user</w:t>
      </w:r>
      <w:r>
        <w:t xml:space="preserve"> — in most </w:t>
      </w:r>
      <w:r w:rsidRPr="00317BFD">
        <w:rPr>
          <w:szCs w:val="24"/>
        </w:rPr>
        <w:t>cases an individual, family or household can be clearly identified as the service user</w:t>
      </w:r>
    </w:p>
    <w:p w:rsidR="009A7F87" w:rsidRPr="00154F6F" w:rsidRDefault="009A7F87" w:rsidP="009A7F87">
      <w:pPr>
        <w:pStyle w:val="ListBullet"/>
      </w:pPr>
      <w:r>
        <w:rPr>
          <w:i/>
        </w:rPr>
        <w:t>cost drivers</w:t>
      </w:r>
      <w:r>
        <w:t xml:space="preserve"> — </w:t>
      </w:r>
      <w:r w:rsidRPr="00317BFD">
        <w:rPr>
          <w:szCs w:val="24"/>
        </w:rPr>
        <w:t>the cost drivers of these government services are mainly associated with the people that receive the service — a clear link exists between the cost drivers and the service users.</w:t>
      </w:r>
    </w:p>
    <w:p w:rsidR="009A7F87" w:rsidRDefault="009A7F87" w:rsidP="009A7F87">
      <w:pPr>
        <w:pStyle w:val="BodyText"/>
        <w:rPr>
          <w:szCs w:val="24"/>
        </w:rPr>
      </w:pPr>
      <w:r w:rsidRPr="00317BFD">
        <w:rPr>
          <w:szCs w:val="24"/>
        </w:rPr>
        <w:t>The service use measure for services to individuals or their families are:</w:t>
      </w:r>
    </w:p>
    <w:p w:rsidR="009A7F87" w:rsidRPr="00317BFD" w:rsidRDefault="009A7F87" w:rsidP="009A7F87">
      <w:pPr>
        <w:pStyle w:val="ListBullet"/>
        <w:spacing w:line="320" w:lineRule="atLeast"/>
        <w:rPr>
          <w:szCs w:val="24"/>
        </w:rPr>
      </w:pPr>
      <w:r w:rsidRPr="00317BFD">
        <w:rPr>
          <w:szCs w:val="24"/>
        </w:rPr>
        <w:t xml:space="preserve">the Aboriginal and Torres Strait Islander share of service users as measured/collected from government administrative systems </w:t>
      </w:r>
      <w:r>
        <w:rPr>
          <w:szCs w:val="24"/>
        </w:rPr>
        <w:t>or, where this is not available</w:t>
      </w:r>
    </w:p>
    <w:p w:rsidR="009A7F87" w:rsidRPr="00154F6F" w:rsidRDefault="009A7F87" w:rsidP="009A7F87">
      <w:pPr>
        <w:pStyle w:val="ListBullet"/>
      </w:pPr>
      <w:r w:rsidRPr="00317BFD">
        <w:rPr>
          <w:szCs w:val="24"/>
        </w:rPr>
        <w:t>the Aboriginal and Torres Strait Islander share of the target population for the government service (for example, the Aboriginal and Torres Strait Islander proportion of Australian children under 5, for early childhood services).</w:t>
      </w:r>
    </w:p>
    <w:p w:rsidR="009A7F87" w:rsidRDefault="009A7F87" w:rsidP="009A7F87">
      <w:pPr>
        <w:pStyle w:val="BodyText"/>
        <w:rPr>
          <w:szCs w:val="24"/>
        </w:rPr>
      </w:pPr>
      <w:r w:rsidRPr="00317BFD">
        <w:rPr>
          <w:szCs w:val="24"/>
        </w:rPr>
        <w:t>Recipients might be identified as individuals, families or cohorts. Some measurement issues arise where recipients are not clearly identified as Aboriginal and Torres Strait Islander, or where data are not available.</w:t>
      </w:r>
    </w:p>
    <w:p w:rsidR="009A7F87" w:rsidRDefault="009A7F87" w:rsidP="009A7F87">
      <w:pPr>
        <w:pStyle w:val="Heading4"/>
        <w:rPr>
          <w:i/>
        </w:rPr>
      </w:pPr>
      <w:r>
        <w:rPr>
          <w:i/>
        </w:rPr>
        <w:t>Collectively consumed services</w:t>
      </w:r>
    </w:p>
    <w:p w:rsidR="009A7F87" w:rsidRPr="00317BFD" w:rsidRDefault="009A7F87" w:rsidP="009A7F87">
      <w:pPr>
        <w:pStyle w:val="BodyText"/>
        <w:rPr>
          <w:szCs w:val="24"/>
        </w:rPr>
      </w:pPr>
      <w:r w:rsidRPr="00317BFD">
        <w:rPr>
          <w:szCs w:val="24"/>
        </w:rPr>
        <w:t xml:space="preserve">Collectively consumed services includes expenditure on services such as national defence and emergency preparedness and response. </w:t>
      </w:r>
    </w:p>
    <w:p w:rsidR="009A7F87" w:rsidRDefault="009A7F87" w:rsidP="009A7F87">
      <w:pPr>
        <w:pStyle w:val="BodyText"/>
        <w:rPr>
          <w:szCs w:val="24"/>
        </w:rPr>
      </w:pPr>
      <w:r w:rsidRPr="00317BFD">
        <w:rPr>
          <w:szCs w:val="24"/>
        </w:rPr>
        <w:lastRenderedPageBreak/>
        <w:t>The service users and cost drivers for these government services are:</w:t>
      </w:r>
    </w:p>
    <w:p w:rsidR="009A7F87" w:rsidRPr="00154F6F" w:rsidRDefault="009A7F87" w:rsidP="009A7F87">
      <w:pPr>
        <w:pStyle w:val="ListBullet"/>
      </w:pPr>
      <w:r>
        <w:rPr>
          <w:i/>
        </w:rPr>
        <w:t>service users</w:t>
      </w:r>
      <w:r>
        <w:t xml:space="preserve"> — </w:t>
      </w:r>
      <w:r w:rsidRPr="00317BFD">
        <w:rPr>
          <w:szCs w:val="24"/>
        </w:rPr>
        <w:t>in most cases, services of this type are for the community as a whole and therefore cannot be directly linked to individual users/recipients</w:t>
      </w:r>
    </w:p>
    <w:p w:rsidR="009A7F87" w:rsidRPr="00154F6F" w:rsidRDefault="009A7F87" w:rsidP="009A7F87">
      <w:pPr>
        <w:pStyle w:val="ListBullet"/>
      </w:pPr>
      <w:r>
        <w:rPr>
          <w:i/>
        </w:rPr>
        <w:t>cost drivers</w:t>
      </w:r>
      <w:r>
        <w:t xml:space="preserve"> — </w:t>
      </w:r>
      <w:r w:rsidRPr="00317BFD">
        <w:rPr>
          <w:szCs w:val="24"/>
        </w:rPr>
        <w:t>the cost drivers of these services are mainly associated with non</w:t>
      </w:r>
      <w:r w:rsidRPr="00317BFD">
        <w:rPr>
          <w:szCs w:val="24"/>
        </w:rPr>
        <w:noBreakHyphen/>
        <w:t>population related factors (for example, defence expenditure is mainly related to factors such as perceived international threat). Expenditure of this type is not directly related to the number of people that receive the service.</w:t>
      </w:r>
    </w:p>
    <w:p w:rsidR="009A7F87" w:rsidRPr="00317BFD" w:rsidRDefault="009A7F87" w:rsidP="009A7F87">
      <w:pPr>
        <w:pStyle w:val="BodyText"/>
      </w:pPr>
      <w:r w:rsidRPr="00317BFD">
        <w:t>These services are received by, or provided on behalf of all Australians, so the Indigenous Expenditure Report method allocates the cost of these services equally across the population.</w:t>
      </w:r>
    </w:p>
    <w:p w:rsidR="009A7F87" w:rsidRPr="00317BFD" w:rsidRDefault="009A7F87" w:rsidP="009A7F87">
      <w:pPr>
        <w:pStyle w:val="BodyText"/>
      </w:pPr>
      <w:r w:rsidRPr="00317BFD">
        <w:t>The service use measure for collectively consumed services is the Aboriginal and Torres Strait Islander proportion of the resident population.</w:t>
      </w:r>
    </w:p>
    <w:p w:rsidR="009A7F87" w:rsidRDefault="009A7F87" w:rsidP="009A7F87">
      <w:pPr>
        <w:pStyle w:val="BodyText"/>
      </w:pPr>
      <w:r w:rsidRPr="00317BFD">
        <w:t>Measurement issues and adjustments may be required where it is assessed that the costs are different for providing the services in different areas (for example, fire services in heavily forested areas).</w:t>
      </w:r>
    </w:p>
    <w:p w:rsidR="009A7F87" w:rsidRDefault="009A7F87" w:rsidP="009A7F87">
      <w:pPr>
        <w:pStyle w:val="Heading4"/>
        <w:rPr>
          <w:i/>
        </w:rPr>
      </w:pPr>
      <w:r>
        <w:rPr>
          <w:i/>
        </w:rPr>
        <w:t>Support to businesses or industry</w:t>
      </w:r>
    </w:p>
    <w:p w:rsidR="009A7F87" w:rsidRDefault="009A7F87" w:rsidP="009A7F87">
      <w:pPr>
        <w:pStyle w:val="BodyText"/>
        <w:rPr>
          <w:szCs w:val="24"/>
        </w:rPr>
      </w:pPr>
      <w:r w:rsidRPr="00317BFD">
        <w:rPr>
          <w:szCs w:val="24"/>
        </w:rPr>
        <w:t>Support to businesses or industry includes expenditure such as business support programs (for example, production subsidies, export facilitation programs) and industry regulation (for example, industry standards and enforcement).</w:t>
      </w:r>
    </w:p>
    <w:p w:rsidR="009A7F87" w:rsidRDefault="009A7F87" w:rsidP="009A7F87">
      <w:pPr>
        <w:pStyle w:val="BodyText"/>
        <w:rPr>
          <w:szCs w:val="24"/>
        </w:rPr>
      </w:pPr>
      <w:r w:rsidRPr="00317BFD">
        <w:rPr>
          <w:szCs w:val="24"/>
        </w:rPr>
        <w:t>The recipients and cost drivers for these government services are:</w:t>
      </w:r>
    </w:p>
    <w:p w:rsidR="009A7F87" w:rsidRPr="00154F6F" w:rsidRDefault="009A7F87" w:rsidP="009A7F87">
      <w:pPr>
        <w:pStyle w:val="ListBullet"/>
      </w:pPr>
      <w:r>
        <w:rPr>
          <w:i/>
        </w:rPr>
        <w:t>service users</w:t>
      </w:r>
      <w:r>
        <w:t xml:space="preserve"> — </w:t>
      </w:r>
      <w:r w:rsidRPr="00317BFD">
        <w:rPr>
          <w:szCs w:val="24"/>
        </w:rPr>
        <w:t>government services of this type are typically directly received by businesses (business subsidies)</w:t>
      </w:r>
    </w:p>
    <w:p w:rsidR="009A7F87" w:rsidRPr="00154F6F" w:rsidRDefault="009A7F87" w:rsidP="009A7F87">
      <w:pPr>
        <w:pStyle w:val="ListBullet"/>
      </w:pPr>
      <w:r>
        <w:rPr>
          <w:i/>
        </w:rPr>
        <w:t>cost drivers</w:t>
      </w:r>
      <w:r>
        <w:t xml:space="preserve"> — </w:t>
      </w:r>
      <w:r w:rsidRPr="00317BFD">
        <w:rPr>
          <w:szCs w:val="24"/>
        </w:rPr>
        <w:t>the cost drivers of these services are mainly related to industry factors (such as the size, complexity and competitive challenges of the industry).</w:t>
      </w:r>
    </w:p>
    <w:p w:rsidR="009A7F87" w:rsidRPr="00317BFD" w:rsidRDefault="009A7F87" w:rsidP="009A7F87">
      <w:pPr>
        <w:pStyle w:val="BodyText"/>
      </w:pPr>
      <w:r w:rsidRPr="00317BFD">
        <w:t>Although the method does not focus on benefits, governments often justify such expenditure on the basis of the indirect benefits to the broader economy and community. As a consequence, services to business or industry are measured as collectively consumed services and the service use measure for</w:t>
      </w:r>
      <w:r w:rsidRPr="00317BFD">
        <w:rPr>
          <w:i/>
        </w:rPr>
        <w:t xml:space="preserve"> </w:t>
      </w:r>
      <w:r w:rsidRPr="00317BFD">
        <w:t>services to business or industry is the Aboriginal and Torres Strait Islander proportion of the resident population.</w:t>
      </w:r>
    </w:p>
    <w:p w:rsidR="009A7F87" w:rsidRDefault="009A7F87" w:rsidP="009A7F87">
      <w:pPr>
        <w:pStyle w:val="Heading4"/>
        <w:rPr>
          <w:i/>
        </w:rPr>
      </w:pPr>
      <w:r>
        <w:rPr>
          <w:i/>
        </w:rPr>
        <w:t>Expenditure related to the operation of government</w:t>
      </w:r>
    </w:p>
    <w:p w:rsidR="009A7F87" w:rsidRDefault="009A7F87" w:rsidP="009A7F87">
      <w:pPr>
        <w:pStyle w:val="BodyText"/>
        <w:rPr>
          <w:szCs w:val="24"/>
        </w:rPr>
      </w:pPr>
      <w:r w:rsidRPr="00317BFD">
        <w:rPr>
          <w:szCs w:val="24"/>
        </w:rPr>
        <w:t>This includes expenditure on government institutional infrastructure or general government support (such as the operation of central agencies and parliaments).</w:t>
      </w:r>
    </w:p>
    <w:p w:rsidR="009A7F87" w:rsidRDefault="009A7F87" w:rsidP="009A7F87">
      <w:pPr>
        <w:pStyle w:val="BodyText"/>
        <w:rPr>
          <w:szCs w:val="24"/>
        </w:rPr>
      </w:pPr>
      <w:r w:rsidRPr="00317BFD">
        <w:rPr>
          <w:szCs w:val="24"/>
        </w:rPr>
        <w:t>The recipients and cost drivers for these government services are:</w:t>
      </w:r>
    </w:p>
    <w:p w:rsidR="009A7F87" w:rsidRPr="00317BFD" w:rsidRDefault="009A7F87" w:rsidP="009A7F87">
      <w:pPr>
        <w:pStyle w:val="ListBullet"/>
        <w:spacing w:line="320" w:lineRule="atLeast"/>
        <w:rPr>
          <w:szCs w:val="24"/>
        </w:rPr>
      </w:pPr>
      <w:r w:rsidRPr="00317BFD">
        <w:rPr>
          <w:i/>
          <w:szCs w:val="24"/>
        </w:rPr>
        <w:lastRenderedPageBreak/>
        <w:t>service users</w:t>
      </w:r>
      <w:r w:rsidRPr="00317BFD">
        <w:rPr>
          <w:szCs w:val="24"/>
        </w:rPr>
        <w:t xml:space="preserve"> — government services of this type are typically directly received by other government departments or parliamentarians</w:t>
      </w:r>
    </w:p>
    <w:p w:rsidR="009A7F87" w:rsidRPr="00317BFD" w:rsidRDefault="009A7F87" w:rsidP="009A7F87">
      <w:pPr>
        <w:pStyle w:val="ListBullet"/>
        <w:spacing w:line="320" w:lineRule="atLeast"/>
        <w:rPr>
          <w:szCs w:val="24"/>
        </w:rPr>
      </w:pPr>
      <w:r w:rsidRPr="00317BFD">
        <w:rPr>
          <w:i/>
          <w:szCs w:val="24"/>
        </w:rPr>
        <w:t xml:space="preserve">cost drivers </w:t>
      </w:r>
      <w:r w:rsidRPr="00317BFD">
        <w:rPr>
          <w:szCs w:val="24"/>
        </w:rPr>
        <w:t>— the cost drivers of these services are mainly related to government (such as the size and complexity of the public sector). While the costs of the machinery of government are influenced by population, a large proportion of the fixed costs are determined by institutional arrangements.</w:t>
      </w:r>
    </w:p>
    <w:p w:rsidR="009A7F87" w:rsidRPr="00317BFD" w:rsidRDefault="009A7F87" w:rsidP="009A7F87">
      <w:pPr>
        <w:pStyle w:val="BodyText"/>
      </w:pPr>
      <w:r w:rsidRPr="00317BFD">
        <w:t>To the extent that the size of government is related to population and that general government services are collectively consumed, the method assumes that all Australians are equal recipients of these services.</w:t>
      </w:r>
    </w:p>
    <w:p w:rsidR="009A7F87" w:rsidRPr="00317BFD" w:rsidRDefault="009A7F87" w:rsidP="009A7F87">
      <w:pPr>
        <w:pStyle w:val="BodyText"/>
      </w:pPr>
      <w:r w:rsidRPr="00317BFD">
        <w:t>The service use measure for these government services is the Aboriginal and Torres Strait Islander proportion of the resident population.</w:t>
      </w:r>
    </w:p>
    <w:p w:rsidR="009A7F87" w:rsidRDefault="009A7F87" w:rsidP="009A7F87">
      <w:pPr>
        <w:pStyle w:val="BodyText"/>
      </w:pPr>
      <w:r w:rsidRPr="00317BFD">
        <w:t>The service use measure may require adjustment where a greater share of general government operations is dedicated to delivering services to Aboriginal and Torres Strait Islander Australians — for example, where the administration of mainstream services is predominantly provided to Aboriginal and Torres Strait Islander Australians.</w:t>
      </w:r>
    </w:p>
    <w:p w:rsidR="009A7F87" w:rsidRDefault="009A7F87" w:rsidP="009A7F87">
      <w:pPr>
        <w:pStyle w:val="Heading4"/>
        <w:rPr>
          <w:i/>
        </w:rPr>
      </w:pPr>
      <w:r>
        <w:rPr>
          <w:i/>
        </w:rPr>
        <w:t>Government expenditure on services that are a combination of the above</w:t>
      </w:r>
    </w:p>
    <w:p w:rsidR="009A7F87" w:rsidRDefault="009A7F87" w:rsidP="009A7F87">
      <w:pPr>
        <w:pStyle w:val="BodyText"/>
        <w:rPr>
          <w:szCs w:val="24"/>
        </w:rPr>
      </w:pPr>
      <w:r w:rsidRPr="00317BFD">
        <w:rPr>
          <w:szCs w:val="24"/>
        </w:rPr>
        <w:t>Some government expenditure is focused on services that contain a combination of the service user–cost driver relationships discussed above.</w:t>
      </w:r>
    </w:p>
    <w:p w:rsidR="009A7F87" w:rsidRDefault="009A7F87" w:rsidP="009A7F87">
      <w:pPr>
        <w:pStyle w:val="Heading2"/>
      </w:pPr>
      <w:r>
        <w:t>3.</w:t>
      </w:r>
      <w:r>
        <w:rPr>
          <w:noProof/>
        </w:rPr>
        <w:t>2</w:t>
      </w:r>
      <w:r w:rsidRPr="00154F6F">
        <w:tab/>
      </w:r>
      <w:r>
        <w:t>Service use measure sources and methods</w:t>
      </w:r>
    </w:p>
    <w:p w:rsidR="009A7F87" w:rsidRDefault="009A7F87" w:rsidP="009A7F87">
      <w:pPr>
        <w:pStyle w:val="Heading4"/>
        <w:rPr>
          <w:b/>
        </w:rPr>
      </w:pPr>
      <w:r>
        <w:rPr>
          <w:b/>
        </w:rPr>
        <w:t>Data sources</w:t>
      </w:r>
    </w:p>
    <w:p w:rsidR="009A7F87" w:rsidRDefault="009A7F87" w:rsidP="009A7F87">
      <w:pPr>
        <w:pStyle w:val="BodyText"/>
        <w:rPr>
          <w:szCs w:val="24"/>
        </w:rPr>
      </w:pPr>
      <w:r w:rsidRPr="00317BFD">
        <w:rPr>
          <w:szCs w:val="24"/>
        </w:rPr>
        <w:t>The Steering Committee has endorsed a suite of service use measures. Appendix</w:t>
      </w:r>
      <w:r>
        <w:rPr>
          <w:szCs w:val="24"/>
        </w:rPr>
        <w:t> </w:t>
      </w:r>
      <w:r w:rsidRPr="00317BFD">
        <w:rPr>
          <w:szCs w:val="24"/>
        </w:rPr>
        <w:t xml:space="preserve">A of this manual provides information on the service use measures and data sources selected for use in the </w:t>
      </w:r>
      <w:r w:rsidRPr="008A14C6">
        <w:rPr>
          <w:szCs w:val="24"/>
        </w:rPr>
        <w:t>2017 Report</w:t>
      </w:r>
      <w:r w:rsidRPr="00317BFD">
        <w:rPr>
          <w:szCs w:val="24"/>
        </w:rPr>
        <w:t xml:space="preserve">. </w:t>
      </w:r>
      <w:r>
        <w:rPr>
          <w:szCs w:val="24"/>
        </w:rPr>
        <w:t>A discussion of the data quality considerations relevant to the service use measure data is</w:t>
      </w:r>
      <w:r w:rsidRPr="00317BFD">
        <w:rPr>
          <w:szCs w:val="24"/>
        </w:rPr>
        <w:t xml:space="preserve"> provided in chapter 8.</w:t>
      </w:r>
    </w:p>
    <w:p w:rsidR="009A7F87" w:rsidRPr="00317BFD" w:rsidRDefault="009A7F87" w:rsidP="009A7F87">
      <w:pPr>
        <w:pStyle w:val="RecBNoTitle"/>
        <w:rPr>
          <w:szCs w:val="24"/>
        </w:rPr>
      </w:pPr>
      <w:r w:rsidRPr="00317BFD">
        <w:rPr>
          <w:szCs w:val="24"/>
        </w:rPr>
        <w:t>Appendix</w:t>
      </w:r>
      <w:r>
        <w:rPr>
          <w:szCs w:val="24"/>
        </w:rPr>
        <w:t> </w:t>
      </w:r>
      <w:r w:rsidRPr="00317BFD">
        <w:rPr>
          <w:szCs w:val="24"/>
        </w:rPr>
        <w:t>A provides a summary of:</w:t>
      </w:r>
    </w:p>
    <w:p w:rsidR="009A7F87" w:rsidRPr="00317BFD" w:rsidRDefault="009A7F87" w:rsidP="009A7F87">
      <w:pPr>
        <w:pStyle w:val="RecBBullet"/>
        <w:rPr>
          <w:szCs w:val="24"/>
        </w:rPr>
      </w:pPr>
      <w:r w:rsidRPr="00317BFD">
        <w:rPr>
          <w:szCs w:val="24"/>
        </w:rPr>
        <w:t>government services provided in each expenditure category</w:t>
      </w:r>
    </w:p>
    <w:p w:rsidR="009A7F87" w:rsidRPr="00317BFD" w:rsidRDefault="009A7F87" w:rsidP="009A7F87">
      <w:pPr>
        <w:pStyle w:val="RecBBullet"/>
        <w:rPr>
          <w:szCs w:val="24"/>
        </w:rPr>
      </w:pPr>
      <w:r w:rsidRPr="00317BFD">
        <w:rPr>
          <w:szCs w:val="24"/>
        </w:rPr>
        <w:t>service use measures selected, the corresponding data sources and their appropriateness as a proxy for the service cost drivers.</w:t>
      </w:r>
    </w:p>
    <w:p w:rsidR="009A7F87" w:rsidRDefault="009A7F87" w:rsidP="009A7F87">
      <w:pPr>
        <w:pStyle w:val="Heading4"/>
        <w:rPr>
          <w:b/>
        </w:rPr>
      </w:pPr>
      <w:r>
        <w:rPr>
          <w:b/>
        </w:rPr>
        <w:lastRenderedPageBreak/>
        <w:t>Process of selection</w:t>
      </w:r>
    </w:p>
    <w:p w:rsidR="009A7F87" w:rsidRPr="00317BFD" w:rsidRDefault="009A7F87" w:rsidP="009A7F87">
      <w:pPr>
        <w:pStyle w:val="BodyText"/>
        <w:rPr>
          <w:szCs w:val="24"/>
        </w:rPr>
      </w:pPr>
      <w:r w:rsidRPr="00317BFD">
        <w:rPr>
          <w:szCs w:val="24"/>
        </w:rPr>
        <w:t>In selecting the factors used to prorate mainstream expenditure, the Steering Committee consulted widely with jurisdictional and subject matter experts.</w:t>
      </w:r>
    </w:p>
    <w:p w:rsidR="009A7F87" w:rsidRPr="00317BFD" w:rsidRDefault="009A7F87" w:rsidP="009A7F87">
      <w:pPr>
        <w:pStyle w:val="BodyText"/>
        <w:rPr>
          <w:szCs w:val="24"/>
        </w:rPr>
      </w:pPr>
      <w:r w:rsidRPr="00317BFD">
        <w:rPr>
          <w:szCs w:val="24"/>
        </w:rPr>
        <w:t xml:space="preserve">The majority of the service use measures used in the Indigenous Expenditure Report are sought from national statistical agencies (including ABS, AIHW and NCVER). The use of established collections for service use measures helps the comparability of the Indigenous expenditure estimates. Making use of established collections also ensures that the Indigenous Expenditure Report can benefit from the data expertise and existing quality improvement processes associated with each collection. </w:t>
      </w:r>
    </w:p>
    <w:p w:rsidR="009A7F87" w:rsidRPr="00317BFD" w:rsidRDefault="009A7F87" w:rsidP="009A7F87">
      <w:pPr>
        <w:pStyle w:val="BodyText"/>
        <w:rPr>
          <w:szCs w:val="24"/>
        </w:rPr>
      </w:pPr>
      <w:r w:rsidRPr="00317BFD">
        <w:rPr>
          <w:szCs w:val="24"/>
        </w:rPr>
        <w:t>Where an established collection is not available, some service use data will need to be sought directly from jurisdictions.</w:t>
      </w:r>
    </w:p>
    <w:p w:rsidR="009A7F87" w:rsidRDefault="009A7F87" w:rsidP="009A7F87">
      <w:pPr>
        <w:sectPr w:rsidR="009A7F87" w:rsidSect="009A7F87">
          <w:headerReference w:type="even" r:id="rId37"/>
          <w:headerReference w:type="default" r:id="rId38"/>
          <w:footerReference w:type="even" r:id="rId39"/>
          <w:footerReference w:type="default" r:id="rId40"/>
          <w:footnotePr>
            <w:numRestart w:val="eachSect"/>
          </w:footnotePr>
          <w:type w:val="oddPage"/>
          <w:pgSz w:w="11907" w:h="16840" w:code="9"/>
          <w:pgMar w:top="1985" w:right="1304" w:bottom="1247" w:left="1814" w:header="1701" w:footer="397" w:gutter="0"/>
          <w:pgNumType w:chapSep="period"/>
          <w:cols w:space="720"/>
          <w:docGrid w:linePitch="326"/>
        </w:sectPr>
      </w:pPr>
    </w:p>
    <w:p w:rsidR="009A7F87" w:rsidRDefault="009A7F87" w:rsidP="009A7F87">
      <w:pPr>
        <w:pStyle w:val="Heading1"/>
        <w:spacing w:before="0"/>
      </w:pPr>
      <w:r>
        <w:lastRenderedPageBreak/>
        <w:t>4</w:t>
      </w:r>
      <w:r>
        <w:tab/>
        <w:t xml:space="preserve">Adjusting for Indigenous </w:t>
      </w:r>
      <w:r>
        <w:br/>
        <w:t>under-identification</w:t>
      </w:r>
    </w:p>
    <w:p w:rsidR="009A7F87" w:rsidRPr="00317BFD" w:rsidRDefault="009A7F87" w:rsidP="009A7F87">
      <w:pPr>
        <w:pStyle w:val="BodyText"/>
        <w:rPr>
          <w:szCs w:val="24"/>
        </w:rPr>
      </w:pPr>
      <w:r w:rsidRPr="00317BFD">
        <w:rPr>
          <w:szCs w:val="24"/>
        </w:rPr>
        <w:t>An overview of the Steering Committee’s approach to prorating mainstream expenditure between Indigenous and non</w:t>
      </w:r>
      <w:r w:rsidRPr="00317BFD">
        <w:rPr>
          <w:szCs w:val="24"/>
        </w:rPr>
        <w:noBreakHyphen/>
        <w:t>Indigenous services is provided in chapter 2.</w:t>
      </w:r>
      <w:r w:rsidRPr="00317BFD">
        <w:rPr>
          <w:rStyle w:val="FootnoteReference"/>
          <w:szCs w:val="24"/>
        </w:rPr>
        <w:footnoteReference w:id="8"/>
      </w:r>
    </w:p>
    <w:p w:rsidR="009A7F87" w:rsidRPr="00317BFD" w:rsidRDefault="009A7F87" w:rsidP="009A7F87">
      <w:pPr>
        <w:pStyle w:val="BodyText"/>
        <w:spacing w:after="120"/>
        <w:rPr>
          <w:szCs w:val="24"/>
        </w:rPr>
      </w:pPr>
      <w:r w:rsidRPr="00317BFD">
        <w:rPr>
          <w:szCs w:val="24"/>
        </w:rPr>
        <w:t>Service use measures are used to identify the Aboriginal and Torres Strait Islander share of expenditure:</w:t>
      </w:r>
    </w:p>
    <w:tbl>
      <w:tblPr>
        <w:tblW w:w="8460" w:type="dxa"/>
        <w:tblInd w:w="360" w:type="dxa"/>
        <w:tblLayout w:type="fixed"/>
        <w:tblCellMar>
          <w:left w:w="0" w:type="dxa"/>
          <w:right w:w="0" w:type="dxa"/>
        </w:tblCellMar>
        <w:tblLook w:val="01E0" w:firstRow="1" w:lastRow="1" w:firstColumn="1" w:lastColumn="1" w:noHBand="0" w:noVBand="0"/>
      </w:tblPr>
      <w:tblGrid>
        <w:gridCol w:w="2475"/>
        <w:gridCol w:w="455"/>
        <w:gridCol w:w="2097"/>
        <w:gridCol w:w="283"/>
        <w:gridCol w:w="1843"/>
        <w:gridCol w:w="1307"/>
      </w:tblGrid>
      <w:tr w:rsidR="009A7F87" w:rsidRPr="00770229" w:rsidTr="009A7F87">
        <w:tc>
          <w:tcPr>
            <w:tcW w:w="2475" w:type="dxa"/>
            <w:shd w:val="clear" w:color="auto" w:fill="auto"/>
            <w:vAlign w:val="center"/>
          </w:tcPr>
          <w:p w:rsidR="009A7F87" w:rsidRPr="00770229" w:rsidRDefault="009A7F87" w:rsidP="009A7F87">
            <w:pPr>
              <w:pStyle w:val="TableBodyText"/>
              <w:jc w:val="center"/>
              <w:rPr>
                <w:i/>
              </w:rPr>
            </w:pPr>
            <w:r w:rsidRPr="00770229">
              <w:rPr>
                <w:i/>
              </w:rPr>
              <w:t xml:space="preserve">Aboriginal and Torres Strait Islander  share of mainstream </w:t>
            </w:r>
            <w:r w:rsidRPr="00770229">
              <w:rPr>
                <w:i/>
              </w:rPr>
              <w:br/>
              <w:t>expenditure</w:t>
            </w:r>
          </w:p>
        </w:tc>
        <w:tc>
          <w:tcPr>
            <w:tcW w:w="455" w:type="dxa"/>
            <w:shd w:val="clear" w:color="auto" w:fill="auto"/>
            <w:vAlign w:val="center"/>
          </w:tcPr>
          <w:p w:rsidR="009A7F87" w:rsidRPr="00770229" w:rsidRDefault="009A7F87" w:rsidP="009A7F87">
            <w:pPr>
              <w:pStyle w:val="TableBodyText"/>
              <w:jc w:val="center"/>
              <w:rPr>
                <w:sz w:val="48"/>
                <w:szCs w:val="48"/>
              </w:rPr>
            </w:pPr>
            <w:r w:rsidRPr="00770229">
              <w:rPr>
                <w:sz w:val="48"/>
                <w:szCs w:val="48"/>
              </w:rPr>
              <w:t>=</w:t>
            </w:r>
          </w:p>
        </w:tc>
        <w:tc>
          <w:tcPr>
            <w:tcW w:w="2097" w:type="dxa"/>
            <w:shd w:val="clear" w:color="auto" w:fill="auto"/>
            <w:vAlign w:val="center"/>
          </w:tcPr>
          <w:p w:rsidR="009A7F87" w:rsidRPr="00770229" w:rsidRDefault="009A7F87" w:rsidP="009A7F87">
            <w:pPr>
              <w:pStyle w:val="TableBodyText"/>
              <w:jc w:val="center"/>
            </w:pPr>
            <w:r w:rsidRPr="00770229">
              <w:rPr>
                <w:i/>
              </w:rPr>
              <w:t>Total mainstream expenditure</w:t>
            </w:r>
          </w:p>
        </w:tc>
        <w:tc>
          <w:tcPr>
            <w:tcW w:w="283" w:type="dxa"/>
            <w:shd w:val="clear" w:color="auto" w:fill="auto"/>
            <w:vAlign w:val="center"/>
          </w:tcPr>
          <w:p w:rsidR="009A7F87" w:rsidRPr="00770229" w:rsidRDefault="009A7F87" w:rsidP="009A7F87">
            <w:pPr>
              <w:pStyle w:val="TableBodyText"/>
              <w:jc w:val="center"/>
              <w:rPr>
                <w:sz w:val="48"/>
                <w:szCs w:val="48"/>
              </w:rPr>
            </w:pPr>
            <w:r w:rsidRPr="00770229">
              <w:rPr>
                <w:sz w:val="48"/>
                <w:szCs w:val="48"/>
              </w:rPr>
              <w:t>×</w:t>
            </w:r>
          </w:p>
        </w:tc>
        <w:tc>
          <w:tcPr>
            <w:tcW w:w="1843" w:type="dxa"/>
            <w:shd w:val="clear" w:color="auto" w:fill="auto"/>
            <w:vAlign w:val="center"/>
          </w:tcPr>
          <w:p w:rsidR="009A7F87" w:rsidRPr="00770229" w:rsidRDefault="009A7F87" w:rsidP="009A7F87">
            <w:pPr>
              <w:pStyle w:val="TableBodyText"/>
              <w:jc w:val="center"/>
            </w:pPr>
            <w:r w:rsidRPr="00770229">
              <w:rPr>
                <w:i/>
              </w:rPr>
              <w:t xml:space="preserve">Service </w:t>
            </w:r>
            <w:r w:rsidRPr="00770229">
              <w:rPr>
                <w:i/>
              </w:rPr>
              <w:br/>
              <w:t xml:space="preserve">use </w:t>
            </w:r>
            <w:r w:rsidRPr="00770229">
              <w:rPr>
                <w:i/>
              </w:rPr>
              <w:br/>
              <w:t>measure</w:t>
            </w:r>
          </w:p>
        </w:tc>
        <w:tc>
          <w:tcPr>
            <w:tcW w:w="1307" w:type="dxa"/>
            <w:shd w:val="clear" w:color="auto" w:fill="auto"/>
            <w:vAlign w:val="center"/>
          </w:tcPr>
          <w:p w:rsidR="009A7F87" w:rsidRPr="00770229" w:rsidRDefault="009A7F87" w:rsidP="009A7F87">
            <w:pPr>
              <w:pStyle w:val="TableBodyText"/>
              <w:ind w:right="0"/>
            </w:pPr>
            <w:r w:rsidRPr="00770229">
              <w:t>[1]</w:t>
            </w:r>
          </w:p>
        </w:tc>
      </w:tr>
    </w:tbl>
    <w:p w:rsidR="009A7F87" w:rsidRPr="00A63F59" w:rsidRDefault="009A7F87" w:rsidP="009A7F87">
      <w:pPr>
        <w:pStyle w:val="BodyText"/>
      </w:pPr>
      <w:r w:rsidRPr="00A63F59">
        <w:t>The approach in equation [1] is extended to recognise that service use measure may need to be adjusted for:</w:t>
      </w:r>
    </w:p>
    <w:p w:rsidR="009A7F87" w:rsidRPr="00A63F59" w:rsidRDefault="009A7F87" w:rsidP="009A7F87">
      <w:pPr>
        <w:pStyle w:val="ListBullet"/>
      </w:pPr>
      <w:r>
        <w:rPr>
          <w:i/>
        </w:rPr>
        <w:t>Indigenous under-identification</w:t>
      </w:r>
      <w:r>
        <w:t xml:space="preserve"> — </w:t>
      </w:r>
      <w:r w:rsidRPr="00317BFD">
        <w:rPr>
          <w:szCs w:val="24"/>
        </w:rPr>
        <w:t>the degree to which the Aboriginal and Torres Strait Islander status of service users is not correctly identified or recorded in data collections</w:t>
      </w:r>
    </w:p>
    <w:p w:rsidR="009A7F87" w:rsidRPr="00A63F59" w:rsidRDefault="009A7F87" w:rsidP="009A7F87">
      <w:pPr>
        <w:pStyle w:val="ListBullet"/>
      </w:pPr>
      <w:r>
        <w:rPr>
          <w:i/>
        </w:rPr>
        <w:t>Indigenous cost differential</w:t>
      </w:r>
      <w:r>
        <w:t xml:space="preserve"> — </w:t>
      </w:r>
      <w:r w:rsidRPr="00317BFD">
        <w:rPr>
          <w:szCs w:val="24"/>
        </w:rPr>
        <w:t>to account for the fact that the average cost of providing a government service to Aboriginal and Torres Strait Islander Australians may be more/less than the cost of providing the same service to non</w:t>
      </w:r>
      <w:r w:rsidRPr="00317BFD">
        <w:rPr>
          <w:szCs w:val="24"/>
        </w:rPr>
        <w:noBreakHyphen/>
        <w:t>Indigenous Australians.</w:t>
      </w:r>
    </w:p>
    <w:p w:rsidR="009A7F87" w:rsidRPr="00317BFD" w:rsidRDefault="009A7F87" w:rsidP="009A7F87">
      <w:pPr>
        <w:pStyle w:val="BodyText"/>
      </w:pPr>
      <w:r w:rsidRPr="00317BFD">
        <w:t xml:space="preserve">This chapter focuses on the concepts and methods used to adjust for </w:t>
      </w:r>
      <w:r>
        <w:t>Indigenous under</w:t>
      </w:r>
      <w:r>
        <w:noBreakHyphen/>
        <w:t>identification</w:t>
      </w:r>
      <w:r w:rsidRPr="00317BFD">
        <w:t>. The same methods are adopted for identifying service use measures for allocating Australian Government expenditure across states and territories (chapter 7).</w:t>
      </w:r>
    </w:p>
    <w:p w:rsidR="009A7F87" w:rsidRDefault="009A7F87" w:rsidP="009A7F87">
      <w:pPr>
        <w:pStyle w:val="BodyText"/>
      </w:pPr>
      <w:r w:rsidRPr="00317BFD">
        <w:t xml:space="preserve">An overview of the concepts is provided in section 4.1. Section 4.2 discusses the data sources and estimation methods used for the </w:t>
      </w:r>
      <w:r w:rsidRPr="008A14C6">
        <w:t>2017 Report</w:t>
      </w:r>
      <w:r w:rsidRPr="00317BFD">
        <w:t>.</w:t>
      </w:r>
    </w:p>
    <w:p w:rsidR="009A7F87" w:rsidRDefault="009A7F87" w:rsidP="009A7F87">
      <w:pPr>
        <w:pStyle w:val="Heading2"/>
      </w:pPr>
      <w:r>
        <w:t>4.</w:t>
      </w:r>
      <w:r>
        <w:rPr>
          <w:noProof/>
        </w:rPr>
        <w:t>1</w:t>
      </w:r>
      <w:r>
        <w:tab/>
        <w:t>Indigenous under-identification concepts</w:t>
      </w:r>
    </w:p>
    <w:p w:rsidR="009A7F87" w:rsidRPr="00317BFD" w:rsidRDefault="009A7F87" w:rsidP="009A7F87">
      <w:pPr>
        <w:pStyle w:val="RecB"/>
        <w:rPr>
          <w:szCs w:val="24"/>
        </w:rPr>
      </w:pPr>
      <w:r>
        <w:rPr>
          <w:szCs w:val="24"/>
        </w:rPr>
        <w:t>Indigenous under-identification</w:t>
      </w:r>
      <w:r w:rsidRPr="00317BFD">
        <w:rPr>
          <w:szCs w:val="24"/>
        </w:rPr>
        <w:t xml:space="preserve"> is defined as a measure of the degree to which Aboriginal and Torres Strait Islander service users are not correctly identified or recorded in data collections.</w:t>
      </w:r>
    </w:p>
    <w:p w:rsidR="009A7F87" w:rsidRDefault="009A7F87" w:rsidP="009A7F8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9A7F87" w:rsidTr="009A7F87">
        <w:trPr>
          <w:tblHeader/>
        </w:trPr>
        <w:tc>
          <w:tcPr>
            <w:tcW w:w="5000" w:type="pct"/>
            <w:tcBorders>
              <w:top w:val="single" w:sz="6" w:space="0" w:color="78A22F"/>
              <w:left w:val="nil"/>
              <w:bottom w:val="nil"/>
              <w:right w:val="nil"/>
            </w:tcBorders>
            <w:shd w:val="clear" w:color="auto" w:fill="auto"/>
          </w:tcPr>
          <w:p w:rsidR="009A7F87" w:rsidRPr="00176D3F" w:rsidRDefault="009A7F87" w:rsidP="009A7F87">
            <w:pPr>
              <w:pStyle w:val="FigureTitle"/>
            </w:pPr>
            <w:r w:rsidRPr="00784A05">
              <w:rPr>
                <w:b w:val="0"/>
              </w:rPr>
              <w:t xml:space="preserve">Figure </w:t>
            </w:r>
            <w:r>
              <w:rPr>
                <w:b w:val="0"/>
              </w:rPr>
              <w:t>4.</w:t>
            </w:r>
            <w:r>
              <w:rPr>
                <w:b w:val="0"/>
                <w:noProof/>
              </w:rPr>
              <w:t>1</w:t>
            </w:r>
            <w:r>
              <w:tab/>
              <w:t>Aboriginal and Torres Strait Islander status of service users</w:t>
            </w:r>
          </w:p>
        </w:tc>
      </w:tr>
      <w:tr w:rsidR="009A7F87" w:rsidTr="009A7F87">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A7F87" w:rsidRPr="00B1465D" w:rsidTr="009A7F87">
              <w:trPr>
                <w:tblHeader/>
                <w:jc w:val="center"/>
              </w:trPr>
              <w:tc>
                <w:tcPr>
                  <w:tcW w:w="5000" w:type="pct"/>
                  <w:tcBorders>
                    <w:top w:val="nil"/>
                    <w:bottom w:val="nil"/>
                  </w:tcBorders>
                </w:tcPr>
                <w:p w:rsidR="009A7F87" w:rsidRPr="00B1465D" w:rsidRDefault="009A7F87" w:rsidP="009A7F87">
                  <w:pPr>
                    <w:pStyle w:val="Figure"/>
                    <w:spacing w:before="60" w:after="60"/>
                    <w:rPr>
                      <w:rFonts w:ascii="Arial" w:hAnsi="Arial" w:cs="Arial"/>
                      <w:sz w:val="18"/>
                      <w:szCs w:val="18"/>
                    </w:rPr>
                  </w:pPr>
                  <w:r>
                    <w:rPr>
                      <w:noProof/>
                    </w:rPr>
                    <w:drawing>
                      <wp:inline distT="0" distB="0" distL="0" distR="0" wp14:anchorId="521C1417" wp14:editId="1A3B9C26">
                        <wp:extent cx="5304155" cy="3236595"/>
                        <wp:effectExtent l="0" t="0" r="0" b="0"/>
                        <wp:docPr id="3" name="Picture 3" descr="Figure 4.1 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4.1 More details can be found within the text surrounding this imag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304155" cy="3236595"/>
                                </a:xfrm>
                                <a:prstGeom prst="rect">
                                  <a:avLst/>
                                </a:prstGeom>
                                <a:noFill/>
                              </pic:spPr>
                            </pic:pic>
                          </a:graphicData>
                        </a:graphic>
                      </wp:inline>
                    </w:drawing>
                  </w:r>
                </w:p>
              </w:tc>
            </w:tr>
          </w:tbl>
          <w:p w:rsidR="009A7F87" w:rsidRDefault="009A7F87" w:rsidP="009A7F87">
            <w:pPr>
              <w:pStyle w:val="Figure"/>
            </w:pPr>
          </w:p>
        </w:tc>
      </w:tr>
      <w:tr w:rsidR="009A7F87" w:rsidTr="009A7F87">
        <w:tc>
          <w:tcPr>
            <w:tcW w:w="5000" w:type="pct"/>
            <w:tcBorders>
              <w:top w:val="nil"/>
              <w:left w:val="nil"/>
              <w:bottom w:val="single" w:sz="6" w:space="0" w:color="78A22F"/>
              <w:right w:val="nil"/>
            </w:tcBorders>
            <w:shd w:val="clear" w:color="auto" w:fill="auto"/>
          </w:tcPr>
          <w:p w:rsidR="009A7F87" w:rsidRDefault="009A7F87" w:rsidP="009A7F87">
            <w:pPr>
              <w:pStyle w:val="Figurespace"/>
            </w:pPr>
          </w:p>
        </w:tc>
      </w:tr>
      <w:tr w:rsidR="009A7F87" w:rsidRPr="000863A5" w:rsidTr="009A7F87">
        <w:tc>
          <w:tcPr>
            <w:tcW w:w="5000" w:type="pct"/>
            <w:tcBorders>
              <w:top w:val="single" w:sz="6" w:space="0" w:color="78A22F"/>
              <w:left w:val="nil"/>
              <w:bottom w:val="nil"/>
              <w:right w:val="nil"/>
            </w:tcBorders>
          </w:tcPr>
          <w:p w:rsidR="009A7F87" w:rsidRPr="00626D32" w:rsidRDefault="009A7F87" w:rsidP="009A7F87">
            <w:pPr>
              <w:pStyle w:val="BoxSpaceBelow"/>
            </w:pPr>
          </w:p>
        </w:tc>
      </w:tr>
    </w:tbl>
    <w:p w:rsidR="009A7F87" w:rsidRPr="00317BFD" w:rsidRDefault="009A7F87" w:rsidP="009A7F87">
      <w:pPr>
        <w:pStyle w:val="BodyText"/>
        <w:rPr>
          <w:szCs w:val="24"/>
        </w:rPr>
      </w:pPr>
      <w:r w:rsidRPr="00317BFD">
        <w:rPr>
          <w:szCs w:val="24"/>
        </w:rPr>
        <w:t xml:space="preserve">The method for the proration of mainstream expenditure requires the service use measure to be adjusted for </w:t>
      </w:r>
      <w:r>
        <w:rPr>
          <w:szCs w:val="24"/>
        </w:rPr>
        <w:t>Indigenous</w:t>
      </w:r>
      <w:r w:rsidRPr="00317BFD">
        <w:rPr>
          <w:szCs w:val="24"/>
        </w:rPr>
        <w:t xml:space="preserve"> under</w:t>
      </w:r>
      <w:r>
        <w:rPr>
          <w:szCs w:val="24"/>
        </w:rPr>
        <w:noBreakHyphen/>
      </w:r>
      <w:r w:rsidRPr="00317BFD">
        <w:rPr>
          <w:szCs w:val="24"/>
        </w:rPr>
        <w:t>identification where appropriate.</w:t>
      </w:r>
    </w:p>
    <w:p w:rsidR="009A7F87" w:rsidRPr="00317BFD" w:rsidRDefault="009A7F87" w:rsidP="009A7F87">
      <w:pPr>
        <w:pStyle w:val="BodyText"/>
        <w:keepNext/>
        <w:rPr>
          <w:szCs w:val="24"/>
        </w:rPr>
      </w:pPr>
      <w:r w:rsidRPr="00317BFD">
        <w:rPr>
          <w:szCs w:val="24"/>
        </w:rPr>
        <w:t xml:space="preserve">The key concepts relating to </w:t>
      </w:r>
      <w:r>
        <w:rPr>
          <w:szCs w:val="24"/>
        </w:rPr>
        <w:t>Indigenous under-identification</w:t>
      </w:r>
      <w:r w:rsidRPr="00317BFD">
        <w:rPr>
          <w:szCs w:val="24"/>
        </w:rPr>
        <w:t xml:space="preserve"> are illustrated in figure 4.1. For a given cohort of services users, the Aboriginal and Torres Strait Islander status of individuals can be:</w:t>
      </w:r>
    </w:p>
    <w:p w:rsidR="009A7F87" w:rsidRPr="00A63F59" w:rsidRDefault="009A7F87" w:rsidP="009A7F87">
      <w:pPr>
        <w:pStyle w:val="ListBullet"/>
      </w:pPr>
      <w:r>
        <w:rPr>
          <w:i/>
        </w:rPr>
        <w:t>correctly identified</w:t>
      </w:r>
      <w:r>
        <w:t xml:space="preserve"> — </w:t>
      </w:r>
      <w:r w:rsidRPr="00317BFD">
        <w:rPr>
          <w:szCs w:val="24"/>
        </w:rPr>
        <w:t>people who are correctly identified and recorded in data collections as Aboriginal and Torres Strait Islander Australians or non</w:t>
      </w:r>
      <w:r>
        <w:rPr>
          <w:szCs w:val="24"/>
        </w:rPr>
        <w:noBreakHyphen/>
      </w:r>
      <w:r w:rsidRPr="00317BFD">
        <w:rPr>
          <w:szCs w:val="24"/>
        </w:rPr>
        <w:t>Indigenous (areas A and B)</w:t>
      </w:r>
    </w:p>
    <w:p w:rsidR="009A7F87" w:rsidRPr="00A63F59" w:rsidRDefault="009A7F87" w:rsidP="009A7F87">
      <w:pPr>
        <w:pStyle w:val="ListBullet"/>
      </w:pPr>
      <w:r>
        <w:rPr>
          <w:i/>
        </w:rPr>
        <w:t>incorrectly identified</w:t>
      </w:r>
      <w:r>
        <w:t xml:space="preserve"> — </w:t>
      </w:r>
      <w:r w:rsidRPr="00317BFD">
        <w:rPr>
          <w:szCs w:val="24"/>
        </w:rPr>
        <w:t xml:space="preserve">people who are incorrectly identified or recorded as Aboriginal and Torres Strait Islander Australians or </w:t>
      </w:r>
      <w:r>
        <w:rPr>
          <w:szCs w:val="24"/>
        </w:rPr>
        <w:t>non</w:t>
      </w:r>
      <w:r>
        <w:rPr>
          <w:szCs w:val="24"/>
        </w:rPr>
        <w:noBreakHyphen/>
        <w:t xml:space="preserve">Indigenous (areas F </w:t>
      </w:r>
      <w:r>
        <w:rPr>
          <w:szCs w:val="24"/>
        </w:rPr>
        <w:br/>
        <w:t>and G)</w:t>
      </w:r>
    </w:p>
    <w:p w:rsidR="009A7F87" w:rsidRPr="00317BFD" w:rsidRDefault="009A7F87" w:rsidP="009A7F87">
      <w:pPr>
        <w:pStyle w:val="ListBullet"/>
        <w:numPr>
          <w:ilvl w:val="0"/>
          <w:numId w:val="0"/>
        </w:numPr>
        <w:ind w:left="340"/>
      </w:pPr>
      <w:r w:rsidRPr="00317BFD">
        <w:t>Incorrect identification can occur where a service administrator incorrectly assumes a service user is or is not an Aboriginal and Torres Strait Islander. This could also arise where information systems/survey instruments allocate non</w:t>
      </w:r>
      <w:r w:rsidRPr="00317BFD">
        <w:noBreakHyphen/>
        <w:t xml:space="preserve">responses to a default category. </w:t>
      </w:r>
    </w:p>
    <w:p w:rsidR="009A7F87" w:rsidRPr="00A63F59" w:rsidRDefault="009A7F87" w:rsidP="009A7F87">
      <w:pPr>
        <w:pStyle w:val="ListBullet"/>
        <w:numPr>
          <w:ilvl w:val="0"/>
          <w:numId w:val="0"/>
        </w:numPr>
        <w:ind w:left="340"/>
      </w:pPr>
      <w:r w:rsidRPr="00317BFD">
        <w:t>The number of non</w:t>
      </w:r>
      <w:r>
        <w:noBreakHyphen/>
      </w:r>
      <w:r w:rsidRPr="00317BFD">
        <w:t>Indigenous Australians incorrectly identified as Aboriginal and Torres Strait Islander Australians (area F) is likely to be small</w:t>
      </w:r>
    </w:p>
    <w:p w:rsidR="009A7F87" w:rsidRPr="00A63F59" w:rsidRDefault="009A7F87" w:rsidP="009A7F87">
      <w:pPr>
        <w:pStyle w:val="ListBullet"/>
      </w:pPr>
      <w:r>
        <w:rPr>
          <w:i/>
        </w:rPr>
        <w:t>not known</w:t>
      </w:r>
      <w:r>
        <w:t xml:space="preserve"> — </w:t>
      </w:r>
      <w:r w:rsidRPr="00317BFD">
        <w:rPr>
          <w:szCs w:val="24"/>
        </w:rPr>
        <w:t xml:space="preserve">people who have </w:t>
      </w:r>
      <w:r w:rsidRPr="00317BFD">
        <w:rPr>
          <w:b/>
          <w:szCs w:val="24"/>
        </w:rPr>
        <w:t>not</w:t>
      </w:r>
      <w:r w:rsidRPr="00317BFD">
        <w:rPr>
          <w:szCs w:val="24"/>
        </w:rPr>
        <w:t xml:space="preserve"> been recorded as either Aboriginal and Torres Strait Islander or non</w:t>
      </w:r>
      <w:r w:rsidRPr="00317BFD">
        <w:rPr>
          <w:szCs w:val="24"/>
        </w:rPr>
        <w:noBreakHyphen/>
        <w:t>Indigenous (area C). Some of these people will be Aboriginal and Torres Strait Islander (area E), and some will be non</w:t>
      </w:r>
      <w:r w:rsidRPr="00317BFD">
        <w:rPr>
          <w:szCs w:val="24"/>
        </w:rPr>
        <w:noBreakHyphen/>
        <w:t>Indigenous (area D).</w:t>
      </w:r>
    </w:p>
    <w:p w:rsidR="009A7F87" w:rsidRDefault="009A7F87" w:rsidP="009A7F87">
      <w:pPr>
        <w:pStyle w:val="ListBullet"/>
        <w:numPr>
          <w:ilvl w:val="0"/>
          <w:numId w:val="0"/>
        </w:numPr>
        <w:ind w:left="340"/>
      </w:pPr>
      <w:r w:rsidRPr="00317BFD">
        <w:lastRenderedPageBreak/>
        <w:t>Aboriginal and Torres Strait Islander status might not be reported for several reasons including lack of understanding, perceived service access implications, attitudes toward information collection or government agencies, or because the respondent was not asked.</w:t>
      </w:r>
    </w:p>
    <w:p w:rsidR="009A7F87" w:rsidRPr="00317BFD" w:rsidRDefault="009A7F87" w:rsidP="009A7F87">
      <w:pPr>
        <w:pStyle w:val="BodyText"/>
        <w:rPr>
          <w:szCs w:val="24"/>
        </w:rPr>
      </w:pPr>
      <w:r>
        <w:rPr>
          <w:szCs w:val="24"/>
        </w:rPr>
        <w:t>Indigenous</w:t>
      </w:r>
      <w:r w:rsidRPr="00317BFD">
        <w:rPr>
          <w:szCs w:val="24"/>
        </w:rPr>
        <w:t xml:space="preserve"> under</w:t>
      </w:r>
      <w:r>
        <w:rPr>
          <w:szCs w:val="24"/>
        </w:rPr>
        <w:noBreakHyphen/>
      </w:r>
      <w:r w:rsidRPr="00317BFD">
        <w:rPr>
          <w:szCs w:val="24"/>
        </w:rPr>
        <w:t>identification refers to the net effect on the number of Aboriginal and Torres Strait Islander service users of areas E, F and G in figure</w:t>
      </w:r>
      <w:r>
        <w:rPr>
          <w:szCs w:val="24"/>
        </w:rPr>
        <w:t> </w:t>
      </w:r>
      <w:r w:rsidRPr="00317BFD">
        <w:rPr>
          <w:szCs w:val="24"/>
        </w:rPr>
        <w:t>4.1. This refers to the extent to which the number of Aboriginal and Torres Strait Islander service users (area A) is understated in the data.</w:t>
      </w:r>
    </w:p>
    <w:p w:rsidR="009A7F87" w:rsidRPr="00317BFD" w:rsidRDefault="009A7F87" w:rsidP="009A7F87">
      <w:pPr>
        <w:pStyle w:val="BodyText"/>
        <w:rPr>
          <w:szCs w:val="24"/>
        </w:rPr>
      </w:pPr>
      <w:r w:rsidRPr="00317BFD">
        <w:rPr>
          <w:szCs w:val="24"/>
        </w:rPr>
        <w:t>While the collection of Aboriginal and Torres Strait Islander status can include non</w:t>
      </w:r>
      <w:r>
        <w:rPr>
          <w:szCs w:val="24"/>
        </w:rPr>
        <w:noBreakHyphen/>
      </w:r>
      <w:r w:rsidRPr="00317BFD">
        <w:rPr>
          <w:szCs w:val="24"/>
        </w:rPr>
        <w:t xml:space="preserve">response rates (areas D and E), accurate information on </w:t>
      </w:r>
      <w:r>
        <w:rPr>
          <w:szCs w:val="24"/>
        </w:rPr>
        <w:t>Indigenous</w:t>
      </w:r>
      <w:r w:rsidRPr="00317BFD">
        <w:rPr>
          <w:szCs w:val="24"/>
        </w:rPr>
        <w:t xml:space="preserve"> under</w:t>
      </w:r>
      <w:r w:rsidRPr="00317BFD">
        <w:rPr>
          <w:szCs w:val="24"/>
        </w:rPr>
        <w:noBreakHyphen/>
        <w:t xml:space="preserve">identification can be difficult to ascertain and extrapolate. In practice, for some service areas, this information is based on expert judgement or on the known experience in similar services. </w:t>
      </w:r>
    </w:p>
    <w:p w:rsidR="009A7F87" w:rsidRDefault="009A7F87" w:rsidP="009A7F87">
      <w:pPr>
        <w:pStyle w:val="BodyText"/>
        <w:rPr>
          <w:szCs w:val="24"/>
        </w:rPr>
      </w:pPr>
      <w:r w:rsidRPr="00317BFD">
        <w:rPr>
          <w:szCs w:val="24"/>
        </w:rPr>
        <w:t>Improving Aboriginal and Torres Strait Islander identification will require the ongoing cooperation of agencies and bodies responsible for administering the collections from which service use measures are drawn (box</w:t>
      </w:r>
      <w:r>
        <w:rPr>
          <w:szCs w:val="24"/>
        </w:rPr>
        <w:t> </w:t>
      </w:r>
      <w:r w:rsidRPr="00317BFD">
        <w:rPr>
          <w:szCs w:val="24"/>
        </w:rPr>
        <w:t>4.1).</w:t>
      </w:r>
    </w:p>
    <w:p w:rsidR="009A7F87" w:rsidRDefault="009A7F8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9A7F87" w:rsidTr="009A7F87">
        <w:tc>
          <w:tcPr>
            <w:tcW w:w="5000" w:type="pct"/>
            <w:tcBorders>
              <w:top w:val="single" w:sz="6" w:space="0" w:color="78A22F"/>
              <w:left w:val="nil"/>
              <w:bottom w:val="nil"/>
              <w:right w:val="nil"/>
            </w:tcBorders>
            <w:shd w:val="clear" w:color="auto" w:fill="F2F2F2"/>
          </w:tcPr>
          <w:p w:rsidR="009A7F87" w:rsidRDefault="009A7F87" w:rsidP="009A7F87">
            <w:pPr>
              <w:pStyle w:val="BoxTitle"/>
            </w:pPr>
            <w:r>
              <w:rPr>
                <w:b w:val="0"/>
              </w:rPr>
              <w:t>Box 4.</w:t>
            </w:r>
            <w:r>
              <w:rPr>
                <w:b w:val="0"/>
                <w:noProof/>
              </w:rPr>
              <w:t>1</w:t>
            </w:r>
            <w:r>
              <w:tab/>
              <w:t>Identifying Aboriginal and Torres Strait Islander service users</w:t>
            </w:r>
          </w:p>
        </w:tc>
      </w:tr>
      <w:tr w:rsidR="009A7F87" w:rsidTr="009A7F87">
        <w:tc>
          <w:tcPr>
            <w:tcW w:w="5000" w:type="pct"/>
            <w:tcBorders>
              <w:top w:val="nil"/>
              <w:left w:val="nil"/>
              <w:bottom w:val="nil"/>
              <w:right w:val="nil"/>
            </w:tcBorders>
            <w:shd w:val="clear" w:color="auto" w:fill="F2F2F2"/>
          </w:tcPr>
          <w:p w:rsidR="009A7F87" w:rsidRPr="00770229" w:rsidRDefault="009A7F87" w:rsidP="009A7F87">
            <w:pPr>
              <w:pStyle w:val="Box"/>
              <w:rPr>
                <w:szCs w:val="19"/>
              </w:rPr>
            </w:pPr>
            <w:r w:rsidRPr="00770229">
              <w:t>Adhering to national standards in collecting and recording responses to the Aboriginal and Torres Strait Islander status of Australians will help ensure that the same concept of Indigeneity is measured across data collections. Self</w:t>
            </w:r>
            <w:r>
              <w:noBreakHyphen/>
            </w:r>
            <w:r w:rsidRPr="00770229">
              <w:t>reporting is regarded as the most accurate means of ascertaining an individual’s Aboriginal and Torres Strait Islander or non</w:t>
            </w:r>
            <w:r>
              <w:noBreakHyphen/>
            </w:r>
            <w:r w:rsidRPr="00770229">
              <w:t xml:space="preserve">Indigenous </w:t>
            </w:r>
            <w:r w:rsidRPr="00770229">
              <w:rPr>
                <w:szCs w:val="19"/>
              </w:rPr>
              <w:t xml:space="preserve">status. A standard question is used to collect Aboriginal and Torres Strait Islander status data by the Australian Bureau of Statistics (ABS) in the Census and household surveys, and Australian Institute of Health and Welfare (AIHW) national administrative data sets. </w:t>
            </w:r>
          </w:p>
          <w:p w:rsidR="009A7F87" w:rsidRDefault="009A7F87" w:rsidP="009A7F87">
            <w:pPr>
              <w:pStyle w:val="Box"/>
            </w:pPr>
            <w:r w:rsidRPr="00770229">
              <w:rPr>
                <w:szCs w:val="19"/>
              </w:rPr>
              <w:t>In order to collect accurate data, the standard question should be asked of the respondent as it is worded, and the response must be correctly recorded. The Australian standards for the Aboriginal and Torres Strait Islander identification question wording and recording are available from the ABS and AIHW.</w:t>
            </w:r>
          </w:p>
        </w:tc>
      </w:tr>
      <w:tr w:rsidR="009A7F87" w:rsidTr="009A7F87">
        <w:tc>
          <w:tcPr>
            <w:tcW w:w="5000" w:type="pct"/>
            <w:tcBorders>
              <w:top w:val="nil"/>
              <w:left w:val="nil"/>
              <w:bottom w:val="nil"/>
              <w:right w:val="nil"/>
            </w:tcBorders>
            <w:shd w:val="clear" w:color="auto" w:fill="F2F2F2"/>
          </w:tcPr>
          <w:p w:rsidR="009A7F87" w:rsidRDefault="009A7F87" w:rsidP="009A7F87">
            <w:pPr>
              <w:pStyle w:val="BoxSource"/>
            </w:pPr>
            <w:r>
              <w:rPr>
                <w:i/>
              </w:rPr>
              <w:t>Source</w:t>
            </w:r>
            <w:r w:rsidRPr="00167F06">
              <w:t xml:space="preserve">: </w:t>
            </w:r>
            <w:r w:rsidRPr="00770229">
              <w:t>National best practice guidelines for collecting Aboriginal and Torres Strait Islander status in health data sets (AIHW Cat. no. AIHW 29).</w:t>
            </w:r>
          </w:p>
        </w:tc>
      </w:tr>
      <w:tr w:rsidR="009A7F87" w:rsidTr="009A7F87">
        <w:tc>
          <w:tcPr>
            <w:tcW w:w="5000" w:type="pct"/>
            <w:tcBorders>
              <w:top w:val="nil"/>
              <w:left w:val="nil"/>
              <w:bottom w:val="single" w:sz="6" w:space="0" w:color="78A22F"/>
              <w:right w:val="nil"/>
            </w:tcBorders>
            <w:shd w:val="clear" w:color="auto" w:fill="F2F2F2"/>
          </w:tcPr>
          <w:p w:rsidR="009A7F87" w:rsidRDefault="009A7F87">
            <w:pPr>
              <w:pStyle w:val="Box"/>
              <w:spacing w:before="0" w:line="120" w:lineRule="exact"/>
            </w:pPr>
          </w:p>
        </w:tc>
      </w:tr>
      <w:tr w:rsidR="009A7F87" w:rsidRPr="000863A5" w:rsidTr="009A7F87">
        <w:tc>
          <w:tcPr>
            <w:tcW w:w="5000" w:type="pct"/>
            <w:tcBorders>
              <w:top w:val="single" w:sz="6" w:space="0" w:color="78A22F"/>
              <w:left w:val="nil"/>
              <w:bottom w:val="nil"/>
              <w:right w:val="nil"/>
            </w:tcBorders>
          </w:tcPr>
          <w:p w:rsidR="009A7F87" w:rsidRPr="00626D32" w:rsidRDefault="009A7F87" w:rsidP="009A7F87">
            <w:pPr>
              <w:pStyle w:val="BoxSpaceBelow"/>
            </w:pPr>
          </w:p>
        </w:tc>
      </w:tr>
    </w:tbl>
    <w:p w:rsidR="009A7F87" w:rsidRDefault="009A7F87" w:rsidP="009A7F87">
      <w:pPr>
        <w:pStyle w:val="Heading2"/>
      </w:pPr>
      <w:r>
        <w:t>4.</w:t>
      </w:r>
      <w:r>
        <w:rPr>
          <w:noProof/>
        </w:rPr>
        <w:t>2</w:t>
      </w:r>
      <w:r>
        <w:tab/>
        <w:t>Indigenous under-identification information and adjustments</w:t>
      </w:r>
    </w:p>
    <w:p w:rsidR="009A7F87" w:rsidRPr="00A63F59" w:rsidRDefault="009A7F87" w:rsidP="009A7F87">
      <w:pPr>
        <w:pStyle w:val="BodyText"/>
      </w:pPr>
      <w:r w:rsidRPr="00F91B73">
        <w:rPr>
          <w:szCs w:val="24"/>
        </w:rPr>
        <w:t xml:space="preserve">A range of collection methods are used to identify the extent of </w:t>
      </w:r>
      <w:r>
        <w:rPr>
          <w:szCs w:val="24"/>
        </w:rPr>
        <w:t>Indigenous</w:t>
      </w:r>
      <w:r w:rsidRPr="00F91B73">
        <w:rPr>
          <w:szCs w:val="24"/>
        </w:rPr>
        <w:t xml:space="preserve"> under</w:t>
      </w:r>
      <w:r w:rsidRPr="00F91B73">
        <w:rPr>
          <w:szCs w:val="24"/>
        </w:rPr>
        <w:noBreakHyphen/>
        <w:t xml:space="preserve">identification. Each method has implications for the way in which </w:t>
      </w:r>
      <w:r>
        <w:rPr>
          <w:szCs w:val="24"/>
        </w:rPr>
        <w:t>Indigenous</w:t>
      </w:r>
      <w:r w:rsidRPr="00F91B73">
        <w:rPr>
          <w:szCs w:val="24"/>
        </w:rPr>
        <w:t xml:space="preserve"> under</w:t>
      </w:r>
      <w:r w:rsidRPr="00F91B73">
        <w:rPr>
          <w:szCs w:val="24"/>
        </w:rPr>
        <w:noBreakHyphen/>
        <w:t xml:space="preserve">identification can be estimated. Figure 4.2 illustrates these approaches and the assumptions the Indigenous Expenditure Report uses to calculate </w:t>
      </w:r>
      <w:r>
        <w:rPr>
          <w:szCs w:val="24"/>
        </w:rPr>
        <w:t>Indigenous</w:t>
      </w:r>
      <w:r w:rsidRPr="00F91B73">
        <w:rPr>
          <w:szCs w:val="24"/>
        </w:rPr>
        <w:t xml:space="preserve"> under</w:t>
      </w:r>
      <w:r w:rsidRPr="00F91B73">
        <w:rPr>
          <w:szCs w:val="24"/>
        </w:rPr>
        <w:noBreakHyphen/>
        <w:t>identification.</w:t>
      </w:r>
    </w:p>
    <w:p w:rsidR="009A7F87" w:rsidRDefault="009A7F87" w:rsidP="009A7F8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9A7F87" w:rsidTr="009A7F87">
        <w:trPr>
          <w:tblHeader/>
        </w:trPr>
        <w:tc>
          <w:tcPr>
            <w:tcW w:w="5000" w:type="pct"/>
            <w:tcBorders>
              <w:top w:val="single" w:sz="6" w:space="0" w:color="78A22F"/>
              <w:left w:val="nil"/>
              <w:bottom w:val="nil"/>
              <w:right w:val="nil"/>
            </w:tcBorders>
            <w:shd w:val="clear" w:color="auto" w:fill="auto"/>
          </w:tcPr>
          <w:p w:rsidR="009A7F87" w:rsidRPr="00176D3F" w:rsidRDefault="009A7F87" w:rsidP="009A7F87">
            <w:pPr>
              <w:pStyle w:val="FigureTitle"/>
            </w:pPr>
            <w:r w:rsidRPr="00784A05">
              <w:rPr>
                <w:b w:val="0"/>
              </w:rPr>
              <w:t xml:space="preserve">Figure </w:t>
            </w:r>
            <w:r>
              <w:rPr>
                <w:b w:val="0"/>
              </w:rPr>
              <w:t>4.</w:t>
            </w:r>
            <w:r>
              <w:rPr>
                <w:b w:val="0"/>
                <w:noProof/>
              </w:rPr>
              <w:t>2</w:t>
            </w:r>
            <w:r>
              <w:tab/>
              <w:t>Indigenous under-identification</w:t>
            </w:r>
          </w:p>
        </w:tc>
      </w:tr>
      <w:tr w:rsidR="009A7F87" w:rsidTr="009A7F87">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A7F87" w:rsidRPr="00B1465D" w:rsidTr="009A7F87">
              <w:trPr>
                <w:tblHeader/>
                <w:jc w:val="center"/>
              </w:trPr>
              <w:tc>
                <w:tcPr>
                  <w:tcW w:w="5000" w:type="pct"/>
                  <w:tcBorders>
                    <w:top w:val="nil"/>
                    <w:bottom w:val="nil"/>
                  </w:tcBorders>
                </w:tcPr>
                <w:p w:rsidR="009A7F87" w:rsidRPr="00B1465D" w:rsidRDefault="009A7F87" w:rsidP="009A7F87">
                  <w:pPr>
                    <w:pStyle w:val="Figure"/>
                    <w:spacing w:before="60" w:after="60"/>
                    <w:rPr>
                      <w:rFonts w:ascii="Arial" w:hAnsi="Arial" w:cs="Arial"/>
                      <w:sz w:val="18"/>
                      <w:szCs w:val="18"/>
                    </w:rPr>
                  </w:pPr>
                  <w:r>
                    <w:rPr>
                      <w:noProof/>
                    </w:rPr>
                    <w:drawing>
                      <wp:inline distT="0" distB="0" distL="0" distR="0" wp14:anchorId="442833F4" wp14:editId="555DF8E6">
                        <wp:extent cx="4838700" cy="4114800"/>
                        <wp:effectExtent l="0" t="0" r="0" b="0"/>
                        <wp:docPr id="4" name="Picture 2" descr="Figure 4.2 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4.2 More details can be found within the text surrounding this imag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38700" cy="4114800"/>
                                </a:xfrm>
                                <a:prstGeom prst="rect">
                                  <a:avLst/>
                                </a:prstGeom>
                                <a:noFill/>
                                <a:ln>
                                  <a:noFill/>
                                </a:ln>
                              </pic:spPr>
                            </pic:pic>
                          </a:graphicData>
                        </a:graphic>
                      </wp:inline>
                    </w:drawing>
                  </w:r>
                </w:p>
              </w:tc>
            </w:tr>
          </w:tbl>
          <w:p w:rsidR="009A7F87" w:rsidRDefault="009A7F87" w:rsidP="009A7F87">
            <w:pPr>
              <w:pStyle w:val="Figure"/>
            </w:pPr>
          </w:p>
        </w:tc>
      </w:tr>
      <w:tr w:rsidR="009A7F87" w:rsidTr="009A7F87">
        <w:tc>
          <w:tcPr>
            <w:tcW w:w="5000" w:type="pct"/>
            <w:tcBorders>
              <w:top w:val="nil"/>
              <w:left w:val="nil"/>
              <w:bottom w:val="single" w:sz="6" w:space="0" w:color="78A22F"/>
              <w:right w:val="nil"/>
            </w:tcBorders>
            <w:shd w:val="clear" w:color="auto" w:fill="auto"/>
          </w:tcPr>
          <w:p w:rsidR="009A7F87" w:rsidRDefault="009A7F87" w:rsidP="009A7F87">
            <w:pPr>
              <w:pStyle w:val="Figurespace"/>
            </w:pPr>
          </w:p>
        </w:tc>
      </w:tr>
      <w:tr w:rsidR="009A7F87" w:rsidRPr="000863A5" w:rsidTr="009A7F87">
        <w:tc>
          <w:tcPr>
            <w:tcW w:w="5000" w:type="pct"/>
            <w:tcBorders>
              <w:top w:val="single" w:sz="6" w:space="0" w:color="78A22F"/>
              <w:left w:val="nil"/>
              <w:bottom w:val="nil"/>
              <w:right w:val="nil"/>
            </w:tcBorders>
          </w:tcPr>
          <w:p w:rsidR="009A7F87" w:rsidRPr="00626D32" w:rsidRDefault="009A7F87" w:rsidP="009A7F87">
            <w:pPr>
              <w:pStyle w:val="BoxSpaceBelow"/>
            </w:pPr>
          </w:p>
        </w:tc>
      </w:tr>
    </w:tbl>
    <w:p w:rsidR="009A7F87" w:rsidRDefault="009A7F87" w:rsidP="009A7F87">
      <w:pPr>
        <w:pStyle w:val="Heading4"/>
        <w:rPr>
          <w:b/>
        </w:rPr>
      </w:pPr>
      <w:r>
        <w:rPr>
          <w:b/>
        </w:rPr>
        <w:t>No further adjustment required</w:t>
      </w:r>
    </w:p>
    <w:p w:rsidR="009A7F87" w:rsidRPr="00F91B73" w:rsidRDefault="009A7F87" w:rsidP="009A7F87">
      <w:pPr>
        <w:pStyle w:val="BodyText"/>
        <w:rPr>
          <w:szCs w:val="24"/>
        </w:rPr>
      </w:pPr>
      <w:r w:rsidRPr="00F91B73">
        <w:rPr>
          <w:szCs w:val="24"/>
        </w:rPr>
        <w:t xml:space="preserve">Some collection methods include explicit processes to adjust service use data for the extent of </w:t>
      </w:r>
      <w:r>
        <w:rPr>
          <w:szCs w:val="24"/>
        </w:rPr>
        <w:t>Indigenous</w:t>
      </w:r>
      <w:r w:rsidRPr="00F91B73">
        <w:rPr>
          <w:szCs w:val="24"/>
        </w:rPr>
        <w:t xml:space="preserve"> under</w:t>
      </w:r>
      <w:r w:rsidRPr="00F91B73">
        <w:rPr>
          <w:szCs w:val="24"/>
        </w:rPr>
        <w:noBreakHyphen/>
        <w:t>identification and incorporate these adjustments in final data estimates.</w:t>
      </w:r>
    </w:p>
    <w:p w:rsidR="009A7F87" w:rsidRPr="00F91B73" w:rsidRDefault="009A7F87" w:rsidP="009A7F87">
      <w:pPr>
        <w:pStyle w:val="RecBNoTitle"/>
        <w:rPr>
          <w:szCs w:val="24"/>
        </w:rPr>
      </w:pPr>
      <w:r w:rsidRPr="00F91B73">
        <w:rPr>
          <w:szCs w:val="24"/>
        </w:rPr>
        <w:t xml:space="preserve">Where the service use data has been adjusted for </w:t>
      </w:r>
      <w:r>
        <w:rPr>
          <w:szCs w:val="24"/>
        </w:rPr>
        <w:t>Indigenous</w:t>
      </w:r>
      <w:r w:rsidRPr="00F91B73">
        <w:rPr>
          <w:szCs w:val="24"/>
        </w:rPr>
        <w:t xml:space="preserve"> under</w:t>
      </w:r>
      <w:r w:rsidRPr="00F91B73">
        <w:rPr>
          <w:szCs w:val="24"/>
        </w:rPr>
        <w:noBreakHyphen/>
        <w:t>identification no additional adjustment is required.</w:t>
      </w:r>
    </w:p>
    <w:p w:rsidR="009A7F87" w:rsidRDefault="009A7F87" w:rsidP="009A7F87">
      <w:pPr>
        <w:pStyle w:val="Heading4"/>
        <w:rPr>
          <w:b/>
        </w:rPr>
      </w:pPr>
      <w:r>
        <w:rPr>
          <w:b/>
        </w:rPr>
        <w:t>Indigenous under-identification estimated</w:t>
      </w:r>
    </w:p>
    <w:p w:rsidR="009A7F87" w:rsidRPr="00F91B73" w:rsidRDefault="009A7F87" w:rsidP="009A7F87">
      <w:pPr>
        <w:pStyle w:val="BodyText"/>
        <w:rPr>
          <w:szCs w:val="24"/>
        </w:rPr>
      </w:pPr>
      <w:r w:rsidRPr="00F91B73">
        <w:rPr>
          <w:szCs w:val="24"/>
        </w:rPr>
        <w:t xml:space="preserve">Some agencies conduct research and analysis to identify the extent of </w:t>
      </w:r>
      <w:r>
        <w:rPr>
          <w:szCs w:val="24"/>
        </w:rPr>
        <w:t>Indigenous</w:t>
      </w:r>
      <w:r w:rsidRPr="00F91B73">
        <w:rPr>
          <w:szCs w:val="24"/>
        </w:rPr>
        <w:t xml:space="preserve"> under</w:t>
      </w:r>
      <w:r w:rsidRPr="00F91B73">
        <w:rPr>
          <w:szCs w:val="24"/>
        </w:rPr>
        <w:noBreakHyphen/>
        <w:t>identification in data collections, but do not adjust the service use measure</w:t>
      </w:r>
      <w:r>
        <w:rPr>
          <w:szCs w:val="24"/>
        </w:rPr>
        <w:t>.</w:t>
      </w:r>
      <w:r w:rsidRPr="00F91B73">
        <w:rPr>
          <w:szCs w:val="24"/>
        </w:rPr>
        <w:t xml:space="preserve"> For example, the ABS conducts a post</w:t>
      </w:r>
      <w:r w:rsidRPr="00F91B73">
        <w:rPr>
          <w:szCs w:val="24"/>
        </w:rPr>
        <w:noBreakHyphen/>
        <w:t xml:space="preserve">enumeration survey to measure the extent of </w:t>
      </w:r>
      <w:r>
        <w:rPr>
          <w:szCs w:val="24"/>
        </w:rPr>
        <w:t>Indigenous</w:t>
      </w:r>
      <w:r w:rsidRPr="00F91B73">
        <w:rPr>
          <w:szCs w:val="24"/>
        </w:rPr>
        <w:t xml:space="preserve"> under</w:t>
      </w:r>
      <w:r w:rsidRPr="00F91B73">
        <w:rPr>
          <w:szCs w:val="24"/>
        </w:rPr>
        <w:noBreakHyphen/>
        <w:t xml:space="preserve">identification in the population </w:t>
      </w:r>
      <w:r>
        <w:rPr>
          <w:szCs w:val="24"/>
        </w:rPr>
        <w:t>C</w:t>
      </w:r>
      <w:r w:rsidRPr="00F91B73">
        <w:rPr>
          <w:szCs w:val="24"/>
        </w:rPr>
        <w:t xml:space="preserve">ensus, but does not adjust the </w:t>
      </w:r>
      <w:r>
        <w:rPr>
          <w:szCs w:val="24"/>
        </w:rPr>
        <w:t>C</w:t>
      </w:r>
      <w:r w:rsidRPr="00F91B73">
        <w:rPr>
          <w:szCs w:val="24"/>
        </w:rPr>
        <w:t>ensus estimates themselves.</w:t>
      </w:r>
    </w:p>
    <w:p w:rsidR="009A7F87" w:rsidRDefault="009A7F87" w:rsidP="009A7F87">
      <w:pPr>
        <w:pStyle w:val="BodyText"/>
        <w:rPr>
          <w:szCs w:val="24"/>
        </w:rPr>
      </w:pPr>
      <w:r w:rsidRPr="00F91B73">
        <w:rPr>
          <w:szCs w:val="24"/>
        </w:rPr>
        <w:lastRenderedPageBreak/>
        <w:t>For some collections the analysis is restricted to those people who have not responded to the Aboriginal and Torres Strait Islander identification question. For these collections, it is implicitly assumed that all people have correctly identified as Aboriginal and Torres Strait Islander or non</w:t>
      </w:r>
      <w:r w:rsidRPr="00F91B73">
        <w:rPr>
          <w:szCs w:val="24"/>
        </w:rPr>
        <w:noBreakHyphen/>
        <w:t>Indigenous, but adjustment is required to account for the non</w:t>
      </w:r>
      <w:r w:rsidRPr="00F91B73">
        <w:rPr>
          <w:szCs w:val="24"/>
        </w:rPr>
        <w:noBreakHyphen/>
        <w:t>response.</w:t>
      </w:r>
    </w:p>
    <w:p w:rsidR="009A7F87" w:rsidRPr="00F91B73" w:rsidRDefault="009A7F87" w:rsidP="009A7F87">
      <w:pPr>
        <w:pStyle w:val="RecBNoTitle"/>
        <w:rPr>
          <w:szCs w:val="24"/>
        </w:rPr>
      </w:pPr>
      <w:r w:rsidRPr="00F91B73">
        <w:rPr>
          <w:szCs w:val="24"/>
        </w:rPr>
        <w:t>Where</w:t>
      </w:r>
      <w:r w:rsidRPr="00F91B73">
        <w:rPr>
          <w:i w:val="0"/>
          <w:szCs w:val="24"/>
        </w:rPr>
        <w:t xml:space="preserve"> </w:t>
      </w:r>
      <w:r w:rsidRPr="00F91B73">
        <w:rPr>
          <w:szCs w:val="24"/>
        </w:rPr>
        <w:t>existing analysis provides the necessary information,</w:t>
      </w:r>
      <w:r w:rsidRPr="00F91B73">
        <w:rPr>
          <w:i w:val="0"/>
          <w:szCs w:val="24"/>
        </w:rPr>
        <w:t xml:space="preserve"> </w:t>
      </w:r>
      <w:r w:rsidRPr="00F91B73">
        <w:rPr>
          <w:szCs w:val="24"/>
        </w:rPr>
        <w:t xml:space="preserve">the </w:t>
      </w:r>
      <w:r>
        <w:rPr>
          <w:szCs w:val="24"/>
        </w:rPr>
        <w:t>Indigenous</w:t>
      </w:r>
      <w:r w:rsidRPr="00F91B73">
        <w:rPr>
          <w:szCs w:val="24"/>
        </w:rPr>
        <w:t xml:space="preserve"> under</w:t>
      </w:r>
      <w:r w:rsidRPr="00F91B73">
        <w:rPr>
          <w:szCs w:val="24"/>
        </w:rPr>
        <w:noBreakHyphen/>
        <w:t>identification adjustment is based on this.</w:t>
      </w:r>
    </w:p>
    <w:p w:rsidR="009A7F87" w:rsidRDefault="009A7F87" w:rsidP="009A7F87">
      <w:pPr>
        <w:pStyle w:val="Heading4"/>
        <w:rPr>
          <w:b/>
        </w:rPr>
      </w:pPr>
      <w:r>
        <w:rPr>
          <w:b/>
        </w:rPr>
        <w:t>Aboriginal and Torres Strait Islander status of non-response is unknown</w:t>
      </w:r>
    </w:p>
    <w:p w:rsidR="009A7F87" w:rsidRPr="00F91B73" w:rsidRDefault="009A7F87" w:rsidP="009A7F87">
      <w:pPr>
        <w:pStyle w:val="BodyText"/>
        <w:rPr>
          <w:szCs w:val="24"/>
        </w:rPr>
      </w:pPr>
      <w:r w:rsidRPr="00F91B73">
        <w:rPr>
          <w:szCs w:val="24"/>
        </w:rPr>
        <w:t>Collections generally have little information on the Aboriginal and Torres Strait Islander status of people that have not responded to the Aboriginal and Torres Strait Islander identification question in their collection.</w:t>
      </w:r>
    </w:p>
    <w:p w:rsidR="009A7F87" w:rsidRPr="00F91B73" w:rsidRDefault="009A7F87" w:rsidP="009A7F87">
      <w:pPr>
        <w:pStyle w:val="BodyText"/>
        <w:rPr>
          <w:szCs w:val="24"/>
        </w:rPr>
      </w:pPr>
      <w:r w:rsidRPr="00F91B73">
        <w:rPr>
          <w:szCs w:val="24"/>
        </w:rPr>
        <w:t>For these collections it is implicitly assumed that all people have correctly identified as Aboriginal and Torres Strait Islander or non</w:t>
      </w:r>
      <w:r w:rsidRPr="00F91B73">
        <w:rPr>
          <w:szCs w:val="24"/>
        </w:rPr>
        <w:noBreakHyphen/>
        <w:t>Indigenous, but adjustment is required to account for the non</w:t>
      </w:r>
      <w:r w:rsidRPr="00F91B73">
        <w:rPr>
          <w:szCs w:val="24"/>
        </w:rPr>
        <w:noBreakHyphen/>
        <w:t>response.</w:t>
      </w:r>
    </w:p>
    <w:p w:rsidR="009A7F87" w:rsidRDefault="009A7F87" w:rsidP="009A7F87">
      <w:pPr>
        <w:pStyle w:val="BodyText"/>
        <w:rPr>
          <w:szCs w:val="24"/>
        </w:rPr>
      </w:pPr>
      <w:r w:rsidRPr="00F91B73">
        <w:rPr>
          <w:szCs w:val="24"/>
        </w:rPr>
        <w:t>If the distribution of non</w:t>
      </w:r>
      <w:r>
        <w:rPr>
          <w:szCs w:val="24"/>
        </w:rPr>
        <w:noBreakHyphen/>
      </w:r>
      <w:r w:rsidRPr="00F91B73">
        <w:rPr>
          <w:szCs w:val="24"/>
        </w:rPr>
        <w:t>respondents is not known, one of six possible approaches is taken for treating the data relating to those non</w:t>
      </w:r>
      <w:r w:rsidRPr="00F91B73">
        <w:rPr>
          <w:szCs w:val="24"/>
        </w:rPr>
        <w:noBreakHyphen/>
        <w:t>respondents. Under these different approaches, the Indigenous Expenditure Report method assumes that the non</w:t>
      </w:r>
      <w:r w:rsidRPr="00F91B73">
        <w:rPr>
          <w:szCs w:val="24"/>
        </w:rPr>
        <w:noBreakHyphen/>
        <w:t>response population can be described as:</w:t>
      </w:r>
    </w:p>
    <w:p w:rsidR="009A7F87" w:rsidRPr="00EE46C0" w:rsidRDefault="009A7F87" w:rsidP="009A7F87">
      <w:pPr>
        <w:pStyle w:val="ListNumber"/>
        <w:numPr>
          <w:ilvl w:val="0"/>
          <w:numId w:val="23"/>
        </w:numPr>
        <w:spacing w:line="320" w:lineRule="atLeast"/>
        <w:ind w:left="284" w:hanging="284"/>
        <w:rPr>
          <w:szCs w:val="24"/>
        </w:rPr>
      </w:pPr>
      <w:r>
        <w:rPr>
          <w:i/>
        </w:rPr>
        <w:t>Requires no further adjustment</w:t>
      </w:r>
      <w:r>
        <w:t xml:space="preserve"> —</w:t>
      </w:r>
      <w:r w:rsidRPr="00EE46C0">
        <w:rPr>
          <w:szCs w:val="24"/>
        </w:rPr>
        <w:t xml:space="preserve"> </w:t>
      </w:r>
      <w:r w:rsidRPr="00F91B73">
        <w:rPr>
          <w:szCs w:val="24"/>
        </w:rPr>
        <w:t>the</w:t>
      </w:r>
      <w:r w:rsidRPr="00F91B73">
        <w:rPr>
          <w:i/>
          <w:szCs w:val="24"/>
        </w:rPr>
        <w:t xml:space="preserve"> </w:t>
      </w:r>
      <w:r w:rsidRPr="00F91B73">
        <w:rPr>
          <w:szCs w:val="24"/>
        </w:rPr>
        <w:t xml:space="preserve">service use data have already been adjusted for </w:t>
      </w:r>
      <w:r>
        <w:rPr>
          <w:szCs w:val="24"/>
        </w:rPr>
        <w:t>Indigenous</w:t>
      </w:r>
      <w:r w:rsidRPr="00F91B73">
        <w:rPr>
          <w:szCs w:val="24"/>
        </w:rPr>
        <w:t xml:space="preserve"> under</w:t>
      </w:r>
      <w:r>
        <w:rPr>
          <w:szCs w:val="24"/>
        </w:rPr>
        <w:noBreakHyphen/>
      </w:r>
      <w:r w:rsidRPr="00F91B73">
        <w:rPr>
          <w:szCs w:val="24"/>
        </w:rPr>
        <w:t>identification</w:t>
      </w:r>
    </w:p>
    <w:p w:rsidR="009A7F87" w:rsidRDefault="009A7F87" w:rsidP="009A7F87">
      <w:pPr>
        <w:pStyle w:val="ListNumber"/>
        <w:numPr>
          <w:ilvl w:val="0"/>
          <w:numId w:val="23"/>
        </w:numPr>
        <w:spacing w:line="320" w:lineRule="atLeast"/>
        <w:ind w:left="284" w:hanging="284"/>
        <w:rPr>
          <w:szCs w:val="24"/>
        </w:rPr>
      </w:pPr>
      <w:r>
        <w:rPr>
          <w:i/>
        </w:rPr>
        <w:t>Estimated based on analysis</w:t>
      </w:r>
      <w:r>
        <w:t xml:space="preserve"> — </w:t>
      </w:r>
      <w:r>
        <w:rPr>
          <w:szCs w:val="24"/>
        </w:rPr>
        <w:t>Indigenous</w:t>
      </w:r>
      <w:r w:rsidRPr="00F91B73">
        <w:rPr>
          <w:szCs w:val="24"/>
        </w:rPr>
        <w:t xml:space="preserve"> under</w:t>
      </w:r>
      <w:r>
        <w:rPr>
          <w:szCs w:val="24"/>
        </w:rPr>
        <w:noBreakHyphen/>
      </w:r>
      <w:r w:rsidRPr="00F91B73">
        <w:rPr>
          <w:szCs w:val="24"/>
        </w:rPr>
        <w:t>identification has been estimated and is based on the available analysis</w:t>
      </w:r>
    </w:p>
    <w:p w:rsidR="009A7F87" w:rsidRPr="00EE46C0" w:rsidRDefault="009A7F87" w:rsidP="009A7F87">
      <w:pPr>
        <w:pStyle w:val="ListNumber"/>
        <w:numPr>
          <w:ilvl w:val="0"/>
          <w:numId w:val="23"/>
        </w:numPr>
        <w:spacing w:line="320" w:lineRule="atLeast"/>
        <w:ind w:left="284" w:hanging="284"/>
      </w:pPr>
      <w:r w:rsidRPr="00EE46C0">
        <w:rPr>
          <w:i/>
        </w:rPr>
        <w:t>100 per cent Aboriginal and Torres Strait Islander</w:t>
      </w:r>
      <w:r>
        <w:t xml:space="preserve"> — </w:t>
      </w:r>
      <w:r w:rsidRPr="00EE46C0">
        <w:rPr>
          <w:szCs w:val="24"/>
        </w:rPr>
        <w:t>it is assumed that 100 per cent of the non</w:t>
      </w:r>
      <w:r w:rsidRPr="00EE46C0">
        <w:rPr>
          <w:szCs w:val="24"/>
        </w:rPr>
        <w:noBreakHyphen/>
        <w:t>responses are Aboriginal and Torres Strait Islander</w:t>
      </w:r>
    </w:p>
    <w:p w:rsidR="009A7F87" w:rsidRPr="00EE46C0" w:rsidRDefault="009A7F87" w:rsidP="009A7F87">
      <w:pPr>
        <w:pStyle w:val="ListNumber"/>
        <w:numPr>
          <w:ilvl w:val="0"/>
          <w:numId w:val="23"/>
        </w:numPr>
        <w:spacing w:line="320" w:lineRule="atLeast"/>
        <w:ind w:left="284" w:hanging="284"/>
      </w:pPr>
      <w:r w:rsidRPr="00EE46C0">
        <w:rPr>
          <w:i/>
        </w:rPr>
        <w:t>Same as known response distribution</w:t>
      </w:r>
      <w:r>
        <w:t xml:space="preserve"> — </w:t>
      </w:r>
      <w:r w:rsidRPr="00EE46C0">
        <w:rPr>
          <w:szCs w:val="24"/>
        </w:rPr>
        <w:t>the unknown responses are distributed in the same proportion as the known responses</w:t>
      </w:r>
    </w:p>
    <w:p w:rsidR="009A7F87" w:rsidRPr="00EE46C0" w:rsidRDefault="009A7F87" w:rsidP="009A7F87">
      <w:pPr>
        <w:pStyle w:val="ListNumber"/>
        <w:numPr>
          <w:ilvl w:val="0"/>
          <w:numId w:val="23"/>
        </w:numPr>
        <w:spacing w:line="320" w:lineRule="atLeast"/>
        <w:ind w:left="284" w:hanging="284"/>
      </w:pPr>
      <w:r w:rsidRPr="00EE46C0">
        <w:rPr>
          <w:i/>
        </w:rPr>
        <w:t>Same as the resident population distribution</w:t>
      </w:r>
      <w:r>
        <w:t xml:space="preserve"> — </w:t>
      </w:r>
      <w:r w:rsidRPr="00EE46C0">
        <w:rPr>
          <w:szCs w:val="24"/>
        </w:rPr>
        <w:t>the unknown responses are distributed in the same proportion as the resident population</w:t>
      </w:r>
    </w:p>
    <w:p w:rsidR="009A7F87" w:rsidRPr="00EE46C0" w:rsidRDefault="009A7F87" w:rsidP="009A7F87">
      <w:pPr>
        <w:pStyle w:val="ListNumber"/>
        <w:numPr>
          <w:ilvl w:val="0"/>
          <w:numId w:val="23"/>
        </w:numPr>
        <w:spacing w:line="320" w:lineRule="atLeast"/>
        <w:ind w:left="284" w:hanging="284"/>
      </w:pPr>
      <w:r w:rsidRPr="00EE46C0">
        <w:rPr>
          <w:i/>
        </w:rPr>
        <w:t>No adjustment</w:t>
      </w:r>
      <w:r>
        <w:t xml:space="preserve"> —</w:t>
      </w:r>
      <w:r w:rsidRPr="00EE46C0">
        <w:rPr>
          <w:szCs w:val="24"/>
        </w:rPr>
        <w:t xml:space="preserve"> </w:t>
      </w:r>
      <w:r w:rsidRPr="00F91B73">
        <w:rPr>
          <w:szCs w:val="24"/>
        </w:rPr>
        <w:t xml:space="preserve">where the level of </w:t>
      </w:r>
      <w:r>
        <w:rPr>
          <w:szCs w:val="24"/>
        </w:rPr>
        <w:t>Indigenous</w:t>
      </w:r>
      <w:r w:rsidRPr="00F91B73">
        <w:rPr>
          <w:szCs w:val="24"/>
        </w:rPr>
        <w:t xml:space="preserve"> non</w:t>
      </w:r>
      <w:r w:rsidRPr="00F91B73">
        <w:rPr>
          <w:szCs w:val="24"/>
        </w:rPr>
        <w:noBreakHyphen/>
        <w:t xml:space="preserve">response is unknown (or not published) or the level of </w:t>
      </w:r>
      <w:r>
        <w:rPr>
          <w:szCs w:val="24"/>
        </w:rPr>
        <w:t>Indigenous</w:t>
      </w:r>
      <w:r w:rsidRPr="00317BFD">
        <w:rPr>
          <w:szCs w:val="24"/>
        </w:rPr>
        <w:t xml:space="preserve"> </w:t>
      </w:r>
      <w:r w:rsidRPr="00F91B73">
        <w:rPr>
          <w:szCs w:val="24"/>
        </w:rPr>
        <w:t>under</w:t>
      </w:r>
      <w:r w:rsidRPr="00F91B73">
        <w:rPr>
          <w:szCs w:val="24"/>
        </w:rPr>
        <w:noBreakHyphen/>
        <w:t xml:space="preserve">identification has not been estimated, no adjustment to the </w:t>
      </w:r>
      <w:r>
        <w:rPr>
          <w:szCs w:val="24"/>
        </w:rPr>
        <w:t>Aboriginal and Torres Strait Islander</w:t>
      </w:r>
      <w:r w:rsidRPr="00F91B73">
        <w:rPr>
          <w:szCs w:val="24"/>
        </w:rPr>
        <w:t xml:space="preserve"> service use has been made. Conceptually, this is equivalent to assuming that 100 per cent of the non</w:t>
      </w:r>
      <w:r w:rsidRPr="00F91B73">
        <w:rPr>
          <w:szCs w:val="24"/>
        </w:rPr>
        <w:noBreakHyphen/>
        <w:t>response is non</w:t>
      </w:r>
      <w:r w:rsidRPr="00F91B73">
        <w:rPr>
          <w:szCs w:val="24"/>
        </w:rPr>
        <w:noBreakHyphen/>
        <w:t>Indigenous.</w:t>
      </w:r>
    </w:p>
    <w:p w:rsidR="009A7F87" w:rsidRDefault="009A7F87" w:rsidP="009A7F87">
      <w:pPr>
        <w:pStyle w:val="BodyText"/>
      </w:pPr>
    </w:p>
    <w:p w:rsidR="009A7F87" w:rsidRPr="00F91B73" w:rsidRDefault="009A7F87" w:rsidP="009A7F87">
      <w:pPr>
        <w:pStyle w:val="RecBNoTitle"/>
        <w:rPr>
          <w:szCs w:val="24"/>
        </w:rPr>
      </w:pPr>
      <w:r w:rsidRPr="00F91B73">
        <w:rPr>
          <w:szCs w:val="24"/>
        </w:rPr>
        <w:lastRenderedPageBreak/>
        <w:t>Six options for the treatment of non</w:t>
      </w:r>
      <w:r>
        <w:rPr>
          <w:szCs w:val="24"/>
        </w:rPr>
        <w:noBreakHyphen/>
      </w:r>
      <w:r w:rsidRPr="00F91B73">
        <w:rPr>
          <w:szCs w:val="24"/>
        </w:rPr>
        <w:t>response data have been identified for collections where the Aboriginal and Torres Strait Islander distribution of non</w:t>
      </w:r>
      <w:r w:rsidRPr="00F91B73">
        <w:rPr>
          <w:szCs w:val="24"/>
        </w:rPr>
        <w:noBreakHyphen/>
        <w:t xml:space="preserve">response is unknown. </w:t>
      </w:r>
    </w:p>
    <w:p w:rsidR="009A7F87" w:rsidRDefault="009A7F87" w:rsidP="009A7F87">
      <w:pPr>
        <w:pStyle w:val="Heading4"/>
        <w:rPr>
          <w:b/>
        </w:rPr>
      </w:pPr>
      <w:r>
        <w:rPr>
          <w:b/>
        </w:rPr>
        <w:t>Non-Indigenous status not identified</w:t>
      </w:r>
    </w:p>
    <w:p w:rsidR="009A7F87" w:rsidRPr="00F91B73" w:rsidRDefault="009A7F87" w:rsidP="009A7F87">
      <w:pPr>
        <w:pStyle w:val="BodyText"/>
        <w:rPr>
          <w:szCs w:val="24"/>
        </w:rPr>
      </w:pPr>
      <w:r w:rsidRPr="00F91B73">
        <w:rPr>
          <w:szCs w:val="24"/>
        </w:rPr>
        <w:t>Many collections record people that identify as Aboriginal and Torres Strait Islander, but some collections do not record the status of the other service users, whether they are non</w:t>
      </w:r>
      <w:r>
        <w:rPr>
          <w:szCs w:val="24"/>
        </w:rPr>
        <w:noBreakHyphen/>
      </w:r>
      <w:r w:rsidRPr="00F91B73">
        <w:rPr>
          <w:szCs w:val="24"/>
        </w:rPr>
        <w:t>Indigenous or did not respond.</w:t>
      </w:r>
    </w:p>
    <w:p w:rsidR="009A7F87" w:rsidRDefault="009A7F87" w:rsidP="009A7F87">
      <w:pPr>
        <w:pStyle w:val="BodyText"/>
        <w:rPr>
          <w:szCs w:val="24"/>
        </w:rPr>
      </w:pPr>
      <w:r w:rsidRPr="00F91B73">
        <w:rPr>
          <w:szCs w:val="24"/>
        </w:rPr>
        <w:t>In these collections it is assumed that all people not explicitly identified as Aboriginal and Torres Strait Islander are non</w:t>
      </w:r>
      <w:r w:rsidRPr="00F91B73">
        <w:rPr>
          <w:szCs w:val="24"/>
        </w:rPr>
        <w:noBreakHyphen/>
        <w:t>Indigenous.</w:t>
      </w:r>
    </w:p>
    <w:p w:rsidR="009A7F87" w:rsidRDefault="009A7F87" w:rsidP="009A7F87">
      <w:pPr>
        <w:pStyle w:val="RecBNoTitle"/>
        <w:rPr>
          <w:szCs w:val="24"/>
        </w:rPr>
      </w:pPr>
      <w:r w:rsidRPr="00F91B73">
        <w:rPr>
          <w:szCs w:val="24"/>
        </w:rPr>
        <w:t>Where the status of non</w:t>
      </w:r>
      <w:r w:rsidRPr="00F91B73">
        <w:rPr>
          <w:szCs w:val="24"/>
        </w:rPr>
        <w:noBreakHyphen/>
        <w:t>Indigenous Australians is not explicitly collected, the Indigenous Expenditure Report assumes that 100 per cent of those people not identified as Aboriginal and Torres Strait Islander are non</w:t>
      </w:r>
      <w:r w:rsidRPr="00F91B73">
        <w:rPr>
          <w:szCs w:val="24"/>
        </w:rPr>
        <w:noBreakHyphen/>
        <w:t>Indigenous.</w:t>
      </w:r>
    </w:p>
    <w:p w:rsidR="009A7F87" w:rsidRDefault="009A7F87" w:rsidP="009A7F87">
      <w:pPr>
        <w:pStyle w:val="Heading4"/>
        <w:rPr>
          <w:b/>
        </w:rPr>
      </w:pPr>
      <w:r>
        <w:rPr>
          <w:b/>
        </w:rPr>
        <w:t>AIHW health expenditure data</w:t>
      </w:r>
    </w:p>
    <w:p w:rsidR="009A7F87" w:rsidRPr="00942179" w:rsidRDefault="009A7F87" w:rsidP="009A7F87">
      <w:pPr>
        <w:pStyle w:val="BodyText"/>
        <w:rPr>
          <w:szCs w:val="24"/>
        </w:rPr>
      </w:pPr>
      <w:r w:rsidRPr="00942179">
        <w:rPr>
          <w:szCs w:val="24"/>
        </w:rPr>
        <w:t>The Indigenous under-identification factors used for the calculation of health expenditure estimates based on data from the AIHW are unique to the AIHW methodology, and differ from the treatment in other categories of the Indigenous Expenditure Report.</w:t>
      </w:r>
    </w:p>
    <w:p w:rsidR="009A7F87" w:rsidRDefault="009A7F87" w:rsidP="009A7F87">
      <w:pPr>
        <w:pStyle w:val="BodyText"/>
        <w:rPr>
          <w:szCs w:val="24"/>
        </w:rPr>
      </w:pPr>
      <w:r w:rsidRPr="00942179">
        <w:rPr>
          <w:szCs w:val="24"/>
        </w:rPr>
        <w:t xml:space="preserve">Under identification factors have been applied to the Medicare VII data to adjust expenditure for medical services (including general practitioners, specialists, pathology and imaging) based on the percentages of VII coverage — disaggregated by sex, state, territory, and age group. Additional information addressing this </w:t>
      </w:r>
      <w:r>
        <w:rPr>
          <w:szCs w:val="24"/>
        </w:rPr>
        <w:t xml:space="preserve">and other aspects of the AIHW method </w:t>
      </w:r>
      <w:r w:rsidRPr="00942179">
        <w:rPr>
          <w:szCs w:val="24"/>
        </w:rPr>
        <w:t xml:space="preserve">is included in </w:t>
      </w:r>
      <w:r>
        <w:rPr>
          <w:szCs w:val="24"/>
        </w:rPr>
        <w:t>s</w:t>
      </w:r>
      <w:r w:rsidRPr="00942179">
        <w:rPr>
          <w:szCs w:val="24"/>
        </w:rPr>
        <w:t>ection 5.1</w:t>
      </w:r>
      <w:r>
        <w:rPr>
          <w:szCs w:val="24"/>
        </w:rPr>
        <w:t xml:space="preserve"> of this manual, and in the specific details in Appendix A for service use measure data sourced from the AIHW.</w:t>
      </w:r>
    </w:p>
    <w:p w:rsidR="009A7F87" w:rsidRDefault="009A7F87" w:rsidP="009A7F87">
      <w:pPr>
        <w:pStyle w:val="Heading4"/>
        <w:rPr>
          <w:b/>
        </w:rPr>
      </w:pPr>
      <w:r>
        <w:rPr>
          <w:b/>
        </w:rPr>
        <w:t>Presentation of Indigenous under-identification sources and methods</w:t>
      </w:r>
    </w:p>
    <w:p w:rsidR="009A7F87" w:rsidRPr="00F91B73" w:rsidRDefault="009A7F87" w:rsidP="009A7F87">
      <w:pPr>
        <w:pStyle w:val="RecB"/>
        <w:rPr>
          <w:szCs w:val="24"/>
        </w:rPr>
      </w:pPr>
      <w:r w:rsidRPr="00F91B73">
        <w:rPr>
          <w:szCs w:val="24"/>
        </w:rPr>
        <w:t>Appendix</w:t>
      </w:r>
      <w:r>
        <w:rPr>
          <w:szCs w:val="24"/>
        </w:rPr>
        <w:t> </w:t>
      </w:r>
      <w:r w:rsidRPr="00F91B73">
        <w:rPr>
          <w:szCs w:val="24"/>
        </w:rPr>
        <w:t xml:space="preserve">B provides a summary of the Indigenous Expenditure Report approach to measuring </w:t>
      </w:r>
      <w:r>
        <w:rPr>
          <w:szCs w:val="24"/>
        </w:rPr>
        <w:t>Indigenous</w:t>
      </w:r>
      <w:r w:rsidRPr="00F91B73">
        <w:rPr>
          <w:szCs w:val="24"/>
        </w:rPr>
        <w:t xml:space="preserve"> under</w:t>
      </w:r>
      <w:r w:rsidRPr="00F91B73">
        <w:rPr>
          <w:szCs w:val="24"/>
        </w:rPr>
        <w:noBreakHyphen/>
        <w:t>identification for each service use measure selected for each expenditure category.</w:t>
      </w:r>
    </w:p>
    <w:p w:rsidR="009A7F87" w:rsidRPr="00EE46C0" w:rsidRDefault="009A7F87" w:rsidP="009A7F87">
      <w:pPr>
        <w:pStyle w:val="BodyText"/>
      </w:pPr>
    </w:p>
    <w:p w:rsidR="009A7F87" w:rsidRDefault="009A7F87" w:rsidP="009A7F87">
      <w:pPr>
        <w:sectPr w:rsidR="009A7F87" w:rsidSect="009A7F87">
          <w:headerReference w:type="even" r:id="rId43"/>
          <w:headerReference w:type="default" r:id="rId44"/>
          <w:footerReference w:type="even" r:id="rId45"/>
          <w:footerReference w:type="default" r:id="rId46"/>
          <w:footnotePr>
            <w:numRestart w:val="eachSect"/>
          </w:footnotePr>
          <w:type w:val="oddPage"/>
          <w:pgSz w:w="11907" w:h="16840" w:code="9"/>
          <w:pgMar w:top="1985" w:right="1304" w:bottom="1247" w:left="1814" w:header="1701" w:footer="397" w:gutter="0"/>
          <w:pgNumType w:chapSep="period"/>
          <w:cols w:space="720"/>
          <w:docGrid w:linePitch="326"/>
        </w:sectPr>
      </w:pPr>
    </w:p>
    <w:p w:rsidR="009A7F87" w:rsidRDefault="009A7F87" w:rsidP="009A7F87">
      <w:pPr>
        <w:pStyle w:val="Heading1"/>
        <w:spacing w:before="0"/>
      </w:pPr>
      <w:r>
        <w:lastRenderedPageBreak/>
        <w:t>5</w:t>
      </w:r>
      <w:r>
        <w:tab/>
        <w:t>Adjusting for cost differentials</w:t>
      </w:r>
    </w:p>
    <w:p w:rsidR="009A7F87" w:rsidRPr="00F91B73" w:rsidRDefault="009A7F87" w:rsidP="009A7F87">
      <w:pPr>
        <w:pStyle w:val="BodyText"/>
        <w:rPr>
          <w:szCs w:val="24"/>
        </w:rPr>
      </w:pPr>
      <w:r w:rsidRPr="00F91B73">
        <w:rPr>
          <w:szCs w:val="24"/>
        </w:rPr>
        <w:t xml:space="preserve">An overview of the Steering Committee’s approach to prorating mainstream expenditure between </w:t>
      </w:r>
      <w:r>
        <w:rPr>
          <w:szCs w:val="24"/>
        </w:rPr>
        <w:t>services to Aboriginal and Torres Strait Islander</w:t>
      </w:r>
      <w:r w:rsidRPr="00F91B73">
        <w:rPr>
          <w:szCs w:val="24"/>
        </w:rPr>
        <w:t xml:space="preserve"> and non</w:t>
      </w:r>
      <w:r w:rsidRPr="00F91B73">
        <w:rPr>
          <w:szCs w:val="24"/>
        </w:rPr>
        <w:noBreakHyphen/>
        <w:t xml:space="preserve">Indigenous </w:t>
      </w:r>
      <w:r>
        <w:rPr>
          <w:szCs w:val="24"/>
        </w:rPr>
        <w:t>Australians</w:t>
      </w:r>
      <w:r w:rsidRPr="00F91B73">
        <w:rPr>
          <w:szCs w:val="24"/>
        </w:rPr>
        <w:t xml:space="preserve"> is provided in chapter 2.</w:t>
      </w:r>
      <w:r w:rsidRPr="00F91B73">
        <w:rPr>
          <w:rStyle w:val="FootnoteReference"/>
          <w:szCs w:val="24"/>
        </w:rPr>
        <w:footnoteReference w:id="9"/>
      </w:r>
    </w:p>
    <w:p w:rsidR="009A7F87" w:rsidRDefault="009A7F87" w:rsidP="009A7F87">
      <w:pPr>
        <w:pStyle w:val="BodyText"/>
        <w:rPr>
          <w:szCs w:val="24"/>
        </w:rPr>
      </w:pPr>
      <w:r w:rsidRPr="00F91B73">
        <w:rPr>
          <w:szCs w:val="24"/>
        </w:rPr>
        <w:t>Service use measures are used to identify the Aboriginal and Torres Strait Islander share of expenditure:</w:t>
      </w:r>
    </w:p>
    <w:tbl>
      <w:tblPr>
        <w:tblW w:w="8460" w:type="dxa"/>
        <w:tblInd w:w="360" w:type="dxa"/>
        <w:tblLayout w:type="fixed"/>
        <w:tblCellMar>
          <w:left w:w="0" w:type="dxa"/>
          <w:right w:w="0" w:type="dxa"/>
        </w:tblCellMar>
        <w:tblLook w:val="01E0" w:firstRow="1" w:lastRow="1" w:firstColumn="1" w:lastColumn="1" w:noHBand="0" w:noVBand="0"/>
      </w:tblPr>
      <w:tblGrid>
        <w:gridCol w:w="2475"/>
        <w:gridCol w:w="455"/>
        <w:gridCol w:w="2097"/>
        <w:gridCol w:w="283"/>
        <w:gridCol w:w="1843"/>
        <w:gridCol w:w="1307"/>
      </w:tblGrid>
      <w:tr w:rsidR="009A7F87" w:rsidRPr="00770229" w:rsidTr="009A7F87">
        <w:tc>
          <w:tcPr>
            <w:tcW w:w="2475" w:type="dxa"/>
            <w:shd w:val="clear" w:color="auto" w:fill="auto"/>
            <w:vAlign w:val="center"/>
          </w:tcPr>
          <w:p w:rsidR="009A7F87" w:rsidRPr="00770229" w:rsidRDefault="009A7F87" w:rsidP="009A7F87">
            <w:pPr>
              <w:pStyle w:val="TableBodyText"/>
              <w:spacing w:before="120"/>
              <w:jc w:val="center"/>
              <w:rPr>
                <w:i/>
              </w:rPr>
            </w:pPr>
            <w:r w:rsidRPr="00770229">
              <w:rPr>
                <w:i/>
              </w:rPr>
              <w:t xml:space="preserve">Aboriginal and Torres Strait Islander share of mainstream </w:t>
            </w:r>
            <w:r w:rsidRPr="00770229">
              <w:rPr>
                <w:i/>
              </w:rPr>
              <w:br/>
              <w:t>expenditure</w:t>
            </w:r>
          </w:p>
        </w:tc>
        <w:tc>
          <w:tcPr>
            <w:tcW w:w="455" w:type="dxa"/>
            <w:shd w:val="clear" w:color="auto" w:fill="auto"/>
            <w:vAlign w:val="center"/>
          </w:tcPr>
          <w:p w:rsidR="009A7F87" w:rsidRPr="00770229" w:rsidRDefault="009A7F87" w:rsidP="009A7F87">
            <w:pPr>
              <w:pStyle w:val="TableBodyText"/>
              <w:spacing w:before="120"/>
              <w:jc w:val="center"/>
              <w:rPr>
                <w:sz w:val="48"/>
                <w:szCs w:val="48"/>
              </w:rPr>
            </w:pPr>
            <w:r w:rsidRPr="00770229">
              <w:rPr>
                <w:sz w:val="48"/>
                <w:szCs w:val="48"/>
              </w:rPr>
              <w:t>=</w:t>
            </w:r>
          </w:p>
        </w:tc>
        <w:tc>
          <w:tcPr>
            <w:tcW w:w="2097" w:type="dxa"/>
            <w:shd w:val="clear" w:color="auto" w:fill="auto"/>
            <w:vAlign w:val="center"/>
          </w:tcPr>
          <w:p w:rsidR="009A7F87" w:rsidRPr="00770229" w:rsidRDefault="009A7F87" w:rsidP="009A7F87">
            <w:pPr>
              <w:pStyle w:val="TableBodyText"/>
              <w:spacing w:before="120"/>
              <w:jc w:val="center"/>
            </w:pPr>
            <w:r w:rsidRPr="00770229">
              <w:rPr>
                <w:i/>
              </w:rPr>
              <w:t>Total mainstream expenditure</w:t>
            </w:r>
          </w:p>
        </w:tc>
        <w:tc>
          <w:tcPr>
            <w:tcW w:w="283" w:type="dxa"/>
            <w:shd w:val="clear" w:color="auto" w:fill="auto"/>
            <w:vAlign w:val="center"/>
          </w:tcPr>
          <w:p w:rsidR="009A7F87" w:rsidRPr="00770229" w:rsidRDefault="009A7F87" w:rsidP="009A7F87">
            <w:pPr>
              <w:pStyle w:val="TableBodyText"/>
              <w:spacing w:before="120"/>
              <w:jc w:val="center"/>
              <w:rPr>
                <w:sz w:val="48"/>
                <w:szCs w:val="48"/>
              </w:rPr>
            </w:pPr>
            <w:r w:rsidRPr="00770229">
              <w:rPr>
                <w:sz w:val="48"/>
                <w:szCs w:val="48"/>
              </w:rPr>
              <w:t>×</w:t>
            </w:r>
          </w:p>
        </w:tc>
        <w:tc>
          <w:tcPr>
            <w:tcW w:w="1843" w:type="dxa"/>
            <w:shd w:val="clear" w:color="auto" w:fill="auto"/>
            <w:vAlign w:val="center"/>
          </w:tcPr>
          <w:p w:rsidR="009A7F87" w:rsidRPr="00770229" w:rsidRDefault="009A7F87" w:rsidP="009A7F87">
            <w:pPr>
              <w:pStyle w:val="TableBodyText"/>
              <w:spacing w:before="120"/>
              <w:jc w:val="center"/>
            </w:pPr>
            <w:r w:rsidRPr="00770229">
              <w:rPr>
                <w:i/>
              </w:rPr>
              <w:t xml:space="preserve">Service </w:t>
            </w:r>
            <w:r w:rsidRPr="00770229">
              <w:rPr>
                <w:i/>
              </w:rPr>
              <w:br/>
              <w:t xml:space="preserve">use </w:t>
            </w:r>
            <w:r w:rsidRPr="00770229">
              <w:rPr>
                <w:i/>
              </w:rPr>
              <w:br/>
              <w:t>measure</w:t>
            </w:r>
          </w:p>
        </w:tc>
        <w:tc>
          <w:tcPr>
            <w:tcW w:w="1307" w:type="dxa"/>
            <w:shd w:val="clear" w:color="auto" w:fill="auto"/>
            <w:vAlign w:val="center"/>
          </w:tcPr>
          <w:p w:rsidR="009A7F87" w:rsidRPr="00770229" w:rsidRDefault="009A7F87" w:rsidP="009A7F87">
            <w:pPr>
              <w:pStyle w:val="TableBodyText"/>
              <w:spacing w:before="120"/>
              <w:ind w:right="0"/>
            </w:pPr>
            <w:r w:rsidRPr="00770229">
              <w:t>[1]</w:t>
            </w:r>
          </w:p>
        </w:tc>
      </w:tr>
    </w:tbl>
    <w:p w:rsidR="009A7F87" w:rsidRDefault="009A7F87" w:rsidP="009A7F87">
      <w:pPr>
        <w:pStyle w:val="BodyText"/>
        <w:rPr>
          <w:szCs w:val="24"/>
        </w:rPr>
      </w:pPr>
      <w:r w:rsidRPr="00F91B73">
        <w:rPr>
          <w:szCs w:val="24"/>
        </w:rPr>
        <w:t>The approach in equation [1] is extended to recognise that the service use measure might need to be adjusted for:</w:t>
      </w:r>
    </w:p>
    <w:p w:rsidR="009A7F87" w:rsidRPr="00120ED8" w:rsidRDefault="009A7F87" w:rsidP="009A7F87">
      <w:pPr>
        <w:pStyle w:val="ListBullet"/>
      </w:pPr>
      <w:r>
        <w:rPr>
          <w:i/>
        </w:rPr>
        <w:t>Indigenous under-identification</w:t>
      </w:r>
      <w:r>
        <w:t xml:space="preserve"> — </w:t>
      </w:r>
      <w:r w:rsidRPr="00D72825">
        <w:rPr>
          <w:szCs w:val="24"/>
        </w:rPr>
        <w:t>the degree to which the Aboriginal and Torres Strait Islander status of service users is not correctly identified or recorded in data collections</w:t>
      </w:r>
    </w:p>
    <w:p w:rsidR="009A7F87" w:rsidRPr="00120ED8" w:rsidRDefault="009A7F87" w:rsidP="009A7F87">
      <w:pPr>
        <w:pStyle w:val="ListBullet"/>
      </w:pPr>
      <w:r>
        <w:rPr>
          <w:i/>
        </w:rPr>
        <w:t>Indigenous cost differential</w:t>
      </w:r>
      <w:r>
        <w:t xml:space="preserve"> — </w:t>
      </w:r>
      <w:r w:rsidRPr="00F91B73">
        <w:rPr>
          <w:szCs w:val="24"/>
        </w:rPr>
        <w:t>to account for the fact that the average cost of providing a government service to Aboriginal and Torres Strait Islander Australians may be more/less than the cost of providing the same service to non</w:t>
      </w:r>
      <w:r w:rsidRPr="00F91B73">
        <w:rPr>
          <w:szCs w:val="24"/>
        </w:rPr>
        <w:noBreakHyphen/>
        <w:t>Indigenous Australians.</w:t>
      </w:r>
    </w:p>
    <w:p w:rsidR="009A7F87" w:rsidRPr="00F91B73" w:rsidRDefault="009A7F87" w:rsidP="009A7F87">
      <w:pPr>
        <w:pStyle w:val="BodyText"/>
      </w:pPr>
      <w:r w:rsidRPr="00F91B73">
        <w:t>This chapter focuses on the concepts, sources and methods used to adjust measures of service use to reflect the difference in the cost of providing services to Aboriginal and Torres Strait Islander and non</w:t>
      </w:r>
      <w:r w:rsidRPr="00F91B73">
        <w:noBreakHyphen/>
        <w:t>Indigenous Australians for each expenditure category.</w:t>
      </w:r>
    </w:p>
    <w:p w:rsidR="009A7F87" w:rsidRDefault="009A7F87" w:rsidP="009A7F87">
      <w:pPr>
        <w:pStyle w:val="BodyText"/>
      </w:pPr>
      <w:r w:rsidRPr="00F91B73">
        <w:t>An overview of the concepts is provided in section</w:t>
      </w:r>
      <w:r>
        <w:t> </w:t>
      </w:r>
      <w:r w:rsidRPr="00F91B73">
        <w:t>5.1. Section</w:t>
      </w:r>
      <w:r>
        <w:t> </w:t>
      </w:r>
      <w:r w:rsidRPr="00F91B73">
        <w:t>5.2 discusses the data sources and estimation methods for the Indigenous Expenditure Report. Section</w:t>
      </w:r>
      <w:r>
        <w:t> </w:t>
      </w:r>
      <w:r w:rsidRPr="00F91B73">
        <w:t>5.3 contains frequently asked questions on appropriate use of cost differentials.</w:t>
      </w:r>
    </w:p>
    <w:p w:rsidR="009A7F87" w:rsidRDefault="009A7F87" w:rsidP="009A7F87">
      <w:pPr>
        <w:pStyle w:val="Heading2"/>
      </w:pPr>
      <w:r>
        <w:t>5.</w:t>
      </w:r>
      <w:r>
        <w:rPr>
          <w:noProof/>
        </w:rPr>
        <w:t>1</w:t>
      </w:r>
      <w:r>
        <w:tab/>
        <w:t>Cost differential concepts</w:t>
      </w:r>
    </w:p>
    <w:p w:rsidR="009A7F87" w:rsidRPr="00F91B73" w:rsidRDefault="009A7F87" w:rsidP="009A7F87">
      <w:pPr>
        <w:pStyle w:val="RecB"/>
        <w:rPr>
          <w:szCs w:val="24"/>
        </w:rPr>
      </w:pPr>
      <w:r w:rsidRPr="00F91B73">
        <w:rPr>
          <w:szCs w:val="24"/>
        </w:rPr>
        <w:t>An Indigenous cost differential factor is defined as ‘a measure of the relative cost of providing mainstream services to an Aboriginal and Torres Strait Islander person compared to the cost of providing the same service to a non</w:t>
      </w:r>
      <w:r>
        <w:rPr>
          <w:szCs w:val="24"/>
        </w:rPr>
        <w:noBreakHyphen/>
      </w:r>
      <w:r w:rsidRPr="00F91B73">
        <w:rPr>
          <w:szCs w:val="24"/>
        </w:rPr>
        <w:t>Indigenous person’.</w:t>
      </w:r>
    </w:p>
    <w:p w:rsidR="009A7F87" w:rsidRPr="00F91B73" w:rsidRDefault="009A7F87" w:rsidP="009A7F87">
      <w:pPr>
        <w:pStyle w:val="BodyText"/>
        <w:rPr>
          <w:szCs w:val="24"/>
        </w:rPr>
      </w:pPr>
      <w:r w:rsidRPr="00F91B73">
        <w:rPr>
          <w:szCs w:val="24"/>
        </w:rPr>
        <w:t>The provision of services to Aboriginal and Torres Strait Islander Australians might be more costly on average, than providing the same services to non</w:t>
      </w:r>
      <w:r w:rsidRPr="00F91B73">
        <w:rPr>
          <w:szCs w:val="24"/>
        </w:rPr>
        <w:noBreakHyphen/>
        <w:t>Indigenous Australians, due to:</w:t>
      </w:r>
    </w:p>
    <w:p w:rsidR="009A7F87" w:rsidRDefault="009A7F87" w:rsidP="009A7F87">
      <w:pPr>
        <w:pStyle w:val="ListBullet"/>
      </w:pPr>
      <w:r>
        <w:rPr>
          <w:i/>
        </w:rPr>
        <w:lastRenderedPageBreak/>
        <w:t>usage patterns</w:t>
      </w:r>
      <w:r>
        <w:t xml:space="preserve"> — </w:t>
      </w:r>
      <w:r w:rsidRPr="00F91B73">
        <w:rPr>
          <w:szCs w:val="24"/>
        </w:rPr>
        <w:t>Aboriginal and Torres Strait Islander Australians often access a different range of services from government agencies than non</w:t>
      </w:r>
      <w:r>
        <w:rPr>
          <w:szCs w:val="24"/>
        </w:rPr>
        <w:noBreakHyphen/>
      </w:r>
      <w:r w:rsidRPr="00F91B73">
        <w:rPr>
          <w:szCs w:val="24"/>
        </w:rPr>
        <w:t>Indigenous Australians, which may lead to greater/lesser case complexity and different costs to the service provider</w:t>
      </w:r>
    </w:p>
    <w:p w:rsidR="009A7F87" w:rsidRDefault="009A7F87" w:rsidP="009A7F87">
      <w:pPr>
        <w:pStyle w:val="ListBullet"/>
      </w:pPr>
      <w:r>
        <w:rPr>
          <w:i/>
        </w:rPr>
        <w:t>culturally appropriate service delivery</w:t>
      </w:r>
      <w:r>
        <w:t xml:space="preserve"> — </w:t>
      </w:r>
      <w:r w:rsidRPr="00F91B73">
        <w:rPr>
          <w:szCs w:val="24"/>
        </w:rPr>
        <w:t>government service providers may tailor service delivery for people from diverse backgrounds, including Aboriginal and Torres Strait Islander Australians. For example, incorporating Aboriginal and Torres Strait Islander cultural perspectives in designing and delivering programs, or providing specific materials or services in a culturally appropriate manner (such as to cater for Aboriginal and Torres Strait Islander languages)</w:t>
      </w:r>
    </w:p>
    <w:p w:rsidR="009A7F87" w:rsidRDefault="009A7F87" w:rsidP="009A7F87">
      <w:pPr>
        <w:pStyle w:val="ListBullet"/>
      </w:pPr>
      <w:r>
        <w:rPr>
          <w:i/>
        </w:rPr>
        <w:t>location</w:t>
      </w:r>
      <w:r>
        <w:t xml:space="preserve"> — </w:t>
      </w:r>
      <w:r w:rsidRPr="00F91B73">
        <w:rPr>
          <w:szCs w:val="24"/>
        </w:rPr>
        <w:t>a higher proportion of Aboriginal and Torres Strait Islander Australians are located in remote areas compared with non</w:t>
      </w:r>
      <w:r>
        <w:rPr>
          <w:szCs w:val="24"/>
        </w:rPr>
        <w:noBreakHyphen/>
      </w:r>
      <w:r w:rsidRPr="00F91B73">
        <w:rPr>
          <w:szCs w:val="24"/>
        </w:rPr>
        <w:t>Indigenous Australians, where the cost of providing government services may be greater</w:t>
      </w:r>
      <w:r>
        <w:rPr>
          <w:szCs w:val="24"/>
        </w:rPr>
        <w:t xml:space="preserve"> </w:t>
      </w:r>
    </w:p>
    <w:p w:rsidR="009A7F87" w:rsidRPr="00120ED8" w:rsidRDefault="009A7F87" w:rsidP="009A7F87">
      <w:pPr>
        <w:pStyle w:val="ListBullet"/>
      </w:pPr>
      <w:r>
        <w:rPr>
          <w:i/>
        </w:rPr>
        <w:t>interactions between the above</w:t>
      </w:r>
      <w:r>
        <w:t xml:space="preserve"> — </w:t>
      </w:r>
      <w:r w:rsidRPr="00F91B73">
        <w:rPr>
          <w:szCs w:val="24"/>
        </w:rPr>
        <w:t>in remote areas there are generally fewer, less accessible, services compared to urban areas, and further distances to travel to access those services. This also affects the required case mix and need for culturally appropriate services.</w:t>
      </w:r>
    </w:p>
    <w:p w:rsidR="009A7F87" w:rsidRPr="00F91B73" w:rsidRDefault="009A7F87" w:rsidP="009A7F87">
      <w:pPr>
        <w:pStyle w:val="BodyText"/>
      </w:pPr>
      <w:r w:rsidRPr="00F91B73">
        <w:t xml:space="preserve">Cost differentials should seek to reflect each of these components based on the actual population distribution within each jurisdiction. </w:t>
      </w:r>
    </w:p>
    <w:p w:rsidR="009A7F87" w:rsidRPr="00F91B73" w:rsidRDefault="009A7F87" w:rsidP="009A7F87">
      <w:pPr>
        <w:pStyle w:val="BodyText"/>
      </w:pPr>
      <w:r w:rsidRPr="00F91B73">
        <w:t>Cost differentials should not reflect differences in service use (which may also relate to location and service need) as this is explicitly captured by the service use measure (chapter 3).</w:t>
      </w:r>
    </w:p>
    <w:p w:rsidR="009A7F87" w:rsidRDefault="009A7F87" w:rsidP="009A7F87">
      <w:pPr>
        <w:pStyle w:val="Heading4"/>
        <w:rPr>
          <w:b/>
        </w:rPr>
      </w:pPr>
      <w:r>
        <w:rPr>
          <w:b/>
        </w:rPr>
        <w:t>Incorporating location</w:t>
      </w:r>
    </w:p>
    <w:p w:rsidR="009A7F87" w:rsidRPr="00F91B73" w:rsidRDefault="009A7F87" w:rsidP="009A7F87">
      <w:pPr>
        <w:pStyle w:val="BodyText"/>
        <w:rPr>
          <w:szCs w:val="24"/>
        </w:rPr>
      </w:pPr>
      <w:r w:rsidRPr="00F91B73">
        <w:rPr>
          <w:szCs w:val="24"/>
        </w:rPr>
        <w:t xml:space="preserve">One of the main issues with calculating cost differentials is separating which service costs are related to general high cost factors (such as location) and which service costs are associated with the Indigenous status of service users. For example, the more remote an area is, the higher the cost of service delivery is likely to be, regardless of the Indigenous status of service users. </w:t>
      </w:r>
    </w:p>
    <w:p w:rsidR="009A7F87" w:rsidRPr="00F91B73" w:rsidRDefault="009A7F87" w:rsidP="009A7F87">
      <w:pPr>
        <w:pStyle w:val="BodyText"/>
        <w:rPr>
          <w:szCs w:val="24"/>
        </w:rPr>
      </w:pPr>
      <w:r w:rsidRPr="00F91B73">
        <w:rPr>
          <w:szCs w:val="24"/>
        </w:rPr>
        <w:t>The extent to which location should be included in the estimation of cost differentials is a complex issue. On the one hand, the cost of providing services in rural and remote areas can generally be higher regardless of the Indigenous status of the service user. This mainly reflects factors such as lower economies of scale and higher input costs.</w:t>
      </w:r>
    </w:p>
    <w:p w:rsidR="009A7F87" w:rsidRDefault="009A7F87" w:rsidP="009A7F87">
      <w:pPr>
        <w:pStyle w:val="BodyText"/>
        <w:rPr>
          <w:szCs w:val="24"/>
        </w:rPr>
      </w:pPr>
      <w:r w:rsidRPr="00F91B73">
        <w:rPr>
          <w:szCs w:val="24"/>
        </w:rPr>
        <w:t>On the other hand, a larger proportion of Aboriginal and Torres Strait Islander Australians than non</w:t>
      </w:r>
      <w:r w:rsidRPr="00F91B73">
        <w:rPr>
          <w:szCs w:val="24"/>
        </w:rPr>
        <w:noBreakHyphen/>
        <w:t>Indigenous Australians live in remote communities. The service needs of Aboriginal and Torres Strait Islander Australians living in remote locations can also be different from the service needs of Aboriginal and Torres Strait Islander Australians in urban settings. This influences the jurisdiction</w:t>
      </w:r>
      <w:r w:rsidRPr="00F91B73">
        <w:rPr>
          <w:szCs w:val="24"/>
        </w:rPr>
        <w:noBreakHyphen/>
        <w:t xml:space="preserve">wide average cost of providing services to </w:t>
      </w:r>
      <w:r w:rsidRPr="00F91B73">
        <w:rPr>
          <w:szCs w:val="24"/>
        </w:rPr>
        <w:lastRenderedPageBreak/>
        <w:t>Aboriginal and Torres Strait Islander Australians compared with non</w:t>
      </w:r>
      <w:r w:rsidRPr="00F91B73">
        <w:rPr>
          <w:szCs w:val="24"/>
        </w:rPr>
        <w:noBreakHyphen/>
        <w:t>Indigenous Australians.</w:t>
      </w:r>
    </w:p>
    <w:p w:rsidR="009A7F87" w:rsidRDefault="009A7F87" w:rsidP="009A7F87">
      <w:pPr>
        <w:pStyle w:val="RecBNoTitle"/>
        <w:rPr>
          <w:szCs w:val="24"/>
        </w:rPr>
      </w:pPr>
      <w:r w:rsidRPr="00F91B73">
        <w:rPr>
          <w:szCs w:val="24"/>
        </w:rPr>
        <w:t>Location should be considered in cost differentials in situations where Aboriginal and Torres Strait Islander Australians are over</w:t>
      </w:r>
      <w:r w:rsidRPr="00F91B73">
        <w:rPr>
          <w:szCs w:val="24"/>
        </w:rPr>
        <w:noBreakHyphen/>
        <w:t>represented in the client populations in remote locations and where service requirements interact with location.</w:t>
      </w:r>
    </w:p>
    <w:p w:rsidR="009A7F87" w:rsidRDefault="009A7F87" w:rsidP="009A7F87">
      <w:pPr>
        <w:pStyle w:val="Heading4"/>
        <w:rPr>
          <w:b/>
        </w:rPr>
      </w:pPr>
      <w:r>
        <w:rPr>
          <w:b/>
        </w:rPr>
        <w:t>AIHW health expenditure method and parameters</w:t>
      </w:r>
    </w:p>
    <w:p w:rsidR="009A7F87" w:rsidRPr="00CF318F" w:rsidRDefault="009A7F87" w:rsidP="009A7F87">
      <w:pPr>
        <w:spacing w:before="240" w:line="320" w:lineRule="exact"/>
        <w:jc w:val="both"/>
      </w:pPr>
      <w:r w:rsidRPr="00CF318F">
        <w:t xml:space="preserve">The service use factors, </w:t>
      </w:r>
      <w:r>
        <w:t>Indigenous</w:t>
      </w:r>
      <w:r w:rsidRPr="00CF318F">
        <w:t xml:space="preserve"> under</w:t>
      </w:r>
      <w:r w:rsidRPr="00CF318F">
        <w:noBreakHyphen/>
        <w:t>identification factors and cost differential factors used for the calculation of health expenditure estimates based on data from the Australian Institute of Health and Welfare (AIHW) are unique to the AIHW methodology, and differ from the treatment of service use data in all other expenditure categories of the Indigenous Expenditure Report. In particular, the AIHW service use measures incorporate some aspects of service delivery cost differential (such as location and case</w:t>
      </w:r>
      <w:r w:rsidRPr="00CF318F">
        <w:noBreakHyphen/>
        <w:t>mix), which could not be separately identified for the Indigenous Expenditure Report.</w:t>
      </w:r>
    </w:p>
    <w:p w:rsidR="009A7F87" w:rsidRPr="00CF318F" w:rsidRDefault="009A7F87" w:rsidP="009A7F87">
      <w:pPr>
        <w:spacing w:before="240" w:line="320" w:lineRule="exact"/>
        <w:jc w:val="both"/>
      </w:pPr>
      <w:r w:rsidRPr="00CF318F">
        <w:t>These parameters were estimated by the AIHW using information collected for Expenditure on Health for Aboriginal and Torres Strait Islander people, 2008</w:t>
      </w:r>
      <w:r w:rsidRPr="00CF318F">
        <w:noBreakHyphen/>
        <w:t>09 (AIHW Cat. no. HWE 53), 2010</w:t>
      </w:r>
      <w:r w:rsidRPr="00CF318F">
        <w:noBreakHyphen/>
        <w:t>11 (AIHW Cat. no. HWE 57) and 2013</w:t>
      </w:r>
      <w:r w:rsidRPr="00CF318F">
        <w:noBreakHyphen/>
        <w:t>14 (unpublished).</w:t>
      </w:r>
    </w:p>
    <w:p w:rsidR="009A7F87" w:rsidRDefault="009A7F87" w:rsidP="009A7F87">
      <w:pPr>
        <w:pStyle w:val="BodyText"/>
        <w:rPr>
          <w:szCs w:val="24"/>
        </w:rPr>
      </w:pPr>
      <w:r w:rsidRPr="00CF318F">
        <w:rPr>
          <w:szCs w:val="24"/>
        </w:rPr>
        <w:t xml:space="preserve">The descriptions of health expenditure data provided by AIHW in Appendix A include additional information addressing the applicable service use factors, </w:t>
      </w:r>
      <w:r>
        <w:rPr>
          <w:szCs w:val="24"/>
        </w:rPr>
        <w:t>Indigenous</w:t>
      </w:r>
      <w:r w:rsidRPr="00CF318F">
        <w:rPr>
          <w:szCs w:val="24"/>
        </w:rPr>
        <w:t xml:space="preserve"> </w:t>
      </w:r>
      <w:r>
        <w:rPr>
          <w:szCs w:val="24"/>
        </w:rPr>
        <w:t>under</w:t>
      </w:r>
      <w:r>
        <w:rPr>
          <w:szCs w:val="24"/>
        </w:rPr>
        <w:noBreakHyphen/>
      </w:r>
      <w:r w:rsidRPr="00CF318F">
        <w:rPr>
          <w:szCs w:val="24"/>
        </w:rPr>
        <w:t>identification factors and cost differential factors for the 2017 Report.</w:t>
      </w:r>
    </w:p>
    <w:p w:rsidR="009A7F87" w:rsidRDefault="009A7F87" w:rsidP="009A7F87">
      <w:pPr>
        <w:pStyle w:val="Heading4"/>
        <w:rPr>
          <w:i/>
        </w:rPr>
      </w:pPr>
      <w:r>
        <w:rPr>
          <w:i/>
        </w:rPr>
        <w:t>Service use measures</w:t>
      </w:r>
    </w:p>
    <w:p w:rsidR="009A7F87" w:rsidRDefault="009A7F87" w:rsidP="009A7F87">
      <w:pPr>
        <w:pStyle w:val="BodyText"/>
        <w:rPr>
          <w:szCs w:val="24"/>
        </w:rPr>
      </w:pPr>
      <w:r w:rsidRPr="00CF318F">
        <w:rPr>
          <w:szCs w:val="24"/>
        </w:rPr>
        <w:t>The general method used by the AIHW to estimate service use by Aboriginal and Torres Strait Islander Australians for each of the health expenditure categories is:</w:t>
      </w:r>
    </w:p>
    <w:p w:rsidR="009A7F87" w:rsidRDefault="009A7F87" w:rsidP="009A7F87">
      <w:pPr>
        <w:pStyle w:val="ListBullet"/>
      </w:pPr>
      <w:r>
        <w:rPr>
          <w:i/>
        </w:rPr>
        <w:t>admitted patient services</w:t>
      </w:r>
      <w:r>
        <w:t xml:space="preserve"> — </w:t>
      </w:r>
      <w:r w:rsidRPr="00CF318F">
        <w:rPr>
          <w:iCs/>
          <w:szCs w:val="24"/>
        </w:rPr>
        <w:t xml:space="preserve">the Hospital Morbidity Cost Model is used to calculate estimates for admitted patient expenditure in each jurisdiction. The model makes adjustments to estimated </w:t>
      </w:r>
      <w:r w:rsidRPr="00CF318F">
        <w:rPr>
          <w:szCs w:val="24"/>
        </w:rPr>
        <w:t>expenditure</w:t>
      </w:r>
      <w:r w:rsidRPr="00CF318F">
        <w:rPr>
          <w:iCs/>
          <w:szCs w:val="24"/>
        </w:rPr>
        <w:t xml:space="preserve"> in each Diagnostic Related Group for length of stay, the specific costs of the hospital where services are provided and for Indigenous specific costs</w:t>
      </w:r>
    </w:p>
    <w:p w:rsidR="009A7F87" w:rsidRDefault="009A7F87" w:rsidP="009A7F87">
      <w:pPr>
        <w:pStyle w:val="ListBullet"/>
      </w:pPr>
      <w:r w:rsidRPr="00120ED8">
        <w:rPr>
          <w:i/>
        </w:rPr>
        <w:t>non-admitted patient services</w:t>
      </w:r>
      <w:r>
        <w:t xml:space="preserve"> —</w:t>
      </w:r>
      <w:r w:rsidRPr="00120ED8">
        <w:rPr>
          <w:iCs/>
          <w:szCs w:val="24"/>
        </w:rPr>
        <w:t xml:space="preserve"> </w:t>
      </w:r>
      <w:r w:rsidRPr="00CF318F">
        <w:rPr>
          <w:iCs/>
          <w:szCs w:val="24"/>
        </w:rPr>
        <w:t>the method for estimating Indigenous expenditure varies between jurisdictions:</w:t>
      </w:r>
    </w:p>
    <w:p w:rsidR="009A7F87" w:rsidRDefault="009A7F87" w:rsidP="009A7F87">
      <w:pPr>
        <w:pStyle w:val="ListBullet2"/>
      </w:pPr>
      <w:r>
        <w:t xml:space="preserve">NSW, Queensland, SA, Tasmania and ACT — </w:t>
      </w:r>
      <w:r w:rsidRPr="00CF318F">
        <w:rPr>
          <w:szCs w:val="24"/>
        </w:rPr>
        <w:t>the Indigenous share of admitted patient services (as obtained from the Hospital Morbidity Cost Model), plus a 10</w:t>
      </w:r>
      <w:r>
        <w:rPr>
          <w:szCs w:val="24"/>
        </w:rPr>
        <w:t> </w:t>
      </w:r>
      <w:r w:rsidRPr="00CF318F">
        <w:rPr>
          <w:szCs w:val="24"/>
        </w:rPr>
        <w:t>per</w:t>
      </w:r>
      <w:r>
        <w:rPr>
          <w:szCs w:val="24"/>
        </w:rPr>
        <w:t> </w:t>
      </w:r>
      <w:r w:rsidRPr="00CF318F">
        <w:rPr>
          <w:szCs w:val="24"/>
        </w:rPr>
        <w:t>cent adjustment factor, is used. The adjustment factor was calculated after examining the Indigenous non-admitted patient proportions (compared to the Indigenous admitted patient proportions) from available surveys in different states in different years</w:t>
      </w:r>
    </w:p>
    <w:p w:rsidR="009A7F87" w:rsidRDefault="009A7F87" w:rsidP="009A7F87">
      <w:pPr>
        <w:pStyle w:val="ListBullet2"/>
      </w:pPr>
      <w:r>
        <w:lastRenderedPageBreak/>
        <w:t xml:space="preserve">Victoria and WA — </w:t>
      </w:r>
      <w:r w:rsidRPr="00CF318F">
        <w:rPr>
          <w:szCs w:val="24"/>
        </w:rPr>
        <w:t>Indigenous emergency department presentations (as obtained from the jurisdictions) is used</w:t>
      </w:r>
    </w:p>
    <w:p w:rsidR="009A7F87" w:rsidRDefault="009A7F87" w:rsidP="009A7F87">
      <w:pPr>
        <w:pStyle w:val="ListBullet2"/>
      </w:pPr>
      <w:r>
        <w:rPr>
          <w:i/>
        </w:rPr>
        <w:t>NT</w:t>
      </w:r>
      <w:r>
        <w:t xml:space="preserve"> — </w:t>
      </w:r>
      <w:r w:rsidRPr="00CF318F">
        <w:rPr>
          <w:szCs w:val="24"/>
        </w:rPr>
        <w:t>Indigenous non-admitted patient services expenditure as estimated by the NT is used without adjustment.</w:t>
      </w:r>
    </w:p>
    <w:p w:rsidR="009A7F87" w:rsidRDefault="009A7F87" w:rsidP="009A7F87">
      <w:pPr>
        <w:pStyle w:val="ListBullet"/>
      </w:pPr>
      <w:r>
        <w:rPr>
          <w:i/>
        </w:rPr>
        <w:t xml:space="preserve">Medicare and the Pharmaceutical Benefits Scheme (PBS) </w:t>
      </w:r>
      <w:r>
        <w:t xml:space="preserve">— </w:t>
      </w:r>
      <w:r w:rsidRPr="00CF318F">
        <w:rPr>
          <w:iCs/>
          <w:szCs w:val="24"/>
        </w:rPr>
        <w:t>Medicare Voluntary Indigenous Identifier (VII) data are used for these Australian Government programs. Fees and benefits paid to Aboriginal and Torres Strait Islander patients registered with the VII are multiplied by scaled-up factors</w:t>
      </w:r>
    </w:p>
    <w:p w:rsidR="009A7F87" w:rsidRDefault="009A7F87" w:rsidP="009A7F87">
      <w:pPr>
        <w:pStyle w:val="ListBullet"/>
      </w:pPr>
      <w:r>
        <w:rPr>
          <w:i/>
        </w:rPr>
        <w:t>other health expenditure</w:t>
      </w:r>
      <w:r>
        <w:t xml:space="preserve"> — </w:t>
      </w:r>
      <w:r w:rsidRPr="00CF318F">
        <w:rPr>
          <w:iCs/>
          <w:szCs w:val="24"/>
        </w:rPr>
        <w:t>for all other expenditure categories jurisdictions have provided their own estimates of Indigenous expenditure in consultation with the AIHW. These estimates are generally based on the available administrative data for the health programs in question.</w:t>
      </w:r>
    </w:p>
    <w:p w:rsidR="009A7F87" w:rsidRDefault="009A7F87" w:rsidP="009A7F87">
      <w:pPr>
        <w:pStyle w:val="Heading4"/>
        <w:rPr>
          <w:i/>
        </w:rPr>
      </w:pPr>
      <w:r>
        <w:rPr>
          <w:i/>
        </w:rPr>
        <w:t>Indigenous under-identification factors</w:t>
      </w:r>
    </w:p>
    <w:p w:rsidR="009A7F87" w:rsidRPr="00CF318F" w:rsidRDefault="009A7F87" w:rsidP="009A7F87">
      <w:pPr>
        <w:spacing w:before="240" w:line="320" w:lineRule="exact"/>
        <w:jc w:val="both"/>
      </w:pPr>
      <w:r w:rsidRPr="00CF318F">
        <w:t xml:space="preserve">Under-identification factors have been applied to the Medicare VII data to adjust expenditure for medical services (including general practitioners, specialists, pathology and imaging) based on the percentages of VII coverage — disaggregated by sex, state, territory, and age group. </w:t>
      </w:r>
    </w:p>
    <w:p w:rsidR="009A7F87" w:rsidRDefault="009A7F87" w:rsidP="009A7F87">
      <w:pPr>
        <w:pStyle w:val="BodyText"/>
        <w:rPr>
          <w:szCs w:val="24"/>
        </w:rPr>
      </w:pPr>
      <w:r w:rsidRPr="00CF318F">
        <w:rPr>
          <w:szCs w:val="24"/>
        </w:rPr>
        <w:t>Section 4.2 of this manual discusses in detail Indigenous under</w:t>
      </w:r>
      <w:r w:rsidRPr="00CF318F">
        <w:rPr>
          <w:szCs w:val="24"/>
        </w:rPr>
        <w:noBreakHyphen/>
        <w:t>identification concepts and treatment for under</w:t>
      </w:r>
      <w:r w:rsidRPr="00CF318F">
        <w:rPr>
          <w:szCs w:val="24"/>
        </w:rPr>
        <w:noBreakHyphen/>
        <w:t>identification used for the Indigenous Expenditure Report. Additional information addressing this and other aspects of the AIHW method is also included in the specific details in Appendix A for service use measure data sourced from the AIHW.</w:t>
      </w:r>
    </w:p>
    <w:p w:rsidR="009A7F87" w:rsidRDefault="009A7F87" w:rsidP="009A7F87">
      <w:pPr>
        <w:pStyle w:val="Heading4"/>
        <w:rPr>
          <w:i/>
        </w:rPr>
      </w:pPr>
      <w:r>
        <w:rPr>
          <w:i/>
        </w:rPr>
        <w:t>Cost differential</w:t>
      </w:r>
    </w:p>
    <w:p w:rsidR="009A7F87" w:rsidRDefault="009A7F87" w:rsidP="009A7F87">
      <w:pPr>
        <w:pStyle w:val="BodyText"/>
        <w:rPr>
          <w:szCs w:val="24"/>
        </w:rPr>
      </w:pPr>
      <w:r w:rsidRPr="00CF318F">
        <w:rPr>
          <w:szCs w:val="24"/>
        </w:rPr>
        <w:t>The AIHW method includes many of the calculations for cost differential as part of the service use estimate. For the Hospital Morbidity Cost Model it is only the co morbidity costs (estimated at 5 per cent extra) that are separately identified as an identifiable cost differential.</w:t>
      </w:r>
    </w:p>
    <w:p w:rsidR="009A7F87" w:rsidRDefault="009A7F87" w:rsidP="009A7F87">
      <w:pPr>
        <w:pStyle w:val="Heading2"/>
      </w:pPr>
      <w:r>
        <w:t>5.</w:t>
      </w:r>
      <w:r>
        <w:rPr>
          <w:noProof/>
        </w:rPr>
        <w:t>2</w:t>
      </w:r>
      <w:r w:rsidRPr="00120ED8">
        <w:tab/>
      </w:r>
      <w:r>
        <w:t>Cost differential information and adjustments</w:t>
      </w:r>
    </w:p>
    <w:p w:rsidR="009A7F87" w:rsidRDefault="009A7F87" w:rsidP="009A7F87">
      <w:pPr>
        <w:pStyle w:val="Heading4"/>
        <w:rPr>
          <w:b/>
        </w:rPr>
      </w:pPr>
      <w:r>
        <w:rPr>
          <w:b/>
        </w:rPr>
        <w:t>Existing data sources</w:t>
      </w:r>
    </w:p>
    <w:p w:rsidR="009A7F87" w:rsidRDefault="009A7F87" w:rsidP="009A7F87">
      <w:pPr>
        <w:pStyle w:val="BodyText"/>
        <w:rPr>
          <w:szCs w:val="24"/>
        </w:rPr>
      </w:pPr>
      <w:r w:rsidRPr="00F91B73">
        <w:rPr>
          <w:szCs w:val="24"/>
        </w:rPr>
        <w:t>For most mainstream services, it is difficult to identify the magnitude of any differences in the cost of providing services to Aboriginal and Torres Strait Islander and non</w:t>
      </w:r>
      <w:r w:rsidRPr="00F91B73">
        <w:rPr>
          <w:szCs w:val="24"/>
        </w:rPr>
        <w:noBreakHyphen/>
        <w:t>Indigenous Australians. To date:</w:t>
      </w:r>
    </w:p>
    <w:p w:rsidR="009A7F87" w:rsidRDefault="009A7F87" w:rsidP="009A7F87">
      <w:pPr>
        <w:pStyle w:val="ListBullet"/>
      </w:pPr>
      <w:r>
        <w:rPr>
          <w:i/>
        </w:rPr>
        <w:lastRenderedPageBreak/>
        <w:t>relatively little work has been done in this area</w:t>
      </w:r>
      <w:r>
        <w:t xml:space="preserve"> — </w:t>
      </w:r>
      <w:r w:rsidRPr="00F91B73">
        <w:rPr>
          <w:szCs w:val="24"/>
        </w:rPr>
        <w:t>there has been little research into cost differentials across Australia in many service areas. The Steering Committee has identified relevant work by the Commonwealth Grants Commission on cost impediments that could be usefully built upon. Many factors can create cost differentials for each program or service area. These can vary across jurisdictions and even between small areas</w:t>
      </w:r>
    </w:p>
    <w:p w:rsidR="009A7F87" w:rsidRPr="00120ED8" w:rsidRDefault="009A7F87" w:rsidP="009A7F87">
      <w:pPr>
        <w:pStyle w:val="ListBullet"/>
      </w:pPr>
      <w:r>
        <w:rPr>
          <w:i/>
        </w:rPr>
        <w:t>identifying appropriate data sources can be difficult</w:t>
      </w:r>
      <w:r>
        <w:t xml:space="preserve"> — </w:t>
      </w:r>
      <w:r w:rsidRPr="00F91B73">
        <w:rPr>
          <w:szCs w:val="24"/>
        </w:rPr>
        <w:t>the Steering Committee has identified few relevant data sources. Given the range of influences that could potentially affect cost differentials, targeted research projects may be required in specific service areas to identify cost drivers (for example, targeted activity</w:t>
      </w:r>
      <w:r>
        <w:rPr>
          <w:szCs w:val="24"/>
        </w:rPr>
        <w:noBreakHyphen/>
      </w:r>
      <w:r w:rsidRPr="00F91B73">
        <w:rPr>
          <w:szCs w:val="24"/>
        </w:rPr>
        <w:t>based costing surveys).</w:t>
      </w:r>
    </w:p>
    <w:p w:rsidR="009A7F87" w:rsidRDefault="009A7F87" w:rsidP="009A7F87">
      <w:pPr>
        <w:pStyle w:val="Heading4"/>
        <w:rPr>
          <w:b/>
        </w:rPr>
      </w:pPr>
      <w:r>
        <w:rPr>
          <w:b/>
        </w:rPr>
        <w:t>Sources and methods</w:t>
      </w:r>
    </w:p>
    <w:p w:rsidR="009A7F87" w:rsidRPr="00F91B73" w:rsidRDefault="009A7F87" w:rsidP="009A7F87">
      <w:pPr>
        <w:pStyle w:val="BodyText"/>
        <w:rPr>
          <w:szCs w:val="24"/>
        </w:rPr>
      </w:pPr>
      <w:r w:rsidRPr="00F91B73">
        <w:rPr>
          <w:szCs w:val="24"/>
        </w:rPr>
        <w:t>Each jurisdiction has provided their own estimates of the service cost differential for each service area of expenditure — taking into account their own circumstances of providing government services and the available data for their jurisdiction.</w:t>
      </w:r>
    </w:p>
    <w:p w:rsidR="009A7F87" w:rsidRDefault="009A7F87" w:rsidP="009A7F87">
      <w:pPr>
        <w:pStyle w:val="BodyText"/>
        <w:rPr>
          <w:szCs w:val="24"/>
        </w:rPr>
      </w:pPr>
      <w:r w:rsidRPr="00F91B73">
        <w:rPr>
          <w:szCs w:val="24"/>
        </w:rPr>
        <w:t>A range of possible methods are used for estimating the cost differential for various expenditure areas, each with different resource requirements and implications for reliability. These include:</w:t>
      </w:r>
    </w:p>
    <w:p w:rsidR="009A7F87" w:rsidRPr="00F91B73" w:rsidRDefault="009A7F87" w:rsidP="009A7F87">
      <w:pPr>
        <w:pStyle w:val="ListBullet"/>
        <w:spacing w:line="320" w:lineRule="atLeast"/>
        <w:rPr>
          <w:szCs w:val="24"/>
        </w:rPr>
      </w:pPr>
      <w:r w:rsidRPr="00F91B73">
        <w:rPr>
          <w:szCs w:val="24"/>
        </w:rPr>
        <w:t>administrative data that links costs to Aboriginal and Torres Strait Islander/non</w:t>
      </w:r>
      <w:r w:rsidRPr="00F91B73">
        <w:rPr>
          <w:szCs w:val="24"/>
        </w:rPr>
        <w:noBreakHyphen/>
        <w:t>Indigenous users</w:t>
      </w:r>
    </w:p>
    <w:p w:rsidR="009A7F87" w:rsidRPr="00F91B73" w:rsidRDefault="009A7F87" w:rsidP="009A7F87">
      <w:pPr>
        <w:pStyle w:val="ListBullet"/>
        <w:spacing w:line="320" w:lineRule="atLeast"/>
        <w:rPr>
          <w:szCs w:val="24"/>
        </w:rPr>
      </w:pPr>
      <w:r w:rsidRPr="00F91B73">
        <w:rPr>
          <w:szCs w:val="24"/>
        </w:rPr>
        <w:t>government funding and/or policy settings</w:t>
      </w:r>
    </w:p>
    <w:p w:rsidR="009A7F87" w:rsidRPr="00F91B73" w:rsidRDefault="009A7F87" w:rsidP="009A7F87">
      <w:pPr>
        <w:pStyle w:val="ListBullet"/>
        <w:spacing w:line="320" w:lineRule="atLeast"/>
        <w:rPr>
          <w:szCs w:val="24"/>
        </w:rPr>
      </w:pPr>
      <w:r w:rsidRPr="00F91B73">
        <w:rPr>
          <w:szCs w:val="24"/>
        </w:rPr>
        <w:t xml:space="preserve">studies/analysis of service delivery cost drivers </w:t>
      </w:r>
    </w:p>
    <w:p w:rsidR="009A7F87" w:rsidRPr="00F91B73" w:rsidRDefault="009A7F87" w:rsidP="009A7F87">
      <w:pPr>
        <w:pStyle w:val="ListBullet"/>
        <w:spacing w:line="320" w:lineRule="atLeast"/>
        <w:rPr>
          <w:szCs w:val="24"/>
        </w:rPr>
      </w:pPr>
      <w:r w:rsidRPr="00F91B73">
        <w:rPr>
          <w:szCs w:val="24"/>
        </w:rPr>
        <w:t xml:space="preserve">proxies using cost differential information from similar exercises </w:t>
      </w:r>
      <w:r>
        <w:rPr>
          <w:szCs w:val="24"/>
        </w:rPr>
        <w:t>or services</w:t>
      </w:r>
    </w:p>
    <w:p w:rsidR="009A7F87" w:rsidRPr="00CA73AC" w:rsidRDefault="009A7F87" w:rsidP="009A7F87">
      <w:pPr>
        <w:pStyle w:val="ListBullet"/>
      </w:pPr>
      <w:r w:rsidRPr="00F91B73">
        <w:rPr>
          <w:szCs w:val="24"/>
        </w:rPr>
        <w:t>seeking expert opinion.</w:t>
      </w:r>
    </w:p>
    <w:p w:rsidR="009A7F87" w:rsidRDefault="009A7F87" w:rsidP="009A7F87">
      <w:pPr>
        <w:pStyle w:val="Heading4"/>
        <w:rPr>
          <w:i/>
        </w:rPr>
      </w:pPr>
      <w:r>
        <w:rPr>
          <w:i/>
        </w:rPr>
        <w:t xml:space="preserve">Administrative data that links costs to Aboriginal and Torres Strait </w:t>
      </w:r>
      <w:r>
        <w:rPr>
          <w:i/>
        </w:rPr>
        <w:br/>
        <w:t>Islander/non-Indigenous users</w:t>
      </w:r>
    </w:p>
    <w:p w:rsidR="009A7F87" w:rsidRPr="00F91B73" w:rsidRDefault="009A7F87" w:rsidP="009A7F87">
      <w:pPr>
        <w:pStyle w:val="BodyText"/>
        <w:rPr>
          <w:szCs w:val="24"/>
        </w:rPr>
      </w:pPr>
      <w:r w:rsidRPr="00F91B73">
        <w:rPr>
          <w:szCs w:val="24"/>
        </w:rPr>
        <w:t>Government administrative systems might record the amount of expenditure made for each recipient of a government service. This is most likely to occur where governments provide subsidies or payments to individuals (either directly or via a service provider). Where the Indigenous status of the recipients (and the type and level of payments or subsidies) is recorded, it may be possible to calculate the average payment made to Aboriginal and Torres Strait Islander recipients compared to non</w:t>
      </w:r>
      <w:r w:rsidRPr="00F91B73">
        <w:rPr>
          <w:szCs w:val="24"/>
        </w:rPr>
        <w:noBreakHyphen/>
        <w:t xml:space="preserve">Indigenous recipients of the service. </w:t>
      </w:r>
    </w:p>
    <w:p w:rsidR="009A7F87" w:rsidRDefault="009A7F87" w:rsidP="009A7F87">
      <w:pPr>
        <w:pStyle w:val="BodyText"/>
        <w:rPr>
          <w:szCs w:val="24"/>
        </w:rPr>
      </w:pPr>
      <w:r w:rsidRPr="00F91B73">
        <w:rPr>
          <w:szCs w:val="24"/>
        </w:rPr>
        <w:t>The reliability of this approach depends on the quality of the administrative system and the identification of Aboriginal and Torres Strait Islander clients.</w:t>
      </w:r>
    </w:p>
    <w:p w:rsidR="009A7F87" w:rsidRDefault="009A7F87" w:rsidP="009A7F87">
      <w:pPr>
        <w:pStyle w:val="Heading4"/>
        <w:rPr>
          <w:i/>
        </w:rPr>
      </w:pPr>
      <w:r>
        <w:rPr>
          <w:i/>
        </w:rPr>
        <w:lastRenderedPageBreak/>
        <w:t>Government funding and/or policy setting</w:t>
      </w:r>
    </w:p>
    <w:p w:rsidR="009A7F87" w:rsidRPr="00F91B73" w:rsidRDefault="009A7F87" w:rsidP="009A7F87">
      <w:pPr>
        <w:pStyle w:val="BodyText"/>
        <w:rPr>
          <w:szCs w:val="24"/>
        </w:rPr>
      </w:pPr>
      <w:r w:rsidRPr="00F91B73">
        <w:rPr>
          <w:szCs w:val="24"/>
        </w:rPr>
        <w:t>Government funding mechanisms might explicitly provide extra funding to government services provided to Aboriginal and Torres Strait Islander Australians. For example, an aged care provider might receive 1.25 times the standard government subsidy for each Aboriginal and Torres Strait Islander client.</w:t>
      </w:r>
    </w:p>
    <w:p w:rsidR="009A7F87" w:rsidRPr="00F91B73" w:rsidRDefault="009A7F87" w:rsidP="009A7F87">
      <w:pPr>
        <w:pStyle w:val="BodyText"/>
        <w:rPr>
          <w:szCs w:val="24"/>
        </w:rPr>
      </w:pPr>
      <w:r w:rsidRPr="00F91B73">
        <w:rPr>
          <w:szCs w:val="24"/>
        </w:rPr>
        <w:t>It is appropriate to use funding weights as the cost differential where this reflects the actual expenditure of government in providing services to Aboriginal and Torres Strait Islander Australians. Where funding weights are used as cost differentials, jurisdictions are asked to report information explaining the basis of the funding weight and how this relates to Indigenous service provision.</w:t>
      </w:r>
    </w:p>
    <w:p w:rsidR="009A7F87" w:rsidRPr="00F91B73" w:rsidRDefault="009A7F87" w:rsidP="009A7F87">
      <w:pPr>
        <w:pStyle w:val="BodyText"/>
        <w:rPr>
          <w:szCs w:val="24"/>
        </w:rPr>
      </w:pPr>
      <w:r w:rsidRPr="00F91B73">
        <w:rPr>
          <w:szCs w:val="24"/>
        </w:rPr>
        <w:t>The reliability of this approach is dependent on the alignment between the government’s funding mechanism and the actual delivery of services to Aboriginal and Torres Strait Islander Australians.</w:t>
      </w:r>
    </w:p>
    <w:p w:rsidR="009A7F87" w:rsidRDefault="009A7F87" w:rsidP="009A7F87">
      <w:pPr>
        <w:pStyle w:val="Heading4"/>
        <w:rPr>
          <w:i/>
        </w:rPr>
      </w:pPr>
      <w:r>
        <w:rPr>
          <w:i/>
        </w:rPr>
        <w:t>Studies/analysis of service delivery cost drivers</w:t>
      </w:r>
    </w:p>
    <w:p w:rsidR="009A7F87" w:rsidRDefault="009A7F87" w:rsidP="009A7F87">
      <w:pPr>
        <w:pStyle w:val="BodyText"/>
        <w:rPr>
          <w:szCs w:val="24"/>
        </w:rPr>
      </w:pPr>
      <w:r w:rsidRPr="00F91B73">
        <w:rPr>
          <w:szCs w:val="24"/>
        </w:rPr>
        <w:t>Governments might have empirical information that can be used to assess the relative cost of providing a particular government service to Aboriginal and Torres Strait Islander Australians. Such analysis could look at the different cost drivers (such as location, time, level and type of service) and the Aboriginal and Torres Strait Islander representation associated with each cost driver (for example, the number of Aboriginal and Torres Strait Islander Australians receiving low cost services). This information can then be brought together to estimate the average government expenditure in providing services to Aboriginal and Torres Strait Islander Australians compared to non</w:t>
      </w:r>
      <w:r w:rsidRPr="00F91B73">
        <w:rPr>
          <w:szCs w:val="24"/>
        </w:rPr>
        <w:noBreakHyphen/>
        <w:t>Indigenous recipients of the government service.</w:t>
      </w:r>
    </w:p>
    <w:p w:rsidR="009A7F87" w:rsidRPr="00F91B73" w:rsidRDefault="009A7F87" w:rsidP="009A7F87">
      <w:pPr>
        <w:pStyle w:val="BodyText"/>
        <w:rPr>
          <w:szCs w:val="24"/>
        </w:rPr>
      </w:pPr>
      <w:r w:rsidRPr="00F91B73">
        <w:rPr>
          <w:szCs w:val="24"/>
        </w:rPr>
        <w:t xml:space="preserve">If existing information is not available, governments could conduct a survey of their service providers to better understand their cost drivers, including the Indigenous status of the service users. </w:t>
      </w:r>
    </w:p>
    <w:p w:rsidR="009A7F87" w:rsidRDefault="009A7F87" w:rsidP="009A7F87">
      <w:pPr>
        <w:pStyle w:val="BodyText"/>
        <w:rPr>
          <w:szCs w:val="24"/>
        </w:rPr>
      </w:pPr>
      <w:r w:rsidRPr="00F91B73">
        <w:rPr>
          <w:szCs w:val="24"/>
        </w:rPr>
        <w:t>The reliability of this approach depends on the quality of the overall analysis and, in particular, the appropriateness of any assumptions made within the analysis.</w:t>
      </w:r>
    </w:p>
    <w:p w:rsidR="009A7F87" w:rsidRPr="00987E63" w:rsidRDefault="009A7F87" w:rsidP="009A7F87">
      <w:pPr>
        <w:pStyle w:val="Heading4"/>
        <w:rPr>
          <w:i/>
        </w:rPr>
      </w:pPr>
      <w:r>
        <w:rPr>
          <w:i/>
        </w:rPr>
        <w:t>Proxies using cost differential information from similar exercises or services</w:t>
      </w:r>
    </w:p>
    <w:p w:rsidR="009A7F87" w:rsidRPr="00F91B73" w:rsidRDefault="009A7F87" w:rsidP="009A7F87">
      <w:pPr>
        <w:pStyle w:val="BodyText"/>
        <w:rPr>
          <w:szCs w:val="24"/>
        </w:rPr>
      </w:pPr>
      <w:r w:rsidRPr="00F91B73">
        <w:rPr>
          <w:szCs w:val="24"/>
        </w:rPr>
        <w:t>Governments might use cost differential data collected from similar exercises as a proxy for the Indigenous Expenditure Report. For example, the Commonwealth Grants Commission calculates assessed differences for expenses for a range of government services (box</w:t>
      </w:r>
      <w:r>
        <w:rPr>
          <w:szCs w:val="24"/>
        </w:rPr>
        <w:t> </w:t>
      </w:r>
      <w:r w:rsidRPr="00F91B73">
        <w:rPr>
          <w:szCs w:val="24"/>
        </w:rPr>
        <w:t>5.1).</w:t>
      </w:r>
    </w:p>
    <w:p w:rsidR="009A7F87" w:rsidRPr="00F91B73" w:rsidRDefault="009A7F87" w:rsidP="009A7F87">
      <w:pPr>
        <w:pStyle w:val="BodyText"/>
        <w:rPr>
          <w:szCs w:val="24"/>
        </w:rPr>
      </w:pPr>
      <w:r w:rsidRPr="00F91B73">
        <w:rPr>
          <w:szCs w:val="24"/>
        </w:rPr>
        <w:t>The reliability of this approach depends on similarity between the two exercises and the quality/accuracy of the cost differential data originally estimated.</w:t>
      </w:r>
    </w:p>
    <w:p w:rsidR="009A7F87" w:rsidRPr="00F91B73" w:rsidRDefault="009A7F87" w:rsidP="009A7F87">
      <w:pPr>
        <w:pStyle w:val="BodyText"/>
        <w:rPr>
          <w:szCs w:val="24"/>
        </w:rPr>
      </w:pPr>
      <w:r w:rsidRPr="00F91B73">
        <w:rPr>
          <w:szCs w:val="24"/>
        </w:rPr>
        <w:lastRenderedPageBreak/>
        <w:t xml:space="preserve">Governments may </w:t>
      </w:r>
      <w:r>
        <w:rPr>
          <w:szCs w:val="24"/>
        </w:rPr>
        <w:t xml:space="preserve">also </w:t>
      </w:r>
      <w:r w:rsidRPr="00F91B73">
        <w:rPr>
          <w:szCs w:val="24"/>
        </w:rPr>
        <w:t>use cost differential data collected from similar services as a proxy for another service in the Indigenous Expenditure Report. For example, the cost differential in providing primary school services could be used as a proxy for the cost differential of providing special education services.</w:t>
      </w:r>
    </w:p>
    <w:p w:rsidR="009A7F87" w:rsidRDefault="009A7F8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9A7F87" w:rsidTr="009A7F87">
        <w:tc>
          <w:tcPr>
            <w:tcW w:w="5000" w:type="pct"/>
            <w:tcBorders>
              <w:top w:val="single" w:sz="6" w:space="0" w:color="78A22F"/>
              <w:left w:val="nil"/>
              <w:bottom w:val="nil"/>
              <w:right w:val="nil"/>
            </w:tcBorders>
            <w:shd w:val="clear" w:color="auto" w:fill="F2F2F2"/>
          </w:tcPr>
          <w:p w:rsidR="009A7F87" w:rsidRDefault="009A7F87" w:rsidP="00F50066">
            <w:pPr>
              <w:pStyle w:val="BoxTitle"/>
            </w:pPr>
            <w:r>
              <w:rPr>
                <w:b w:val="0"/>
              </w:rPr>
              <w:t>Box 5.</w:t>
            </w:r>
            <w:r>
              <w:rPr>
                <w:b w:val="0"/>
                <w:noProof/>
              </w:rPr>
              <w:t>1</w:t>
            </w:r>
            <w:r>
              <w:tab/>
              <w:t>Commonwealth Grants Commission</w:t>
            </w:r>
          </w:p>
        </w:tc>
      </w:tr>
      <w:tr w:rsidR="009A7F87" w:rsidTr="009A7F87">
        <w:tc>
          <w:tcPr>
            <w:tcW w:w="5000" w:type="pct"/>
            <w:tcBorders>
              <w:top w:val="nil"/>
              <w:left w:val="nil"/>
              <w:bottom w:val="nil"/>
              <w:right w:val="nil"/>
            </w:tcBorders>
            <w:shd w:val="clear" w:color="auto" w:fill="F2F2F2"/>
          </w:tcPr>
          <w:p w:rsidR="009A7F87" w:rsidRPr="00770229" w:rsidRDefault="009A7F87" w:rsidP="009A7F87">
            <w:pPr>
              <w:pStyle w:val="Box"/>
            </w:pPr>
            <w:r w:rsidRPr="00770229">
              <w:t>As part of its work to measure the differences in expenses that States and Territories would incur if they provided the national average level of government services, the Commonwealth Grants Commission (CGC) takes into account the impact of Aboriginal and Torres Strait Islander Australians on State government expenditure. The concept is related to that measured in the Indigenous Expenditure Report (IER) but there are differences between the two concepts:</w:t>
            </w:r>
          </w:p>
          <w:p w:rsidR="009A7F87" w:rsidRDefault="009A7F87" w:rsidP="009A7F87">
            <w:pPr>
              <w:pStyle w:val="BoxListBullet"/>
            </w:pPr>
            <w:r w:rsidRPr="00770229">
              <w:t>The CGC considers only State and Territory spending. Commonwealth government spending is not relevant to the CGC exercise.</w:t>
            </w:r>
          </w:p>
          <w:p w:rsidR="009A7F87" w:rsidRDefault="009A7F87" w:rsidP="009A7F87">
            <w:pPr>
              <w:pStyle w:val="BoxListBullet"/>
            </w:pPr>
            <w:r w:rsidRPr="00770229">
              <w:t>The CGC measures the average spending patterns of all States. It asks what a State would spend on its Aboriginal and Torres Strait Islander population if it provided the average standard of service. The IER approach asks what each State actually spends.</w:t>
            </w:r>
          </w:p>
          <w:p w:rsidR="009A7F87" w:rsidRDefault="009A7F87" w:rsidP="009A7F87">
            <w:pPr>
              <w:pStyle w:val="BoxListBullet"/>
            </w:pPr>
            <w:r w:rsidRPr="00770229">
              <w:t>The CGC measures the impact attributable to Indigeneity, not the total cost of Indigenous service provision. For example, Aboriginal and Torres Strait Islander Australians have a younger age profile, and are more likely to live in remote areas. To the extent to which these factors increase costs, the CGC attributes these factors to age and remoteness.  The IER approach attempts to measure the total cost of delivering services to Aboriginal and Torres Strait Islander Australians, given their age profile and where they live.</w:t>
            </w:r>
          </w:p>
          <w:p w:rsidR="009A7F87" w:rsidRDefault="009A7F87" w:rsidP="009A7F87">
            <w:pPr>
              <w:pStyle w:val="BoxListBullet"/>
            </w:pPr>
            <w:r w:rsidRPr="00770229">
              <w:t>The CGC analysis is undertaken at a higher level. The IER collects Indigenous expenditure in more than 200 different GPC/GPC+ categories of government expenditure. The CGC analysis is done for around 14 categories (some of which are disaggregated further).</w:t>
            </w:r>
          </w:p>
          <w:p w:rsidR="009A7F87" w:rsidRDefault="009A7F87" w:rsidP="009A7F87">
            <w:pPr>
              <w:pStyle w:val="Box"/>
            </w:pPr>
            <w:r w:rsidRPr="00770229">
              <w:t>In most other ways, however, the approach is broadly similar.</w:t>
            </w:r>
          </w:p>
        </w:tc>
      </w:tr>
      <w:tr w:rsidR="009A7F87" w:rsidTr="009A7F87">
        <w:tc>
          <w:tcPr>
            <w:tcW w:w="5000" w:type="pct"/>
            <w:tcBorders>
              <w:top w:val="nil"/>
              <w:left w:val="nil"/>
              <w:bottom w:val="single" w:sz="6" w:space="0" w:color="78A22F"/>
              <w:right w:val="nil"/>
            </w:tcBorders>
            <w:shd w:val="clear" w:color="auto" w:fill="F2F2F2"/>
          </w:tcPr>
          <w:p w:rsidR="009A7F87" w:rsidRDefault="009A7F87">
            <w:pPr>
              <w:pStyle w:val="Box"/>
              <w:spacing w:before="0" w:line="120" w:lineRule="exact"/>
            </w:pPr>
          </w:p>
        </w:tc>
      </w:tr>
      <w:tr w:rsidR="009A7F87" w:rsidRPr="000863A5" w:rsidTr="009A7F87">
        <w:tc>
          <w:tcPr>
            <w:tcW w:w="5000" w:type="pct"/>
            <w:tcBorders>
              <w:top w:val="single" w:sz="6" w:space="0" w:color="78A22F"/>
              <w:left w:val="nil"/>
              <w:bottom w:val="nil"/>
              <w:right w:val="nil"/>
            </w:tcBorders>
          </w:tcPr>
          <w:p w:rsidR="009A7F87" w:rsidRPr="00626D32" w:rsidRDefault="009A7F87" w:rsidP="009A7F87">
            <w:pPr>
              <w:pStyle w:val="BoxSpaceBelow"/>
            </w:pPr>
          </w:p>
        </w:tc>
      </w:tr>
    </w:tbl>
    <w:p w:rsidR="009A7F87" w:rsidRDefault="009A7F87" w:rsidP="009A7F87">
      <w:pPr>
        <w:pStyle w:val="BodyText"/>
        <w:rPr>
          <w:szCs w:val="24"/>
        </w:rPr>
      </w:pPr>
      <w:r w:rsidRPr="00F91B73">
        <w:rPr>
          <w:szCs w:val="24"/>
        </w:rPr>
        <w:t>The reliability of this approach depends on the similarity of the cost drivers between the two services and the quality/accuracy of the cost differential data originally estimated.</w:t>
      </w:r>
    </w:p>
    <w:p w:rsidR="009A7F87" w:rsidRDefault="009A7F87" w:rsidP="009A7F87">
      <w:pPr>
        <w:pStyle w:val="Heading4"/>
        <w:rPr>
          <w:i/>
        </w:rPr>
      </w:pPr>
      <w:r>
        <w:rPr>
          <w:i/>
        </w:rPr>
        <w:t>Seeking expert opinion</w:t>
      </w:r>
    </w:p>
    <w:p w:rsidR="009A7F87" w:rsidRPr="00F91B73" w:rsidRDefault="009A7F87" w:rsidP="009A7F87">
      <w:pPr>
        <w:pStyle w:val="BodyText"/>
        <w:rPr>
          <w:szCs w:val="24"/>
        </w:rPr>
      </w:pPr>
      <w:r w:rsidRPr="00F91B73">
        <w:rPr>
          <w:szCs w:val="24"/>
        </w:rPr>
        <w:t>Governments may use surveys of local experts to estimate the cost differential data.</w:t>
      </w:r>
    </w:p>
    <w:p w:rsidR="009A7F87" w:rsidRDefault="009A7F87" w:rsidP="009A7F87">
      <w:pPr>
        <w:pStyle w:val="BodyText"/>
        <w:rPr>
          <w:szCs w:val="24"/>
        </w:rPr>
      </w:pPr>
      <w:r w:rsidRPr="00F91B73">
        <w:rPr>
          <w:szCs w:val="24"/>
        </w:rPr>
        <w:t>The reliability of this approach depends on the knowledge and expertise of those surveyed. Reliability may also be affected if the local experts have an incentive to overestimate or underestimate the true cost differential ratio — for example, to obtain a more favourable budget allocation in future years.</w:t>
      </w:r>
    </w:p>
    <w:p w:rsidR="009A7F87" w:rsidRDefault="009A7F87" w:rsidP="009A7F87">
      <w:pPr>
        <w:pStyle w:val="Heading4"/>
        <w:rPr>
          <w:b/>
        </w:rPr>
      </w:pPr>
      <w:r w:rsidRPr="009D2760">
        <w:rPr>
          <w:b/>
        </w:rPr>
        <w:lastRenderedPageBreak/>
        <w:t>Cost differential default assumptions</w:t>
      </w:r>
    </w:p>
    <w:p w:rsidR="009A7F87" w:rsidRPr="00F91B73" w:rsidRDefault="009A7F87" w:rsidP="009A7F87">
      <w:pPr>
        <w:pStyle w:val="BodyText"/>
        <w:rPr>
          <w:szCs w:val="24"/>
        </w:rPr>
      </w:pPr>
      <w:r w:rsidRPr="00F91B73">
        <w:rPr>
          <w:szCs w:val="24"/>
        </w:rPr>
        <w:t>As discussed, it is currently difficult for jurisdictions to quantify the magnitude of any differences in the cost of providing services to Aboriginal and Torres Strait Islander and non</w:t>
      </w:r>
      <w:r w:rsidRPr="00F91B73">
        <w:rPr>
          <w:szCs w:val="24"/>
        </w:rPr>
        <w:noBreakHyphen/>
        <w:t>Indigenous Australians without detailed analysis.</w:t>
      </w:r>
    </w:p>
    <w:p w:rsidR="009A7F87" w:rsidRDefault="009A7F87" w:rsidP="009A7F87">
      <w:pPr>
        <w:pStyle w:val="BodyText"/>
        <w:rPr>
          <w:szCs w:val="24"/>
        </w:rPr>
      </w:pPr>
      <w:r w:rsidRPr="00F91B73">
        <w:rPr>
          <w:szCs w:val="24"/>
        </w:rPr>
        <w:t>As an interim measure, the Steering Committee has assessed that mainstream services in the GPC major groups align to one of the two default assumptions. These are:</w:t>
      </w:r>
    </w:p>
    <w:p w:rsidR="009A7F87" w:rsidRPr="009D2760" w:rsidRDefault="009A7F87" w:rsidP="009A7F87">
      <w:pPr>
        <w:pStyle w:val="ListBullet"/>
      </w:pPr>
      <w:r>
        <w:rPr>
          <w:i/>
        </w:rPr>
        <w:t>non cost differential</w:t>
      </w:r>
      <w:r>
        <w:t xml:space="preserve"> — </w:t>
      </w:r>
      <w:r w:rsidRPr="00F91B73">
        <w:rPr>
          <w:szCs w:val="24"/>
        </w:rPr>
        <w:t>for mainstream services where there is no strong conceptual basis to assume that the average cost of providing services to Aboriginal and Torres Strait Islander and non</w:t>
      </w:r>
      <w:r w:rsidRPr="00F91B73">
        <w:rPr>
          <w:szCs w:val="24"/>
        </w:rPr>
        <w:noBreakHyphen/>
        <w:t>Indigenous Australians is different (that is, the relative cost equals one)</w:t>
      </w:r>
    </w:p>
    <w:p w:rsidR="009A7F87" w:rsidRPr="009D2760" w:rsidRDefault="009A7F87" w:rsidP="009A7F87">
      <w:pPr>
        <w:pStyle w:val="ListBullet"/>
      </w:pPr>
      <w:r>
        <w:rPr>
          <w:i/>
        </w:rPr>
        <w:t>up to 10 per cent cost differential</w:t>
      </w:r>
      <w:r>
        <w:t xml:space="preserve"> — </w:t>
      </w:r>
      <w:r w:rsidRPr="00F91B73">
        <w:rPr>
          <w:szCs w:val="24"/>
        </w:rPr>
        <w:t>for those mainstream services where there is a conceptual basis to assume a cost differential, but the jurisdiction has been unable to provide data, it is assumed that the average cost of providing mainstream services is up to 10 per cent greater for Aboriginal and Torres Strait Islander Australians than for non</w:t>
      </w:r>
      <w:r w:rsidRPr="00F91B73">
        <w:rPr>
          <w:szCs w:val="24"/>
        </w:rPr>
        <w:noBreakHyphen/>
        <w:t>Indigenous Australians (that is, the relative cost is 1.1).</w:t>
      </w:r>
    </w:p>
    <w:p w:rsidR="009A7F87" w:rsidRDefault="009A7F87" w:rsidP="009A7F87">
      <w:pPr>
        <w:pStyle w:val="BodyText"/>
        <w:rPr>
          <w:szCs w:val="24"/>
        </w:rPr>
      </w:pPr>
      <w:r>
        <w:rPr>
          <w:szCs w:val="24"/>
        </w:rPr>
        <w:t>N</w:t>
      </w:r>
      <w:r w:rsidRPr="00602445">
        <w:rPr>
          <w:szCs w:val="24"/>
        </w:rPr>
        <w:t>o cost differential was</w:t>
      </w:r>
      <w:r>
        <w:rPr>
          <w:szCs w:val="24"/>
        </w:rPr>
        <w:t xml:space="preserve"> used for about 80 per cent of the 2015-16 expenditure estimates, while a </w:t>
      </w:r>
      <w:r w:rsidRPr="00602445">
        <w:rPr>
          <w:szCs w:val="24"/>
        </w:rPr>
        <w:t xml:space="preserve">cost differential </w:t>
      </w:r>
      <w:r>
        <w:rPr>
          <w:szCs w:val="24"/>
        </w:rPr>
        <w:t>factor of 1.1 (</w:t>
      </w:r>
      <w:r w:rsidRPr="006429B8">
        <w:rPr>
          <w:szCs w:val="24"/>
        </w:rPr>
        <w:t>10</w:t>
      </w:r>
      <w:r>
        <w:rPr>
          <w:szCs w:val="24"/>
        </w:rPr>
        <w:t> </w:t>
      </w:r>
      <w:r w:rsidRPr="006429B8">
        <w:rPr>
          <w:szCs w:val="24"/>
        </w:rPr>
        <w:t>per</w:t>
      </w:r>
      <w:r>
        <w:rPr>
          <w:szCs w:val="24"/>
        </w:rPr>
        <w:t> </w:t>
      </w:r>
      <w:r w:rsidRPr="006429B8">
        <w:rPr>
          <w:szCs w:val="24"/>
        </w:rPr>
        <w:t>cent differential</w:t>
      </w:r>
      <w:r>
        <w:rPr>
          <w:szCs w:val="24"/>
        </w:rPr>
        <w:t>) was used for about 10 per cent of estimates and other differentials used for remaining estimates. There were some variations to the use of cost differentials across the six service areas, including:</w:t>
      </w:r>
    </w:p>
    <w:p w:rsidR="009A7F87" w:rsidRPr="007F6073" w:rsidRDefault="009A7F87" w:rsidP="009A7F87">
      <w:pPr>
        <w:pStyle w:val="ListBullet"/>
        <w:spacing w:line="320" w:lineRule="exact"/>
        <w:rPr>
          <w:szCs w:val="24"/>
        </w:rPr>
      </w:pPr>
      <w:r w:rsidRPr="007F6073">
        <w:rPr>
          <w:szCs w:val="24"/>
        </w:rPr>
        <w:t>no cost differential was most frequently applied for estimates in Economic participation, Home environment, and Other government services</w:t>
      </w:r>
    </w:p>
    <w:p w:rsidR="009A7F87" w:rsidRPr="006429B8" w:rsidRDefault="009A7F87" w:rsidP="009A7F87">
      <w:pPr>
        <w:pStyle w:val="ListBullet"/>
        <w:spacing w:line="320" w:lineRule="atLeast"/>
        <w:rPr>
          <w:szCs w:val="24"/>
        </w:rPr>
      </w:pPr>
      <w:r>
        <w:rPr>
          <w:szCs w:val="24"/>
        </w:rPr>
        <w:t xml:space="preserve">a </w:t>
      </w:r>
      <w:r w:rsidRPr="00156A7C">
        <w:rPr>
          <w:szCs w:val="24"/>
        </w:rPr>
        <w:t xml:space="preserve">cost differential </w:t>
      </w:r>
      <w:r>
        <w:rPr>
          <w:szCs w:val="24"/>
        </w:rPr>
        <w:t xml:space="preserve">factor </w:t>
      </w:r>
      <w:r w:rsidRPr="00156A7C">
        <w:rPr>
          <w:szCs w:val="24"/>
        </w:rPr>
        <w:t>of 1</w:t>
      </w:r>
      <w:r>
        <w:rPr>
          <w:szCs w:val="24"/>
        </w:rPr>
        <w:t xml:space="preserve">.1 </w:t>
      </w:r>
      <w:r w:rsidRPr="00156A7C">
        <w:rPr>
          <w:szCs w:val="24"/>
        </w:rPr>
        <w:t>was used most frequently for Early child development, and education and training</w:t>
      </w:r>
      <w:r w:rsidRPr="006429B8">
        <w:rPr>
          <w:szCs w:val="24"/>
        </w:rPr>
        <w:t xml:space="preserve">, and for Safe and supportive communities (although used for only </w:t>
      </w:r>
      <w:r>
        <w:rPr>
          <w:szCs w:val="24"/>
        </w:rPr>
        <w:t>20</w:t>
      </w:r>
      <w:r>
        <w:rPr>
          <w:szCs w:val="24"/>
        </w:rPr>
        <w:noBreakHyphen/>
        <w:t>25 per cent</w:t>
      </w:r>
      <w:r w:rsidRPr="006429B8">
        <w:rPr>
          <w:szCs w:val="24"/>
        </w:rPr>
        <w:t xml:space="preserve"> of estimates in these two service areas)</w:t>
      </w:r>
    </w:p>
    <w:p w:rsidR="009A7F87" w:rsidRPr="009D2760" w:rsidRDefault="009A7F87" w:rsidP="009A7F87">
      <w:pPr>
        <w:pStyle w:val="ListBullet"/>
      </w:pPr>
      <w:r>
        <w:rPr>
          <w:szCs w:val="24"/>
        </w:rPr>
        <w:t xml:space="preserve">other </w:t>
      </w:r>
      <w:r w:rsidRPr="00212506">
        <w:rPr>
          <w:szCs w:val="24"/>
        </w:rPr>
        <w:t xml:space="preserve">cost differential factors </w:t>
      </w:r>
      <w:r>
        <w:rPr>
          <w:szCs w:val="24"/>
        </w:rPr>
        <w:t>(</w:t>
      </w:r>
      <w:r w:rsidRPr="00212506">
        <w:rPr>
          <w:szCs w:val="24"/>
        </w:rPr>
        <w:t>other than 1.0 and 1.1</w:t>
      </w:r>
      <w:r>
        <w:rPr>
          <w:szCs w:val="24"/>
        </w:rPr>
        <w:t>)</w:t>
      </w:r>
      <w:r w:rsidRPr="00212506">
        <w:rPr>
          <w:szCs w:val="24"/>
        </w:rPr>
        <w:t xml:space="preserve"> </w:t>
      </w:r>
      <w:r w:rsidRPr="002C2B65">
        <w:rPr>
          <w:szCs w:val="24"/>
        </w:rPr>
        <w:t xml:space="preserve">were most frequently </w:t>
      </w:r>
      <w:r>
        <w:rPr>
          <w:szCs w:val="24"/>
        </w:rPr>
        <w:t>used</w:t>
      </w:r>
      <w:r w:rsidRPr="002C2B65">
        <w:rPr>
          <w:szCs w:val="24"/>
        </w:rPr>
        <w:t xml:space="preserve"> in the </w:t>
      </w:r>
      <w:r w:rsidRPr="00212506">
        <w:rPr>
          <w:szCs w:val="24"/>
        </w:rPr>
        <w:t>Healthy lives</w:t>
      </w:r>
      <w:r>
        <w:rPr>
          <w:szCs w:val="24"/>
        </w:rPr>
        <w:t xml:space="preserve"> service area</w:t>
      </w:r>
      <w:r w:rsidRPr="00212506">
        <w:rPr>
          <w:szCs w:val="24"/>
        </w:rPr>
        <w:t xml:space="preserve">, accounting </w:t>
      </w:r>
      <w:r>
        <w:rPr>
          <w:szCs w:val="24"/>
        </w:rPr>
        <w:t>for about 4</w:t>
      </w:r>
      <w:r w:rsidRPr="00747B79">
        <w:rPr>
          <w:szCs w:val="24"/>
        </w:rPr>
        <w:t xml:space="preserve">0 per cent </w:t>
      </w:r>
      <w:r>
        <w:rPr>
          <w:szCs w:val="24"/>
        </w:rPr>
        <w:t>of estimates in this service area.</w:t>
      </w:r>
    </w:p>
    <w:p w:rsidR="009A7F87" w:rsidRDefault="009A7F87" w:rsidP="009A7F87">
      <w:pPr>
        <w:pStyle w:val="Heading4"/>
        <w:rPr>
          <w:b/>
        </w:rPr>
      </w:pPr>
      <w:r>
        <w:rPr>
          <w:b/>
        </w:rPr>
        <w:t>Presentation of Indigenous cost differential sources and methods</w:t>
      </w:r>
    </w:p>
    <w:p w:rsidR="009A7F87" w:rsidRDefault="009A7F87" w:rsidP="009A7F87">
      <w:pPr>
        <w:pStyle w:val="BodyText"/>
        <w:rPr>
          <w:szCs w:val="24"/>
        </w:rPr>
      </w:pPr>
      <w:r w:rsidRPr="00F91B73">
        <w:rPr>
          <w:szCs w:val="24"/>
        </w:rPr>
        <w:t>Jurisdictions that reported cost differential factors other than the defaults have been asked to identify the method of estimation following the guidelines in section 5.2.</w:t>
      </w:r>
    </w:p>
    <w:p w:rsidR="009A7F87" w:rsidRDefault="009A7F87" w:rsidP="009A7F87">
      <w:pPr>
        <w:pStyle w:val="Heading2"/>
      </w:pPr>
      <w:r>
        <w:lastRenderedPageBreak/>
        <w:t>5.</w:t>
      </w:r>
      <w:r>
        <w:rPr>
          <w:noProof/>
        </w:rPr>
        <w:t>3</w:t>
      </w:r>
      <w:r w:rsidRPr="009D2760">
        <w:tab/>
      </w:r>
      <w:r>
        <w:t>Frequently asked questions on cost differentials</w:t>
      </w:r>
    </w:p>
    <w:p w:rsidR="009A7F87" w:rsidRDefault="009A7F87" w:rsidP="009A7F87">
      <w:pPr>
        <w:pStyle w:val="Heading4"/>
        <w:rPr>
          <w:i/>
        </w:rPr>
      </w:pPr>
      <w:r>
        <w:rPr>
          <w:i/>
        </w:rPr>
        <w:t>What is a cost differential and why is it needed?</w:t>
      </w:r>
    </w:p>
    <w:p w:rsidR="009A7F87" w:rsidRDefault="009A7F87" w:rsidP="009A7F87">
      <w:pPr>
        <w:pStyle w:val="BodyText"/>
        <w:rPr>
          <w:szCs w:val="24"/>
        </w:rPr>
      </w:pPr>
      <w:r w:rsidRPr="00F91B73">
        <w:rPr>
          <w:szCs w:val="24"/>
        </w:rPr>
        <w:t>The cost of providing mainstream services to Aboriginal and Torres Strait Islander Australians and non</w:t>
      </w:r>
      <w:r w:rsidRPr="00F91B73">
        <w:rPr>
          <w:szCs w:val="24"/>
        </w:rPr>
        <w:noBreakHyphen/>
        <w:t xml:space="preserve">Indigenous Australians can vary, and this difference in cost is known as a </w:t>
      </w:r>
      <w:r w:rsidRPr="00F91B73">
        <w:rPr>
          <w:i/>
          <w:szCs w:val="24"/>
        </w:rPr>
        <w:t>service cost differential</w:t>
      </w:r>
      <w:r w:rsidRPr="00F91B73">
        <w:rPr>
          <w:szCs w:val="24"/>
        </w:rPr>
        <w:t xml:space="preserve">. In practice, cost differentials generally reflect the </w:t>
      </w:r>
      <w:r w:rsidRPr="00F91B73">
        <w:rPr>
          <w:szCs w:val="24"/>
          <w:u w:val="single"/>
        </w:rPr>
        <w:t>additional</w:t>
      </w:r>
      <w:r w:rsidRPr="00F91B73">
        <w:rPr>
          <w:szCs w:val="24"/>
        </w:rPr>
        <w:t xml:space="preserve"> cost of providing mainstream services to Aboriginal and Torres Strait Islander Australians. Cost differentials are used in the IER to estimate the Aboriginal and Torres Strait Islander share of mainstream expenditure.</w:t>
      </w:r>
    </w:p>
    <w:p w:rsidR="009A7F87" w:rsidRPr="00F91B73" w:rsidRDefault="009A7F87" w:rsidP="009A7F87">
      <w:pPr>
        <w:pStyle w:val="BodyText"/>
        <w:rPr>
          <w:szCs w:val="24"/>
        </w:rPr>
      </w:pPr>
      <w:r w:rsidRPr="00F91B73">
        <w:rPr>
          <w:szCs w:val="24"/>
        </w:rPr>
        <w:t>For example, a social security payment</w:t>
      </w:r>
      <w:r w:rsidRPr="00F91B73">
        <w:rPr>
          <w:i/>
          <w:szCs w:val="24"/>
        </w:rPr>
        <w:t xml:space="preserve"> </w:t>
      </w:r>
      <w:r w:rsidRPr="00F91B73">
        <w:rPr>
          <w:szCs w:val="24"/>
        </w:rPr>
        <w:t>cost differential reflects the difference between the average social security payment to Aboriginal and Torres Strait Islander and non</w:t>
      </w:r>
      <w:r>
        <w:rPr>
          <w:szCs w:val="24"/>
        </w:rPr>
        <w:noBreakHyphen/>
      </w:r>
      <w:r w:rsidRPr="00F91B73">
        <w:rPr>
          <w:szCs w:val="24"/>
        </w:rPr>
        <w:t>Indigenous recipients. Payments received vary according to criteria such as recipients’ income, assets and dependents and the average payment is often higher for Aboriginal and Torres Strait Islander than non</w:t>
      </w:r>
      <w:r>
        <w:rPr>
          <w:szCs w:val="24"/>
        </w:rPr>
        <w:noBreakHyphen/>
      </w:r>
      <w:r w:rsidRPr="00F91B73">
        <w:rPr>
          <w:szCs w:val="24"/>
        </w:rPr>
        <w:t>Indigenous recipients.</w:t>
      </w:r>
    </w:p>
    <w:p w:rsidR="009A7F87" w:rsidRDefault="009A7F87" w:rsidP="009A7F87">
      <w:pPr>
        <w:pStyle w:val="BodyText"/>
        <w:rPr>
          <w:szCs w:val="24"/>
        </w:rPr>
      </w:pPr>
      <w:r w:rsidRPr="00F91B73">
        <w:rPr>
          <w:szCs w:val="24"/>
        </w:rPr>
        <w:t>A cost differential is a measure of relative cost of service provision and reflects the average expenditure per Aboriginal and Torres Strait Islander service user compared to the average expenditure per non</w:t>
      </w:r>
      <w:r>
        <w:rPr>
          <w:szCs w:val="24"/>
        </w:rPr>
        <w:noBreakHyphen/>
      </w:r>
      <w:r w:rsidRPr="00F91B73">
        <w:rPr>
          <w:szCs w:val="24"/>
        </w:rPr>
        <w:t>Indigenous service user for mainstream services. A cost differential is reported as a number to indicate the relative cost:</w:t>
      </w:r>
    </w:p>
    <w:p w:rsidR="009A7F87" w:rsidRPr="009D2760" w:rsidRDefault="009A7F87" w:rsidP="009A7F87">
      <w:pPr>
        <w:pStyle w:val="ListBullet"/>
      </w:pPr>
      <w:r w:rsidRPr="00F91B73">
        <w:rPr>
          <w:szCs w:val="24"/>
        </w:rPr>
        <w:t>a cost differential of 1.0 means there is no difference in the average cost of providing mainstream services to Aboriginal and Torres Strait Islander Australians and non</w:t>
      </w:r>
      <w:r>
        <w:rPr>
          <w:szCs w:val="24"/>
        </w:rPr>
        <w:noBreakHyphen/>
      </w:r>
      <w:r w:rsidRPr="00F91B73">
        <w:rPr>
          <w:szCs w:val="24"/>
        </w:rPr>
        <w:t>Indigenous Australians.</w:t>
      </w:r>
    </w:p>
    <w:p w:rsidR="009A7F87" w:rsidRPr="009D2760" w:rsidRDefault="009A7F87" w:rsidP="009A7F87">
      <w:pPr>
        <w:pStyle w:val="ListBullet"/>
      </w:pPr>
      <w:r w:rsidRPr="00F91B73">
        <w:rPr>
          <w:szCs w:val="24"/>
        </w:rPr>
        <w:t>a cost differential of 1.1 means the average cost of providing mainstream services to Aboriginal and Torres Strait Islander Australians is 10 per cent greater than for non</w:t>
      </w:r>
      <w:r w:rsidRPr="00F91B73">
        <w:rPr>
          <w:szCs w:val="24"/>
        </w:rPr>
        <w:noBreakHyphen/>
        <w:t>Indigenous Australians.</w:t>
      </w:r>
    </w:p>
    <w:p w:rsidR="009A7F87" w:rsidRPr="009D2760" w:rsidRDefault="009A7F87" w:rsidP="009A7F87">
      <w:pPr>
        <w:pStyle w:val="ListBullet"/>
      </w:pPr>
      <w:r w:rsidRPr="00F91B73">
        <w:rPr>
          <w:szCs w:val="24"/>
        </w:rPr>
        <w:t>a cost differential of 0.9 means the average cost of providing mainstream services is 10 per cent less for Aboriginal and Torres Strait Islander Australians than for non</w:t>
      </w:r>
      <w:r>
        <w:rPr>
          <w:szCs w:val="24"/>
        </w:rPr>
        <w:noBreakHyphen/>
      </w:r>
      <w:r w:rsidRPr="00F91B73">
        <w:rPr>
          <w:szCs w:val="24"/>
        </w:rPr>
        <w:t>Indigenous Australians.</w:t>
      </w:r>
    </w:p>
    <w:p w:rsidR="009A7F87" w:rsidRDefault="009A7F87" w:rsidP="009A7F87">
      <w:pPr>
        <w:pStyle w:val="Heading4"/>
        <w:rPr>
          <w:i/>
        </w:rPr>
      </w:pPr>
      <w:r>
        <w:rPr>
          <w:i/>
        </w:rPr>
        <w:t>Why would the cost of providing services be different for Aboriginal and Torres Strait Islander and non-Indigenous Australians?</w:t>
      </w:r>
    </w:p>
    <w:p w:rsidR="009A7F87" w:rsidRPr="00F91B73" w:rsidRDefault="009A7F87" w:rsidP="009A7F87">
      <w:pPr>
        <w:pStyle w:val="BodyText"/>
        <w:rPr>
          <w:szCs w:val="24"/>
        </w:rPr>
      </w:pPr>
      <w:r w:rsidRPr="00F91B73">
        <w:rPr>
          <w:i/>
          <w:szCs w:val="24"/>
        </w:rPr>
        <w:t>Location</w:t>
      </w:r>
      <w:r w:rsidRPr="00F91B73">
        <w:rPr>
          <w:szCs w:val="24"/>
        </w:rPr>
        <w:t xml:space="preserve"> is a major reason for differences in the service delivery cost for Aboriginal and Torres Strait Islander and non</w:t>
      </w:r>
      <w:r>
        <w:rPr>
          <w:szCs w:val="24"/>
        </w:rPr>
        <w:noBreakHyphen/>
      </w:r>
      <w:r w:rsidRPr="00F91B73">
        <w:rPr>
          <w:szCs w:val="24"/>
        </w:rPr>
        <w:t>Indigenous Australians. A higher proportion of Aboriginal and Torres Strait Islander Australians are located in geographically isolated areas, where the cost of providing government services may be greater.</w:t>
      </w:r>
    </w:p>
    <w:p w:rsidR="009A7F87" w:rsidRPr="00F91B73" w:rsidRDefault="009A7F87" w:rsidP="009A7F87">
      <w:pPr>
        <w:pStyle w:val="BodyText"/>
        <w:rPr>
          <w:szCs w:val="24"/>
        </w:rPr>
      </w:pPr>
      <w:r w:rsidRPr="00F91B73">
        <w:rPr>
          <w:i/>
          <w:szCs w:val="24"/>
        </w:rPr>
        <w:t>Tailoring services</w:t>
      </w:r>
      <w:r w:rsidRPr="00F91B73">
        <w:rPr>
          <w:szCs w:val="24"/>
        </w:rPr>
        <w:t xml:space="preserve"> to meet the needs of Aboriginal and Torres Strait Islander clients can contribute to a cost differential. Services may be tailored for people from diverse backgrounds, including Aboriginal and Torres Strait Islander Australians, so that they are </w:t>
      </w:r>
      <w:r w:rsidRPr="00F91B73">
        <w:rPr>
          <w:szCs w:val="24"/>
        </w:rPr>
        <w:lastRenderedPageBreak/>
        <w:t>culturally appropriate (for example, providing specific materials or services to cater for Aboriginal and Torres Strait Islander languages), resulting in additional costs.</w:t>
      </w:r>
    </w:p>
    <w:p w:rsidR="009A7F87" w:rsidRPr="00F91B73" w:rsidRDefault="009A7F87" w:rsidP="009A7F87">
      <w:pPr>
        <w:pStyle w:val="BodyText"/>
        <w:rPr>
          <w:szCs w:val="24"/>
        </w:rPr>
      </w:pPr>
      <w:r w:rsidRPr="00F91B73">
        <w:rPr>
          <w:i/>
          <w:szCs w:val="24"/>
        </w:rPr>
        <w:t>Different patterns of service use</w:t>
      </w:r>
      <w:r w:rsidRPr="00F91B73">
        <w:rPr>
          <w:szCs w:val="24"/>
        </w:rPr>
        <w:t xml:space="preserve"> within a GPC category may contribute to a cost differential. GPC categories used in the IER are broad, covering a range of services. Aboriginal and Torres Strait Islander clients may have different needs and require a different range of services that fall within a GPC category than non</w:t>
      </w:r>
      <w:r w:rsidRPr="00F91B73">
        <w:rPr>
          <w:szCs w:val="24"/>
        </w:rPr>
        <w:noBreakHyphen/>
        <w:t xml:space="preserve">Indigenous clients, affecting the case mix and costs for service providers. Service use measures in the IER are often the </w:t>
      </w:r>
      <w:r w:rsidRPr="00F91B73">
        <w:rPr>
          <w:i/>
          <w:szCs w:val="24"/>
        </w:rPr>
        <w:t>number of users of the service/s</w:t>
      </w:r>
      <w:r w:rsidRPr="00F91B73">
        <w:rPr>
          <w:szCs w:val="24"/>
        </w:rPr>
        <w:t xml:space="preserve"> covered by a GPC category. However, within a GPC category are a mix of services of varying costs, which Aboriginal and Torres Strait Islander and non</w:t>
      </w:r>
      <w:r>
        <w:rPr>
          <w:szCs w:val="24"/>
        </w:rPr>
        <w:noBreakHyphen/>
      </w:r>
      <w:r w:rsidRPr="00F91B73">
        <w:rPr>
          <w:szCs w:val="24"/>
        </w:rPr>
        <w:t>Indigenous clients use differently. This different detailed pattern of use within a GPC category may require the use of a cost</w:t>
      </w:r>
      <w:r>
        <w:rPr>
          <w:szCs w:val="24"/>
        </w:rPr>
        <w:noBreakHyphen/>
      </w:r>
      <w:r w:rsidRPr="00F91B73">
        <w:rPr>
          <w:szCs w:val="24"/>
        </w:rPr>
        <w:t>differential.</w:t>
      </w:r>
    </w:p>
    <w:p w:rsidR="009A7F87" w:rsidRPr="009D2760" w:rsidRDefault="009A7F87" w:rsidP="009A7F87">
      <w:pPr>
        <w:pStyle w:val="BodyText"/>
      </w:pPr>
      <w:r w:rsidRPr="00F91B73">
        <w:rPr>
          <w:szCs w:val="24"/>
        </w:rPr>
        <w:t>In remote areas there are generally fewer, less accessible, services compared to urban areas, and further distances to travel to access those services. This can affect the required case mix and need for culturally appropriate services.</w:t>
      </w:r>
    </w:p>
    <w:p w:rsidR="009A7F87" w:rsidRDefault="009A7F87" w:rsidP="009A7F87">
      <w:pPr>
        <w:pStyle w:val="Heading4"/>
        <w:rPr>
          <w:i/>
        </w:rPr>
      </w:pPr>
      <w:r>
        <w:rPr>
          <w:i/>
        </w:rPr>
        <w:t>How do I pick a cost differential?</w:t>
      </w:r>
    </w:p>
    <w:p w:rsidR="009A7F87" w:rsidRPr="00F91B73" w:rsidRDefault="009A7F87" w:rsidP="009A7F87">
      <w:pPr>
        <w:pStyle w:val="BodyText"/>
        <w:rPr>
          <w:szCs w:val="24"/>
        </w:rPr>
      </w:pPr>
      <w:r w:rsidRPr="00F91B73">
        <w:rPr>
          <w:szCs w:val="24"/>
        </w:rPr>
        <w:t>Generally, there is little evidence on cost differentials available, and it can be difficult to identify the magnitude of any differences in the cost of providing services to Aboriginal and Torres Strait Islander and non</w:t>
      </w:r>
      <w:r>
        <w:rPr>
          <w:szCs w:val="24"/>
        </w:rPr>
        <w:noBreakHyphen/>
      </w:r>
      <w:r w:rsidRPr="00F91B73">
        <w:rPr>
          <w:szCs w:val="24"/>
        </w:rPr>
        <w:t xml:space="preserve">Indigenous Australians without detailed analysis. </w:t>
      </w:r>
    </w:p>
    <w:p w:rsidR="009A7F87" w:rsidRDefault="009A7F87" w:rsidP="009A7F87">
      <w:pPr>
        <w:pStyle w:val="BodyText"/>
        <w:rPr>
          <w:szCs w:val="24"/>
        </w:rPr>
      </w:pPr>
      <w:r w:rsidRPr="00F91B73">
        <w:rPr>
          <w:szCs w:val="24"/>
        </w:rPr>
        <w:t>A jurisdiction can estimate its own cost differentials for each area service area, taking into account its own circumstances of providing government services and the data available for the jurisdiction. There are a various sources and methods for estimating cost differentials, including:</w:t>
      </w:r>
    </w:p>
    <w:p w:rsidR="009A7F87" w:rsidRPr="00F91B73" w:rsidRDefault="009A7F87" w:rsidP="009A7F87">
      <w:pPr>
        <w:pStyle w:val="ListBullet"/>
        <w:spacing w:line="320" w:lineRule="atLeast"/>
        <w:rPr>
          <w:szCs w:val="24"/>
        </w:rPr>
      </w:pPr>
      <w:r w:rsidRPr="00F91B73">
        <w:rPr>
          <w:szCs w:val="24"/>
        </w:rPr>
        <w:t>administrative data that link costs to Aboriginal and Torres Strait Islander/non</w:t>
      </w:r>
      <w:r>
        <w:rPr>
          <w:szCs w:val="24"/>
        </w:rPr>
        <w:noBreakHyphen/>
      </w:r>
      <w:r w:rsidRPr="00F91B73">
        <w:rPr>
          <w:szCs w:val="24"/>
        </w:rPr>
        <w:t>Indigenous users</w:t>
      </w:r>
    </w:p>
    <w:p w:rsidR="009A7F87" w:rsidRPr="00F91B73" w:rsidRDefault="009A7F87" w:rsidP="009A7F87">
      <w:pPr>
        <w:pStyle w:val="ListBullet"/>
        <w:spacing w:line="320" w:lineRule="atLeast"/>
        <w:rPr>
          <w:szCs w:val="24"/>
        </w:rPr>
      </w:pPr>
      <w:r w:rsidRPr="00F91B73">
        <w:rPr>
          <w:szCs w:val="24"/>
        </w:rPr>
        <w:t xml:space="preserve">government funding and/or policy settings </w:t>
      </w:r>
    </w:p>
    <w:p w:rsidR="009A7F87" w:rsidRPr="00F91B73" w:rsidRDefault="009A7F87" w:rsidP="009A7F87">
      <w:pPr>
        <w:pStyle w:val="ListBullet"/>
        <w:spacing w:line="320" w:lineRule="atLeast"/>
        <w:rPr>
          <w:szCs w:val="24"/>
        </w:rPr>
      </w:pPr>
      <w:r w:rsidRPr="00F91B73">
        <w:rPr>
          <w:szCs w:val="24"/>
        </w:rPr>
        <w:t>studies/analysis of service delivery cost drivers</w:t>
      </w:r>
    </w:p>
    <w:p w:rsidR="009A7F87" w:rsidRPr="00F91B73" w:rsidRDefault="009A7F87" w:rsidP="009A7F87">
      <w:pPr>
        <w:pStyle w:val="ListBullet"/>
        <w:spacing w:line="320" w:lineRule="atLeast"/>
        <w:rPr>
          <w:szCs w:val="24"/>
        </w:rPr>
      </w:pPr>
      <w:r w:rsidRPr="00F91B73">
        <w:rPr>
          <w:szCs w:val="24"/>
        </w:rPr>
        <w:t>proxies using cost differential information from similar exercises</w:t>
      </w:r>
    </w:p>
    <w:p w:rsidR="009A7F87" w:rsidRPr="00F91B73" w:rsidRDefault="009A7F87" w:rsidP="009A7F87">
      <w:pPr>
        <w:pStyle w:val="ListBullet"/>
        <w:spacing w:line="320" w:lineRule="atLeast"/>
        <w:rPr>
          <w:szCs w:val="24"/>
        </w:rPr>
      </w:pPr>
      <w:r w:rsidRPr="00F91B73">
        <w:rPr>
          <w:szCs w:val="24"/>
        </w:rPr>
        <w:t>proxies using cost differential information from similar services</w:t>
      </w:r>
    </w:p>
    <w:p w:rsidR="009A7F87" w:rsidRPr="009D2760" w:rsidRDefault="009A7F87" w:rsidP="009A7F87">
      <w:pPr>
        <w:pStyle w:val="ListBullet"/>
      </w:pPr>
      <w:r w:rsidRPr="00F91B73">
        <w:rPr>
          <w:szCs w:val="24"/>
        </w:rPr>
        <w:t>seeking expert opinion.</w:t>
      </w:r>
    </w:p>
    <w:p w:rsidR="009A7F87" w:rsidRDefault="009A7F87" w:rsidP="009A7F87">
      <w:pPr>
        <w:pStyle w:val="BodyText"/>
        <w:rPr>
          <w:szCs w:val="24"/>
        </w:rPr>
      </w:pPr>
      <w:r w:rsidRPr="00F91B73">
        <w:rPr>
          <w:szCs w:val="24"/>
        </w:rPr>
        <w:t>Cost differentials should reflect factors such as location and culturally appropriate service delivery, based on the population distribution within each jurisdiction. Cost differentials should not reflect differences in overall service use for a GPC category, as this is captured by the service use measure.</w:t>
      </w:r>
    </w:p>
    <w:p w:rsidR="009A7F87" w:rsidRDefault="009A7F87" w:rsidP="009A7F87">
      <w:pPr>
        <w:pStyle w:val="Heading4"/>
        <w:rPr>
          <w:i/>
        </w:rPr>
      </w:pPr>
      <w:r>
        <w:rPr>
          <w:i/>
        </w:rPr>
        <w:lastRenderedPageBreak/>
        <w:t>How are cost differentials used in the IER?</w:t>
      </w:r>
    </w:p>
    <w:p w:rsidR="009A7F87" w:rsidRDefault="009A7F87" w:rsidP="009A7F87">
      <w:pPr>
        <w:pStyle w:val="BodyText"/>
        <w:rPr>
          <w:szCs w:val="24"/>
        </w:rPr>
      </w:pPr>
      <w:r w:rsidRPr="00F91B73">
        <w:rPr>
          <w:szCs w:val="24"/>
        </w:rPr>
        <w:t>Cost differentials are used to estimate the Aboriginal and Torres Strait Islander share of mainstream expenditure. Cost differentials are collected for each GPC expenditure category and then applied to mainstream expenditure in estimating the Aboriginal and Torres Strait Islander share of mainstream expenditure.</w:t>
      </w:r>
    </w:p>
    <w:p w:rsidR="009A7F87" w:rsidRDefault="009A7F87" w:rsidP="009A7F87">
      <w:pPr>
        <w:pStyle w:val="BodyText"/>
        <w:rPr>
          <w:szCs w:val="24"/>
        </w:rPr>
      </w:pPr>
      <w:r>
        <w:rPr>
          <w:szCs w:val="24"/>
        </w:rPr>
        <w:t>Default assumptions:</w:t>
      </w:r>
    </w:p>
    <w:p w:rsidR="009A7F87" w:rsidRPr="009D2760" w:rsidRDefault="009A7F87" w:rsidP="009A7F87">
      <w:pPr>
        <w:pStyle w:val="ListBullet"/>
      </w:pPr>
      <w:r w:rsidRPr="00F91B73">
        <w:rPr>
          <w:szCs w:val="24"/>
        </w:rPr>
        <w:t xml:space="preserve">In the absence of evidence to support a cost differential, the IER assumes that there is </w:t>
      </w:r>
      <w:r w:rsidRPr="00F91B73">
        <w:rPr>
          <w:szCs w:val="24"/>
          <w:u w:val="single"/>
        </w:rPr>
        <w:t>no cost differential</w:t>
      </w:r>
      <w:r w:rsidRPr="00F91B73">
        <w:rPr>
          <w:szCs w:val="24"/>
        </w:rPr>
        <w:t xml:space="preserve"> for mainstream services where there is no strong conceptual basis to suggest that there is a difference between the average cost of providing services to Aboriginal and Torres Strait Islander and non</w:t>
      </w:r>
      <w:r>
        <w:rPr>
          <w:szCs w:val="24"/>
        </w:rPr>
        <w:noBreakHyphen/>
      </w:r>
      <w:r w:rsidRPr="00F91B73">
        <w:rPr>
          <w:szCs w:val="24"/>
        </w:rPr>
        <w:t>Indigenous Australians (cost differential equals 1.0). A majority of jurisdictions use a cost differential of 1.0 for all GPC codes.</w:t>
      </w:r>
    </w:p>
    <w:p w:rsidR="009A7F87" w:rsidRPr="009D2760" w:rsidRDefault="009A7F87" w:rsidP="009A7F87">
      <w:pPr>
        <w:pStyle w:val="ListBullet"/>
      </w:pPr>
      <w:r w:rsidRPr="00F91B73">
        <w:rPr>
          <w:szCs w:val="24"/>
        </w:rPr>
        <w:t xml:space="preserve">The IER method allows a cost differential of </w:t>
      </w:r>
      <w:r w:rsidRPr="00F91B73">
        <w:rPr>
          <w:szCs w:val="24"/>
          <w:u w:val="single"/>
        </w:rPr>
        <w:t xml:space="preserve">up to 10 per cent </w:t>
      </w:r>
      <w:r w:rsidRPr="00F91B73">
        <w:rPr>
          <w:szCs w:val="24"/>
        </w:rPr>
        <w:t>for those mainstream services where there is a conceptual basis to assume a cost differential, but the jurisdiction has been unable to provide data or evidence. In these cases, it is assumed that the average cost of providing mainstream services is up to 10 per cent greater for Aboriginal and Torres Strait Islander Australians than for non</w:t>
      </w:r>
      <w:r>
        <w:rPr>
          <w:szCs w:val="24"/>
        </w:rPr>
        <w:noBreakHyphen/>
      </w:r>
      <w:r w:rsidRPr="00F91B73">
        <w:rPr>
          <w:szCs w:val="24"/>
        </w:rPr>
        <w:t>Indigenous Australians (that is, the cost differential is 1.1).</w:t>
      </w:r>
    </w:p>
    <w:p w:rsidR="009A7F87" w:rsidRDefault="009A7F87" w:rsidP="009A7F87">
      <w:pPr>
        <w:pStyle w:val="Heading4"/>
        <w:rPr>
          <w:i/>
        </w:rPr>
      </w:pPr>
      <w:r>
        <w:rPr>
          <w:i/>
        </w:rPr>
        <w:t>Why do I need to report values for low, most likely and high?</w:t>
      </w:r>
    </w:p>
    <w:p w:rsidR="009A7F87" w:rsidRPr="00F91B73" w:rsidRDefault="009A7F87" w:rsidP="009A7F87">
      <w:pPr>
        <w:pStyle w:val="BodyText"/>
        <w:rPr>
          <w:szCs w:val="24"/>
        </w:rPr>
      </w:pPr>
      <w:r w:rsidRPr="00F91B73">
        <w:rPr>
          <w:szCs w:val="24"/>
        </w:rPr>
        <w:t xml:space="preserve">The IER collects data on low, most likely and high cost differential values to allow for sensitivity testing of Indigenous expenditure estimates. Currently, the IER model uses only the </w:t>
      </w:r>
      <w:r w:rsidRPr="00F91B73">
        <w:rPr>
          <w:i/>
          <w:szCs w:val="24"/>
        </w:rPr>
        <w:t>most likely</w:t>
      </w:r>
      <w:r w:rsidRPr="00F91B73">
        <w:rPr>
          <w:szCs w:val="24"/>
        </w:rPr>
        <w:t xml:space="preserve"> value in estimating the Aboriginal and Torres Strait Islander share of mainstream expenditure. The low and high vales continue to be collected to allow for sensitivity analysis to be performed in future.</w:t>
      </w:r>
    </w:p>
    <w:p w:rsidR="009A7F87" w:rsidRPr="009D2760" w:rsidRDefault="009A7F87" w:rsidP="009A7F87">
      <w:pPr>
        <w:pStyle w:val="BodyText"/>
      </w:pPr>
      <w:r w:rsidRPr="00F91B73">
        <w:rPr>
          <w:szCs w:val="24"/>
        </w:rPr>
        <w:t>The ‘high’ and ‘low’ estimates should be selected such that you are 90 per cent confident that the true value falls between them. The ‘most likely’ estimate may or may not be the midpoint between these estimates.</w:t>
      </w:r>
    </w:p>
    <w:p w:rsidR="009A7F87" w:rsidRPr="00120ED8" w:rsidRDefault="009A7F87" w:rsidP="009A7F87">
      <w:pPr>
        <w:pStyle w:val="ListBullet"/>
        <w:numPr>
          <w:ilvl w:val="0"/>
          <w:numId w:val="0"/>
        </w:numPr>
        <w:ind w:left="340"/>
      </w:pPr>
    </w:p>
    <w:p w:rsidR="009A7F87" w:rsidRDefault="009A7F87" w:rsidP="009A7F87">
      <w:pPr>
        <w:sectPr w:rsidR="009A7F87" w:rsidSect="009A7F87">
          <w:headerReference w:type="even" r:id="rId47"/>
          <w:headerReference w:type="default" r:id="rId48"/>
          <w:footerReference w:type="even" r:id="rId49"/>
          <w:footerReference w:type="default" r:id="rId50"/>
          <w:footnotePr>
            <w:numRestart w:val="eachSect"/>
          </w:footnotePr>
          <w:type w:val="oddPage"/>
          <w:pgSz w:w="11907" w:h="16840" w:code="9"/>
          <w:pgMar w:top="1985" w:right="1304" w:bottom="1247" w:left="1814" w:header="1701" w:footer="397" w:gutter="0"/>
          <w:pgNumType w:chapSep="period"/>
          <w:cols w:space="720"/>
          <w:docGrid w:linePitch="326"/>
        </w:sectPr>
      </w:pPr>
    </w:p>
    <w:p w:rsidR="009A7F87" w:rsidRDefault="009A7F87" w:rsidP="009A7F87">
      <w:pPr>
        <w:pStyle w:val="Heading1"/>
        <w:spacing w:before="0"/>
      </w:pPr>
      <w:r>
        <w:lastRenderedPageBreak/>
        <w:t>6</w:t>
      </w:r>
      <w:r>
        <w:tab/>
        <w:t>Indigenous specific expenditure</w:t>
      </w:r>
    </w:p>
    <w:p w:rsidR="009A7F87" w:rsidRPr="00F91B73" w:rsidRDefault="009A7F87" w:rsidP="009A7F87">
      <w:pPr>
        <w:pStyle w:val="BodyText"/>
        <w:rPr>
          <w:szCs w:val="24"/>
        </w:rPr>
      </w:pPr>
      <w:r w:rsidRPr="00F91B73">
        <w:rPr>
          <w:szCs w:val="24"/>
        </w:rPr>
        <w:t xml:space="preserve">An overview of the Steering Committee’s approach to prorating mainstream expenditure between </w:t>
      </w:r>
      <w:r>
        <w:rPr>
          <w:szCs w:val="24"/>
        </w:rPr>
        <w:t xml:space="preserve">services received by Aboriginal and Torres Strait Islander and </w:t>
      </w:r>
      <w:r w:rsidRPr="00F91B73">
        <w:rPr>
          <w:szCs w:val="24"/>
        </w:rPr>
        <w:t>non</w:t>
      </w:r>
      <w:r w:rsidRPr="00F91B73">
        <w:rPr>
          <w:szCs w:val="24"/>
        </w:rPr>
        <w:noBreakHyphen/>
        <w:t xml:space="preserve">Indigenous </w:t>
      </w:r>
      <w:r>
        <w:rPr>
          <w:szCs w:val="24"/>
        </w:rPr>
        <w:t>Australians</w:t>
      </w:r>
      <w:r w:rsidRPr="00F91B73">
        <w:rPr>
          <w:szCs w:val="24"/>
        </w:rPr>
        <w:t xml:space="preserve"> is provided in chapter 2.</w:t>
      </w:r>
      <w:r w:rsidRPr="00F91B73">
        <w:rPr>
          <w:rStyle w:val="FootnoteReference"/>
          <w:szCs w:val="24"/>
        </w:rPr>
        <w:footnoteReference w:id="10"/>
      </w:r>
    </w:p>
    <w:p w:rsidR="009A7F87" w:rsidRDefault="009A7F87" w:rsidP="00120072">
      <w:pPr>
        <w:pStyle w:val="BodyText"/>
        <w:rPr>
          <w:szCs w:val="24"/>
        </w:rPr>
      </w:pPr>
      <w:r w:rsidRPr="00F91B73">
        <w:rPr>
          <w:szCs w:val="24"/>
        </w:rPr>
        <w:t>Service use measures are used to identify the Aboriginal and Torres Strait Islander share of expenditure:</w:t>
      </w:r>
    </w:p>
    <w:tbl>
      <w:tblPr>
        <w:tblW w:w="8460" w:type="dxa"/>
        <w:tblInd w:w="360" w:type="dxa"/>
        <w:tblLayout w:type="fixed"/>
        <w:tblCellMar>
          <w:left w:w="0" w:type="dxa"/>
          <w:right w:w="0" w:type="dxa"/>
        </w:tblCellMar>
        <w:tblLook w:val="01E0" w:firstRow="1" w:lastRow="1" w:firstColumn="1" w:lastColumn="1" w:noHBand="0" w:noVBand="0"/>
      </w:tblPr>
      <w:tblGrid>
        <w:gridCol w:w="2475"/>
        <w:gridCol w:w="455"/>
        <w:gridCol w:w="2097"/>
        <w:gridCol w:w="283"/>
        <w:gridCol w:w="1843"/>
        <w:gridCol w:w="1307"/>
      </w:tblGrid>
      <w:tr w:rsidR="009A7F87" w:rsidRPr="00770229" w:rsidTr="009A7F87">
        <w:tc>
          <w:tcPr>
            <w:tcW w:w="2475" w:type="dxa"/>
            <w:shd w:val="clear" w:color="auto" w:fill="auto"/>
            <w:vAlign w:val="center"/>
          </w:tcPr>
          <w:p w:rsidR="009A7F87" w:rsidRPr="00770229" w:rsidRDefault="009A7F87" w:rsidP="009A7F87">
            <w:pPr>
              <w:pStyle w:val="TableBodyText"/>
              <w:spacing w:before="120"/>
              <w:jc w:val="center"/>
              <w:rPr>
                <w:i/>
              </w:rPr>
            </w:pPr>
            <w:r w:rsidRPr="00770229">
              <w:rPr>
                <w:i/>
              </w:rPr>
              <w:t xml:space="preserve">Aboriginal and Torres Strait Islander share of mainstream </w:t>
            </w:r>
            <w:r w:rsidRPr="00770229">
              <w:rPr>
                <w:i/>
              </w:rPr>
              <w:br/>
              <w:t>expenditure</w:t>
            </w:r>
          </w:p>
        </w:tc>
        <w:tc>
          <w:tcPr>
            <w:tcW w:w="455" w:type="dxa"/>
            <w:shd w:val="clear" w:color="auto" w:fill="auto"/>
            <w:vAlign w:val="center"/>
          </w:tcPr>
          <w:p w:rsidR="009A7F87" w:rsidRPr="00770229" w:rsidRDefault="009A7F87" w:rsidP="009A7F87">
            <w:pPr>
              <w:pStyle w:val="TableBodyText"/>
              <w:spacing w:before="120"/>
              <w:jc w:val="center"/>
              <w:rPr>
                <w:sz w:val="48"/>
                <w:szCs w:val="48"/>
              </w:rPr>
            </w:pPr>
            <w:r w:rsidRPr="00770229">
              <w:rPr>
                <w:sz w:val="48"/>
                <w:szCs w:val="48"/>
              </w:rPr>
              <w:t>=</w:t>
            </w:r>
          </w:p>
        </w:tc>
        <w:tc>
          <w:tcPr>
            <w:tcW w:w="2097" w:type="dxa"/>
            <w:shd w:val="clear" w:color="auto" w:fill="auto"/>
            <w:vAlign w:val="center"/>
          </w:tcPr>
          <w:p w:rsidR="009A7F87" w:rsidRPr="00770229" w:rsidRDefault="009A7F87" w:rsidP="009A7F87">
            <w:pPr>
              <w:pStyle w:val="TableBodyText"/>
              <w:spacing w:before="120"/>
              <w:jc w:val="center"/>
            </w:pPr>
            <w:r w:rsidRPr="00770229">
              <w:rPr>
                <w:i/>
              </w:rPr>
              <w:t>Total mainstream expenditure</w:t>
            </w:r>
          </w:p>
        </w:tc>
        <w:tc>
          <w:tcPr>
            <w:tcW w:w="283" w:type="dxa"/>
            <w:shd w:val="clear" w:color="auto" w:fill="auto"/>
            <w:vAlign w:val="center"/>
          </w:tcPr>
          <w:p w:rsidR="009A7F87" w:rsidRPr="00770229" w:rsidRDefault="009A7F87" w:rsidP="009A7F87">
            <w:pPr>
              <w:pStyle w:val="TableBodyText"/>
              <w:spacing w:before="120"/>
              <w:jc w:val="center"/>
              <w:rPr>
                <w:sz w:val="48"/>
                <w:szCs w:val="48"/>
              </w:rPr>
            </w:pPr>
            <w:r w:rsidRPr="00770229">
              <w:rPr>
                <w:sz w:val="48"/>
                <w:szCs w:val="48"/>
              </w:rPr>
              <w:t>×</w:t>
            </w:r>
          </w:p>
        </w:tc>
        <w:tc>
          <w:tcPr>
            <w:tcW w:w="1843" w:type="dxa"/>
            <w:shd w:val="clear" w:color="auto" w:fill="auto"/>
            <w:vAlign w:val="center"/>
          </w:tcPr>
          <w:p w:rsidR="009A7F87" w:rsidRPr="00770229" w:rsidRDefault="009A7F87" w:rsidP="009A7F87">
            <w:pPr>
              <w:pStyle w:val="TableBodyText"/>
              <w:spacing w:before="120"/>
              <w:jc w:val="center"/>
            </w:pPr>
            <w:r w:rsidRPr="00770229">
              <w:rPr>
                <w:i/>
              </w:rPr>
              <w:t xml:space="preserve">Service </w:t>
            </w:r>
            <w:r w:rsidRPr="00770229">
              <w:rPr>
                <w:i/>
              </w:rPr>
              <w:br/>
              <w:t xml:space="preserve">use </w:t>
            </w:r>
            <w:r w:rsidRPr="00770229">
              <w:rPr>
                <w:i/>
              </w:rPr>
              <w:br/>
              <w:t>measure</w:t>
            </w:r>
          </w:p>
        </w:tc>
        <w:tc>
          <w:tcPr>
            <w:tcW w:w="1307" w:type="dxa"/>
            <w:shd w:val="clear" w:color="auto" w:fill="auto"/>
            <w:vAlign w:val="center"/>
          </w:tcPr>
          <w:p w:rsidR="009A7F87" w:rsidRPr="00770229" w:rsidRDefault="009A7F87" w:rsidP="009A7F87">
            <w:pPr>
              <w:pStyle w:val="TableBodyText"/>
              <w:spacing w:before="120"/>
              <w:ind w:right="0"/>
              <w:rPr>
                <w:rFonts w:ascii="Times New Roman" w:hAnsi="Times New Roman"/>
                <w:sz w:val="26"/>
              </w:rPr>
            </w:pPr>
            <w:r w:rsidRPr="00770229">
              <w:rPr>
                <w:rFonts w:ascii="Times New Roman" w:hAnsi="Times New Roman"/>
                <w:sz w:val="26"/>
              </w:rPr>
              <w:t>[1]</w:t>
            </w:r>
          </w:p>
        </w:tc>
      </w:tr>
    </w:tbl>
    <w:p w:rsidR="009A7F87" w:rsidRDefault="009A7F87" w:rsidP="00120072">
      <w:pPr>
        <w:pStyle w:val="BodyText"/>
        <w:rPr>
          <w:szCs w:val="24"/>
        </w:rPr>
      </w:pPr>
      <w:r w:rsidRPr="00F91B73">
        <w:rPr>
          <w:szCs w:val="24"/>
        </w:rPr>
        <w:t>The approach in equation [1] is extended to recognise that the service use measure might need to be adjusted for:</w:t>
      </w:r>
    </w:p>
    <w:p w:rsidR="009A7F87" w:rsidRPr="00461457" w:rsidRDefault="009A7F87" w:rsidP="009A7F87">
      <w:pPr>
        <w:pStyle w:val="ListBullet"/>
      </w:pPr>
      <w:r>
        <w:rPr>
          <w:i/>
        </w:rPr>
        <w:t>Indigenous under-identification</w:t>
      </w:r>
      <w:r>
        <w:t xml:space="preserve"> — the </w:t>
      </w:r>
      <w:r w:rsidRPr="00F91B73">
        <w:rPr>
          <w:szCs w:val="24"/>
        </w:rPr>
        <w:t xml:space="preserve">degree to which </w:t>
      </w:r>
      <w:r>
        <w:rPr>
          <w:szCs w:val="24"/>
        </w:rPr>
        <w:t xml:space="preserve">the </w:t>
      </w:r>
      <w:r w:rsidRPr="00F91B73">
        <w:rPr>
          <w:szCs w:val="24"/>
        </w:rPr>
        <w:t xml:space="preserve">Aboriginal and Torres Strait Islander </w:t>
      </w:r>
      <w:r>
        <w:rPr>
          <w:szCs w:val="24"/>
        </w:rPr>
        <w:t xml:space="preserve">status of </w:t>
      </w:r>
      <w:r w:rsidRPr="00F91B73">
        <w:rPr>
          <w:szCs w:val="24"/>
        </w:rPr>
        <w:t xml:space="preserve">service users </w:t>
      </w:r>
      <w:r>
        <w:rPr>
          <w:szCs w:val="24"/>
        </w:rPr>
        <w:t>is</w:t>
      </w:r>
      <w:r w:rsidRPr="00F91B73">
        <w:rPr>
          <w:szCs w:val="24"/>
        </w:rPr>
        <w:t xml:space="preserve"> not correctly identified or recorded in data collections</w:t>
      </w:r>
    </w:p>
    <w:p w:rsidR="009A7F87" w:rsidRPr="00461457" w:rsidRDefault="009A7F87" w:rsidP="009A7F87">
      <w:pPr>
        <w:pStyle w:val="ListBullet"/>
      </w:pPr>
      <w:r>
        <w:rPr>
          <w:i/>
        </w:rPr>
        <w:t xml:space="preserve">Indigenous cost differential </w:t>
      </w:r>
      <w:r>
        <w:t xml:space="preserve">— </w:t>
      </w:r>
      <w:r w:rsidRPr="00F91B73">
        <w:rPr>
          <w:szCs w:val="24"/>
        </w:rPr>
        <w:t>to account for the fact that the average cost of providing a government service to Aboriginal and Torres Strait Islander Australians may be more/less than the cost of providing the same service to non</w:t>
      </w:r>
      <w:r w:rsidRPr="00F91B73">
        <w:rPr>
          <w:szCs w:val="24"/>
        </w:rPr>
        <w:noBreakHyphen/>
        <w:t>Indigenous Australians</w:t>
      </w:r>
    </w:p>
    <w:p w:rsidR="009A7F87" w:rsidRPr="00461457" w:rsidRDefault="009A7F87" w:rsidP="009A7F87">
      <w:pPr>
        <w:pStyle w:val="ListBullet"/>
      </w:pPr>
      <w:r>
        <w:rPr>
          <w:i/>
        </w:rPr>
        <w:t xml:space="preserve">use of substitute </w:t>
      </w:r>
      <w:r w:rsidRPr="00F91B73">
        <w:rPr>
          <w:i/>
          <w:szCs w:val="24"/>
        </w:rPr>
        <w:t>Indigenous specific services</w:t>
      </w:r>
      <w:r w:rsidRPr="00F91B73">
        <w:rPr>
          <w:szCs w:val="24"/>
        </w:rPr>
        <w:t xml:space="preserve"> — the degree to which the service use measure includes users of substitute Indigenous specific services</w:t>
      </w:r>
      <w:r>
        <w:rPr>
          <w:szCs w:val="24"/>
        </w:rPr>
        <w:t>.</w:t>
      </w:r>
    </w:p>
    <w:p w:rsidR="009A7F87" w:rsidRDefault="009A7F87" w:rsidP="009A7F87">
      <w:pPr>
        <w:pStyle w:val="BodyText"/>
        <w:rPr>
          <w:szCs w:val="24"/>
        </w:rPr>
      </w:pPr>
      <w:r w:rsidRPr="00F91B73">
        <w:rPr>
          <w:szCs w:val="24"/>
        </w:rPr>
        <w:t>A detailed definition of Indigenous specific expenditure is provided in chapter</w:t>
      </w:r>
      <w:r>
        <w:rPr>
          <w:szCs w:val="24"/>
        </w:rPr>
        <w:t> </w:t>
      </w:r>
      <w:r w:rsidRPr="00F91B73">
        <w:rPr>
          <w:szCs w:val="24"/>
        </w:rPr>
        <w:t>3 of the 201</w:t>
      </w:r>
      <w:r>
        <w:rPr>
          <w:szCs w:val="24"/>
        </w:rPr>
        <w:t>7</w:t>
      </w:r>
      <w:r w:rsidRPr="00F91B73">
        <w:rPr>
          <w:szCs w:val="24"/>
        </w:rPr>
        <w:t xml:space="preserve"> Report </w:t>
      </w:r>
      <w:r w:rsidRPr="00F91B73">
        <w:rPr>
          <w:i/>
          <w:szCs w:val="24"/>
        </w:rPr>
        <w:t>Expenditure Data Manual.</w:t>
      </w:r>
      <w:r w:rsidRPr="00F91B73">
        <w:rPr>
          <w:rStyle w:val="FootnoteReference"/>
          <w:szCs w:val="24"/>
        </w:rPr>
        <w:footnoteReference w:id="11"/>
      </w:r>
      <w:r w:rsidRPr="00F91B73">
        <w:rPr>
          <w:szCs w:val="24"/>
        </w:rPr>
        <w:t xml:space="preserve"> Chapter</w:t>
      </w:r>
      <w:r>
        <w:rPr>
          <w:szCs w:val="24"/>
        </w:rPr>
        <w:t> </w:t>
      </w:r>
      <w:r w:rsidRPr="00F91B73">
        <w:rPr>
          <w:szCs w:val="24"/>
        </w:rPr>
        <w:t>3 of the 201</w:t>
      </w:r>
      <w:r>
        <w:rPr>
          <w:szCs w:val="24"/>
        </w:rPr>
        <w:t>7</w:t>
      </w:r>
      <w:r w:rsidRPr="00F91B73">
        <w:rPr>
          <w:szCs w:val="24"/>
        </w:rPr>
        <w:t xml:space="preserve"> Report </w:t>
      </w:r>
      <w:r w:rsidRPr="00F91B73">
        <w:rPr>
          <w:i/>
          <w:szCs w:val="24"/>
        </w:rPr>
        <w:t>Expenditure Data Manual</w:t>
      </w:r>
      <w:r w:rsidRPr="00F91B73">
        <w:rPr>
          <w:szCs w:val="24"/>
        </w:rPr>
        <w:t xml:space="preserve"> also includes frequently asked questions about Indigenous specific and mainstream expenditure.</w:t>
      </w:r>
    </w:p>
    <w:p w:rsidR="009A7F87" w:rsidRDefault="009A7F87" w:rsidP="009A7F87">
      <w:pPr>
        <w:pStyle w:val="BodyText"/>
        <w:rPr>
          <w:szCs w:val="24"/>
        </w:rPr>
      </w:pPr>
      <w:r w:rsidRPr="00F91B73">
        <w:rPr>
          <w:szCs w:val="24"/>
        </w:rPr>
        <w:t>This chapter focuses on the concepts, sources and methods used to adjust measures of service use to account for Aboriginal and Torres Strait Islander and non</w:t>
      </w:r>
      <w:r w:rsidRPr="00F91B73">
        <w:rPr>
          <w:szCs w:val="24"/>
        </w:rPr>
        <w:noBreakHyphen/>
        <w:t>Indigenous use of Indigenous specific programs, services and payments.</w:t>
      </w:r>
    </w:p>
    <w:p w:rsidR="009A7F87" w:rsidRDefault="009A7F87" w:rsidP="009A7F87">
      <w:pPr>
        <w:pStyle w:val="BodyText"/>
        <w:rPr>
          <w:szCs w:val="24"/>
        </w:rPr>
      </w:pPr>
      <w:r w:rsidRPr="00F91B73">
        <w:rPr>
          <w:szCs w:val="24"/>
        </w:rPr>
        <w:t>An overview of the concepts is provided in section</w:t>
      </w:r>
      <w:r>
        <w:rPr>
          <w:szCs w:val="24"/>
        </w:rPr>
        <w:t> </w:t>
      </w:r>
      <w:r w:rsidRPr="00F91B73">
        <w:rPr>
          <w:szCs w:val="24"/>
        </w:rPr>
        <w:t>6.1. Section</w:t>
      </w:r>
      <w:r>
        <w:rPr>
          <w:szCs w:val="24"/>
        </w:rPr>
        <w:t> </w:t>
      </w:r>
      <w:r w:rsidRPr="00F91B73">
        <w:rPr>
          <w:szCs w:val="24"/>
        </w:rPr>
        <w:t>6.2 discusses the data sources and estimation methods used for the Indigenous Expenditure Report.</w:t>
      </w:r>
    </w:p>
    <w:p w:rsidR="009A7F87" w:rsidRDefault="009A7F87" w:rsidP="009A7F87">
      <w:pPr>
        <w:pStyle w:val="Heading2"/>
      </w:pPr>
      <w:r>
        <w:lastRenderedPageBreak/>
        <w:t>6.</w:t>
      </w:r>
      <w:r>
        <w:rPr>
          <w:noProof/>
        </w:rPr>
        <w:t>1</w:t>
      </w:r>
      <w:r>
        <w:tab/>
      </w:r>
      <w:r w:rsidRPr="00770229">
        <w:t>Indigenous specific expenditure concepts</w:t>
      </w:r>
    </w:p>
    <w:p w:rsidR="009A7F87" w:rsidRPr="00F91B73" w:rsidRDefault="009A7F87" w:rsidP="009A7F87">
      <w:pPr>
        <w:pStyle w:val="BodyText"/>
        <w:rPr>
          <w:szCs w:val="24"/>
        </w:rPr>
      </w:pPr>
      <w:r w:rsidRPr="00F91B73">
        <w:rPr>
          <w:szCs w:val="24"/>
        </w:rPr>
        <w:t>A detailed definition of Indigenous specific expenditure is provided in chapter 3 of the 201</w:t>
      </w:r>
      <w:r>
        <w:rPr>
          <w:szCs w:val="24"/>
        </w:rPr>
        <w:t>7 </w:t>
      </w:r>
      <w:r w:rsidRPr="00F91B73">
        <w:rPr>
          <w:szCs w:val="24"/>
        </w:rPr>
        <w:t xml:space="preserve">Report </w:t>
      </w:r>
      <w:r w:rsidRPr="00F91B73">
        <w:rPr>
          <w:i/>
          <w:szCs w:val="24"/>
        </w:rPr>
        <w:t>Expenditure Data Manual</w:t>
      </w:r>
      <w:r w:rsidRPr="00F91B73">
        <w:rPr>
          <w:szCs w:val="24"/>
        </w:rPr>
        <w:t>. The manual states that Indigenous specific programs, services and payments are explicitly targeted to Aboriginal and Torres Strait Islander Australians.</w:t>
      </w:r>
      <w:r w:rsidRPr="00F91B73">
        <w:rPr>
          <w:rStyle w:val="FootnoteReference"/>
          <w:szCs w:val="24"/>
        </w:rPr>
        <w:footnoteReference w:id="12"/>
      </w:r>
    </w:p>
    <w:p w:rsidR="009A7F87" w:rsidRPr="00F91B73" w:rsidRDefault="009A7F87" w:rsidP="009A7F87">
      <w:pPr>
        <w:pStyle w:val="RecBNoTitle"/>
        <w:rPr>
          <w:szCs w:val="24"/>
        </w:rPr>
      </w:pPr>
      <w:r w:rsidRPr="00F91B73">
        <w:rPr>
          <w:szCs w:val="24"/>
        </w:rPr>
        <w:t>Indigenous specific expenditure is ‘expenditure on programs, services and payments that are explicitly targeted to Aboriginal and Torres Strait Islander Australians’.</w:t>
      </w:r>
    </w:p>
    <w:p w:rsidR="009A7F87" w:rsidRDefault="009A7F87" w:rsidP="009A7F87">
      <w:pPr>
        <w:pStyle w:val="BodyText"/>
        <w:rPr>
          <w:szCs w:val="24"/>
        </w:rPr>
      </w:pPr>
      <w:r w:rsidRPr="00F91B73">
        <w:rPr>
          <w:szCs w:val="24"/>
        </w:rPr>
        <w:t>The service use measure needs to be adjusted where participants of a substitute Indigenous specific program, service or payment are counted as a mainstream service user. This may occur in the following circumstance:</w:t>
      </w:r>
    </w:p>
    <w:p w:rsidR="009A7F87" w:rsidRPr="00461457" w:rsidRDefault="009A7F87" w:rsidP="009A7F87">
      <w:pPr>
        <w:pStyle w:val="ListBullet"/>
      </w:pPr>
      <w:r>
        <w:rPr>
          <w:i/>
        </w:rPr>
        <w:t xml:space="preserve">the service use measure only accounts for total service users </w:t>
      </w:r>
      <w:r>
        <w:t xml:space="preserve">— </w:t>
      </w:r>
      <w:r w:rsidRPr="00F91B73">
        <w:rPr>
          <w:szCs w:val="24"/>
        </w:rPr>
        <w:t>which may include Indigenous specific programs, services and payments</w:t>
      </w:r>
    </w:p>
    <w:p w:rsidR="009A7F87" w:rsidRPr="00F91B73" w:rsidRDefault="009A7F87" w:rsidP="009A7F87">
      <w:pPr>
        <w:pStyle w:val="RecBNoTitle"/>
        <w:rPr>
          <w:szCs w:val="24"/>
        </w:rPr>
      </w:pPr>
      <w:r w:rsidRPr="00F91B73">
        <w:rPr>
          <w:szCs w:val="24"/>
        </w:rPr>
        <w:t>The service use measure needs to be adjusted where participants of a substitute Indigenous specific program, service or payment are counted as a mainstream service user.</w:t>
      </w:r>
    </w:p>
    <w:p w:rsidR="009A7F87" w:rsidRDefault="009A7F87" w:rsidP="009A7F87">
      <w:pPr>
        <w:pStyle w:val="BodyText"/>
        <w:rPr>
          <w:szCs w:val="24"/>
        </w:rPr>
      </w:pPr>
      <w:r w:rsidRPr="00F91B73">
        <w:rPr>
          <w:szCs w:val="24"/>
        </w:rPr>
        <w:t>There are circumstances where the service use measure does not need to be adjusted, despite the existence of Indigenous specific programs, services and payments. These include:</w:t>
      </w:r>
    </w:p>
    <w:p w:rsidR="009A7F87" w:rsidRPr="00551F6F" w:rsidRDefault="009A7F87" w:rsidP="009A7F87">
      <w:pPr>
        <w:pStyle w:val="ListBullet"/>
      </w:pPr>
      <w:r>
        <w:rPr>
          <w:i/>
        </w:rPr>
        <w:t>complementary Indigenous specific programs, services and payments</w:t>
      </w:r>
      <w:r>
        <w:t xml:space="preserve"> — </w:t>
      </w:r>
      <w:r w:rsidRPr="00F91B73">
        <w:rPr>
          <w:szCs w:val="24"/>
        </w:rPr>
        <w:t>complementary services are provided in addition to mainstream services. As such, Aboriginal and Torres Strait Islander users of the Indigenous specific program are also users of the mainstream program and should be counted in the service use measure</w:t>
      </w:r>
    </w:p>
    <w:p w:rsidR="009A7F87" w:rsidRPr="00551F6F" w:rsidRDefault="009A7F87" w:rsidP="009A7F87">
      <w:pPr>
        <w:pStyle w:val="ListBullet"/>
      </w:pPr>
      <w:r>
        <w:rPr>
          <w:i/>
        </w:rPr>
        <w:t xml:space="preserve">the service use measure excludes participants of Indigenous specific programs, services and payments </w:t>
      </w:r>
      <w:r>
        <w:t xml:space="preserve">— </w:t>
      </w:r>
      <w:r w:rsidRPr="00F91B73">
        <w:rPr>
          <w:szCs w:val="24"/>
        </w:rPr>
        <w:t>some service use measures relate to use of a specific service or range of services, which can be specified to explicitly exclude the Indigenous specific service.</w:t>
      </w:r>
    </w:p>
    <w:p w:rsidR="009A7F87" w:rsidRDefault="009A7F87" w:rsidP="009A7F87">
      <w:pPr>
        <w:pStyle w:val="Heading2"/>
      </w:pPr>
      <w:r>
        <w:t>6.</w:t>
      </w:r>
      <w:r>
        <w:rPr>
          <w:noProof/>
        </w:rPr>
        <w:t>2</w:t>
      </w:r>
      <w:r w:rsidRPr="00551F6F">
        <w:tab/>
      </w:r>
      <w:r>
        <w:t>Indigenous specific expenditure information and adjustment methods</w:t>
      </w:r>
    </w:p>
    <w:p w:rsidR="009A7F87" w:rsidRDefault="009A7F87" w:rsidP="009A7F87">
      <w:pPr>
        <w:pStyle w:val="Heading4"/>
        <w:rPr>
          <w:i/>
        </w:rPr>
      </w:pPr>
      <w:r>
        <w:rPr>
          <w:i/>
        </w:rPr>
        <w:t>Substitute Indigenous specific expenditure adjustment data source</w:t>
      </w:r>
    </w:p>
    <w:p w:rsidR="009A7F87" w:rsidRDefault="009A7F87" w:rsidP="009A7F87">
      <w:pPr>
        <w:pStyle w:val="BodyText"/>
        <w:rPr>
          <w:szCs w:val="24"/>
        </w:rPr>
      </w:pPr>
      <w:r w:rsidRPr="00F91B73">
        <w:rPr>
          <w:szCs w:val="24"/>
        </w:rPr>
        <w:t>The following information is required to be collected for each Indigenous specific program, service or payment in each jurisdiction:</w:t>
      </w:r>
    </w:p>
    <w:p w:rsidR="009A7F87" w:rsidRPr="00551F6F" w:rsidRDefault="009A7F87" w:rsidP="009A7F87">
      <w:pPr>
        <w:pStyle w:val="ListBullet"/>
      </w:pPr>
      <w:r>
        <w:rPr>
          <w:i/>
        </w:rPr>
        <w:lastRenderedPageBreak/>
        <w:t>program expenditure</w:t>
      </w:r>
      <w:r>
        <w:t xml:space="preserve"> — </w:t>
      </w:r>
      <w:r w:rsidRPr="00F91B73">
        <w:rPr>
          <w:szCs w:val="24"/>
        </w:rPr>
        <w:t>total expenditure on the program in whole dollars:</w:t>
      </w:r>
    </w:p>
    <w:p w:rsidR="009A7F87" w:rsidRPr="00551F6F" w:rsidRDefault="009A7F87" w:rsidP="009A7F87">
      <w:pPr>
        <w:pStyle w:val="ListBullet2"/>
      </w:pPr>
      <w:r w:rsidRPr="00F91B73">
        <w:rPr>
          <w:szCs w:val="24"/>
        </w:rPr>
        <w:t>program expenditure related to Aboriginal and Torres Strait Islander Australians</w:t>
      </w:r>
    </w:p>
    <w:p w:rsidR="009A7F87" w:rsidRPr="00551F6F" w:rsidRDefault="009A7F87" w:rsidP="009A7F87">
      <w:pPr>
        <w:pStyle w:val="ListBullet2"/>
      </w:pPr>
      <w:r w:rsidRPr="00F91B73">
        <w:rPr>
          <w:szCs w:val="24"/>
        </w:rPr>
        <w:t>program expenditure related to non</w:t>
      </w:r>
      <w:r w:rsidRPr="00F91B73">
        <w:rPr>
          <w:szCs w:val="24"/>
        </w:rPr>
        <w:noBreakHyphen/>
        <w:t>Indigenous Australians</w:t>
      </w:r>
    </w:p>
    <w:p w:rsidR="009A7F87" w:rsidRPr="00551F6F" w:rsidRDefault="009A7F87" w:rsidP="009A7F87">
      <w:pPr>
        <w:pStyle w:val="ListBullet2"/>
      </w:pPr>
      <w:r w:rsidRPr="00F91B73">
        <w:rPr>
          <w:szCs w:val="24"/>
        </w:rPr>
        <w:t>total program expenditure.</w:t>
      </w:r>
    </w:p>
    <w:p w:rsidR="009A7F87" w:rsidRPr="00551F6F" w:rsidRDefault="009A7F87" w:rsidP="009A7F87">
      <w:pPr>
        <w:pStyle w:val="ListBullet"/>
      </w:pPr>
      <w:r w:rsidRPr="00F91B73">
        <w:rPr>
          <w:i/>
          <w:szCs w:val="24"/>
        </w:rPr>
        <w:t>relationship of Indigenous specific program to mainstream services</w:t>
      </w:r>
      <w:r w:rsidRPr="00F91B73">
        <w:rPr>
          <w:szCs w:val="24"/>
        </w:rPr>
        <w:t xml:space="preserve"> — whether the program is a:</w:t>
      </w:r>
    </w:p>
    <w:p w:rsidR="009A7F87" w:rsidRPr="00F91B73" w:rsidRDefault="009A7F87" w:rsidP="009A7F87">
      <w:pPr>
        <w:pStyle w:val="ListBullet2"/>
        <w:tabs>
          <w:tab w:val="clear" w:pos="680"/>
          <w:tab w:val="left" w:pos="709"/>
        </w:tabs>
        <w:spacing w:line="320" w:lineRule="exact"/>
        <w:ind w:left="709" w:hanging="425"/>
        <w:rPr>
          <w:szCs w:val="24"/>
        </w:rPr>
      </w:pPr>
      <w:r w:rsidRPr="00F91B73">
        <w:rPr>
          <w:i/>
          <w:szCs w:val="24"/>
        </w:rPr>
        <w:t xml:space="preserve">complementary service </w:t>
      </w:r>
      <w:r w:rsidRPr="00F91B73">
        <w:rPr>
          <w:szCs w:val="24"/>
        </w:rPr>
        <w:t>— provided in addition to mainstream services</w:t>
      </w:r>
    </w:p>
    <w:p w:rsidR="009A7F87" w:rsidRPr="00551F6F" w:rsidRDefault="009A7F87" w:rsidP="009A7F87">
      <w:pPr>
        <w:pStyle w:val="ListBullet2"/>
      </w:pPr>
      <w:r w:rsidRPr="00F91B73">
        <w:rPr>
          <w:i/>
          <w:szCs w:val="24"/>
        </w:rPr>
        <w:t>substitute service</w:t>
      </w:r>
      <w:r w:rsidRPr="00F91B73">
        <w:rPr>
          <w:szCs w:val="24"/>
        </w:rPr>
        <w:t xml:space="preserve"> — provided as an alternative to a mainstream service.</w:t>
      </w:r>
    </w:p>
    <w:p w:rsidR="009A7F87" w:rsidRPr="00F91B73" w:rsidRDefault="009A7F87" w:rsidP="009A7F87">
      <w:pPr>
        <w:pStyle w:val="ListBullet2"/>
        <w:numPr>
          <w:ilvl w:val="0"/>
          <w:numId w:val="0"/>
        </w:numPr>
        <w:ind w:left="680"/>
        <w:rPr>
          <w:szCs w:val="24"/>
        </w:rPr>
      </w:pPr>
      <w:r w:rsidRPr="00F91B73">
        <w:rPr>
          <w:szCs w:val="24"/>
        </w:rPr>
        <w:t>Where a service is identified as a substitute service, data providers identify whether the users of the Indigenous specific program are counted in the service use measure.</w:t>
      </w:r>
    </w:p>
    <w:p w:rsidR="009A7F87" w:rsidRDefault="009A7F87" w:rsidP="009A7F87">
      <w:pPr>
        <w:pStyle w:val="ListBullet2"/>
        <w:numPr>
          <w:ilvl w:val="0"/>
          <w:numId w:val="0"/>
        </w:numPr>
        <w:ind w:left="680"/>
        <w:rPr>
          <w:szCs w:val="24"/>
        </w:rPr>
      </w:pPr>
      <w:r w:rsidRPr="00F91B73">
        <w:rPr>
          <w:szCs w:val="24"/>
        </w:rPr>
        <w:t>If the users are counted in the service use measure data, data providers include estimates of one of the following:</w:t>
      </w:r>
    </w:p>
    <w:p w:rsidR="009A7F87" w:rsidRPr="00551F6F" w:rsidRDefault="009A7F87" w:rsidP="009A7F87">
      <w:pPr>
        <w:pStyle w:val="ListBullet3"/>
      </w:pPr>
      <w:r w:rsidRPr="00F91B73">
        <w:rPr>
          <w:i/>
          <w:szCs w:val="24"/>
        </w:rPr>
        <w:t>number of Indigenous specific program service users</w:t>
      </w:r>
    </w:p>
    <w:p w:rsidR="009A7F87" w:rsidRPr="00551F6F" w:rsidRDefault="009A7F87" w:rsidP="009A7F87">
      <w:pPr>
        <w:pStyle w:val="ListBullet3"/>
      </w:pPr>
      <w:r w:rsidRPr="00F91B73">
        <w:rPr>
          <w:i/>
          <w:szCs w:val="24"/>
        </w:rPr>
        <w:t xml:space="preserve">Indigenous specific service cost differential </w:t>
      </w:r>
      <w:r w:rsidRPr="00F91B73">
        <w:rPr>
          <w:szCs w:val="24"/>
        </w:rPr>
        <w:t>— if the above is not available, jurisdictions provide an estimate of the additional cost per Aboriginal and Torres Strait Islander user of the Indigenous specific service as compared to the cost per Aboriginal and Torres Strait Islander user of mainstream services.</w:t>
      </w:r>
    </w:p>
    <w:p w:rsidR="009A7F87" w:rsidRDefault="009A7F87" w:rsidP="009A7F87">
      <w:pPr>
        <w:pStyle w:val="Heading4"/>
        <w:rPr>
          <w:i/>
        </w:rPr>
      </w:pPr>
      <w:r>
        <w:rPr>
          <w:i/>
        </w:rPr>
        <w:t>Mainstream service use measure adjustment factor for users of substitute Indigenous specific services</w:t>
      </w:r>
    </w:p>
    <w:p w:rsidR="009A7F87" w:rsidRDefault="009A7F87" w:rsidP="009A7F87">
      <w:pPr>
        <w:pStyle w:val="BodyText"/>
        <w:rPr>
          <w:szCs w:val="24"/>
        </w:rPr>
      </w:pPr>
      <w:r w:rsidRPr="00F91B73">
        <w:rPr>
          <w:szCs w:val="24"/>
        </w:rPr>
        <w:t>The Secretariat calculates a substitute Indigenous specific service use adjustment factor where the service use measure data source includes Aboriginal and Torres Strait Islander users of substitute programs, services and payments.</w:t>
      </w:r>
    </w:p>
    <w:p w:rsidR="009A7F87" w:rsidRDefault="009A7F87" w:rsidP="009A7F87">
      <w:pPr>
        <w:pStyle w:val="BodyText"/>
        <w:rPr>
          <w:szCs w:val="24"/>
        </w:rPr>
      </w:pPr>
      <w:r w:rsidRPr="00F91B73">
        <w:rPr>
          <w:szCs w:val="24"/>
        </w:rPr>
        <w:t>The following cases demonstrate how the substitute adjustment factor is calculated:</w:t>
      </w:r>
    </w:p>
    <w:p w:rsidR="009A7F87" w:rsidRPr="00551F6F" w:rsidRDefault="009A7F87" w:rsidP="009A7F87">
      <w:pPr>
        <w:pStyle w:val="ListBullet"/>
      </w:pPr>
      <w:r>
        <w:rPr>
          <w:i/>
        </w:rPr>
        <w:t>no substitute Indigenous specific services</w:t>
      </w:r>
      <w:r>
        <w:t xml:space="preserve"> — </w:t>
      </w:r>
      <w:r w:rsidRPr="00F91B73">
        <w:rPr>
          <w:szCs w:val="24"/>
        </w:rPr>
        <w:t>no adjustment required</w:t>
      </w:r>
    </w:p>
    <w:p w:rsidR="009A7F87" w:rsidRDefault="009A7F87" w:rsidP="009A7F87">
      <w:pPr>
        <w:pStyle w:val="ListBullet2"/>
      </w:pPr>
      <w:r>
        <w:t>substitute service user adjustment = 1</w:t>
      </w:r>
    </w:p>
    <w:p w:rsidR="009A7F87" w:rsidRPr="00551F6F" w:rsidRDefault="009A7F87" w:rsidP="009A7F87">
      <w:pPr>
        <w:pStyle w:val="ListBullet"/>
      </w:pPr>
      <w:r w:rsidRPr="00F91B73">
        <w:rPr>
          <w:i/>
          <w:szCs w:val="24"/>
        </w:rPr>
        <w:t>substitute Indigenous specific service users already excluded from mainstream service use measure</w:t>
      </w:r>
      <w:r w:rsidRPr="00F91B73">
        <w:rPr>
          <w:szCs w:val="24"/>
        </w:rPr>
        <w:t xml:space="preserve"> </w:t>
      </w:r>
      <w:r w:rsidRPr="00F91B73">
        <w:rPr>
          <w:i/>
          <w:szCs w:val="24"/>
        </w:rPr>
        <w:t>data</w:t>
      </w:r>
      <w:r w:rsidRPr="00F91B73">
        <w:rPr>
          <w:szCs w:val="24"/>
        </w:rPr>
        <w:t xml:space="preserve"> — no adjustment required</w:t>
      </w:r>
    </w:p>
    <w:p w:rsidR="009A7F87" w:rsidRDefault="009A7F87" w:rsidP="009A7F87">
      <w:pPr>
        <w:pStyle w:val="ListBullet2"/>
      </w:pPr>
      <w:r>
        <w:t>substitute service user adjustment = 1</w:t>
      </w:r>
    </w:p>
    <w:p w:rsidR="009A7F87" w:rsidRPr="00F91B73" w:rsidRDefault="009A7F87" w:rsidP="009A7F87">
      <w:pPr>
        <w:pStyle w:val="BodyText"/>
      </w:pPr>
      <w:r w:rsidRPr="00F91B73">
        <w:t xml:space="preserve">Where substitute Indigenous specific service users are included in the mainstream service use measure data, the substitute adjustment factor is calculated such that they are excluded. </w:t>
      </w:r>
    </w:p>
    <w:p w:rsidR="009A7F87" w:rsidRPr="00551F6F" w:rsidRDefault="009A7F87" w:rsidP="009A7F87">
      <w:pPr>
        <w:pStyle w:val="BodyText"/>
      </w:pPr>
      <w:r w:rsidRPr="00F91B73">
        <w:t>This preferred method of calculating the substitute service use adjustment factor is provided in equation [2]:</w:t>
      </w:r>
    </w:p>
    <w:p w:rsidR="009A7F87" w:rsidRDefault="009A7F87" w:rsidP="009A7F87">
      <w:pPr>
        <w:pStyle w:val="BodyText"/>
      </w:pPr>
      <w:r>
        <w:rPr>
          <w:noProof/>
          <w:position w:val="-24"/>
        </w:rPr>
        <w:lastRenderedPageBreak/>
        <w:drawing>
          <wp:inline distT="0" distB="0" distL="0" distR="0">
            <wp:extent cx="3276600" cy="415925"/>
            <wp:effectExtent l="0" t="0" r="0" b="3175"/>
            <wp:docPr id="1" name="Picture 1" descr="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276600" cy="415925"/>
                    </a:xfrm>
                    <a:prstGeom prst="rect">
                      <a:avLst/>
                    </a:prstGeom>
                    <a:noFill/>
                    <a:ln>
                      <a:noFill/>
                    </a:ln>
                  </pic:spPr>
                </pic:pic>
              </a:graphicData>
            </a:graphic>
          </wp:inline>
        </w:drawing>
      </w:r>
      <w:r>
        <w:t xml:space="preserve">                                                          [2]</w:t>
      </w:r>
    </w:p>
    <w:p w:rsidR="009A7F87" w:rsidRDefault="009A7F87" w:rsidP="009A7F87">
      <w:pPr>
        <w:pStyle w:val="BodyText"/>
      </w:pPr>
      <w:r>
        <w:br/>
      </w:r>
      <w:r>
        <w:tab/>
        <w:t>Where:</w:t>
      </w:r>
    </w:p>
    <w:p w:rsidR="009A7F87" w:rsidRPr="00551F6F" w:rsidRDefault="009A7F87" w:rsidP="009A7F87">
      <w:pPr>
        <w:pStyle w:val="Quote"/>
        <w:ind w:left="1276" w:hanging="556"/>
        <w:rPr>
          <w:sz w:val="24"/>
          <w:szCs w:val="24"/>
        </w:rPr>
      </w:pPr>
      <w:r w:rsidRPr="00551F6F">
        <w:rPr>
          <w:sz w:val="24"/>
          <w:szCs w:val="24"/>
        </w:rPr>
        <w:t>A =</w:t>
      </w:r>
      <w:r w:rsidRPr="00551F6F">
        <w:rPr>
          <w:sz w:val="24"/>
          <w:szCs w:val="24"/>
        </w:rPr>
        <w:tab/>
        <w:t>Total Aboriginal and Torres Strait Islander and non</w:t>
      </w:r>
      <w:r w:rsidRPr="00551F6F">
        <w:rPr>
          <w:sz w:val="24"/>
          <w:szCs w:val="24"/>
        </w:rPr>
        <w:noBreakHyphen/>
        <w:t>Indigenous specific and mainstream service users</w:t>
      </w:r>
    </w:p>
    <w:p w:rsidR="009A7F87" w:rsidRPr="00551F6F" w:rsidRDefault="009A7F87" w:rsidP="009A7F87">
      <w:pPr>
        <w:pStyle w:val="Quote"/>
        <w:spacing w:before="80"/>
        <w:ind w:left="1276" w:hanging="556"/>
        <w:rPr>
          <w:sz w:val="24"/>
          <w:szCs w:val="24"/>
        </w:rPr>
      </w:pPr>
      <w:r w:rsidRPr="00551F6F">
        <w:rPr>
          <w:sz w:val="24"/>
          <w:szCs w:val="24"/>
        </w:rPr>
        <w:t>B =</w:t>
      </w:r>
      <w:r w:rsidRPr="00551F6F">
        <w:rPr>
          <w:sz w:val="24"/>
          <w:szCs w:val="24"/>
        </w:rPr>
        <w:tab/>
        <w:t>Aboriginal and Torres Strait Islander service users of Indigenous specific and mainstream services</w:t>
      </w:r>
    </w:p>
    <w:p w:rsidR="009A7F87" w:rsidRPr="00551F6F" w:rsidRDefault="009A7F87" w:rsidP="009A7F87">
      <w:pPr>
        <w:pStyle w:val="Quote"/>
        <w:spacing w:before="80"/>
        <w:ind w:left="1276" w:hanging="556"/>
        <w:rPr>
          <w:sz w:val="24"/>
          <w:szCs w:val="24"/>
        </w:rPr>
      </w:pPr>
      <w:r w:rsidRPr="00551F6F">
        <w:rPr>
          <w:sz w:val="24"/>
          <w:szCs w:val="24"/>
        </w:rPr>
        <w:t>C =</w:t>
      </w:r>
      <w:r w:rsidRPr="00551F6F">
        <w:rPr>
          <w:sz w:val="24"/>
          <w:szCs w:val="24"/>
        </w:rPr>
        <w:tab/>
        <w:t>Aboriginal and Torres Strait Islander users of Indigenous specific services</w:t>
      </w:r>
    </w:p>
    <w:p w:rsidR="009A7F87" w:rsidRDefault="009A7F87" w:rsidP="009A7F87">
      <w:pPr>
        <w:pStyle w:val="Quote"/>
        <w:spacing w:before="80"/>
        <w:ind w:left="1276" w:hanging="556"/>
        <w:rPr>
          <w:sz w:val="24"/>
          <w:szCs w:val="24"/>
        </w:rPr>
      </w:pPr>
      <w:r w:rsidRPr="00551F6F">
        <w:rPr>
          <w:sz w:val="24"/>
          <w:szCs w:val="24"/>
        </w:rPr>
        <w:t>D =</w:t>
      </w:r>
      <w:r w:rsidRPr="00551F6F">
        <w:rPr>
          <w:sz w:val="24"/>
          <w:szCs w:val="24"/>
        </w:rPr>
        <w:tab/>
        <w:t>Total (Aboriginal and Torres Strait Islander and non</w:t>
      </w:r>
      <w:r w:rsidRPr="00551F6F">
        <w:rPr>
          <w:sz w:val="24"/>
          <w:szCs w:val="24"/>
        </w:rPr>
        <w:noBreakHyphen/>
        <w:t xml:space="preserve">Indigenous) users of Indigenous specific services </w:t>
      </w:r>
    </w:p>
    <w:p w:rsidR="009A7F87" w:rsidRPr="00F91B73" w:rsidRDefault="009A7F87" w:rsidP="009A7F87">
      <w:pPr>
        <w:pStyle w:val="BodyText"/>
        <w:rPr>
          <w:szCs w:val="24"/>
        </w:rPr>
      </w:pPr>
      <w:r w:rsidRPr="00F91B73">
        <w:rPr>
          <w:szCs w:val="24"/>
        </w:rPr>
        <w:t>However, in some circumstances this method is not possible as either:</w:t>
      </w:r>
    </w:p>
    <w:p w:rsidR="009A7F87" w:rsidRPr="00551F6F" w:rsidRDefault="009A7F87" w:rsidP="009A7F87">
      <w:pPr>
        <w:pStyle w:val="ListBullet"/>
      </w:pPr>
      <w:r w:rsidRPr="00F91B73">
        <w:rPr>
          <w:szCs w:val="24"/>
        </w:rPr>
        <w:t>the number of users of the Indigenous specific program is unknown</w:t>
      </w:r>
    </w:p>
    <w:p w:rsidR="009A7F87" w:rsidRPr="00551F6F" w:rsidRDefault="009A7F87" w:rsidP="009A7F87">
      <w:pPr>
        <w:pStyle w:val="ListBullet"/>
      </w:pPr>
      <w:r w:rsidRPr="00F91B73">
        <w:rPr>
          <w:szCs w:val="24"/>
        </w:rPr>
        <w:t>the users of the Indigenous specific program cannot be subtracted from the mainstream service use measure (as the two data sources may be incompatible).</w:t>
      </w:r>
    </w:p>
    <w:p w:rsidR="009A7F87" w:rsidRDefault="009A7F87" w:rsidP="009A7F87">
      <w:pPr>
        <w:pStyle w:val="BodyText"/>
        <w:rPr>
          <w:szCs w:val="24"/>
        </w:rPr>
      </w:pPr>
      <w:r w:rsidRPr="00F91B73">
        <w:rPr>
          <w:szCs w:val="24"/>
        </w:rPr>
        <w:t>Where this information is not available, it is possible to calculate the substitute service use adjustment factor by estimating the extent to which the Indigenous mainstream expenditure would be over</w:t>
      </w:r>
      <w:r w:rsidRPr="00F91B73">
        <w:rPr>
          <w:szCs w:val="24"/>
        </w:rPr>
        <w:noBreakHyphen/>
        <w:t>estimated using the following approach:</w:t>
      </w:r>
    </w:p>
    <w:p w:rsidR="009A7F87" w:rsidRDefault="001A3F0E" w:rsidP="009A7F87">
      <w:pPr>
        <w:tabs>
          <w:tab w:val="right" w:pos="8789"/>
        </w:tabs>
      </w:pPr>
      <w:r>
        <w:rPr>
          <w:noProof/>
        </w:rPr>
        <w:drawing>
          <wp:inline distT="0" distB="0" distL="0" distR="0">
            <wp:extent cx="3327400" cy="438150"/>
            <wp:effectExtent l="0" t="0" r="0" b="0"/>
            <wp:docPr id="7" name="Picture 7" descr="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327400" cy="438150"/>
                    </a:xfrm>
                    <a:prstGeom prst="rect">
                      <a:avLst/>
                    </a:prstGeom>
                    <a:noFill/>
                    <a:ln>
                      <a:noFill/>
                    </a:ln>
                  </pic:spPr>
                </pic:pic>
              </a:graphicData>
            </a:graphic>
          </wp:inline>
        </w:drawing>
      </w:r>
      <w:r w:rsidR="009A7F87" w:rsidRPr="00466CB2">
        <w:tab/>
        <w:t>[3]</w:t>
      </w:r>
    </w:p>
    <w:p w:rsidR="009A7F87" w:rsidRDefault="009A7F87" w:rsidP="009A7F87">
      <w:pPr>
        <w:tabs>
          <w:tab w:val="right" w:pos="8789"/>
        </w:tabs>
        <w:ind w:left="284"/>
      </w:pPr>
    </w:p>
    <w:p w:rsidR="009A7F87" w:rsidRDefault="009A7F87" w:rsidP="009A7F87">
      <w:pPr>
        <w:pStyle w:val="BodyText"/>
      </w:pPr>
      <w:r>
        <w:tab/>
        <w:t xml:space="preserve">Where: </w:t>
      </w:r>
    </w:p>
    <w:p w:rsidR="009A7F87" w:rsidRPr="00AF5386" w:rsidRDefault="009A7F87" w:rsidP="009A7F87">
      <w:pPr>
        <w:pStyle w:val="Quote"/>
        <w:ind w:left="720"/>
        <w:rPr>
          <w:sz w:val="24"/>
          <w:szCs w:val="24"/>
        </w:rPr>
      </w:pPr>
      <w:r w:rsidRPr="00AF5386">
        <w:rPr>
          <w:sz w:val="24"/>
          <w:szCs w:val="24"/>
        </w:rPr>
        <w:t>A = Mainstream Indigenous expenditure (unadjusted)</w:t>
      </w:r>
    </w:p>
    <w:p w:rsidR="009A7F87" w:rsidRPr="00AF5386" w:rsidRDefault="009A7F87" w:rsidP="009A7F87">
      <w:pPr>
        <w:pStyle w:val="Quote"/>
        <w:spacing w:before="80"/>
        <w:ind w:left="720"/>
        <w:rPr>
          <w:sz w:val="24"/>
          <w:szCs w:val="24"/>
        </w:rPr>
      </w:pPr>
      <w:r w:rsidRPr="00AF5386">
        <w:rPr>
          <w:sz w:val="24"/>
          <w:szCs w:val="24"/>
        </w:rPr>
        <w:t xml:space="preserve">B = Mainstream Indigenous expenditure overestimate </w:t>
      </w:r>
    </w:p>
    <w:p w:rsidR="009A7F87" w:rsidRPr="00F91B73" w:rsidRDefault="009A7F87" w:rsidP="009A7F87">
      <w:pPr>
        <w:pStyle w:val="BodyText"/>
        <w:rPr>
          <w:szCs w:val="24"/>
        </w:rPr>
      </w:pPr>
      <w:r>
        <w:rPr>
          <w:szCs w:val="24"/>
        </w:rPr>
        <w:br/>
      </w:r>
      <w:r w:rsidRPr="00F91B73">
        <w:rPr>
          <w:szCs w:val="24"/>
        </w:rPr>
        <w:t>Calculation of Mainstream Indigenous expenditure overestimate:</w:t>
      </w:r>
    </w:p>
    <w:p w:rsidR="009A7F87" w:rsidRPr="005D088A" w:rsidRDefault="009A7F87" w:rsidP="009A7F87">
      <w:pPr>
        <w:tabs>
          <w:tab w:val="right" w:pos="8789"/>
        </w:tabs>
        <w:spacing w:before="240" w:line="320" w:lineRule="atLeast"/>
        <w:jc w:val="both"/>
      </w:pPr>
      <w:r>
        <w:rPr>
          <w:noProof/>
          <w:position w:val="-24"/>
        </w:rPr>
        <w:drawing>
          <wp:inline distT="0" distB="0" distL="0" distR="0">
            <wp:extent cx="4460875" cy="415925"/>
            <wp:effectExtent l="0" t="0" r="0" b="3175"/>
            <wp:docPr id="5" name="Picture 5" descr="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460875" cy="415925"/>
                    </a:xfrm>
                    <a:prstGeom prst="rect">
                      <a:avLst/>
                    </a:prstGeom>
                    <a:noFill/>
                    <a:ln>
                      <a:noFill/>
                    </a:ln>
                  </pic:spPr>
                </pic:pic>
              </a:graphicData>
            </a:graphic>
          </wp:inline>
        </w:drawing>
      </w:r>
      <w:r w:rsidRPr="00F91B73">
        <w:tab/>
        <w:t>[4]</w:t>
      </w:r>
    </w:p>
    <w:p w:rsidR="009A7F87" w:rsidRDefault="009A7F87" w:rsidP="009A7F87">
      <w:pPr>
        <w:pStyle w:val="BodyText"/>
        <w:rPr>
          <w:szCs w:val="24"/>
        </w:rPr>
      </w:pPr>
      <w:r>
        <w:rPr>
          <w:szCs w:val="24"/>
        </w:rPr>
        <w:tab/>
        <w:t>Where:</w:t>
      </w:r>
    </w:p>
    <w:p w:rsidR="009A7F87" w:rsidRPr="00AF5386" w:rsidRDefault="009A7F87" w:rsidP="009A7F87">
      <w:pPr>
        <w:pStyle w:val="Quote"/>
        <w:ind w:left="720"/>
        <w:rPr>
          <w:sz w:val="24"/>
          <w:szCs w:val="24"/>
        </w:rPr>
      </w:pPr>
      <w:r w:rsidRPr="00AF5386">
        <w:rPr>
          <w:sz w:val="24"/>
          <w:szCs w:val="24"/>
        </w:rPr>
        <w:t>A = Indigenous specific expenditure</w:t>
      </w:r>
    </w:p>
    <w:p w:rsidR="009A7F87" w:rsidRPr="00AF5386" w:rsidRDefault="009A7F87" w:rsidP="009A7F87">
      <w:pPr>
        <w:pStyle w:val="Quote"/>
        <w:spacing w:before="80"/>
        <w:ind w:left="720"/>
        <w:rPr>
          <w:sz w:val="24"/>
          <w:szCs w:val="24"/>
        </w:rPr>
      </w:pPr>
      <w:r w:rsidRPr="00AF5386">
        <w:rPr>
          <w:sz w:val="24"/>
          <w:szCs w:val="24"/>
        </w:rPr>
        <w:t>B = Non</w:t>
      </w:r>
      <w:r w:rsidRPr="00AF5386">
        <w:rPr>
          <w:sz w:val="24"/>
          <w:szCs w:val="24"/>
        </w:rPr>
        <w:noBreakHyphen/>
        <w:t>Indigenous service users</w:t>
      </w:r>
    </w:p>
    <w:p w:rsidR="009A7F87" w:rsidRPr="00AF5386" w:rsidRDefault="009A7F87" w:rsidP="009A7F87">
      <w:pPr>
        <w:pStyle w:val="Quote"/>
        <w:spacing w:before="80"/>
        <w:ind w:left="720"/>
        <w:rPr>
          <w:sz w:val="24"/>
          <w:szCs w:val="24"/>
        </w:rPr>
      </w:pPr>
      <w:r w:rsidRPr="00AF5386">
        <w:rPr>
          <w:sz w:val="24"/>
          <w:szCs w:val="24"/>
        </w:rPr>
        <w:t>C = Total (Aboriginal and Torres Strait Islander and non</w:t>
      </w:r>
      <w:r w:rsidRPr="00AF5386">
        <w:rPr>
          <w:sz w:val="24"/>
          <w:szCs w:val="24"/>
        </w:rPr>
        <w:noBreakHyphen/>
        <w:t>Indigenous) service users</w:t>
      </w:r>
    </w:p>
    <w:p w:rsidR="009A7F87" w:rsidRPr="00AF5386" w:rsidRDefault="009A7F87" w:rsidP="009A7F87">
      <w:pPr>
        <w:pStyle w:val="Quote"/>
        <w:spacing w:before="80"/>
        <w:ind w:left="720"/>
        <w:rPr>
          <w:sz w:val="24"/>
          <w:szCs w:val="24"/>
        </w:rPr>
      </w:pPr>
      <w:r w:rsidRPr="00AF5386">
        <w:rPr>
          <w:sz w:val="24"/>
          <w:szCs w:val="24"/>
        </w:rPr>
        <w:t>D = Indigenous specific expenditure cost differential</w:t>
      </w:r>
    </w:p>
    <w:p w:rsidR="009A7F87" w:rsidRPr="00AF5386" w:rsidRDefault="009A7F87" w:rsidP="009A7F87">
      <w:pPr>
        <w:pStyle w:val="BodyText"/>
        <w:rPr>
          <w:szCs w:val="24"/>
        </w:rPr>
      </w:pPr>
    </w:p>
    <w:p w:rsidR="009A7F87" w:rsidRPr="00461457" w:rsidRDefault="009A7F87" w:rsidP="009A7F87">
      <w:pPr>
        <w:pStyle w:val="BodyText"/>
      </w:pPr>
    </w:p>
    <w:p w:rsidR="009A7F87" w:rsidRDefault="009A7F87" w:rsidP="009A7F87">
      <w:pPr>
        <w:sectPr w:rsidR="009A7F87" w:rsidSect="009A7F87">
          <w:headerReference w:type="even" r:id="rId54"/>
          <w:headerReference w:type="default" r:id="rId55"/>
          <w:footerReference w:type="even" r:id="rId56"/>
          <w:footerReference w:type="default" r:id="rId57"/>
          <w:footnotePr>
            <w:numRestart w:val="eachSect"/>
          </w:footnotePr>
          <w:type w:val="oddPage"/>
          <w:pgSz w:w="11907" w:h="16840" w:code="9"/>
          <w:pgMar w:top="1985" w:right="1304" w:bottom="1247" w:left="1814" w:header="1701" w:footer="397" w:gutter="0"/>
          <w:pgNumType w:chapSep="period"/>
          <w:cols w:space="720"/>
          <w:docGrid w:linePitch="326"/>
        </w:sectPr>
      </w:pPr>
    </w:p>
    <w:p w:rsidR="009A7F87" w:rsidRDefault="009A7F87" w:rsidP="009A7F87">
      <w:pPr>
        <w:pStyle w:val="Heading1"/>
        <w:spacing w:before="0"/>
      </w:pPr>
      <w:r>
        <w:lastRenderedPageBreak/>
        <w:t>7</w:t>
      </w:r>
      <w:r>
        <w:tab/>
        <w:t>Australian Government expenditure by state and territory</w:t>
      </w:r>
    </w:p>
    <w:p w:rsidR="009A7F87" w:rsidRPr="00F91B73" w:rsidRDefault="009A7F87" w:rsidP="009A7F87">
      <w:pPr>
        <w:pStyle w:val="BodyText"/>
        <w:rPr>
          <w:szCs w:val="24"/>
        </w:rPr>
      </w:pPr>
      <w:r w:rsidRPr="00F91B73">
        <w:rPr>
          <w:szCs w:val="24"/>
        </w:rPr>
        <w:t>This chapter focuses on the definitions, concepts and methods for prorating total Australian Government expenditure across each state and territory.</w:t>
      </w:r>
      <w:r w:rsidRPr="00F91B73">
        <w:rPr>
          <w:rStyle w:val="FootnoteReference"/>
          <w:szCs w:val="24"/>
        </w:rPr>
        <w:footnoteReference w:id="13"/>
      </w:r>
      <w:r w:rsidRPr="00F91B73">
        <w:rPr>
          <w:szCs w:val="24"/>
        </w:rPr>
        <w:t xml:space="preserve"> Definitions, concepts and methods for allocating expenditure to GPC categories, and for identifying Indigenous expenditure, are discussed in</w:t>
      </w:r>
      <w:r w:rsidRPr="00F91B73">
        <w:rPr>
          <w:b/>
          <w:szCs w:val="24"/>
        </w:rPr>
        <w:t xml:space="preserve"> </w:t>
      </w:r>
      <w:r w:rsidRPr="00F91B73">
        <w:rPr>
          <w:szCs w:val="24"/>
        </w:rPr>
        <w:t>the 201</w:t>
      </w:r>
      <w:r>
        <w:rPr>
          <w:szCs w:val="24"/>
        </w:rPr>
        <w:t>7</w:t>
      </w:r>
      <w:r w:rsidRPr="00F91B73">
        <w:rPr>
          <w:szCs w:val="24"/>
        </w:rPr>
        <w:t xml:space="preserve"> Report </w:t>
      </w:r>
      <w:r w:rsidRPr="00F91B73">
        <w:rPr>
          <w:i/>
          <w:szCs w:val="24"/>
        </w:rPr>
        <w:t>Expenditure Data Manual</w:t>
      </w:r>
      <w:r w:rsidRPr="00F91B73">
        <w:rPr>
          <w:szCs w:val="24"/>
        </w:rPr>
        <w:t>.</w:t>
      </w:r>
      <w:r w:rsidRPr="00F91B73">
        <w:rPr>
          <w:rStyle w:val="FootnoteReference"/>
          <w:szCs w:val="24"/>
        </w:rPr>
        <w:footnoteReference w:id="14"/>
      </w:r>
    </w:p>
    <w:p w:rsidR="009A7F87" w:rsidRPr="00F91B73" w:rsidRDefault="009A7F87" w:rsidP="009A7F87">
      <w:pPr>
        <w:pStyle w:val="BodyText"/>
        <w:rPr>
          <w:szCs w:val="24"/>
        </w:rPr>
      </w:pPr>
      <w:r w:rsidRPr="00F91B73">
        <w:rPr>
          <w:szCs w:val="24"/>
        </w:rPr>
        <w:t>An overview of the Australian Government expenditure is provided in section</w:t>
      </w:r>
      <w:r>
        <w:rPr>
          <w:szCs w:val="24"/>
        </w:rPr>
        <w:t> </w:t>
      </w:r>
      <w:r w:rsidRPr="00F91B73">
        <w:rPr>
          <w:szCs w:val="24"/>
        </w:rPr>
        <w:t>7.1. In section</w:t>
      </w:r>
      <w:r>
        <w:rPr>
          <w:szCs w:val="24"/>
        </w:rPr>
        <w:t> </w:t>
      </w:r>
      <w:r w:rsidRPr="00F91B73">
        <w:rPr>
          <w:szCs w:val="24"/>
        </w:rPr>
        <w:t>7.2, the method for estimating Australian Government expenditure in each state and territory is explained. Key interpretation issues are discussed in section</w:t>
      </w:r>
      <w:r>
        <w:rPr>
          <w:szCs w:val="24"/>
        </w:rPr>
        <w:t> </w:t>
      </w:r>
      <w:r w:rsidRPr="00F91B73">
        <w:rPr>
          <w:szCs w:val="24"/>
        </w:rPr>
        <w:t>7.3.</w:t>
      </w:r>
    </w:p>
    <w:p w:rsidR="009A7F87" w:rsidRDefault="009A7F87" w:rsidP="009A7F87">
      <w:pPr>
        <w:pStyle w:val="Heading2"/>
      </w:pPr>
      <w:r>
        <w:t>7.</w:t>
      </w:r>
      <w:r>
        <w:rPr>
          <w:noProof/>
        </w:rPr>
        <w:t>1</w:t>
      </w:r>
      <w:r>
        <w:tab/>
        <w:t>Australian Government expenditure in each state and territory</w:t>
      </w:r>
    </w:p>
    <w:p w:rsidR="009A7F87" w:rsidRPr="00F91B73" w:rsidRDefault="009A7F87" w:rsidP="009A7F87">
      <w:pPr>
        <w:pStyle w:val="BodyText"/>
        <w:rPr>
          <w:szCs w:val="24"/>
        </w:rPr>
      </w:pPr>
      <w:r w:rsidRPr="00733360">
        <w:rPr>
          <w:szCs w:val="24"/>
        </w:rPr>
        <w:t>The Australian Government provides funding for a range of mainstream services</w:t>
      </w:r>
      <w:r w:rsidRPr="00770229">
        <w:t xml:space="preserve"> </w:t>
      </w:r>
      <w:r w:rsidRPr="00F91B73">
        <w:rPr>
          <w:szCs w:val="24"/>
        </w:rPr>
        <w:t>that support Aboriginal and Torres Strait Islander and non</w:t>
      </w:r>
      <w:r w:rsidRPr="00F91B73">
        <w:rPr>
          <w:szCs w:val="24"/>
        </w:rPr>
        <w:noBreakHyphen/>
        <w:t xml:space="preserve">Indigenous Australians across each state and territory. Funding is also provided through programs and services targeted at individuals or groups with particular needs, including Aboriginal and Torres Strait Islander Australians. </w:t>
      </w:r>
    </w:p>
    <w:p w:rsidR="009A7F87" w:rsidRPr="00F91B73" w:rsidRDefault="009A7F87" w:rsidP="009A7F87">
      <w:pPr>
        <w:pStyle w:val="BodyText"/>
        <w:keepNext/>
        <w:rPr>
          <w:szCs w:val="24"/>
        </w:rPr>
      </w:pPr>
      <w:r w:rsidRPr="00F91B73">
        <w:rPr>
          <w:szCs w:val="24"/>
        </w:rPr>
        <w:t>Australian Government expenditure in each state and territory comprises two components:</w:t>
      </w:r>
    </w:p>
    <w:p w:rsidR="009A7F87" w:rsidRDefault="009A7F87" w:rsidP="009A7F87">
      <w:pPr>
        <w:pStyle w:val="ListBullet"/>
      </w:pPr>
      <w:r>
        <w:rPr>
          <w:i/>
        </w:rPr>
        <w:t>direct expenditure</w:t>
      </w:r>
      <w:r>
        <w:t xml:space="preserve"> — </w:t>
      </w:r>
      <w:r w:rsidRPr="00F91B73">
        <w:rPr>
          <w:szCs w:val="24"/>
        </w:rPr>
        <w:t>expenditure on services and programs (including income support) that is provided directly to individuals, non</w:t>
      </w:r>
      <w:r w:rsidRPr="00F91B73">
        <w:rPr>
          <w:szCs w:val="24"/>
        </w:rPr>
        <w:noBreakHyphen/>
        <w:t>government service providers or local governments. This also includes the operation of the machinery of the Australian Government</w:t>
      </w:r>
    </w:p>
    <w:p w:rsidR="009A7F87" w:rsidRPr="00E230F3" w:rsidRDefault="009A7F87" w:rsidP="009A7F87">
      <w:pPr>
        <w:pStyle w:val="ListBullet"/>
      </w:pPr>
      <w:r>
        <w:rPr>
          <w:i/>
        </w:rPr>
        <w:t>indirect expenditure</w:t>
      </w:r>
      <w:r>
        <w:t xml:space="preserve"> — </w:t>
      </w:r>
      <w:r w:rsidRPr="00F91B73">
        <w:rPr>
          <w:szCs w:val="24"/>
        </w:rPr>
        <w:t>payments ‘to’ and ‘through’ the State and Territory governments, including:</w:t>
      </w:r>
    </w:p>
    <w:p w:rsidR="009A7F87" w:rsidRPr="00E230F3" w:rsidRDefault="009A7F87" w:rsidP="009A7F87">
      <w:pPr>
        <w:pStyle w:val="ListBullet2"/>
      </w:pPr>
      <w:r>
        <w:rPr>
          <w:i/>
        </w:rPr>
        <w:t>payments for specific purposes</w:t>
      </w:r>
      <w:r>
        <w:t xml:space="preserve"> — </w:t>
      </w:r>
      <w:r w:rsidRPr="00F91B73">
        <w:rPr>
          <w:szCs w:val="24"/>
        </w:rPr>
        <w:t xml:space="preserve">National Specific Purpose Payments (SPPs) and National Partnership payments provided ‘to’ or ‘through’ State and Territory governments for specific purposes such as to pursue policy objectives and delivery of services in major service areas: health, education, community services, housing, </w:t>
      </w:r>
      <w:r w:rsidRPr="00F91B73">
        <w:rPr>
          <w:szCs w:val="24"/>
        </w:rPr>
        <w:lastRenderedPageBreak/>
        <w:t>infrastructure and environment. Also included are financial assistance grants to local governments</w:t>
      </w:r>
    </w:p>
    <w:p w:rsidR="009A7F87" w:rsidRPr="00E230F3" w:rsidRDefault="009A7F87" w:rsidP="009A7F87">
      <w:pPr>
        <w:pStyle w:val="ListBullet2"/>
      </w:pPr>
      <w:r>
        <w:rPr>
          <w:i/>
        </w:rPr>
        <w:t>general revenue assistance</w:t>
      </w:r>
      <w:r>
        <w:t xml:space="preserve"> — </w:t>
      </w:r>
      <w:r w:rsidRPr="00F91B73">
        <w:rPr>
          <w:szCs w:val="24"/>
        </w:rPr>
        <w:t>includes a broad category of payments, such as GST payments, which are provided to State and Territory governments without conditions, to spend according to their own budget priorities.</w:t>
      </w:r>
    </w:p>
    <w:p w:rsidR="009A7F87" w:rsidRDefault="009A7F87" w:rsidP="009A7F87">
      <w:pPr>
        <w:pStyle w:val="Heading2"/>
      </w:pPr>
      <w:r>
        <w:t>7.</w:t>
      </w:r>
      <w:r>
        <w:rPr>
          <w:noProof/>
        </w:rPr>
        <w:t>2</w:t>
      </w:r>
      <w:r w:rsidRPr="00E230F3">
        <w:tab/>
      </w:r>
      <w:r>
        <w:t>Estimating Australian Government expenditure in each state and territory</w:t>
      </w:r>
    </w:p>
    <w:p w:rsidR="009A7F87" w:rsidRPr="00F91B73" w:rsidRDefault="009A7F87" w:rsidP="009A7F87">
      <w:pPr>
        <w:pStyle w:val="BodyText"/>
        <w:rPr>
          <w:szCs w:val="24"/>
        </w:rPr>
      </w:pPr>
      <w:r w:rsidRPr="00F91B73">
        <w:rPr>
          <w:szCs w:val="24"/>
        </w:rPr>
        <w:t>The Indigenous Expenditure Report employs the concept of a service use measure to identify and estimate the Aboriginal and Torres Strait Islander share of Australian Government expenditure in each state and territory. Measures of service use provide a proxy for the distribution of costs (not benefits) among service users.</w:t>
      </w:r>
    </w:p>
    <w:p w:rsidR="009A7F87" w:rsidRDefault="009A7F87" w:rsidP="009A7F87">
      <w:pPr>
        <w:pStyle w:val="BodyText"/>
        <w:rPr>
          <w:szCs w:val="24"/>
        </w:rPr>
      </w:pPr>
      <w:r w:rsidRPr="00F91B73">
        <w:rPr>
          <w:szCs w:val="24"/>
        </w:rPr>
        <w:t>Where possible, service use measures should be adjusted for:</w:t>
      </w:r>
    </w:p>
    <w:p w:rsidR="009A7F87" w:rsidRDefault="009A7F87" w:rsidP="009A7F87">
      <w:pPr>
        <w:pStyle w:val="ListBullet"/>
      </w:pPr>
      <w:r>
        <w:rPr>
          <w:i/>
        </w:rPr>
        <w:t>state differential</w:t>
      </w:r>
      <w:r>
        <w:t xml:space="preserve"> — </w:t>
      </w:r>
      <w:r w:rsidRPr="00F91B73">
        <w:rPr>
          <w:szCs w:val="24"/>
        </w:rPr>
        <w:t>to account for funding per user differences between states and territories due to underlying economic, social and demographic conditions</w:t>
      </w:r>
    </w:p>
    <w:p w:rsidR="009A7F87" w:rsidRDefault="009A7F87" w:rsidP="009A7F87">
      <w:pPr>
        <w:pStyle w:val="ListBullet"/>
      </w:pPr>
      <w:r>
        <w:rPr>
          <w:i/>
        </w:rPr>
        <w:t>cost differential</w:t>
      </w:r>
      <w:r>
        <w:t xml:space="preserve"> — </w:t>
      </w:r>
      <w:r w:rsidRPr="00F91B73">
        <w:rPr>
          <w:szCs w:val="24"/>
        </w:rPr>
        <w:t>to account for the fact that the average cost of providing a government service to Aboriginal and Torres Strait Islander Australians may be more/less than the cost of providing the same service to non</w:t>
      </w:r>
      <w:r w:rsidRPr="00F91B73">
        <w:rPr>
          <w:szCs w:val="24"/>
        </w:rPr>
        <w:noBreakHyphen/>
        <w:t>Indigenous Australians</w:t>
      </w:r>
    </w:p>
    <w:p w:rsidR="009A7F87" w:rsidRPr="00E230F3" w:rsidRDefault="009A7F87" w:rsidP="009A7F87">
      <w:pPr>
        <w:pStyle w:val="ListBullet"/>
      </w:pPr>
      <w:r w:rsidRPr="00E230F3">
        <w:rPr>
          <w:i/>
        </w:rPr>
        <w:t>under-identification</w:t>
      </w:r>
      <w:r>
        <w:rPr>
          <w:i/>
        </w:rPr>
        <w:t xml:space="preserve"> — </w:t>
      </w:r>
      <w:r>
        <w:rPr>
          <w:szCs w:val="24"/>
        </w:rPr>
        <w:t>the degree to which Aboriginal and Torres Strait Islander</w:t>
      </w:r>
      <w:r w:rsidRPr="00F91B73">
        <w:rPr>
          <w:szCs w:val="24"/>
        </w:rPr>
        <w:t xml:space="preserve"> service users are not correctly identified or recorded in data collection.</w:t>
      </w:r>
    </w:p>
    <w:p w:rsidR="009A7F87" w:rsidRDefault="009A7F87" w:rsidP="009A7F87">
      <w:pPr>
        <w:pStyle w:val="BodyText"/>
        <w:rPr>
          <w:szCs w:val="24"/>
        </w:rPr>
      </w:pPr>
      <w:r w:rsidRPr="00F91B73">
        <w:rPr>
          <w:szCs w:val="24"/>
        </w:rPr>
        <w:t>In most cases, the service use measure and corresponding data source identified for prorating the Aboriginal and Torres Strait Islander share of mainstream expenditure is also used to estimate each state and territory share of Australian Government expenditure.</w:t>
      </w:r>
    </w:p>
    <w:p w:rsidR="009A7F87" w:rsidRPr="00F91B73" w:rsidRDefault="009A7F87" w:rsidP="009A7F87">
      <w:pPr>
        <w:pStyle w:val="RecBNoTitle"/>
        <w:rPr>
          <w:szCs w:val="24"/>
        </w:rPr>
      </w:pPr>
      <w:r w:rsidRPr="00F91B73">
        <w:rPr>
          <w:szCs w:val="24"/>
        </w:rPr>
        <w:t>A service use measure is a measure of the use of services that is closely linked with, or a proxy for, the impact that Aboriginal and Torres Strait Islander Australians have on the total cost of providing mainstream services.</w:t>
      </w:r>
    </w:p>
    <w:p w:rsidR="009A7F87" w:rsidRDefault="009A7F87" w:rsidP="009A7F87">
      <w:pPr>
        <w:pStyle w:val="Heading4"/>
        <w:rPr>
          <w:i/>
        </w:rPr>
      </w:pPr>
      <w:r>
        <w:rPr>
          <w:i/>
        </w:rPr>
        <w:t>General model for proration</w:t>
      </w:r>
    </w:p>
    <w:p w:rsidR="009A7F87" w:rsidRDefault="009A7F87" w:rsidP="009A7F87">
      <w:pPr>
        <w:pStyle w:val="BodyText"/>
        <w:rPr>
          <w:szCs w:val="24"/>
        </w:rPr>
      </w:pPr>
      <w:r w:rsidRPr="00F91B73">
        <w:rPr>
          <w:szCs w:val="24"/>
        </w:rPr>
        <w:t>Australian Government expenditure on services related to Aboriginal and Torres Strait Islander Australians in each state and territory is the sum of:</w:t>
      </w:r>
    </w:p>
    <w:p w:rsidR="009A7F87" w:rsidRDefault="009A7F87" w:rsidP="009A7F87">
      <w:pPr>
        <w:pStyle w:val="ListBullet"/>
      </w:pPr>
      <w:r>
        <w:rPr>
          <w:i/>
        </w:rPr>
        <w:t>Indigenous specific expenditure</w:t>
      </w:r>
      <w:r>
        <w:t xml:space="preserve"> — </w:t>
      </w:r>
      <w:r w:rsidRPr="00F91B73">
        <w:rPr>
          <w:szCs w:val="24"/>
        </w:rPr>
        <w:t>this expenditure is assumed to relate solely to Aboriginal and Torres Strait Islander Australians, although there could be some use of these services and programs by non</w:t>
      </w:r>
      <w:r>
        <w:rPr>
          <w:szCs w:val="24"/>
        </w:rPr>
        <w:noBreakHyphen/>
      </w:r>
      <w:r w:rsidRPr="00F91B73">
        <w:rPr>
          <w:szCs w:val="24"/>
        </w:rPr>
        <w:t>Indigenous Australians. For example, Indigenous specific health services in remote communities. This comprises:</w:t>
      </w:r>
    </w:p>
    <w:p w:rsidR="009A7F87" w:rsidRPr="00E230F3" w:rsidRDefault="009A7F87" w:rsidP="009A7F87">
      <w:pPr>
        <w:pStyle w:val="ListBullet2"/>
      </w:pPr>
      <w:r>
        <w:rPr>
          <w:i/>
        </w:rPr>
        <w:t>Indigenous specific indirect expenditure</w:t>
      </w:r>
      <w:r>
        <w:t xml:space="preserve"> — </w:t>
      </w:r>
      <w:r w:rsidRPr="00F91B73">
        <w:rPr>
          <w:szCs w:val="24"/>
        </w:rPr>
        <w:t xml:space="preserve">no estimation is required for this expenditure group because payments ‘to’ and ‘through’ each State and Territory </w:t>
      </w:r>
      <w:r w:rsidRPr="00F91B73">
        <w:rPr>
          <w:szCs w:val="24"/>
        </w:rPr>
        <w:lastRenderedPageBreak/>
        <w:t>government can be identified, and the expenditure relates solely to Aboriginal and Torres Strait Islander Australians</w:t>
      </w:r>
    </w:p>
    <w:p w:rsidR="009A7F87" w:rsidRPr="00E230F3" w:rsidRDefault="009A7F87" w:rsidP="009A7F87">
      <w:pPr>
        <w:pStyle w:val="ListBullet2"/>
      </w:pPr>
      <w:r>
        <w:rPr>
          <w:i/>
        </w:rPr>
        <w:t>Indigenous specific direct expenditure</w:t>
      </w:r>
      <w:r>
        <w:t xml:space="preserve"> — </w:t>
      </w:r>
      <w:r w:rsidRPr="00F91B73">
        <w:rPr>
          <w:b/>
          <w:i/>
          <w:szCs w:val="24"/>
        </w:rPr>
        <w:t>equals</w:t>
      </w:r>
      <w:r w:rsidRPr="00F91B73">
        <w:rPr>
          <w:szCs w:val="24"/>
        </w:rPr>
        <w:t xml:space="preserve"> total Indigenous specific expenditure </w:t>
      </w:r>
      <w:r w:rsidRPr="00F91B73">
        <w:rPr>
          <w:b/>
          <w:i/>
          <w:szCs w:val="24"/>
        </w:rPr>
        <w:t>less</w:t>
      </w:r>
      <w:r w:rsidRPr="00F91B73">
        <w:rPr>
          <w:szCs w:val="24"/>
        </w:rPr>
        <w:t xml:space="preserve"> Indigenous specific indirect expenditure. The expenditure relates solely to Aboriginal and Torres Strait Islander Australians but the state and territory share of this expenditure must be estimated using information on the state and territory share of service users:</w:t>
      </w:r>
    </w:p>
    <w:tbl>
      <w:tblPr>
        <w:tblW w:w="8108" w:type="dxa"/>
        <w:tblInd w:w="680" w:type="dxa"/>
        <w:tblLayout w:type="fixed"/>
        <w:tblCellMar>
          <w:left w:w="0" w:type="dxa"/>
          <w:right w:w="0" w:type="dxa"/>
        </w:tblCellMar>
        <w:tblLook w:val="01E0" w:firstRow="1" w:lastRow="1" w:firstColumn="1" w:lastColumn="1" w:noHBand="0" w:noVBand="0"/>
      </w:tblPr>
      <w:tblGrid>
        <w:gridCol w:w="2376"/>
        <w:gridCol w:w="277"/>
        <w:gridCol w:w="2377"/>
        <w:gridCol w:w="222"/>
        <w:gridCol w:w="2377"/>
        <w:gridCol w:w="479"/>
      </w:tblGrid>
      <w:tr w:rsidR="009A7F87" w:rsidRPr="00F91B73" w:rsidTr="009A7F87">
        <w:tc>
          <w:tcPr>
            <w:tcW w:w="2376" w:type="dxa"/>
            <w:shd w:val="clear" w:color="auto" w:fill="auto"/>
            <w:vAlign w:val="center"/>
          </w:tcPr>
          <w:p w:rsidR="009A7F87" w:rsidRPr="00770229" w:rsidRDefault="009A7F87" w:rsidP="009A7F87">
            <w:pPr>
              <w:pStyle w:val="TableBodyText"/>
              <w:keepNext w:val="0"/>
              <w:spacing w:before="240" w:after="120"/>
              <w:ind w:left="0" w:right="0"/>
              <w:jc w:val="center"/>
              <w:rPr>
                <w:bCs/>
                <w:caps/>
                <w:sz w:val="16"/>
                <w:szCs w:val="16"/>
              </w:rPr>
            </w:pPr>
            <w:r w:rsidRPr="00770229">
              <w:rPr>
                <w:bCs/>
                <w:sz w:val="16"/>
                <w:szCs w:val="16"/>
              </w:rPr>
              <w:t xml:space="preserve">State or territory share of Australian Government Indigenous specific </w:t>
            </w:r>
            <w:r w:rsidRPr="00770229">
              <w:rPr>
                <w:bCs/>
                <w:sz w:val="16"/>
                <w:szCs w:val="16"/>
              </w:rPr>
              <w:br/>
              <w:t>direct expenditure</w:t>
            </w:r>
          </w:p>
        </w:tc>
        <w:tc>
          <w:tcPr>
            <w:tcW w:w="277" w:type="dxa"/>
            <w:shd w:val="clear" w:color="auto" w:fill="auto"/>
            <w:vAlign w:val="center"/>
          </w:tcPr>
          <w:p w:rsidR="009A7F87" w:rsidRPr="00770229" w:rsidRDefault="009A7F87" w:rsidP="009A7F87">
            <w:pPr>
              <w:pStyle w:val="TableBodyText"/>
              <w:keepNext w:val="0"/>
              <w:spacing w:before="240" w:after="120"/>
              <w:ind w:left="0" w:right="0"/>
              <w:jc w:val="center"/>
              <w:rPr>
                <w:bCs/>
                <w:sz w:val="24"/>
                <w:szCs w:val="24"/>
              </w:rPr>
            </w:pPr>
            <w:r w:rsidRPr="00770229">
              <w:rPr>
                <w:bCs/>
                <w:sz w:val="24"/>
                <w:szCs w:val="24"/>
              </w:rPr>
              <w:t>=</w:t>
            </w:r>
          </w:p>
        </w:tc>
        <w:tc>
          <w:tcPr>
            <w:tcW w:w="2377" w:type="dxa"/>
            <w:shd w:val="clear" w:color="auto" w:fill="auto"/>
            <w:vAlign w:val="center"/>
          </w:tcPr>
          <w:p w:rsidR="009A7F87" w:rsidRPr="00770229" w:rsidRDefault="009A7F87" w:rsidP="009A7F87">
            <w:pPr>
              <w:pStyle w:val="TableBodyText"/>
              <w:keepNext w:val="0"/>
              <w:spacing w:before="240" w:after="120"/>
              <w:ind w:left="0" w:right="0"/>
              <w:jc w:val="center"/>
              <w:rPr>
                <w:bCs/>
                <w:sz w:val="16"/>
                <w:szCs w:val="16"/>
              </w:rPr>
            </w:pPr>
            <w:r w:rsidRPr="00770229">
              <w:rPr>
                <w:bCs/>
                <w:sz w:val="16"/>
                <w:szCs w:val="16"/>
              </w:rPr>
              <w:t>National Australian</w:t>
            </w:r>
            <w:r w:rsidRPr="00770229">
              <w:rPr>
                <w:bCs/>
                <w:sz w:val="16"/>
                <w:szCs w:val="16"/>
              </w:rPr>
              <w:br/>
              <w:t xml:space="preserve">Government Indigenous </w:t>
            </w:r>
            <w:r w:rsidRPr="00770229">
              <w:rPr>
                <w:bCs/>
                <w:sz w:val="16"/>
                <w:szCs w:val="16"/>
              </w:rPr>
              <w:br/>
              <w:t>specific direct expenditure</w:t>
            </w:r>
          </w:p>
        </w:tc>
        <w:tc>
          <w:tcPr>
            <w:tcW w:w="222" w:type="dxa"/>
            <w:shd w:val="clear" w:color="auto" w:fill="auto"/>
            <w:vAlign w:val="center"/>
          </w:tcPr>
          <w:p w:rsidR="009A7F87" w:rsidRPr="00770229" w:rsidRDefault="009A7F87" w:rsidP="009A7F87">
            <w:pPr>
              <w:pStyle w:val="TableBodyText"/>
              <w:keepNext w:val="0"/>
              <w:spacing w:before="240" w:after="120"/>
              <w:ind w:left="0" w:right="0"/>
              <w:jc w:val="center"/>
              <w:rPr>
                <w:bCs/>
                <w:sz w:val="24"/>
                <w:szCs w:val="24"/>
              </w:rPr>
            </w:pPr>
            <w:r w:rsidRPr="00770229">
              <w:rPr>
                <w:bCs/>
                <w:sz w:val="24"/>
                <w:szCs w:val="24"/>
              </w:rPr>
              <w:t>X</w:t>
            </w:r>
          </w:p>
        </w:tc>
        <w:tc>
          <w:tcPr>
            <w:tcW w:w="2377" w:type="dxa"/>
            <w:shd w:val="clear" w:color="auto" w:fill="auto"/>
            <w:vAlign w:val="center"/>
          </w:tcPr>
          <w:p w:rsidR="009A7F87" w:rsidRPr="00770229" w:rsidRDefault="009A7F87" w:rsidP="009A7F87">
            <w:pPr>
              <w:pStyle w:val="TableBodyText"/>
              <w:keepNext w:val="0"/>
              <w:spacing w:before="240" w:after="120"/>
              <w:ind w:left="0" w:right="0"/>
              <w:jc w:val="center"/>
              <w:rPr>
                <w:bCs/>
                <w:caps/>
                <w:sz w:val="16"/>
                <w:szCs w:val="16"/>
              </w:rPr>
            </w:pPr>
            <w:r w:rsidRPr="00770229">
              <w:rPr>
                <w:bCs/>
                <w:sz w:val="16"/>
                <w:szCs w:val="16"/>
              </w:rPr>
              <w:t xml:space="preserve">State or territory share </w:t>
            </w:r>
            <w:r w:rsidRPr="00770229">
              <w:rPr>
                <w:bCs/>
                <w:sz w:val="16"/>
                <w:szCs w:val="16"/>
              </w:rPr>
              <w:br/>
              <w:t>of total Indigenous specific service users</w:t>
            </w:r>
          </w:p>
        </w:tc>
        <w:tc>
          <w:tcPr>
            <w:tcW w:w="479" w:type="dxa"/>
            <w:shd w:val="clear" w:color="auto" w:fill="auto"/>
            <w:vAlign w:val="center"/>
          </w:tcPr>
          <w:p w:rsidR="009A7F87" w:rsidRPr="00F91B73" w:rsidRDefault="009A7F87" w:rsidP="009A7F87">
            <w:pPr>
              <w:pStyle w:val="TableBodyText"/>
              <w:keepNext w:val="0"/>
              <w:spacing w:before="240" w:after="120"/>
              <w:ind w:left="0" w:right="0"/>
              <w:rPr>
                <w:rFonts w:ascii="Times New Roman" w:hAnsi="Times New Roman"/>
                <w:sz w:val="24"/>
                <w:szCs w:val="24"/>
              </w:rPr>
            </w:pPr>
            <w:r w:rsidRPr="00F91B73">
              <w:rPr>
                <w:rFonts w:ascii="Times New Roman" w:hAnsi="Times New Roman"/>
                <w:sz w:val="24"/>
                <w:szCs w:val="24"/>
              </w:rPr>
              <w:t>[1]</w:t>
            </w:r>
          </w:p>
        </w:tc>
      </w:tr>
    </w:tbl>
    <w:p w:rsidR="009A7F87" w:rsidRDefault="009A7F87" w:rsidP="009A7F87">
      <w:pPr>
        <w:pStyle w:val="ListBullet2"/>
        <w:numPr>
          <w:ilvl w:val="0"/>
          <w:numId w:val="0"/>
        </w:numPr>
        <w:ind w:left="680"/>
        <w:rPr>
          <w:szCs w:val="24"/>
        </w:rPr>
      </w:pPr>
      <w:r w:rsidRPr="00F91B73">
        <w:rPr>
          <w:szCs w:val="24"/>
        </w:rPr>
        <w:t>The total Indigenous specific expenditure in a state or territory is:</w:t>
      </w:r>
    </w:p>
    <w:tbl>
      <w:tblPr>
        <w:tblW w:w="8108" w:type="dxa"/>
        <w:tblInd w:w="680" w:type="dxa"/>
        <w:tblLayout w:type="fixed"/>
        <w:tblCellMar>
          <w:left w:w="0" w:type="dxa"/>
          <w:right w:w="0" w:type="dxa"/>
        </w:tblCellMar>
        <w:tblLook w:val="01E0" w:firstRow="1" w:lastRow="1" w:firstColumn="1" w:lastColumn="1" w:noHBand="0" w:noVBand="0"/>
      </w:tblPr>
      <w:tblGrid>
        <w:gridCol w:w="2371"/>
        <w:gridCol w:w="277"/>
        <w:gridCol w:w="2373"/>
        <w:gridCol w:w="236"/>
        <w:gridCol w:w="2373"/>
        <w:gridCol w:w="478"/>
      </w:tblGrid>
      <w:tr w:rsidR="009A7F87" w:rsidRPr="00F91B73" w:rsidTr="009A7F87">
        <w:tc>
          <w:tcPr>
            <w:tcW w:w="2371" w:type="dxa"/>
            <w:shd w:val="clear" w:color="auto" w:fill="auto"/>
            <w:vAlign w:val="center"/>
          </w:tcPr>
          <w:p w:rsidR="009A7F87" w:rsidRPr="00770229" w:rsidRDefault="009A7F87" w:rsidP="009A7F87">
            <w:pPr>
              <w:pStyle w:val="TableBodyText"/>
              <w:keepNext w:val="0"/>
              <w:spacing w:before="240" w:after="120"/>
              <w:ind w:left="0" w:right="0"/>
              <w:jc w:val="center"/>
              <w:rPr>
                <w:bCs/>
                <w:caps/>
                <w:sz w:val="16"/>
                <w:szCs w:val="16"/>
              </w:rPr>
            </w:pPr>
            <w:r w:rsidRPr="00770229">
              <w:rPr>
                <w:bCs/>
                <w:sz w:val="16"/>
                <w:szCs w:val="16"/>
              </w:rPr>
              <w:t xml:space="preserve">Total Indigenous </w:t>
            </w:r>
            <w:r w:rsidRPr="00770229">
              <w:rPr>
                <w:bCs/>
                <w:sz w:val="16"/>
                <w:szCs w:val="16"/>
              </w:rPr>
              <w:br/>
              <w:t xml:space="preserve">specific expenditure </w:t>
            </w:r>
            <w:r w:rsidRPr="00770229">
              <w:rPr>
                <w:bCs/>
                <w:sz w:val="16"/>
                <w:szCs w:val="16"/>
              </w:rPr>
              <w:br/>
              <w:t>in a state or territory</w:t>
            </w:r>
          </w:p>
        </w:tc>
        <w:tc>
          <w:tcPr>
            <w:tcW w:w="277" w:type="dxa"/>
            <w:shd w:val="clear" w:color="auto" w:fill="auto"/>
            <w:vAlign w:val="center"/>
          </w:tcPr>
          <w:p w:rsidR="009A7F87" w:rsidRPr="00770229" w:rsidRDefault="009A7F87" w:rsidP="009A7F87">
            <w:pPr>
              <w:pStyle w:val="TableBodyText"/>
              <w:keepNext w:val="0"/>
              <w:spacing w:before="240" w:after="120"/>
              <w:ind w:left="0" w:right="0"/>
              <w:jc w:val="center"/>
              <w:rPr>
                <w:bCs/>
                <w:sz w:val="24"/>
                <w:szCs w:val="24"/>
              </w:rPr>
            </w:pPr>
            <w:r w:rsidRPr="00770229">
              <w:rPr>
                <w:bCs/>
                <w:sz w:val="24"/>
                <w:szCs w:val="24"/>
              </w:rPr>
              <w:t>=</w:t>
            </w:r>
          </w:p>
        </w:tc>
        <w:tc>
          <w:tcPr>
            <w:tcW w:w="2373" w:type="dxa"/>
            <w:shd w:val="clear" w:color="auto" w:fill="auto"/>
            <w:vAlign w:val="center"/>
          </w:tcPr>
          <w:p w:rsidR="009A7F87" w:rsidRPr="00770229" w:rsidRDefault="009A7F87" w:rsidP="009A7F87">
            <w:pPr>
              <w:pStyle w:val="TableBodyText"/>
              <w:keepNext w:val="0"/>
              <w:spacing w:before="240" w:after="120"/>
              <w:ind w:left="0" w:right="0"/>
              <w:jc w:val="center"/>
              <w:rPr>
                <w:bCs/>
                <w:sz w:val="16"/>
                <w:szCs w:val="16"/>
              </w:rPr>
            </w:pPr>
            <w:r w:rsidRPr="00770229">
              <w:rPr>
                <w:bCs/>
                <w:sz w:val="16"/>
                <w:szCs w:val="16"/>
              </w:rPr>
              <w:t>State or territory share of Australian Government Indigenous specific direct expenditure</w:t>
            </w:r>
          </w:p>
        </w:tc>
        <w:tc>
          <w:tcPr>
            <w:tcW w:w="236" w:type="dxa"/>
            <w:shd w:val="clear" w:color="auto" w:fill="auto"/>
            <w:vAlign w:val="center"/>
          </w:tcPr>
          <w:p w:rsidR="009A7F87" w:rsidRPr="00770229" w:rsidRDefault="009A7F87" w:rsidP="009A7F87">
            <w:pPr>
              <w:pStyle w:val="TableBodyText"/>
              <w:keepNext w:val="0"/>
              <w:spacing w:before="240" w:after="120"/>
              <w:ind w:left="0" w:right="0"/>
              <w:jc w:val="center"/>
              <w:rPr>
                <w:bCs/>
                <w:sz w:val="24"/>
                <w:szCs w:val="24"/>
              </w:rPr>
            </w:pPr>
            <w:r w:rsidRPr="00770229">
              <w:rPr>
                <w:bCs/>
                <w:sz w:val="36"/>
                <w:szCs w:val="36"/>
              </w:rPr>
              <w:sym w:font="Symbol" w:char="F02B"/>
            </w:r>
          </w:p>
        </w:tc>
        <w:tc>
          <w:tcPr>
            <w:tcW w:w="2373" w:type="dxa"/>
            <w:shd w:val="clear" w:color="auto" w:fill="auto"/>
            <w:vAlign w:val="center"/>
          </w:tcPr>
          <w:p w:rsidR="009A7F87" w:rsidRPr="00770229" w:rsidRDefault="009A7F87" w:rsidP="009A7F87">
            <w:pPr>
              <w:pStyle w:val="TableBodyText"/>
              <w:keepNext w:val="0"/>
              <w:spacing w:before="240" w:after="120"/>
              <w:ind w:left="0" w:right="0"/>
              <w:jc w:val="center"/>
              <w:rPr>
                <w:bCs/>
                <w:caps/>
                <w:sz w:val="16"/>
                <w:szCs w:val="16"/>
              </w:rPr>
            </w:pPr>
            <w:r w:rsidRPr="00770229">
              <w:rPr>
                <w:bCs/>
                <w:sz w:val="16"/>
                <w:szCs w:val="16"/>
              </w:rPr>
              <w:t>State or Territory</w:t>
            </w:r>
            <w:r w:rsidRPr="00770229">
              <w:rPr>
                <w:bCs/>
                <w:sz w:val="16"/>
                <w:szCs w:val="16"/>
              </w:rPr>
              <w:br/>
              <w:t xml:space="preserve"> Government Indigenous </w:t>
            </w:r>
            <w:r w:rsidRPr="00770229">
              <w:rPr>
                <w:bCs/>
                <w:sz w:val="16"/>
                <w:szCs w:val="16"/>
              </w:rPr>
              <w:br/>
              <w:t>specific expenditure</w:t>
            </w:r>
          </w:p>
        </w:tc>
        <w:tc>
          <w:tcPr>
            <w:tcW w:w="478" w:type="dxa"/>
            <w:shd w:val="clear" w:color="auto" w:fill="auto"/>
            <w:vAlign w:val="center"/>
          </w:tcPr>
          <w:p w:rsidR="009A7F87" w:rsidRPr="00F91B73" w:rsidRDefault="009A7F87" w:rsidP="009A7F87">
            <w:pPr>
              <w:pStyle w:val="TableBodyText"/>
              <w:keepNext w:val="0"/>
              <w:spacing w:before="240" w:after="120"/>
              <w:ind w:left="0" w:right="0"/>
              <w:rPr>
                <w:rFonts w:ascii="Times New Roman" w:hAnsi="Times New Roman"/>
                <w:sz w:val="24"/>
                <w:szCs w:val="24"/>
              </w:rPr>
            </w:pPr>
            <w:r w:rsidRPr="00F91B73">
              <w:rPr>
                <w:rFonts w:ascii="Times New Roman" w:hAnsi="Times New Roman"/>
                <w:sz w:val="24"/>
                <w:szCs w:val="24"/>
              </w:rPr>
              <w:t>[2]</w:t>
            </w:r>
          </w:p>
        </w:tc>
      </w:tr>
    </w:tbl>
    <w:p w:rsidR="009A7F87" w:rsidRPr="00E230F3" w:rsidRDefault="009A7F87" w:rsidP="009A7F87">
      <w:pPr>
        <w:pStyle w:val="ListBullet"/>
      </w:pPr>
      <w:r>
        <w:rPr>
          <w:i/>
        </w:rPr>
        <w:t>Indigenous mainstream expenditure</w:t>
      </w:r>
      <w:r>
        <w:t xml:space="preserve"> — </w:t>
      </w:r>
      <w:r w:rsidRPr="00F91B73">
        <w:rPr>
          <w:b/>
          <w:i/>
          <w:szCs w:val="24"/>
        </w:rPr>
        <w:t>equals</w:t>
      </w:r>
      <w:r w:rsidRPr="00F91B73">
        <w:rPr>
          <w:szCs w:val="24"/>
        </w:rPr>
        <w:t xml:space="preserve"> total expenditure </w:t>
      </w:r>
      <w:r w:rsidRPr="00F91B73">
        <w:rPr>
          <w:b/>
          <w:i/>
          <w:szCs w:val="24"/>
        </w:rPr>
        <w:t>less</w:t>
      </w:r>
      <w:r w:rsidRPr="00F91B73">
        <w:rPr>
          <w:szCs w:val="24"/>
        </w:rPr>
        <w:t xml:space="preserve"> total Indigenous specific expenditure. The state and territory Aboriginal and Torres Strait Islander share of this expenditure is estimated in three steps:</w:t>
      </w:r>
    </w:p>
    <w:p w:rsidR="009A7F87" w:rsidRPr="00E230F3" w:rsidRDefault="009A7F87" w:rsidP="009A7F87">
      <w:pPr>
        <w:pStyle w:val="ListNumber"/>
        <w:ind w:hanging="56"/>
      </w:pPr>
      <w:r>
        <w:rPr>
          <w:i/>
        </w:rPr>
        <w:t>Estimate total mainstream indirect and direct expenditure:</w:t>
      </w:r>
    </w:p>
    <w:p w:rsidR="009A7F87" w:rsidRPr="00E230F3" w:rsidRDefault="009A7F87" w:rsidP="009A7F87">
      <w:pPr>
        <w:pStyle w:val="ListBullet3"/>
      </w:pPr>
      <w:r>
        <w:rPr>
          <w:i/>
        </w:rPr>
        <w:t>total mainstream indirect expenditure</w:t>
      </w:r>
      <w:r>
        <w:t xml:space="preserve"> — </w:t>
      </w:r>
      <w:r w:rsidRPr="00F91B73">
        <w:rPr>
          <w:szCs w:val="24"/>
        </w:rPr>
        <w:t>this expenditure can be identified from information on payments ‘to’ and ‘through’ State and Territory governments</w:t>
      </w:r>
    </w:p>
    <w:p w:rsidR="009A7F87" w:rsidRPr="00E230F3" w:rsidRDefault="009A7F87" w:rsidP="009A7F87">
      <w:pPr>
        <w:pStyle w:val="ListBullet3"/>
      </w:pPr>
      <w:r>
        <w:rPr>
          <w:i/>
        </w:rPr>
        <w:t>total mainstream direct expenditure</w:t>
      </w:r>
      <w:r>
        <w:t xml:space="preserve"> — </w:t>
      </w:r>
      <w:r w:rsidRPr="00F91B73">
        <w:rPr>
          <w:b/>
          <w:i/>
          <w:szCs w:val="24"/>
        </w:rPr>
        <w:t>equals</w:t>
      </w:r>
      <w:r w:rsidRPr="00F91B73">
        <w:rPr>
          <w:szCs w:val="24"/>
        </w:rPr>
        <w:t xml:space="preserve"> total mainstream expenditure </w:t>
      </w:r>
      <w:r w:rsidRPr="00F91B73">
        <w:rPr>
          <w:b/>
          <w:i/>
          <w:szCs w:val="24"/>
        </w:rPr>
        <w:t>less</w:t>
      </w:r>
      <w:r w:rsidRPr="00F91B73">
        <w:rPr>
          <w:szCs w:val="24"/>
        </w:rPr>
        <w:t xml:space="preserve"> mainstream indirect expenditure.</w:t>
      </w:r>
    </w:p>
    <w:p w:rsidR="009A7F87" w:rsidRPr="00E230F3" w:rsidRDefault="009A7F87" w:rsidP="009A7F87">
      <w:pPr>
        <w:pStyle w:val="ListNumber"/>
        <w:ind w:hanging="56"/>
      </w:pPr>
      <w:r>
        <w:rPr>
          <w:i/>
        </w:rPr>
        <w:t>Estimate state and territory share of mainstream indirect and direct expenditure:</w:t>
      </w:r>
    </w:p>
    <w:p w:rsidR="009A7F87" w:rsidRPr="00E230F3" w:rsidRDefault="009A7F87" w:rsidP="009A7F87">
      <w:pPr>
        <w:pStyle w:val="ListBullet3"/>
      </w:pPr>
      <w:r>
        <w:rPr>
          <w:i/>
        </w:rPr>
        <w:t>state and territory share of mainstream indirect expenditure</w:t>
      </w:r>
      <w:r>
        <w:t xml:space="preserve"> — </w:t>
      </w:r>
      <w:r w:rsidRPr="00F91B73">
        <w:rPr>
          <w:szCs w:val="24"/>
        </w:rPr>
        <w:t>no estimation is required for this expenditure because payments ‘to’ and ‘through’ each State and Territory government can be identified</w:t>
      </w:r>
    </w:p>
    <w:p w:rsidR="009A7F87" w:rsidRPr="00E230F3" w:rsidRDefault="009A7F87" w:rsidP="009A7F87">
      <w:pPr>
        <w:pStyle w:val="ListBullet3"/>
      </w:pPr>
      <w:r>
        <w:rPr>
          <w:i/>
        </w:rPr>
        <w:t>state and territory share of mainstream direct expenditure</w:t>
      </w:r>
      <w:r>
        <w:t xml:space="preserve"> — </w:t>
      </w:r>
      <w:r w:rsidRPr="00F91B73">
        <w:rPr>
          <w:szCs w:val="24"/>
        </w:rPr>
        <w:t>must be estimated using information on the state and territory share of service users:</w:t>
      </w:r>
    </w:p>
    <w:tbl>
      <w:tblPr>
        <w:tblW w:w="7708" w:type="dxa"/>
        <w:tblInd w:w="1021" w:type="dxa"/>
        <w:tblLayout w:type="fixed"/>
        <w:tblCellMar>
          <w:left w:w="0" w:type="dxa"/>
          <w:right w:w="0" w:type="dxa"/>
        </w:tblCellMar>
        <w:tblLook w:val="01E0" w:firstRow="1" w:lastRow="1" w:firstColumn="1" w:lastColumn="1" w:noHBand="0" w:noVBand="0"/>
      </w:tblPr>
      <w:tblGrid>
        <w:gridCol w:w="2247"/>
        <w:gridCol w:w="258"/>
        <w:gridCol w:w="2247"/>
        <w:gridCol w:w="264"/>
        <w:gridCol w:w="2247"/>
        <w:gridCol w:w="445"/>
      </w:tblGrid>
      <w:tr w:rsidR="009A7F87" w:rsidRPr="00F91B73" w:rsidTr="009A7F87">
        <w:tc>
          <w:tcPr>
            <w:tcW w:w="2247" w:type="dxa"/>
            <w:shd w:val="clear" w:color="auto" w:fill="auto"/>
            <w:vAlign w:val="center"/>
          </w:tcPr>
          <w:p w:rsidR="009A7F87" w:rsidRPr="00770229" w:rsidRDefault="009A7F87" w:rsidP="009A7F87">
            <w:pPr>
              <w:pStyle w:val="TableBodyText"/>
              <w:keepNext w:val="0"/>
              <w:spacing w:before="240" w:after="120"/>
              <w:ind w:left="0" w:right="0"/>
              <w:jc w:val="center"/>
              <w:rPr>
                <w:bCs/>
                <w:caps/>
                <w:sz w:val="16"/>
                <w:szCs w:val="16"/>
              </w:rPr>
            </w:pPr>
            <w:r w:rsidRPr="00770229">
              <w:rPr>
                <w:bCs/>
                <w:sz w:val="16"/>
                <w:szCs w:val="16"/>
              </w:rPr>
              <w:t>State or territory share of Australian Government mainstream direct expenditure</w:t>
            </w:r>
          </w:p>
        </w:tc>
        <w:tc>
          <w:tcPr>
            <w:tcW w:w="258" w:type="dxa"/>
            <w:shd w:val="clear" w:color="auto" w:fill="auto"/>
            <w:vAlign w:val="center"/>
          </w:tcPr>
          <w:p w:rsidR="009A7F87" w:rsidRPr="00770229" w:rsidRDefault="009A7F87" w:rsidP="009A7F87">
            <w:pPr>
              <w:pStyle w:val="TableBodyText"/>
              <w:keepNext w:val="0"/>
              <w:spacing w:before="240" w:after="120"/>
              <w:ind w:left="0" w:right="0"/>
              <w:jc w:val="center"/>
              <w:rPr>
                <w:bCs/>
                <w:sz w:val="24"/>
                <w:szCs w:val="24"/>
              </w:rPr>
            </w:pPr>
            <w:r w:rsidRPr="00770229">
              <w:rPr>
                <w:bCs/>
                <w:sz w:val="24"/>
                <w:szCs w:val="24"/>
              </w:rPr>
              <w:t>=</w:t>
            </w:r>
          </w:p>
        </w:tc>
        <w:tc>
          <w:tcPr>
            <w:tcW w:w="2247" w:type="dxa"/>
            <w:shd w:val="clear" w:color="auto" w:fill="auto"/>
            <w:vAlign w:val="center"/>
          </w:tcPr>
          <w:p w:rsidR="009A7F87" w:rsidRPr="00770229" w:rsidRDefault="009A7F87" w:rsidP="009A7F87">
            <w:pPr>
              <w:pStyle w:val="TableBodyText"/>
              <w:keepNext w:val="0"/>
              <w:spacing w:before="240" w:after="120"/>
              <w:ind w:left="0" w:right="0"/>
              <w:jc w:val="center"/>
              <w:rPr>
                <w:bCs/>
                <w:sz w:val="16"/>
                <w:szCs w:val="16"/>
              </w:rPr>
            </w:pPr>
            <w:r w:rsidRPr="00770229">
              <w:rPr>
                <w:bCs/>
                <w:sz w:val="16"/>
                <w:szCs w:val="16"/>
              </w:rPr>
              <w:t xml:space="preserve">National Australian Government mainstream </w:t>
            </w:r>
            <w:r w:rsidRPr="00770229">
              <w:rPr>
                <w:bCs/>
                <w:sz w:val="16"/>
                <w:szCs w:val="16"/>
              </w:rPr>
              <w:br/>
              <w:t>direct expenditure</w:t>
            </w:r>
          </w:p>
        </w:tc>
        <w:tc>
          <w:tcPr>
            <w:tcW w:w="264" w:type="dxa"/>
            <w:shd w:val="clear" w:color="auto" w:fill="auto"/>
            <w:vAlign w:val="center"/>
          </w:tcPr>
          <w:p w:rsidR="009A7F87" w:rsidRPr="00770229" w:rsidRDefault="009A7F87" w:rsidP="009A7F87">
            <w:pPr>
              <w:pStyle w:val="TableBodyText"/>
              <w:keepNext w:val="0"/>
              <w:spacing w:before="240" w:after="120"/>
              <w:ind w:left="0" w:right="0"/>
              <w:jc w:val="center"/>
              <w:rPr>
                <w:bCs/>
                <w:sz w:val="24"/>
                <w:szCs w:val="24"/>
              </w:rPr>
            </w:pPr>
            <w:r w:rsidRPr="00770229">
              <w:rPr>
                <w:bCs/>
                <w:sz w:val="24"/>
                <w:szCs w:val="24"/>
              </w:rPr>
              <w:t>X</w:t>
            </w:r>
          </w:p>
        </w:tc>
        <w:tc>
          <w:tcPr>
            <w:tcW w:w="2247" w:type="dxa"/>
            <w:shd w:val="clear" w:color="auto" w:fill="auto"/>
            <w:vAlign w:val="center"/>
          </w:tcPr>
          <w:p w:rsidR="009A7F87" w:rsidRPr="00770229" w:rsidRDefault="009A7F87" w:rsidP="009A7F87">
            <w:pPr>
              <w:pStyle w:val="TableBodyText"/>
              <w:keepNext w:val="0"/>
              <w:spacing w:before="240" w:after="120"/>
              <w:ind w:left="0" w:right="0"/>
              <w:jc w:val="center"/>
              <w:rPr>
                <w:bCs/>
                <w:caps/>
                <w:sz w:val="16"/>
                <w:szCs w:val="16"/>
              </w:rPr>
            </w:pPr>
            <w:r w:rsidRPr="00770229">
              <w:rPr>
                <w:bCs/>
                <w:sz w:val="16"/>
                <w:szCs w:val="16"/>
              </w:rPr>
              <w:t xml:space="preserve">State or territory </w:t>
            </w:r>
            <w:r w:rsidRPr="00770229">
              <w:rPr>
                <w:bCs/>
                <w:sz w:val="16"/>
                <w:szCs w:val="16"/>
              </w:rPr>
              <w:br/>
              <w:t xml:space="preserve">share of mainstream </w:t>
            </w:r>
            <w:r w:rsidRPr="00770229">
              <w:rPr>
                <w:bCs/>
                <w:sz w:val="16"/>
                <w:szCs w:val="16"/>
              </w:rPr>
              <w:br/>
              <w:t>service users</w:t>
            </w:r>
          </w:p>
        </w:tc>
        <w:tc>
          <w:tcPr>
            <w:tcW w:w="445" w:type="dxa"/>
            <w:shd w:val="clear" w:color="auto" w:fill="auto"/>
            <w:vAlign w:val="center"/>
          </w:tcPr>
          <w:p w:rsidR="009A7F87" w:rsidRPr="00F91B73" w:rsidRDefault="009A7F87" w:rsidP="009A7F87">
            <w:pPr>
              <w:pStyle w:val="TableBodyText"/>
              <w:keepNext w:val="0"/>
              <w:spacing w:before="240" w:after="120"/>
              <w:ind w:left="0" w:right="0"/>
              <w:rPr>
                <w:bCs/>
                <w:caps/>
                <w:sz w:val="24"/>
                <w:szCs w:val="24"/>
              </w:rPr>
            </w:pPr>
            <w:r w:rsidRPr="00F91B73">
              <w:rPr>
                <w:rFonts w:ascii="Times New Roman" w:hAnsi="Times New Roman"/>
                <w:sz w:val="24"/>
                <w:szCs w:val="24"/>
              </w:rPr>
              <w:t>[3]</w:t>
            </w:r>
          </w:p>
        </w:tc>
      </w:tr>
    </w:tbl>
    <w:p w:rsidR="009A7F87" w:rsidRDefault="009A7F87" w:rsidP="009A7F87">
      <w:pPr>
        <w:pStyle w:val="ListBullet3"/>
        <w:numPr>
          <w:ilvl w:val="0"/>
          <w:numId w:val="0"/>
        </w:numPr>
        <w:ind w:left="1020"/>
        <w:rPr>
          <w:szCs w:val="24"/>
        </w:rPr>
      </w:pPr>
      <w:r w:rsidRPr="00F91B73">
        <w:rPr>
          <w:szCs w:val="24"/>
        </w:rPr>
        <w:t>The total mainstream expenditure in a state or territory is:</w:t>
      </w:r>
    </w:p>
    <w:tbl>
      <w:tblPr>
        <w:tblW w:w="8108" w:type="dxa"/>
        <w:tblInd w:w="680" w:type="dxa"/>
        <w:tblLayout w:type="fixed"/>
        <w:tblCellMar>
          <w:left w:w="0" w:type="dxa"/>
          <w:right w:w="0" w:type="dxa"/>
        </w:tblCellMar>
        <w:tblLook w:val="01E0" w:firstRow="1" w:lastRow="1" w:firstColumn="1" w:lastColumn="1" w:noHBand="0" w:noVBand="0"/>
      </w:tblPr>
      <w:tblGrid>
        <w:gridCol w:w="2376"/>
        <w:gridCol w:w="277"/>
        <w:gridCol w:w="2377"/>
        <w:gridCol w:w="222"/>
        <w:gridCol w:w="2377"/>
        <w:gridCol w:w="479"/>
      </w:tblGrid>
      <w:tr w:rsidR="009A7F87" w:rsidRPr="00F91B73" w:rsidTr="009A7F87">
        <w:tc>
          <w:tcPr>
            <w:tcW w:w="2376" w:type="dxa"/>
            <w:shd w:val="clear" w:color="auto" w:fill="auto"/>
            <w:vAlign w:val="center"/>
          </w:tcPr>
          <w:p w:rsidR="009A7F87" w:rsidRPr="00770229" w:rsidRDefault="009A7F87" w:rsidP="009A7F87">
            <w:pPr>
              <w:pStyle w:val="TableBodyText"/>
              <w:keepNext w:val="0"/>
              <w:spacing w:before="240" w:after="120"/>
              <w:ind w:left="0" w:right="0"/>
              <w:jc w:val="center"/>
              <w:rPr>
                <w:bCs/>
                <w:sz w:val="16"/>
                <w:szCs w:val="16"/>
              </w:rPr>
            </w:pPr>
            <w:r w:rsidRPr="00770229">
              <w:rPr>
                <w:bCs/>
                <w:sz w:val="16"/>
                <w:szCs w:val="16"/>
              </w:rPr>
              <w:t xml:space="preserve">Total mainstream </w:t>
            </w:r>
            <w:r w:rsidRPr="00770229">
              <w:rPr>
                <w:bCs/>
                <w:sz w:val="16"/>
                <w:szCs w:val="16"/>
              </w:rPr>
              <w:br/>
              <w:t xml:space="preserve">expenditure in a </w:t>
            </w:r>
            <w:r w:rsidRPr="00770229">
              <w:rPr>
                <w:bCs/>
                <w:sz w:val="16"/>
                <w:szCs w:val="16"/>
              </w:rPr>
              <w:br/>
              <w:t>state or territory</w:t>
            </w:r>
          </w:p>
        </w:tc>
        <w:tc>
          <w:tcPr>
            <w:tcW w:w="277" w:type="dxa"/>
            <w:shd w:val="clear" w:color="auto" w:fill="auto"/>
            <w:vAlign w:val="center"/>
          </w:tcPr>
          <w:p w:rsidR="009A7F87" w:rsidRPr="00770229" w:rsidRDefault="009A7F87" w:rsidP="009A7F87">
            <w:pPr>
              <w:pStyle w:val="TableBodyText"/>
              <w:keepNext w:val="0"/>
              <w:spacing w:before="240" w:after="120"/>
              <w:ind w:left="0" w:right="0"/>
              <w:jc w:val="center"/>
              <w:rPr>
                <w:bCs/>
                <w:sz w:val="24"/>
                <w:szCs w:val="24"/>
              </w:rPr>
            </w:pPr>
            <w:r w:rsidRPr="00770229">
              <w:rPr>
                <w:bCs/>
                <w:sz w:val="24"/>
                <w:szCs w:val="24"/>
              </w:rPr>
              <w:t>=</w:t>
            </w:r>
          </w:p>
        </w:tc>
        <w:tc>
          <w:tcPr>
            <w:tcW w:w="2377" w:type="dxa"/>
            <w:shd w:val="clear" w:color="auto" w:fill="auto"/>
            <w:vAlign w:val="center"/>
          </w:tcPr>
          <w:p w:rsidR="009A7F87" w:rsidRPr="00770229" w:rsidRDefault="009A7F87" w:rsidP="009A7F87">
            <w:pPr>
              <w:pStyle w:val="TableBodyText"/>
              <w:keepNext w:val="0"/>
              <w:spacing w:before="240" w:after="120"/>
              <w:ind w:left="0" w:right="0"/>
              <w:jc w:val="center"/>
              <w:rPr>
                <w:bCs/>
                <w:sz w:val="16"/>
                <w:szCs w:val="16"/>
              </w:rPr>
            </w:pPr>
            <w:r w:rsidRPr="00770229">
              <w:rPr>
                <w:bCs/>
                <w:sz w:val="16"/>
                <w:szCs w:val="16"/>
              </w:rPr>
              <w:t>State or territory share of Australian Government mainstream direct expenditure</w:t>
            </w:r>
          </w:p>
        </w:tc>
        <w:tc>
          <w:tcPr>
            <w:tcW w:w="222" w:type="dxa"/>
            <w:shd w:val="clear" w:color="auto" w:fill="auto"/>
            <w:vAlign w:val="center"/>
          </w:tcPr>
          <w:p w:rsidR="009A7F87" w:rsidRPr="00770229" w:rsidRDefault="009A7F87" w:rsidP="009A7F87">
            <w:pPr>
              <w:pStyle w:val="TableBodyText"/>
              <w:keepNext w:val="0"/>
              <w:spacing w:before="240" w:after="120"/>
              <w:ind w:left="0" w:right="0"/>
              <w:jc w:val="center"/>
              <w:rPr>
                <w:bCs/>
                <w:sz w:val="36"/>
                <w:szCs w:val="36"/>
              </w:rPr>
            </w:pPr>
            <w:r w:rsidRPr="00770229">
              <w:rPr>
                <w:bCs/>
                <w:sz w:val="36"/>
                <w:szCs w:val="36"/>
              </w:rPr>
              <w:sym w:font="Symbol" w:char="F02B"/>
            </w:r>
          </w:p>
        </w:tc>
        <w:tc>
          <w:tcPr>
            <w:tcW w:w="2377" w:type="dxa"/>
            <w:shd w:val="clear" w:color="auto" w:fill="auto"/>
            <w:vAlign w:val="center"/>
          </w:tcPr>
          <w:p w:rsidR="009A7F87" w:rsidRPr="00770229" w:rsidRDefault="009A7F87" w:rsidP="009A7F87">
            <w:pPr>
              <w:pStyle w:val="TableBodyText"/>
              <w:keepNext w:val="0"/>
              <w:spacing w:before="240" w:after="120"/>
              <w:ind w:left="0" w:right="0"/>
              <w:jc w:val="center"/>
              <w:rPr>
                <w:bCs/>
                <w:caps/>
                <w:sz w:val="16"/>
                <w:szCs w:val="16"/>
              </w:rPr>
            </w:pPr>
            <w:r w:rsidRPr="00770229">
              <w:rPr>
                <w:bCs/>
                <w:sz w:val="16"/>
                <w:szCs w:val="16"/>
              </w:rPr>
              <w:t xml:space="preserve">State or Territory </w:t>
            </w:r>
            <w:r w:rsidRPr="00770229">
              <w:rPr>
                <w:bCs/>
                <w:sz w:val="16"/>
                <w:szCs w:val="16"/>
              </w:rPr>
              <w:br/>
              <w:t>Government mainstream expenditure</w:t>
            </w:r>
          </w:p>
        </w:tc>
        <w:tc>
          <w:tcPr>
            <w:tcW w:w="479" w:type="dxa"/>
            <w:shd w:val="clear" w:color="auto" w:fill="auto"/>
            <w:vAlign w:val="center"/>
          </w:tcPr>
          <w:p w:rsidR="009A7F87" w:rsidRPr="00F91B73" w:rsidRDefault="009A7F87" w:rsidP="009A7F87">
            <w:pPr>
              <w:pStyle w:val="TableBodyText"/>
              <w:keepNext w:val="0"/>
              <w:spacing w:before="240" w:after="120"/>
              <w:ind w:left="0" w:right="0"/>
              <w:rPr>
                <w:rFonts w:ascii="Times New Roman" w:hAnsi="Times New Roman"/>
                <w:sz w:val="24"/>
                <w:szCs w:val="24"/>
              </w:rPr>
            </w:pPr>
            <w:r w:rsidRPr="00F91B73">
              <w:rPr>
                <w:rFonts w:ascii="Times New Roman" w:hAnsi="Times New Roman"/>
                <w:sz w:val="24"/>
                <w:szCs w:val="24"/>
              </w:rPr>
              <w:t>[4]</w:t>
            </w:r>
            <w:r>
              <w:rPr>
                <w:rFonts w:ascii="Times New Roman" w:hAnsi="Times New Roman"/>
                <w:sz w:val="24"/>
                <w:szCs w:val="24"/>
              </w:rPr>
              <w:br/>
            </w:r>
          </w:p>
        </w:tc>
      </w:tr>
    </w:tbl>
    <w:p w:rsidR="009A7F87" w:rsidRPr="007118BE" w:rsidRDefault="009A7F87" w:rsidP="009A7F87">
      <w:pPr>
        <w:pStyle w:val="ListNumber"/>
        <w:ind w:hanging="56"/>
      </w:pPr>
      <w:r>
        <w:rPr>
          <w:i/>
        </w:rPr>
        <w:t xml:space="preserve">Estimate Aboriginal and Torres Strait Islander share of Australian Government </w:t>
      </w:r>
      <w:r>
        <w:rPr>
          <w:i/>
        </w:rPr>
        <w:tab/>
        <w:t>mainstream expenditure in each state and territory</w:t>
      </w:r>
      <w:r>
        <w:t xml:space="preserve"> — </w:t>
      </w:r>
      <w:r w:rsidRPr="00F91B73">
        <w:rPr>
          <w:szCs w:val="24"/>
        </w:rPr>
        <w:t xml:space="preserve">must be estimated using </w:t>
      </w:r>
      <w:r w:rsidRPr="00F91B73">
        <w:rPr>
          <w:szCs w:val="24"/>
        </w:rPr>
        <w:lastRenderedPageBreak/>
        <w:t>service use measures. Where possible, adjustments should be made to service use measures to account for under</w:t>
      </w:r>
      <w:r w:rsidRPr="00F91B73">
        <w:rPr>
          <w:szCs w:val="24"/>
        </w:rPr>
        <w:noBreakHyphen/>
        <w:t>identification and cost differential factors:</w:t>
      </w:r>
    </w:p>
    <w:tbl>
      <w:tblPr>
        <w:tblW w:w="8108" w:type="dxa"/>
        <w:tblInd w:w="680" w:type="dxa"/>
        <w:tblLayout w:type="fixed"/>
        <w:tblCellMar>
          <w:left w:w="0" w:type="dxa"/>
          <w:right w:w="0" w:type="dxa"/>
        </w:tblCellMar>
        <w:tblLook w:val="01E0" w:firstRow="1" w:lastRow="1" w:firstColumn="1" w:lastColumn="1" w:noHBand="0" w:noVBand="0"/>
      </w:tblPr>
      <w:tblGrid>
        <w:gridCol w:w="1719"/>
        <w:gridCol w:w="271"/>
        <w:gridCol w:w="2010"/>
        <w:gridCol w:w="180"/>
        <w:gridCol w:w="1620"/>
        <w:gridCol w:w="360"/>
        <w:gridCol w:w="1479"/>
        <w:gridCol w:w="469"/>
      </w:tblGrid>
      <w:tr w:rsidR="009A7F87" w:rsidRPr="00F91B73" w:rsidTr="009A7F87">
        <w:tc>
          <w:tcPr>
            <w:tcW w:w="1719" w:type="dxa"/>
            <w:shd w:val="clear" w:color="auto" w:fill="auto"/>
            <w:vAlign w:val="center"/>
          </w:tcPr>
          <w:p w:rsidR="009A7F87" w:rsidRPr="00770229" w:rsidRDefault="009A7F87" w:rsidP="009A7F87">
            <w:pPr>
              <w:pStyle w:val="TableBodyText"/>
              <w:keepNext w:val="0"/>
              <w:spacing w:before="240" w:after="120"/>
              <w:ind w:left="0" w:right="0"/>
              <w:jc w:val="center"/>
              <w:rPr>
                <w:bCs/>
                <w:sz w:val="16"/>
                <w:szCs w:val="16"/>
              </w:rPr>
            </w:pPr>
            <w:r w:rsidRPr="00770229">
              <w:rPr>
                <w:bCs/>
                <w:sz w:val="16"/>
                <w:szCs w:val="16"/>
              </w:rPr>
              <w:t xml:space="preserve">Aboriginal and Torres Strait Islander share of </w:t>
            </w:r>
            <w:r w:rsidRPr="00770229">
              <w:rPr>
                <w:bCs/>
                <w:sz w:val="16"/>
                <w:szCs w:val="16"/>
              </w:rPr>
              <w:br/>
              <w:t>Australian Government mainstream expenditure in each state or territory</w:t>
            </w:r>
          </w:p>
        </w:tc>
        <w:tc>
          <w:tcPr>
            <w:tcW w:w="271" w:type="dxa"/>
            <w:shd w:val="clear" w:color="auto" w:fill="auto"/>
            <w:vAlign w:val="center"/>
          </w:tcPr>
          <w:p w:rsidR="009A7F87" w:rsidRPr="00770229" w:rsidRDefault="009A7F87" w:rsidP="009A7F87">
            <w:pPr>
              <w:pStyle w:val="TableBodyText"/>
              <w:keepNext w:val="0"/>
              <w:spacing w:before="240" w:after="120"/>
              <w:ind w:left="0" w:right="0"/>
              <w:jc w:val="center"/>
              <w:rPr>
                <w:bCs/>
                <w:sz w:val="24"/>
                <w:szCs w:val="24"/>
              </w:rPr>
            </w:pPr>
            <w:r w:rsidRPr="00770229">
              <w:rPr>
                <w:bCs/>
                <w:sz w:val="24"/>
                <w:szCs w:val="24"/>
              </w:rPr>
              <w:t>=</w:t>
            </w:r>
          </w:p>
        </w:tc>
        <w:tc>
          <w:tcPr>
            <w:tcW w:w="2010" w:type="dxa"/>
            <w:shd w:val="clear" w:color="auto" w:fill="auto"/>
            <w:vAlign w:val="center"/>
          </w:tcPr>
          <w:p w:rsidR="009A7F87" w:rsidRPr="00770229" w:rsidRDefault="009A7F87" w:rsidP="009A7F87">
            <w:pPr>
              <w:pStyle w:val="TableBodyText"/>
              <w:keepNext w:val="0"/>
              <w:spacing w:before="240" w:after="120"/>
              <w:ind w:left="0" w:right="0"/>
              <w:jc w:val="center"/>
              <w:rPr>
                <w:bCs/>
                <w:sz w:val="16"/>
                <w:szCs w:val="16"/>
              </w:rPr>
            </w:pPr>
            <w:r w:rsidRPr="00770229">
              <w:rPr>
                <w:bCs/>
                <w:sz w:val="16"/>
                <w:szCs w:val="16"/>
              </w:rPr>
              <w:t>Australian Government</w:t>
            </w:r>
            <w:r w:rsidRPr="00770229">
              <w:rPr>
                <w:bCs/>
                <w:sz w:val="16"/>
                <w:szCs w:val="16"/>
              </w:rPr>
              <w:br/>
              <w:t xml:space="preserve">mainstream expenditure </w:t>
            </w:r>
            <w:r w:rsidRPr="00770229">
              <w:rPr>
                <w:bCs/>
                <w:sz w:val="16"/>
                <w:szCs w:val="16"/>
              </w:rPr>
              <w:br/>
              <w:t>in each state or territory</w:t>
            </w:r>
          </w:p>
        </w:tc>
        <w:tc>
          <w:tcPr>
            <w:tcW w:w="180" w:type="dxa"/>
            <w:shd w:val="clear" w:color="auto" w:fill="auto"/>
            <w:vAlign w:val="center"/>
          </w:tcPr>
          <w:p w:rsidR="009A7F87" w:rsidRPr="00770229" w:rsidRDefault="009A7F87" w:rsidP="009A7F87">
            <w:pPr>
              <w:pStyle w:val="TableBodyText"/>
              <w:keepNext w:val="0"/>
              <w:spacing w:before="240" w:after="120"/>
              <w:ind w:left="0" w:right="0"/>
              <w:jc w:val="center"/>
              <w:rPr>
                <w:bCs/>
                <w:sz w:val="24"/>
                <w:szCs w:val="24"/>
              </w:rPr>
            </w:pPr>
            <w:r w:rsidRPr="00770229">
              <w:rPr>
                <w:bCs/>
                <w:sz w:val="24"/>
                <w:szCs w:val="24"/>
              </w:rPr>
              <w:t>X</w:t>
            </w:r>
          </w:p>
        </w:tc>
        <w:tc>
          <w:tcPr>
            <w:tcW w:w="1620" w:type="dxa"/>
            <w:shd w:val="clear" w:color="auto" w:fill="auto"/>
            <w:vAlign w:val="center"/>
          </w:tcPr>
          <w:p w:rsidR="009A7F87" w:rsidRPr="00770229" w:rsidRDefault="009A7F87" w:rsidP="009A7F87">
            <w:pPr>
              <w:pStyle w:val="TableBodyText"/>
              <w:keepNext w:val="0"/>
              <w:spacing w:before="240" w:after="120"/>
              <w:ind w:left="0" w:right="0"/>
              <w:jc w:val="center"/>
              <w:rPr>
                <w:bCs/>
                <w:caps/>
                <w:sz w:val="16"/>
                <w:szCs w:val="16"/>
              </w:rPr>
            </w:pPr>
            <w:r w:rsidRPr="00770229">
              <w:rPr>
                <w:bCs/>
                <w:sz w:val="16"/>
                <w:szCs w:val="16"/>
              </w:rPr>
              <w:t xml:space="preserve">State or territory </w:t>
            </w:r>
            <w:r w:rsidRPr="00770229">
              <w:rPr>
                <w:bCs/>
                <w:sz w:val="16"/>
                <w:szCs w:val="16"/>
              </w:rPr>
              <w:br/>
              <w:t xml:space="preserve">Aboriginal and Torres Strait Islander share of mainstream </w:t>
            </w:r>
            <w:r w:rsidRPr="00770229">
              <w:rPr>
                <w:bCs/>
                <w:sz w:val="16"/>
                <w:szCs w:val="16"/>
              </w:rPr>
              <w:br/>
              <w:t>service users</w:t>
            </w:r>
          </w:p>
        </w:tc>
        <w:tc>
          <w:tcPr>
            <w:tcW w:w="360" w:type="dxa"/>
            <w:shd w:val="clear" w:color="auto" w:fill="auto"/>
            <w:vAlign w:val="center"/>
          </w:tcPr>
          <w:p w:rsidR="009A7F87" w:rsidRPr="00770229" w:rsidRDefault="009A7F87" w:rsidP="009A7F87">
            <w:pPr>
              <w:pStyle w:val="TableBodyText"/>
              <w:keepNext w:val="0"/>
              <w:spacing w:before="240" w:after="120"/>
              <w:ind w:left="0" w:right="0"/>
              <w:jc w:val="center"/>
              <w:rPr>
                <w:bCs/>
                <w:sz w:val="24"/>
                <w:szCs w:val="24"/>
              </w:rPr>
            </w:pPr>
            <w:r w:rsidRPr="00770229">
              <w:rPr>
                <w:bCs/>
                <w:sz w:val="24"/>
                <w:szCs w:val="24"/>
              </w:rPr>
              <w:t>X</w:t>
            </w:r>
          </w:p>
        </w:tc>
        <w:tc>
          <w:tcPr>
            <w:tcW w:w="1479" w:type="dxa"/>
            <w:shd w:val="clear" w:color="auto" w:fill="auto"/>
            <w:vAlign w:val="center"/>
          </w:tcPr>
          <w:p w:rsidR="009A7F87" w:rsidRPr="00770229" w:rsidRDefault="009A7F87" w:rsidP="009A7F87">
            <w:pPr>
              <w:pStyle w:val="TableBodyText"/>
              <w:keepNext w:val="0"/>
              <w:spacing w:before="240" w:after="120"/>
              <w:ind w:left="0" w:right="0"/>
              <w:jc w:val="center"/>
              <w:rPr>
                <w:bCs/>
                <w:sz w:val="16"/>
                <w:szCs w:val="16"/>
              </w:rPr>
            </w:pPr>
            <w:r w:rsidRPr="00770229">
              <w:rPr>
                <w:bCs/>
                <w:sz w:val="16"/>
                <w:szCs w:val="16"/>
              </w:rPr>
              <w:t>Service use cost differential</w:t>
            </w:r>
          </w:p>
        </w:tc>
        <w:tc>
          <w:tcPr>
            <w:tcW w:w="469" w:type="dxa"/>
            <w:shd w:val="clear" w:color="auto" w:fill="auto"/>
            <w:vAlign w:val="center"/>
          </w:tcPr>
          <w:p w:rsidR="009A7F87" w:rsidRPr="00F91B73" w:rsidRDefault="009A7F87" w:rsidP="009A7F87">
            <w:pPr>
              <w:pStyle w:val="TableBodyText"/>
              <w:keepNext w:val="0"/>
              <w:spacing w:before="240" w:after="120"/>
              <w:ind w:left="0" w:right="0"/>
              <w:rPr>
                <w:rFonts w:ascii="Times New Roman" w:hAnsi="Times New Roman"/>
                <w:sz w:val="24"/>
                <w:szCs w:val="24"/>
              </w:rPr>
            </w:pPr>
            <w:r w:rsidRPr="00F91B73">
              <w:rPr>
                <w:rFonts w:ascii="Times New Roman" w:hAnsi="Times New Roman"/>
                <w:sz w:val="24"/>
                <w:szCs w:val="24"/>
              </w:rPr>
              <w:t>[5]</w:t>
            </w:r>
          </w:p>
        </w:tc>
      </w:tr>
    </w:tbl>
    <w:p w:rsidR="009A7F87" w:rsidRDefault="009A7F87" w:rsidP="009A7F87">
      <w:pPr>
        <w:pStyle w:val="Heading2"/>
      </w:pPr>
      <w:r>
        <w:t>7.</w:t>
      </w:r>
      <w:r>
        <w:rPr>
          <w:noProof/>
        </w:rPr>
        <w:t>3</w:t>
      </w:r>
      <w:r>
        <w:tab/>
        <w:t>Interpreting expenditure estimates</w:t>
      </w:r>
    </w:p>
    <w:p w:rsidR="009A7F87" w:rsidRPr="00F91B73" w:rsidRDefault="009A7F87" w:rsidP="009A7F87">
      <w:pPr>
        <w:pStyle w:val="BodyText"/>
        <w:rPr>
          <w:szCs w:val="24"/>
        </w:rPr>
      </w:pPr>
      <w:r w:rsidRPr="00F91B73">
        <w:rPr>
          <w:szCs w:val="24"/>
        </w:rPr>
        <w:t>The service use measures used to estimate the Australian Government Indigenous expenditure in each state and territory have their limitations and should be interpreted with care. Information on the strengths and weaknesses of the proration method are provided in section</w:t>
      </w:r>
      <w:r>
        <w:rPr>
          <w:szCs w:val="24"/>
        </w:rPr>
        <w:t> </w:t>
      </w:r>
      <w:r w:rsidRPr="00F91B73">
        <w:rPr>
          <w:szCs w:val="24"/>
        </w:rPr>
        <w:t>2.2 of this manual.</w:t>
      </w:r>
    </w:p>
    <w:p w:rsidR="009A7F87" w:rsidRPr="00F91B73" w:rsidRDefault="009A7F87" w:rsidP="009A7F87">
      <w:pPr>
        <w:pStyle w:val="BodyText"/>
        <w:rPr>
          <w:szCs w:val="24"/>
        </w:rPr>
      </w:pPr>
      <w:r w:rsidRPr="00F91B73">
        <w:rPr>
          <w:szCs w:val="24"/>
        </w:rPr>
        <w:t xml:space="preserve">Although this estimation method can be used to calculate the general government Indigenous expenditure in each state and territory, it does not allow for the identification of the Australian Government, State, or Territory government share of expenditure in a state or territory. That is, how much is contributed by the Australian Government and how much by the State or Territory government, in a state or territory. </w:t>
      </w:r>
    </w:p>
    <w:p w:rsidR="009A7F87" w:rsidRDefault="009A7F87" w:rsidP="00120072">
      <w:pPr>
        <w:pStyle w:val="BodyText"/>
      </w:pPr>
      <w:r w:rsidRPr="00F91B73">
        <w:rPr>
          <w:szCs w:val="24"/>
        </w:rPr>
        <w:t>The estimation of the Australian Government, State, or Territory government share of all governments</w:t>
      </w:r>
      <w:r>
        <w:rPr>
          <w:szCs w:val="24"/>
        </w:rPr>
        <w:t>’</w:t>
      </w:r>
      <w:r w:rsidRPr="00F91B73">
        <w:rPr>
          <w:szCs w:val="24"/>
        </w:rPr>
        <w:t xml:space="preserve"> expenditure in a state or territory is a complex task. Significant work needs to be undertaken to estimate this expenditure, including development of an estimation method, establishment of additional data collections, and specific improvements to resolve issues associated with timing, capital transfers, and Government Purpose Classification allocation. The Working Group </w:t>
      </w:r>
      <w:r>
        <w:rPr>
          <w:szCs w:val="24"/>
        </w:rPr>
        <w:t>may</w:t>
      </w:r>
      <w:r w:rsidRPr="00F91B73">
        <w:rPr>
          <w:szCs w:val="24"/>
        </w:rPr>
        <w:t xml:space="preserve"> investigate the feasibility of estimating this expenditure for future reporting.</w:t>
      </w:r>
    </w:p>
    <w:p w:rsidR="009A7F87" w:rsidRDefault="009A7F87" w:rsidP="009A7F87">
      <w:pPr>
        <w:sectPr w:rsidR="009A7F87" w:rsidSect="009A7F87">
          <w:headerReference w:type="even" r:id="rId58"/>
          <w:headerReference w:type="default" r:id="rId59"/>
          <w:footerReference w:type="even" r:id="rId60"/>
          <w:footerReference w:type="default" r:id="rId61"/>
          <w:footnotePr>
            <w:numRestart w:val="eachSect"/>
          </w:footnotePr>
          <w:type w:val="oddPage"/>
          <w:pgSz w:w="11907" w:h="16840" w:code="9"/>
          <w:pgMar w:top="1985" w:right="1304" w:bottom="1247" w:left="1814" w:header="1701" w:footer="397" w:gutter="0"/>
          <w:pgNumType w:chapSep="period"/>
          <w:cols w:space="720"/>
          <w:docGrid w:linePitch="326"/>
        </w:sectPr>
      </w:pPr>
    </w:p>
    <w:p w:rsidR="009A7F87" w:rsidRDefault="009A7F87" w:rsidP="009A7F87">
      <w:pPr>
        <w:pStyle w:val="Heading1"/>
        <w:spacing w:before="0"/>
      </w:pPr>
      <w:r>
        <w:lastRenderedPageBreak/>
        <w:t>8</w:t>
      </w:r>
      <w:r>
        <w:tab/>
        <w:t>Sensitivity analysis</w:t>
      </w:r>
    </w:p>
    <w:p w:rsidR="009A7F87" w:rsidRDefault="009A7F87" w:rsidP="00120072">
      <w:pPr>
        <w:pStyle w:val="BodyText"/>
        <w:rPr>
          <w:szCs w:val="24"/>
        </w:rPr>
      </w:pPr>
      <w:r w:rsidRPr="00F91B73">
        <w:rPr>
          <w:szCs w:val="24"/>
        </w:rPr>
        <w:t>The Indigenous Expenditure Report method defines total expenditure on services to Aboriginal and Torres Strait Islander Australians as the sum of:</w:t>
      </w:r>
    </w:p>
    <w:p w:rsidR="009A7F87" w:rsidRPr="004A3920" w:rsidRDefault="009A7F87" w:rsidP="009A7F87">
      <w:pPr>
        <w:pStyle w:val="ListBullet"/>
      </w:pPr>
      <w:r>
        <w:rPr>
          <w:i/>
        </w:rPr>
        <w:t>Indigenous specific expenditure</w:t>
      </w:r>
      <w:r>
        <w:t xml:space="preserve"> — </w:t>
      </w:r>
      <w:r w:rsidRPr="00F91B73">
        <w:rPr>
          <w:szCs w:val="24"/>
        </w:rPr>
        <w:t>which includes expenditure on services explicitly targeted at Aboriginal and Torres Strait Islander Australians, plus any expenditure on more broadly targeted services that can be identified as relating to Aboriginal and Torres Strait Islander Australians</w:t>
      </w:r>
    </w:p>
    <w:p w:rsidR="009A7F87" w:rsidRPr="004A3920" w:rsidRDefault="009A7F87" w:rsidP="009A7F87">
      <w:pPr>
        <w:pStyle w:val="ListBullet"/>
      </w:pPr>
      <w:r>
        <w:rPr>
          <w:i/>
        </w:rPr>
        <w:t>the Aboriginal and Torres Strait Islander share of mainstream expenditure</w:t>
      </w:r>
      <w:r>
        <w:t xml:space="preserve"> — </w:t>
      </w:r>
      <w:r w:rsidRPr="00F91B73">
        <w:rPr>
          <w:szCs w:val="24"/>
        </w:rPr>
        <w:t>the proportion of expenditure on mainstream services that is estimated to relate to services for Aboriginal and Torres Strait Islander Australians.</w:t>
      </w:r>
    </w:p>
    <w:p w:rsidR="009A7F87" w:rsidRPr="00F91B73" w:rsidRDefault="009A7F87" w:rsidP="009A7F87">
      <w:pPr>
        <w:pStyle w:val="BodyText"/>
      </w:pPr>
      <w:r w:rsidRPr="00F91B73">
        <w:t>Total</w:t>
      </w:r>
      <w:r w:rsidRPr="00F91B73">
        <w:rPr>
          <w:i/>
        </w:rPr>
        <w:t xml:space="preserve"> </w:t>
      </w:r>
      <w:r w:rsidRPr="00F91B73">
        <w:t>Indigenous specific expenditure is assumed to relate solely to services for Aboriginal and Torres Strait Islander Australians. As a consequence, the Aboriginal and Torres Strait Islander share of this expenditure is known, and does not have to be estimated. The</w:t>
      </w:r>
      <w:r w:rsidRPr="00F91B73">
        <w:rPr>
          <w:i/>
        </w:rPr>
        <w:t xml:space="preserve"> </w:t>
      </w:r>
      <w:r w:rsidRPr="00F91B73">
        <w:t>Aboriginal and Torres Strait Islander share of</w:t>
      </w:r>
      <w:r w:rsidRPr="00F91B73">
        <w:rPr>
          <w:i/>
        </w:rPr>
        <w:t xml:space="preserve"> </w:t>
      </w:r>
      <w:r w:rsidRPr="00F91B73">
        <w:t>mainstream expenditure is not known with certainty and must be estimated.</w:t>
      </w:r>
    </w:p>
    <w:p w:rsidR="009A7F87" w:rsidRPr="00F91B73" w:rsidRDefault="009A7F87" w:rsidP="009A7F87">
      <w:pPr>
        <w:pStyle w:val="BodyText"/>
      </w:pPr>
      <w:r w:rsidRPr="00F91B73">
        <w:t>The Indigenous Expenditure Report proration method is based on approaches used in similar exercises and benefits from the contributions of a wide</w:t>
      </w:r>
      <w:r>
        <w:noBreakHyphen/>
      </w:r>
      <w:r w:rsidRPr="00F91B73">
        <w:t>range of data and service delivery specialists. This method can therefore be expected to provide reliable estimates of the Aboriginal and Torres Strait Islander share of</w:t>
      </w:r>
      <w:r w:rsidRPr="00F91B73">
        <w:rPr>
          <w:i/>
        </w:rPr>
        <w:t xml:space="preserve"> </w:t>
      </w:r>
      <w:r w:rsidRPr="00F91B73">
        <w:t>mainstream expenditure. However, any estimation process contains an inherent level of uncertainty.</w:t>
      </w:r>
    </w:p>
    <w:p w:rsidR="009A7F87" w:rsidRDefault="009A7F87" w:rsidP="009A7F87">
      <w:pPr>
        <w:pStyle w:val="BodyText"/>
      </w:pPr>
      <w:r w:rsidRPr="00F91B73">
        <w:t>The sources of uncertainty and benefits of sensitivity analysis are explored in section 8.1. The Monte Carlo simulation technique is described in section</w:t>
      </w:r>
      <w:r>
        <w:t> </w:t>
      </w:r>
      <w:r w:rsidRPr="00F91B73">
        <w:t>8.2. In section 8.3, the limitations of sensitivity analysis are discussed. An overview of qualitative assessments of the appropriateness of service use measures and data sources is presented in section 8.4.</w:t>
      </w:r>
    </w:p>
    <w:p w:rsidR="009A7F87" w:rsidRDefault="009A7F87" w:rsidP="009A7F87">
      <w:pPr>
        <w:pStyle w:val="Heading2"/>
      </w:pPr>
      <w:r>
        <w:t>8.</w:t>
      </w:r>
      <w:r>
        <w:rPr>
          <w:noProof/>
        </w:rPr>
        <w:t>1</w:t>
      </w:r>
      <w:r>
        <w:tab/>
      </w:r>
      <w:r w:rsidRPr="00770229">
        <w:t>Why do sensitivity analysis?</w:t>
      </w:r>
    </w:p>
    <w:p w:rsidR="009A7F87" w:rsidRDefault="009A7F87" w:rsidP="009A7F87">
      <w:pPr>
        <w:pStyle w:val="Heading4"/>
        <w:rPr>
          <w:b/>
        </w:rPr>
      </w:pPr>
      <w:r>
        <w:rPr>
          <w:b/>
        </w:rPr>
        <w:t>Benefits of sensitivity analysis</w:t>
      </w:r>
    </w:p>
    <w:p w:rsidR="009A7F87" w:rsidRDefault="009A7F87" w:rsidP="009A7F87">
      <w:pPr>
        <w:pStyle w:val="BodyText"/>
      </w:pPr>
      <w:r w:rsidRPr="00F91B73">
        <w:rPr>
          <w:szCs w:val="24"/>
        </w:rPr>
        <w:t>An example of the potential impact of uncertainty is provided in box 8.1. In the example, the Indigenous Expenditure Report proration method is employed to estimate the Aboriginal and Torres Strait Islander share of government mainstream expenditure for a single hypothetical service.</w:t>
      </w:r>
    </w:p>
    <w:p w:rsidR="009A7F87" w:rsidRDefault="009A7F8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9A7F87" w:rsidTr="009A7F87">
        <w:tc>
          <w:tcPr>
            <w:tcW w:w="5000" w:type="pct"/>
            <w:tcBorders>
              <w:top w:val="single" w:sz="6" w:space="0" w:color="78A22F"/>
              <w:left w:val="nil"/>
              <w:bottom w:val="nil"/>
              <w:right w:val="nil"/>
            </w:tcBorders>
            <w:shd w:val="clear" w:color="auto" w:fill="F2F2F2"/>
          </w:tcPr>
          <w:p w:rsidR="009A7F87" w:rsidRPr="004A3920" w:rsidRDefault="009A7F87" w:rsidP="009A7F87">
            <w:pPr>
              <w:pStyle w:val="BoxTitle"/>
              <w:rPr>
                <w:i/>
              </w:rPr>
            </w:pPr>
            <w:r>
              <w:rPr>
                <w:b w:val="0"/>
              </w:rPr>
              <w:t>Box 8.</w:t>
            </w:r>
            <w:r>
              <w:rPr>
                <w:b w:val="0"/>
                <w:noProof/>
              </w:rPr>
              <w:t>1</w:t>
            </w:r>
            <w:r>
              <w:tab/>
              <w:t>Estimating the Aboriginal and Torres Strait Islander share of mainstream expenditure on a hypothetical service</w:t>
            </w:r>
          </w:p>
        </w:tc>
      </w:tr>
      <w:tr w:rsidR="009A7F87" w:rsidTr="009A7F87">
        <w:tc>
          <w:tcPr>
            <w:tcW w:w="5000" w:type="pct"/>
            <w:tcBorders>
              <w:top w:val="nil"/>
              <w:left w:val="nil"/>
              <w:bottom w:val="nil"/>
              <w:right w:val="nil"/>
            </w:tcBorders>
            <w:shd w:val="clear" w:color="auto" w:fill="F2F2F2"/>
          </w:tcPr>
          <w:p w:rsidR="009A7F87" w:rsidRPr="00770229" w:rsidRDefault="009A7F87" w:rsidP="009A7F87">
            <w:pPr>
              <w:pStyle w:val="Box"/>
            </w:pPr>
            <w:r w:rsidRPr="00770229">
              <w:t xml:space="preserve">Total mainstream expenditure on the hypothetical service is $100 million, which is known with certainty. Administrative information systems also indicate that 20 per cent of service users were Aboriginal and Torres Strait Islander Australians. </w:t>
            </w:r>
          </w:p>
          <w:p w:rsidR="009A7F87" w:rsidRPr="00770229" w:rsidRDefault="009A7F87" w:rsidP="009A7F87">
            <w:pPr>
              <w:pStyle w:val="Box"/>
            </w:pPr>
            <w:r w:rsidRPr="00770229">
              <w:t>However, the Indigenous status of a number of service users was not identified. Some of these were Aboriginal and Torres Strait Islander and some were not. As a consequence, the Aboriginal and Torres Strait Islander share of service users should be adjusted. The exact adjustment is unknown, however i</w:t>
            </w:r>
            <w:r>
              <w:t>nformation based on expert judg</w:t>
            </w:r>
            <w:r w:rsidRPr="00770229">
              <w:t>ment suggests that the adjusted Aboriginal and Torres Strait Islander share is most likely to be 122 per cent. However, it could be as low as 120 per cent, or as high as 130 per cent.</w:t>
            </w:r>
          </w:p>
          <w:p w:rsidR="009A7F87" w:rsidRDefault="009A7F87" w:rsidP="009A7F87">
            <w:pPr>
              <w:pStyle w:val="Box"/>
              <w:spacing w:after="120"/>
            </w:pPr>
            <w:r w:rsidRPr="00770229">
              <w:t>Further information also suggests that it costs more to provide the hypothetical service to Aboriginal and Torres Strait Islander recipients. Once again the exact cost difference is uncertain, but is most likely to be 150 per cent. The available data suggests that this could be as low as 130 per cent or as high as 160 per cent.</w:t>
            </w:r>
          </w:p>
          <w:tbl>
            <w:tblPr>
              <w:tblW w:w="4676" w:type="pct"/>
              <w:tblInd w:w="28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219"/>
            </w:tblGrid>
            <w:tr w:rsidR="009A7F87" w:rsidTr="009A7F87">
              <w:tc>
                <w:tcPr>
                  <w:tcW w:w="5000" w:type="pct"/>
                  <w:tcBorders>
                    <w:top w:val="single" w:sz="6" w:space="0" w:color="78A22F"/>
                    <w:left w:val="nil"/>
                    <w:bottom w:val="nil"/>
                    <w:right w:val="nil"/>
                  </w:tcBorders>
                  <w:shd w:val="clear" w:color="auto" w:fill="auto"/>
                </w:tcPr>
                <w:p w:rsidR="009A7F87" w:rsidRPr="00784A05" w:rsidRDefault="009A7F87" w:rsidP="009A7F87">
                  <w:pPr>
                    <w:pStyle w:val="Subtitle"/>
                    <w:spacing w:after="0"/>
                  </w:pPr>
                </w:p>
              </w:tc>
            </w:tr>
            <w:tr w:rsidR="009A7F87" w:rsidTr="009A7F87">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321"/>
                    <w:gridCol w:w="1324"/>
                    <w:gridCol w:w="1322"/>
                    <w:gridCol w:w="1324"/>
                    <w:gridCol w:w="1322"/>
                    <w:gridCol w:w="1322"/>
                  </w:tblGrid>
                  <w:tr w:rsidR="009A7F87" w:rsidTr="009A7F87">
                    <w:trPr>
                      <w:tblHeader/>
                    </w:trPr>
                    <w:tc>
                      <w:tcPr>
                        <w:tcW w:w="833" w:type="pct"/>
                        <w:tcBorders>
                          <w:top w:val="single" w:sz="6" w:space="0" w:color="BFBFBF"/>
                          <w:bottom w:val="single" w:sz="6" w:space="0" w:color="BFBFBF"/>
                        </w:tcBorders>
                        <w:shd w:val="clear" w:color="auto" w:fill="auto"/>
                        <w:tcMar>
                          <w:top w:w="28" w:type="dxa"/>
                        </w:tcMar>
                      </w:tcPr>
                      <w:p w:rsidR="009A7F87" w:rsidRDefault="009A7F87" w:rsidP="009A7F87">
                        <w:pPr>
                          <w:pStyle w:val="TableColumnHeading"/>
                          <w:jc w:val="left"/>
                        </w:pPr>
                      </w:p>
                    </w:tc>
                    <w:tc>
                      <w:tcPr>
                        <w:tcW w:w="834" w:type="pct"/>
                        <w:tcBorders>
                          <w:top w:val="single" w:sz="6" w:space="0" w:color="BFBFBF"/>
                          <w:bottom w:val="single" w:sz="6" w:space="0" w:color="BFBFBF"/>
                        </w:tcBorders>
                      </w:tcPr>
                      <w:p w:rsidR="009A7F87" w:rsidRDefault="009A7F87" w:rsidP="009A7F87">
                        <w:pPr>
                          <w:pStyle w:val="TableColumnHeading"/>
                        </w:pPr>
                        <w:r>
                          <w:br/>
                          <w:t>Total expenditure</w:t>
                        </w:r>
                      </w:p>
                    </w:tc>
                    <w:tc>
                      <w:tcPr>
                        <w:tcW w:w="833" w:type="pct"/>
                        <w:tcBorders>
                          <w:top w:val="single" w:sz="6" w:space="0" w:color="BFBFBF"/>
                          <w:bottom w:val="single" w:sz="6" w:space="0" w:color="BFBFBF"/>
                        </w:tcBorders>
                      </w:tcPr>
                      <w:p w:rsidR="009A7F87" w:rsidRDefault="009A7F87" w:rsidP="009A7F87">
                        <w:pPr>
                          <w:pStyle w:val="TableColumnHeading"/>
                        </w:pPr>
                        <w:r>
                          <w:br/>
                          <w:t>Service use measure</w:t>
                        </w:r>
                      </w:p>
                    </w:tc>
                    <w:tc>
                      <w:tcPr>
                        <w:tcW w:w="834" w:type="pct"/>
                        <w:tcBorders>
                          <w:top w:val="single" w:sz="6" w:space="0" w:color="BFBFBF"/>
                          <w:bottom w:val="single" w:sz="6" w:space="0" w:color="BFBFBF"/>
                        </w:tcBorders>
                        <w:shd w:val="clear" w:color="auto" w:fill="auto"/>
                        <w:tcMar>
                          <w:top w:w="28" w:type="dxa"/>
                        </w:tcMar>
                      </w:tcPr>
                      <w:p w:rsidR="009A7F87" w:rsidRDefault="009A7F87" w:rsidP="009A7F87">
                        <w:pPr>
                          <w:pStyle w:val="TableColumnHeading"/>
                        </w:pPr>
                        <w:r>
                          <w:t>Under-identification adjustment</w:t>
                        </w:r>
                      </w:p>
                    </w:tc>
                    <w:tc>
                      <w:tcPr>
                        <w:tcW w:w="833" w:type="pct"/>
                        <w:tcBorders>
                          <w:top w:val="single" w:sz="6" w:space="0" w:color="BFBFBF"/>
                          <w:bottom w:val="single" w:sz="6" w:space="0" w:color="BFBFBF"/>
                        </w:tcBorders>
                        <w:shd w:val="clear" w:color="auto" w:fill="auto"/>
                      </w:tcPr>
                      <w:p w:rsidR="009A7F87" w:rsidRDefault="009A7F87" w:rsidP="009A7F87">
                        <w:pPr>
                          <w:pStyle w:val="TableColumnHeading"/>
                        </w:pPr>
                        <w:r>
                          <w:t xml:space="preserve">Cost </w:t>
                        </w:r>
                        <w:r>
                          <w:br/>
                          <w:t>differential adjustment</w:t>
                        </w:r>
                      </w:p>
                    </w:tc>
                    <w:tc>
                      <w:tcPr>
                        <w:tcW w:w="834" w:type="pct"/>
                        <w:tcBorders>
                          <w:top w:val="single" w:sz="6" w:space="0" w:color="BFBFBF"/>
                          <w:bottom w:val="single" w:sz="6" w:space="0" w:color="BFBFBF"/>
                        </w:tcBorders>
                        <w:shd w:val="clear" w:color="auto" w:fill="auto"/>
                        <w:tcMar>
                          <w:top w:w="28" w:type="dxa"/>
                        </w:tcMar>
                      </w:tcPr>
                      <w:p w:rsidR="009A7F87" w:rsidRDefault="009A7F87" w:rsidP="009A7F87">
                        <w:pPr>
                          <w:pStyle w:val="TableColumnHeading"/>
                          <w:ind w:right="28"/>
                        </w:pPr>
                        <w:r>
                          <w:t>Estimated Indigenous expenditure</w:t>
                        </w:r>
                      </w:p>
                    </w:tc>
                  </w:tr>
                  <w:tr w:rsidR="009A7F87" w:rsidTr="009A7F87">
                    <w:tc>
                      <w:tcPr>
                        <w:tcW w:w="833" w:type="pct"/>
                        <w:tcBorders>
                          <w:top w:val="single" w:sz="6" w:space="0" w:color="BFBFBF"/>
                        </w:tcBorders>
                      </w:tcPr>
                      <w:p w:rsidR="009A7F87" w:rsidRDefault="009A7F87" w:rsidP="009A7F87">
                        <w:pPr>
                          <w:pStyle w:val="TableUnitsRow"/>
                          <w:jc w:val="left"/>
                        </w:pPr>
                      </w:p>
                    </w:tc>
                    <w:tc>
                      <w:tcPr>
                        <w:tcW w:w="834" w:type="pct"/>
                        <w:tcBorders>
                          <w:top w:val="single" w:sz="6" w:space="0" w:color="BFBFBF"/>
                        </w:tcBorders>
                      </w:tcPr>
                      <w:p w:rsidR="009A7F87" w:rsidRDefault="009A7F87" w:rsidP="009A7F87">
                        <w:pPr>
                          <w:pStyle w:val="TableUnitsRow"/>
                        </w:pPr>
                        <w:r>
                          <w:t>$m</w:t>
                        </w:r>
                      </w:p>
                    </w:tc>
                    <w:tc>
                      <w:tcPr>
                        <w:tcW w:w="833" w:type="pct"/>
                        <w:tcBorders>
                          <w:top w:val="single" w:sz="6" w:space="0" w:color="BFBFBF"/>
                        </w:tcBorders>
                      </w:tcPr>
                      <w:p w:rsidR="009A7F87" w:rsidRDefault="009A7F87" w:rsidP="009A7F87">
                        <w:pPr>
                          <w:pStyle w:val="TableUnitsRow"/>
                        </w:pPr>
                        <w:r>
                          <w:t>%</w:t>
                        </w:r>
                      </w:p>
                    </w:tc>
                    <w:tc>
                      <w:tcPr>
                        <w:tcW w:w="834" w:type="pct"/>
                        <w:tcBorders>
                          <w:top w:val="single" w:sz="6" w:space="0" w:color="BFBFBF"/>
                        </w:tcBorders>
                      </w:tcPr>
                      <w:p w:rsidR="009A7F87" w:rsidRDefault="009A7F87" w:rsidP="009A7F87">
                        <w:pPr>
                          <w:pStyle w:val="TableUnitsRow"/>
                        </w:pPr>
                        <w:r>
                          <w:t>%</w:t>
                        </w:r>
                      </w:p>
                    </w:tc>
                    <w:tc>
                      <w:tcPr>
                        <w:tcW w:w="833" w:type="pct"/>
                        <w:tcBorders>
                          <w:top w:val="single" w:sz="6" w:space="0" w:color="BFBFBF"/>
                        </w:tcBorders>
                      </w:tcPr>
                      <w:p w:rsidR="009A7F87" w:rsidRDefault="009A7F87" w:rsidP="009A7F87">
                        <w:pPr>
                          <w:pStyle w:val="TableUnitsRow"/>
                        </w:pPr>
                        <w:r>
                          <w:t>%</w:t>
                        </w:r>
                      </w:p>
                    </w:tc>
                    <w:tc>
                      <w:tcPr>
                        <w:tcW w:w="834" w:type="pct"/>
                        <w:tcBorders>
                          <w:top w:val="single" w:sz="6" w:space="0" w:color="BFBFBF"/>
                        </w:tcBorders>
                      </w:tcPr>
                      <w:p w:rsidR="009A7F87" w:rsidRDefault="009A7F87" w:rsidP="009A7F87">
                        <w:pPr>
                          <w:pStyle w:val="TableUnitsRow"/>
                          <w:ind w:right="28"/>
                        </w:pPr>
                        <w:r>
                          <w:t>$m</w:t>
                        </w:r>
                      </w:p>
                    </w:tc>
                  </w:tr>
                  <w:tr w:rsidR="009A7F87" w:rsidTr="009A7F87">
                    <w:tc>
                      <w:tcPr>
                        <w:tcW w:w="833" w:type="pct"/>
                      </w:tcPr>
                      <w:p w:rsidR="009A7F87" w:rsidRDefault="009A7F87" w:rsidP="009A7F87">
                        <w:pPr>
                          <w:pStyle w:val="TableBodyText"/>
                          <w:jc w:val="left"/>
                        </w:pPr>
                        <w:r>
                          <w:t>Known</w:t>
                        </w:r>
                      </w:p>
                    </w:tc>
                    <w:tc>
                      <w:tcPr>
                        <w:tcW w:w="834" w:type="pct"/>
                      </w:tcPr>
                      <w:p w:rsidR="009A7F87" w:rsidRDefault="009A7F87" w:rsidP="009A7F87">
                        <w:pPr>
                          <w:pStyle w:val="TableBodyText"/>
                        </w:pPr>
                        <w:r>
                          <w:t>100</w:t>
                        </w:r>
                      </w:p>
                    </w:tc>
                    <w:tc>
                      <w:tcPr>
                        <w:tcW w:w="833" w:type="pct"/>
                      </w:tcPr>
                      <w:p w:rsidR="009A7F87" w:rsidRDefault="009A7F87" w:rsidP="009A7F87">
                        <w:pPr>
                          <w:pStyle w:val="TableBodyText"/>
                        </w:pPr>
                        <w:r>
                          <w:t>20</w:t>
                        </w:r>
                      </w:p>
                    </w:tc>
                    <w:tc>
                      <w:tcPr>
                        <w:tcW w:w="834" w:type="pct"/>
                      </w:tcPr>
                      <w:p w:rsidR="009A7F87" w:rsidRDefault="009A7F87" w:rsidP="009A7F87">
                        <w:pPr>
                          <w:pStyle w:val="TableBodyText"/>
                        </w:pPr>
                        <w:r>
                          <w:t>..</w:t>
                        </w:r>
                      </w:p>
                    </w:tc>
                    <w:tc>
                      <w:tcPr>
                        <w:tcW w:w="833" w:type="pct"/>
                      </w:tcPr>
                      <w:p w:rsidR="009A7F87" w:rsidRDefault="009A7F87" w:rsidP="009A7F87">
                        <w:pPr>
                          <w:pStyle w:val="TableBodyText"/>
                        </w:pPr>
                        <w:r>
                          <w:t>..</w:t>
                        </w:r>
                      </w:p>
                    </w:tc>
                    <w:tc>
                      <w:tcPr>
                        <w:tcW w:w="834" w:type="pct"/>
                      </w:tcPr>
                      <w:p w:rsidR="009A7F87" w:rsidRDefault="009A7F87" w:rsidP="009A7F87">
                        <w:pPr>
                          <w:pStyle w:val="TableBodyText"/>
                          <w:ind w:right="28"/>
                        </w:pPr>
                        <w:r>
                          <w:t>..</w:t>
                        </w:r>
                      </w:p>
                    </w:tc>
                  </w:tr>
                  <w:tr w:rsidR="009A7F87" w:rsidTr="009A7F87">
                    <w:tc>
                      <w:tcPr>
                        <w:tcW w:w="833" w:type="pct"/>
                        <w:shd w:val="clear" w:color="auto" w:fill="auto"/>
                      </w:tcPr>
                      <w:p w:rsidR="009A7F87" w:rsidRDefault="009A7F87" w:rsidP="009A7F87">
                        <w:pPr>
                          <w:pStyle w:val="TableBodyText"/>
                          <w:jc w:val="left"/>
                        </w:pPr>
                        <w:r>
                          <w:t>Low</w:t>
                        </w:r>
                      </w:p>
                    </w:tc>
                    <w:tc>
                      <w:tcPr>
                        <w:tcW w:w="834" w:type="pct"/>
                      </w:tcPr>
                      <w:p w:rsidR="009A7F87" w:rsidRDefault="009A7F87" w:rsidP="009A7F87">
                        <w:pPr>
                          <w:pStyle w:val="TableBodyText"/>
                        </w:pPr>
                        <w:r>
                          <w:t>..</w:t>
                        </w:r>
                      </w:p>
                    </w:tc>
                    <w:tc>
                      <w:tcPr>
                        <w:tcW w:w="833" w:type="pct"/>
                      </w:tcPr>
                      <w:p w:rsidR="009A7F87" w:rsidRDefault="009A7F87" w:rsidP="009A7F87">
                        <w:pPr>
                          <w:pStyle w:val="TableBodyText"/>
                        </w:pPr>
                        <w:r>
                          <w:t>..</w:t>
                        </w:r>
                      </w:p>
                    </w:tc>
                    <w:tc>
                      <w:tcPr>
                        <w:tcW w:w="834" w:type="pct"/>
                        <w:shd w:val="clear" w:color="auto" w:fill="auto"/>
                      </w:tcPr>
                      <w:p w:rsidR="009A7F87" w:rsidRDefault="009A7F87" w:rsidP="009A7F87">
                        <w:pPr>
                          <w:pStyle w:val="TableBodyText"/>
                        </w:pPr>
                        <w:r>
                          <w:t>120</w:t>
                        </w:r>
                      </w:p>
                    </w:tc>
                    <w:tc>
                      <w:tcPr>
                        <w:tcW w:w="833" w:type="pct"/>
                        <w:shd w:val="clear" w:color="auto" w:fill="auto"/>
                      </w:tcPr>
                      <w:p w:rsidR="009A7F87" w:rsidRDefault="009A7F87" w:rsidP="009A7F87">
                        <w:pPr>
                          <w:pStyle w:val="TableBodyText"/>
                        </w:pPr>
                        <w:r>
                          <w:t>130</w:t>
                        </w:r>
                      </w:p>
                    </w:tc>
                    <w:tc>
                      <w:tcPr>
                        <w:tcW w:w="834" w:type="pct"/>
                        <w:shd w:val="clear" w:color="auto" w:fill="auto"/>
                      </w:tcPr>
                      <w:p w:rsidR="009A7F87" w:rsidRDefault="009A7F87" w:rsidP="009A7F87">
                        <w:pPr>
                          <w:pStyle w:val="TableBodyText"/>
                          <w:ind w:right="28"/>
                        </w:pPr>
                        <w:r>
                          <w:t>31</w:t>
                        </w:r>
                      </w:p>
                    </w:tc>
                  </w:tr>
                  <w:tr w:rsidR="009A7F87" w:rsidTr="009A7F87">
                    <w:tc>
                      <w:tcPr>
                        <w:tcW w:w="833" w:type="pct"/>
                        <w:shd w:val="clear" w:color="auto" w:fill="auto"/>
                      </w:tcPr>
                      <w:p w:rsidR="009A7F87" w:rsidRDefault="009A7F87" w:rsidP="009A7F87">
                        <w:pPr>
                          <w:pStyle w:val="TableBodyText"/>
                          <w:jc w:val="left"/>
                        </w:pPr>
                        <w:r>
                          <w:t>Most likely</w:t>
                        </w:r>
                      </w:p>
                    </w:tc>
                    <w:tc>
                      <w:tcPr>
                        <w:tcW w:w="834" w:type="pct"/>
                      </w:tcPr>
                      <w:p w:rsidR="009A7F87" w:rsidRDefault="009A7F87" w:rsidP="009A7F87">
                        <w:pPr>
                          <w:pStyle w:val="TableBodyText"/>
                        </w:pPr>
                        <w:r>
                          <w:t>..</w:t>
                        </w:r>
                      </w:p>
                    </w:tc>
                    <w:tc>
                      <w:tcPr>
                        <w:tcW w:w="833" w:type="pct"/>
                      </w:tcPr>
                      <w:p w:rsidR="009A7F87" w:rsidRDefault="009A7F87" w:rsidP="009A7F87">
                        <w:pPr>
                          <w:pStyle w:val="TableBodyText"/>
                        </w:pPr>
                        <w:r>
                          <w:t>..</w:t>
                        </w:r>
                      </w:p>
                    </w:tc>
                    <w:tc>
                      <w:tcPr>
                        <w:tcW w:w="834" w:type="pct"/>
                        <w:shd w:val="clear" w:color="auto" w:fill="auto"/>
                      </w:tcPr>
                      <w:p w:rsidR="009A7F87" w:rsidRDefault="009A7F87" w:rsidP="009A7F87">
                        <w:pPr>
                          <w:pStyle w:val="TableBodyText"/>
                        </w:pPr>
                        <w:r>
                          <w:t>122</w:t>
                        </w:r>
                      </w:p>
                    </w:tc>
                    <w:tc>
                      <w:tcPr>
                        <w:tcW w:w="833" w:type="pct"/>
                        <w:shd w:val="clear" w:color="auto" w:fill="auto"/>
                      </w:tcPr>
                      <w:p w:rsidR="009A7F87" w:rsidRDefault="009A7F87" w:rsidP="009A7F87">
                        <w:pPr>
                          <w:pStyle w:val="TableBodyText"/>
                        </w:pPr>
                        <w:r>
                          <w:t>150</w:t>
                        </w:r>
                      </w:p>
                    </w:tc>
                    <w:tc>
                      <w:tcPr>
                        <w:tcW w:w="834" w:type="pct"/>
                        <w:shd w:val="clear" w:color="auto" w:fill="auto"/>
                      </w:tcPr>
                      <w:p w:rsidR="009A7F87" w:rsidRDefault="009A7F87" w:rsidP="009A7F87">
                        <w:pPr>
                          <w:pStyle w:val="TableBodyText"/>
                          <w:ind w:right="28"/>
                        </w:pPr>
                        <w:r>
                          <w:t>37</w:t>
                        </w:r>
                      </w:p>
                    </w:tc>
                  </w:tr>
                  <w:tr w:rsidR="009A7F87" w:rsidTr="009A7F87">
                    <w:tc>
                      <w:tcPr>
                        <w:tcW w:w="833" w:type="pct"/>
                        <w:tcBorders>
                          <w:bottom w:val="single" w:sz="6" w:space="0" w:color="BFBFBF"/>
                        </w:tcBorders>
                        <w:shd w:val="clear" w:color="auto" w:fill="auto"/>
                      </w:tcPr>
                      <w:p w:rsidR="009A7F87" w:rsidRDefault="009A7F87" w:rsidP="009A7F87">
                        <w:pPr>
                          <w:pStyle w:val="TableBodyText"/>
                          <w:jc w:val="left"/>
                        </w:pPr>
                        <w:r>
                          <w:t>High</w:t>
                        </w:r>
                      </w:p>
                    </w:tc>
                    <w:tc>
                      <w:tcPr>
                        <w:tcW w:w="834" w:type="pct"/>
                        <w:tcBorders>
                          <w:bottom w:val="single" w:sz="6" w:space="0" w:color="BFBFBF"/>
                        </w:tcBorders>
                      </w:tcPr>
                      <w:p w:rsidR="009A7F87" w:rsidRDefault="009A7F87" w:rsidP="009A7F87">
                        <w:pPr>
                          <w:pStyle w:val="TableBodyText"/>
                        </w:pPr>
                        <w:r>
                          <w:t>..</w:t>
                        </w:r>
                      </w:p>
                    </w:tc>
                    <w:tc>
                      <w:tcPr>
                        <w:tcW w:w="833" w:type="pct"/>
                        <w:tcBorders>
                          <w:bottom w:val="single" w:sz="6" w:space="0" w:color="BFBFBF"/>
                        </w:tcBorders>
                      </w:tcPr>
                      <w:p w:rsidR="009A7F87" w:rsidRDefault="009A7F87" w:rsidP="009A7F87">
                        <w:pPr>
                          <w:pStyle w:val="TableBodyText"/>
                        </w:pPr>
                        <w:r>
                          <w:t>..</w:t>
                        </w:r>
                      </w:p>
                    </w:tc>
                    <w:tc>
                      <w:tcPr>
                        <w:tcW w:w="834" w:type="pct"/>
                        <w:tcBorders>
                          <w:bottom w:val="single" w:sz="6" w:space="0" w:color="BFBFBF"/>
                        </w:tcBorders>
                        <w:shd w:val="clear" w:color="auto" w:fill="auto"/>
                      </w:tcPr>
                      <w:p w:rsidR="009A7F87" w:rsidRDefault="009A7F87" w:rsidP="009A7F87">
                        <w:pPr>
                          <w:pStyle w:val="TableBodyText"/>
                        </w:pPr>
                        <w:r>
                          <w:t>130</w:t>
                        </w:r>
                      </w:p>
                    </w:tc>
                    <w:tc>
                      <w:tcPr>
                        <w:tcW w:w="833" w:type="pct"/>
                        <w:tcBorders>
                          <w:bottom w:val="single" w:sz="6" w:space="0" w:color="BFBFBF"/>
                        </w:tcBorders>
                        <w:shd w:val="clear" w:color="auto" w:fill="auto"/>
                      </w:tcPr>
                      <w:p w:rsidR="009A7F87" w:rsidRDefault="009A7F87" w:rsidP="009A7F87">
                        <w:pPr>
                          <w:pStyle w:val="TableBodyText"/>
                        </w:pPr>
                        <w:r>
                          <w:t>160</w:t>
                        </w:r>
                      </w:p>
                    </w:tc>
                    <w:tc>
                      <w:tcPr>
                        <w:tcW w:w="834" w:type="pct"/>
                        <w:tcBorders>
                          <w:bottom w:val="single" w:sz="6" w:space="0" w:color="BFBFBF"/>
                        </w:tcBorders>
                        <w:shd w:val="clear" w:color="auto" w:fill="auto"/>
                      </w:tcPr>
                      <w:p w:rsidR="009A7F87" w:rsidRDefault="009A7F87" w:rsidP="009A7F87">
                        <w:pPr>
                          <w:pStyle w:val="TableBodyText"/>
                          <w:ind w:right="28"/>
                        </w:pPr>
                        <w:r>
                          <w:t>42</w:t>
                        </w:r>
                      </w:p>
                    </w:tc>
                  </w:tr>
                </w:tbl>
                <w:p w:rsidR="009A7F87" w:rsidRDefault="009A7F87" w:rsidP="009A7F87">
                  <w:pPr>
                    <w:pStyle w:val="Box"/>
                  </w:pPr>
                </w:p>
              </w:tc>
            </w:tr>
            <w:tr w:rsidR="009A7F87" w:rsidTr="009A7F87">
              <w:tc>
                <w:tcPr>
                  <w:tcW w:w="5000" w:type="pct"/>
                  <w:tcBorders>
                    <w:top w:val="nil"/>
                    <w:left w:val="nil"/>
                    <w:bottom w:val="single" w:sz="6" w:space="0" w:color="78A22F"/>
                    <w:right w:val="nil"/>
                  </w:tcBorders>
                  <w:shd w:val="clear" w:color="auto" w:fill="auto"/>
                </w:tcPr>
                <w:p w:rsidR="009A7F87" w:rsidRDefault="009A7F87" w:rsidP="009A7F87">
                  <w:pPr>
                    <w:pStyle w:val="Box"/>
                    <w:spacing w:before="0" w:line="120" w:lineRule="exact"/>
                  </w:pPr>
                </w:p>
              </w:tc>
            </w:tr>
            <w:tr w:rsidR="009A7F87" w:rsidRPr="000863A5" w:rsidTr="009A7F87">
              <w:tc>
                <w:tcPr>
                  <w:tcW w:w="5000" w:type="pct"/>
                  <w:tcBorders>
                    <w:top w:val="single" w:sz="6" w:space="0" w:color="78A22F"/>
                    <w:left w:val="nil"/>
                    <w:bottom w:val="nil"/>
                    <w:right w:val="nil"/>
                  </w:tcBorders>
                </w:tcPr>
                <w:p w:rsidR="009A7F87" w:rsidRPr="00626D32" w:rsidRDefault="009A7F87" w:rsidP="009A7F87">
                  <w:pPr>
                    <w:pStyle w:val="BoxSpaceBelow"/>
                  </w:pPr>
                </w:p>
              </w:tc>
            </w:tr>
          </w:tbl>
          <w:p w:rsidR="009A7F87" w:rsidRDefault="009A7F87" w:rsidP="009A7F87">
            <w:pPr>
              <w:pStyle w:val="Box"/>
            </w:pPr>
            <w:r w:rsidRPr="00770229">
              <w:t xml:space="preserve">This information suggests that the Aboriginal and Torres Strait Islander share of expenditure on the hypothetical service could be as low as $31 million ($100 million </w:t>
            </w:r>
            <w:r w:rsidRPr="00770229">
              <w:sym w:font="Symbol" w:char="F0B4"/>
            </w:r>
            <w:r w:rsidRPr="00770229">
              <w:t xml:space="preserve"> 0.2 </w:t>
            </w:r>
            <w:r w:rsidRPr="00770229">
              <w:sym w:font="Symbol" w:char="F0B4"/>
            </w:r>
            <w:r w:rsidRPr="00770229">
              <w:t xml:space="preserve"> 1.2 </w:t>
            </w:r>
            <w:r w:rsidRPr="00770229">
              <w:sym w:font="Symbol" w:char="F0B4"/>
            </w:r>
            <w:r w:rsidRPr="00770229">
              <w:t xml:space="preserve"> 1.3) or as high as $42 million ($100 million </w:t>
            </w:r>
            <w:r w:rsidRPr="00770229">
              <w:sym w:font="Symbol" w:char="F0B4"/>
            </w:r>
            <w:r w:rsidRPr="00770229">
              <w:t xml:space="preserve"> 0.2 </w:t>
            </w:r>
            <w:r w:rsidRPr="00770229">
              <w:sym w:font="Symbol" w:char="F0B4"/>
            </w:r>
            <w:r w:rsidRPr="00770229">
              <w:t xml:space="preserve"> 1.3 </w:t>
            </w:r>
            <w:r w:rsidRPr="00770229">
              <w:sym w:font="Symbol" w:char="F0B4"/>
            </w:r>
            <w:r w:rsidRPr="00770229">
              <w:t xml:space="preserve"> 1.6). There are actually a further seven ‘what if’ scenarios that fall between these bounds, given the available data. The combination of the most likely estimates would be $37 million ($100 million </w:t>
            </w:r>
            <w:r w:rsidRPr="00770229">
              <w:sym w:font="Symbol" w:char="F0B4"/>
            </w:r>
            <w:r w:rsidRPr="00770229">
              <w:t xml:space="preserve"> 0.2 </w:t>
            </w:r>
            <w:r w:rsidRPr="00770229">
              <w:sym w:font="Symbol" w:char="F0B4"/>
            </w:r>
            <w:r w:rsidRPr="00770229">
              <w:t xml:space="preserve"> 1.22 </w:t>
            </w:r>
            <w:r w:rsidRPr="00770229">
              <w:sym w:font="Symbol" w:char="F0B4"/>
            </w:r>
            <w:r w:rsidRPr="00770229">
              <w:t xml:space="preserve"> 1.5).</w:t>
            </w:r>
          </w:p>
        </w:tc>
      </w:tr>
      <w:tr w:rsidR="009A7F87" w:rsidTr="009A7F87">
        <w:tc>
          <w:tcPr>
            <w:tcW w:w="5000" w:type="pct"/>
            <w:tcBorders>
              <w:top w:val="nil"/>
              <w:left w:val="nil"/>
              <w:bottom w:val="single" w:sz="6" w:space="0" w:color="78A22F"/>
              <w:right w:val="nil"/>
            </w:tcBorders>
            <w:shd w:val="clear" w:color="auto" w:fill="F2F2F2"/>
          </w:tcPr>
          <w:p w:rsidR="009A7F87" w:rsidRDefault="009A7F87">
            <w:pPr>
              <w:pStyle w:val="Box"/>
              <w:spacing w:before="0" w:line="120" w:lineRule="exact"/>
            </w:pPr>
          </w:p>
        </w:tc>
      </w:tr>
      <w:tr w:rsidR="009A7F87" w:rsidRPr="000863A5" w:rsidTr="009A7F87">
        <w:tc>
          <w:tcPr>
            <w:tcW w:w="5000" w:type="pct"/>
            <w:tcBorders>
              <w:top w:val="single" w:sz="6" w:space="0" w:color="78A22F"/>
              <w:left w:val="nil"/>
              <w:bottom w:val="nil"/>
              <w:right w:val="nil"/>
            </w:tcBorders>
          </w:tcPr>
          <w:p w:rsidR="009A7F87" w:rsidRPr="00626D32" w:rsidRDefault="009A7F87" w:rsidP="009A7F87">
            <w:pPr>
              <w:pStyle w:val="BoxSpaceBelow"/>
            </w:pPr>
          </w:p>
        </w:tc>
      </w:tr>
    </w:tbl>
    <w:p w:rsidR="009A7F87" w:rsidRPr="00F91B73" w:rsidRDefault="009A7F87" w:rsidP="009A7F87">
      <w:pPr>
        <w:pStyle w:val="BodyText"/>
        <w:rPr>
          <w:szCs w:val="24"/>
        </w:rPr>
      </w:pPr>
      <w:r w:rsidRPr="00F91B73">
        <w:rPr>
          <w:szCs w:val="24"/>
        </w:rPr>
        <w:t xml:space="preserve">This example suggests that the ‘most likely’ estimate of the Aboriginal and Torres Strait Islander share of expenditure is $37 million. However, because of the uncertainty associated with the </w:t>
      </w:r>
      <w:r>
        <w:rPr>
          <w:szCs w:val="24"/>
        </w:rPr>
        <w:t>Indigenous</w:t>
      </w:r>
      <w:r w:rsidRPr="00317BFD">
        <w:rPr>
          <w:szCs w:val="24"/>
        </w:rPr>
        <w:t xml:space="preserve"> </w:t>
      </w:r>
      <w:r w:rsidRPr="00F91B73">
        <w:rPr>
          <w:szCs w:val="24"/>
        </w:rPr>
        <w:t>under</w:t>
      </w:r>
      <w:r w:rsidRPr="00F91B73">
        <w:rPr>
          <w:szCs w:val="24"/>
        </w:rPr>
        <w:noBreakHyphen/>
        <w:t xml:space="preserve">identification and cost differential factors, it is possible that the Aboriginal and Torres Strait Islander share of expenditure could be as low as $31 million or as high as $42 million. </w:t>
      </w:r>
    </w:p>
    <w:p w:rsidR="009A7F87" w:rsidRDefault="009A7F87" w:rsidP="009A7F87">
      <w:pPr>
        <w:pStyle w:val="BodyText"/>
        <w:rPr>
          <w:szCs w:val="24"/>
        </w:rPr>
      </w:pPr>
      <w:r w:rsidRPr="00F91B73">
        <w:rPr>
          <w:szCs w:val="24"/>
        </w:rPr>
        <w:t>Sensitivity analysis</w:t>
      </w:r>
      <w:r w:rsidRPr="00F91B73" w:rsidDel="00405870">
        <w:rPr>
          <w:szCs w:val="24"/>
        </w:rPr>
        <w:t xml:space="preserve"> </w:t>
      </w:r>
      <w:r>
        <w:rPr>
          <w:szCs w:val="24"/>
        </w:rPr>
        <w:t>could</w:t>
      </w:r>
      <w:r w:rsidRPr="00F91B73">
        <w:rPr>
          <w:szCs w:val="24"/>
        </w:rPr>
        <w:t xml:space="preserve"> help Indigenous Expenditure Report users to understand:</w:t>
      </w:r>
    </w:p>
    <w:p w:rsidR="009A7F87" w:rsidRPr="001C1DAE" w:rsidRDefault="009A7F87" w:rsidP="009A7F87">
      <w:pPr>
        <w:pStyle w:val="ListBullet"/>
      </w:pPr>
      <w:r>
        <w:rPr>
          <w:i/>
        </w:rPr>
        <w:t>the extent of uncertainty</w:t>
      </w:r>
      <w:r>
        <w:t xml:space="preserve"> — </w:t>
      </w:r>
      <w:r w:rsidRPr="00F91B73">
        <w:rPr>
          <w:szCs w:val="24"/>
        </w:rPr>
        <w:t>by defining the range of values that the Aboriginal and Torres Strait Islander share of expenditure is likely to take</w:t>
      </w:r>
    </w:p>
    <w:p w:rsidR="009A7F87" w:rsidRPr="001C1DAE" w:rsidRDefault="009A7F87" w:rsidP="009A7F87">
      <w:pPr>
        <w:pStyle w:val="ListBullet"/>
      </w:pPr>
      <w:r>
        <w:rPr>
          <w:i/>
        </w:rPr>
        <w:t xml:space="preserve">the comparability of estimates </w:t>
      </w:r>
      <w:r>
        <w:t xml:space="preserve">— </w:t>
      </w:r>
      <w:r w:rsidRPr="00F91B73">
        <w:rPr>
          <w:szCs w:val="24"/>
        </w:rPr>
        <w:t>by providing the information to determine whether Indigenous expenditure is significantly different to other estimates (for example, the expenditure of another jurisdiction)</w:t>
      </w:r>
    </w:p>
    <w:p w:rsidR="009A7F87" w:rsidRPr="001C1DAE" w:rsidRDefault="009A7F87" w:rsidP="009A7F87">
      <w:pPr>
        <w:pStyle w:val="ListBullet"/>
      </w:pPr>
      <w:r>
        <w:rPr>
          <w:i/>
        </w:rPr>
        <w:lastRenderedPageBreak/>
        <w:t>the source of uncertainty</w:t>
      </w:r>
      <w:r>
        <w:t xml:space="preserve"> — </w:t>
      </w:r>
      <w:r w:rsidRPr="00F91B73">
        <w:rPr>
          <w:szCs w:val="24"/>
        </w:rPr>
        <w:t>by determining which data contribute the majority of the uncertainty in the Indigenous expenditure estimates.</w:t>
      </w:r>
    </w:p>
    <w:p w:rsidR="009A7F87" w:rsidRDefault="009A7F87" w:rsidP="009A7F87">
      <w:pPr>
        <w:pStyle w:val="Heading2"/>
      </w:pPr>
      <w:r>
        <w:t>8.</w:t>
      </w:r>
      <w:r>
        <w:rPr>
          <w:noProof/>
        </w:rPr>
        <w:t>2</w:t>
      </w:r>
      <w:r w:rsidRPr="001C1DAE">
        <w:tab/>
      </w:r>
      <w:r>
        <w:t>Measuring uncertainty</w:t>
      </w:r>
    </w:p>
    <w:p w:rsidR="009A7F87" w:rsidRPr="00F91B73" w:rsidRDefault="009A7F87" w:rsidP="009A7F87">
      <w:pPr>
        <w:pStyle w:val="BodyText"/>
        <w:rPr>
          <w:szCs w:val="24"/>
        </w:rPr>
      </w:pPr>
      <w:r w:rsidRPr="00F91B73">
        <w:rPr>
          <w:szCs w:val="24"/>
        </w:rPr>
        <w:t xml:space="preserve">Over the longer term, the Indigenous Expenditure Report Working Group </w:t>
      </w:r>
      <w:r>
        <w:rPr>
          <w:szCs w:val="24"/>
        </w:rPr>
        <w:t>could</w:t>
      </w:r>
      <w:r w:rsidRPr="00F91B73">
        <w:rPr>
          <w:szCs w:val="24"/>
        </w:rPr>
        <w:t xml:space="preserve"> employ Monte Carlo methods to statistically assess the level of uncertainty (box 8.2).</w:t>
      </w:r>
    </w:p>
    <w:p w:rsidR="009A7F87" w:rsidRDefault="009A7F87" w:rsidP="009A7F87">
      <w:pPr>
        <w:pStyle w:val="BodyText"/>
        <w:spacing w:after="120"/>
        <w:rPr>
          <w:szCs w:val="24"/>
        </w:rPr>
      </w:pPr>
      <w:r w:rsidRPr="00F91B73">
        <w:rPr>
          <w:szCs w:val="24"/>
        </w:rPr>
        <w:t>The Indigenous Expenditure Report method uses a relatively simple proration method. The Aboriginal and Torres Strait Islander share of the mainstream expenditure</w:t>
      </w:r>
      <w:r w:rsidRPr="00F91B73">
        <w:rPr>
          <w:i/>
          <w:szCs w:val="24"/>
        </w:rPr>
        <w:t xml:space="preserve"> </w:t>
      </w:r>
      <w:r w:rsidRPr="00F91B73">
        <w:rPr>
          <w:szCs w:val="24"/>
        </w:rPr>
        <w:t>is estimated using a service use measure (chapter</w:t>
      </w:r>
      <w:r>
        <w:rPr>
          <w:szCs w:val="24"/>
        </w:rPr>
        <w:t> </w:t>
      </w:r>
      <w:r w:rsidRPr="00F91B73">
        <w:rPr>
          <w:szCs w:val="24"/>
        </w:rPr>
        <w:t>3):</w:t>
      </w:r>
    </w:p>
    <w:tbl>
      <w:tblPr>
        <w:tblW w:w="8460" w:type="dxa"/>
        <w:tblInd w:w="360" w:type="dxa"/>
        <w:tblCellMar>
          <w:left w:w="0" w:type="dxa"/>
          <w:right w:w="0" w:type="dxa"/>
        </w:tblCellMar>
        <w:tblLook w:val="01E0" w:firstRow="1" w:lastRow="1" w:firstColumn="1" w:lastColumn="1" w:noHBand="0" w:noVBand="0"/>
      </w:tblPr>
      <w:tblGrid>
        <w:gridCol w:w="2366"/>
        <w:gridCol w:w="564"/>
        <w:gridCol w:w="1498"/>
        <w:gridCol w:w="540"/>
        <w:gridCol w:w="1440"/>
        <w:gridCol w:w="2052"/>
      </w:tblGrid>
      <w:tr w:rsidR="009A7F87" w:rsidRPr="00F91B73" w:rsidTr="009A7F87">
        <w:tc>
          <w:tcPr>
            <w:tcW w:w="2366" w:type="dxa"/>
            <w:shd w:val="clear" w:color="auto" w:fill="auto"/>
            <w:vAlign w:val="center"/>
          </w:tcPr>
          <w:p w:rsidR="009A7F87" w:rsidRPr="00770229" w:rsidRDefault="009A7F87" w:rsidP="009A7F87">
            <w:pPr>
              <w:pStyle w:val="TableBodyText"/>
              <w:jc w:val="center"/>
              <w:rPr>
                <w:i/>
              </w:rPr>
            </w:pPr>
            <w:r w:rsidRPr="00770229">
              <w:rPr>
                <w:i/>
              </w:rPr>
              <w:t xml:space="preserve">Indigenous </w:t>
            </w:r>
            <w:r w:rsidRPr="00770229">
              <w:rPr>
                <w:i/>
              </w:rPr>
              <w:br/>
              <w:t xml:space="preserve">mainstream </w:t>
            </w:r>
            <w:r w:rsidRPr="00770229">
              <w:rPr>
                <w:i/>
              </w:rPr>
              <w:br/>
              <w:t>expenditure</w:t>
            </w:r>
          </w:p>
        </w:tc>
        <w:tc>
          <w:tcPr>
            <w:tcW w:w="564" w:type="dxa"/>
            <w:shd w:val="clear" w:color="auto" w:fill="auto"/>
            <w:vAlign w:val="center"/>
          </w:tcPr>
          <w:p w:rsidR="009A7F87" w:rsidRPr="00770229" w:rsidRDefault="009A7F87" w:rsidP="009A7F87">
            <w:pPr>
              <w:pStyle w:val="TableBodyText"/>
              <w:jc w:val="center"/>
              <w:rPr>
                <w:sz w:val="48"/>
                <w:szCs w:val="48"/>
              </w:rPr>
            </w:pPr>
            <w:r w:rsidRPr="00770229">
              <w:rPr>
                <w:sz w:val="48"/>
                <w:szCs w:val="48"/>
              </w:rPr>
              <w:t>=</w:t>
            </w:r>
          </w:p>
        </w:tc>
        <w:tc>
          <w:tcPr>
            <w:tcW w:w="1498" w:type="dxa"/>
            <w:shd w:val="clear" w:color="auto" w:fill="auto"/>
            <w:vAlign w:val="center"/>
          </w:tcPr>
          <w:p w:rsidR="009A7F87" w:rsidRPr="00770229" w:rsidRDefault="009A7F87" w:rsidP="009A7F87">
            <w:pPr>
              <w:pStyle w:val="TableBodyText"/>
              <w:jc w:val="center"/>
            </w:pPr>
            <w:r w:rsidRPr="00770229">
              <w:rPr>
                <w:i/>
              </w:rPr>
              <w:t xml:space="preserve">Total </w:t>
            </w:r>
            <w:r w:rsidRPr="00770229">
              <w:rPr>
                <w:i/>
              </w:rPr>
              <w:br/>
              <w:t>mainstream</w:t>
            </w:r>
            <w:r w:rsidRPr="00770229">
              <w:rPr>
                <w:i/>
              </w:rPr>
              <w:br/>
              <w:t xml:space="preserve"> expenditure</w:t>
            </w:r>
          </w:p>
        </w:tc>
        <w:tc>
          <w:tcPr>
            <w:tcW w:w="540" w:type="dxa"/>
            <w:shd w:val="clear" w:color="auto" w:fill="auto"/>
            <w:vAlign w:val="center"/>
          </w:tcPr>
          <w:p w:rsidR="009A7F87" w:rsidRPr="00770229" w:rsidRDefault="009A7F87" w:rsidP="009A7F87">
            <w:pPr>
              <w:pStyle w:val="TableBodyText"/>
              <w:jc w:val="center"/>
              <w:rPr>
                <w:sz w:val="48"/>
                <w:szCs w:val="48"/>
              </w:rPr>
            </w:pPr>
            <w:r w:rsidRPr="00770229">
              <w:rPr>
                <w:sz w:val="48"/>
                <w:szCs w:val="48"/>
              </w:rPr>
              <w:t>×</w:t>
            </w:r>
          </w:p>
        </w:tc>
        <w:tc>
          <w:tcPr>
            <w:tcW w:w="1440" w:type="dxa"/>
            <w:shd w:val="clear" w:color="auto" w:fill="auto"/>
            <w:vAlign w:val="center"/>
          </w:tcPr>
          <w:p w:rsidR="009A7F87" w:rsidRPr="00770229" w:rsidRDefault="009A7F87" w:rsidP="009A7F87">
            <w:pPr>
              <w:pStyle w:val="TableBodyText"/>
              <w:jc w:val="center"/>
            </w:pPr>
            <w:r w:rsidRPr="00770229">
              <w:rPr>
                <w:i/>
              </w:rPr>
              <w:t xml:space="preserve">Service </w:t>
            </w:r>
            <w:r w:rsidRPr="00770229">
              <w:rPr>
                <w:i/>
              </w:rPr>
              <w:br/>
              <w:t xml:space="preserve">use </w:t>
            </w:r>
            <w:r w:rsidRPr="00770229">
              <w:rPr>
                <w:i/>
              </w:rPr>
              <w:br/>
              <w:t>measure</w:t>
            </w:r>
          </w:p>
        </w:tc>
        <w:tc>
          <w:tcPr>
            <w:tcW w:w="2052" w:type="dxa"/>
            <w:shd w:val="clear" w:color="auto" w:fill="auto"/>
            <w:vAlign w:val="center"/>
          </w:tcPr>
          <w:p w:rsidR="009A7F87" w:rsidRPr="00597A34" w:rsidRDefault="009A7F87" w:rsidP="009A7F87">
            <w:pPr>
              <w:pStyle w:val="TableBodyText"/>
              <w:ind w:right="0"/>
              <w:rPr>
                <w:rFonts w:ascii="Times New Roman" w:hAnsi="Times New Roman"/>
                <w:sz w:val="24"/>
                <w:szCs w:val="24"/>
              </w:rPr>
            </w:pPr>
            <w:r w:rsidRPr="00597A34">
              <w:rPr>
                <w:rFonts w:ascii="Times New Roman" w:hAnsi="Times New Roman"/>
                <w:sz w:val="24"/>
                <w:szCs w:val="24"/>
              </w:rPr>
              <w:t>[1]</w:t>
            </w:r>
          </w:p>
        </w:tc>
      </w:tr>
    </w:tbl>
    <w:p w:rsidR="009A7F87" w:rsidRDefault="009A7F87" w:rsidP="009A7F87">
      <w:pPr>
        <w:pStyle w:val="BodyText"/>
        <w:rPr>
          <w:szCs w:val="24"/>
        </w:rPr>
      </w:pPr>
      <w:r w:rsidRPr="00F91B73">
        <w:rPr>
          <w:szCs w:val="24"/>
        </w:rPr>
        <w:t>The service use measure is adjusted for:</w:t>
      </w:r>
    </w:p>
    <w:p w:rsidR="009A7F87" w:rsidRPr="001C1DAE" w:rsidRDefault="009A7F87" w:rsidP="009A7F87">
      <w:pPr>
        <w:pStyle w:val="ListBullet"/>
      </w:pPr>
      <w:r>
        <w:rPr>
          <w:i/>
        </w:rPr>
        <w:t>Indigenous under-identification</w:t>
      </w:r>
      <w:r>
        <w:t xml:space="preserve"> — the degree to which Indigenous </w:t>
      </w:r>
      <w:r w:rsidRPr="00F91B73">
        <w:rPr>
          <w:szCs w:val="24"/>
        </w:rPr>
        <w:t>service users are not correctly identified or recorded in data collections</w:t>
      </w:r>
    </w:p>
    <w:p w:rsidR="009A7F87" w:rsidRDefault="009A7F8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9A7F87" w:rsidTr="009A7F87">
        <w:tc>
          <w:tcPr>
            <w:tcW w:w="5000" w:type="pct"/>
            <w:tcBorders>
              <w:top w:val="single" w:sz="6" w:space="0" w:color="78A22F"/>
              <w:left w:val="nil"/>
              <w:bottom w:val="nil"/>
              <w:right w:val="nil"/>
            </w:tcBorders>
            <w:shd w:val="clear" w:color="auto" w:fill="F2F2F2"/>
          </w:tcPr>
          <w:p w:rsidR="009A7F87" w:rsidRDefault="009A7F87" w:rsidP="009A7F87">
            <w:pPr>
              <w:pStyle w:val="BoxTitle"/>
            </w:pPr>
            <w:r>
              <w:rPr>
                <w:b w:val="0"/>
              </w:rPr>
              <w:t>Box 8.</w:t>
            </w:r>
            <w:r>
              <w:rPr>
                <w:b w:val="0"/>
                <w:noProof/>
              </w:rPr>
              <w:t>2</w:t>
            </w:r>
            <w:r>
              <w:tab/>
              <w:t>Comparison of ‘what if’ and Monte Carlo analysis</w:t>
            </w:r>
          </w:p>
        </w:tc>
      </w:tr>
      <w:tr w:rsidR="009A7F87" w:rsidTr="009A7F87">
        <w:tc>
          <w:tcPr>
            <w:tcW w:w="5000" w:type="pct"/>
            <w:tcBorders>
              <w:top w:val="nil"/>
              <w:left w:val="nil"/>
              <w:bottom w:val="nil"/>
              <w:right w:val="nil"/>
            </w:tcBorders>
            <w:shd w:val="clear" w:color="auto" w:fill="F2F2F2"/>
          </w:tcPr>
          <w:p w:rsidR="009A7F87" w:rsidRPr="00770229" w:rsidRDefault="009A7F87" w:rsidP="009A7F87">
            <w:pPr>
              <w:pStyle w:val="Box"/>
            </w:pPr>
            <w:r w:rsidRPr="00770229">
              <w:t>An extension of the example in box 8.1 to three government services is presented below. Methods of assessing the sensitivity of estimates to model parameters include:</w:t>
            </w:r>
          </w:p>
          <w:p w:rsidR="009A7F87" w:rsidRDefault="009A7F87" w:rsidP="009A7F87">
            <w:pPr>
              <w:pStyle w:val="BoxListBullet"/>
            </w:pPr>
            <w:r>
              <w:rPr>
                <w:i/>
              </w:rPr>
              <w:t>‘what if’ analysis</w:t>
            </w:r>
            <w:r>
              <w:t xml:space="preserve"> — expenditure </w:t>
            </w:r>
            <w:r w:rsidRPr="00770229">
              <w:t>is estimated for a series of scenarios to determine the possible different combinations of model parameters</w:t>
            </w:r>
            <w:r w:rsidRPr="00770229">
              <w:rPr>
                <w:rStyle w:val="NoteLabel"/>
              </w:rPr>
              <w:t>a</w:t>
            </w:r>
            <w:r w:rsidRPr="00770229">
              <w:t>. For the example, total expenditure can range between $98 million and $171 million. Although the ‘modal’ (most likely) outcome is $130 million, there is no information about the likelihood of other outcomes (that is, $171 million is as likely as $131 million).</w:t>
            </w:r>
          </w:p>
          <w:p w:rsidR="009A7F87" w:rsidRDefault="009A7F87" w:rsidP="009A7F87">
            <w:pPr>
              <w:pStyle w:val="BoxListBullet"/>
              <w:spacing w:after="120"/>
            </w:pPr>
            <w:r w:rsidRPr="0091042F">
              <w:rPr>
                <w:i/>
              </w:rPr>
              <w:t>Monte Carlo analysis</w:t>
            </w:r>
            <w:r>
              <w:t xml:space="preserve"> — </w:t>
            </w:r>
            <w:r w:rsidRPr="00770229">
              <w:t>is similar to the ‘what if’ approach, however it includes information about the probability that model parameters will take certain values. This allows a range of possible values for expenditure to be estimated, as well as the likelihood that any particular value of estimated expenditure will be ‘true’.</w:t>
            </w:r>
          </w:p>
          <w:tbl>
            <w:tblPr>
              <w:tblW w:w="4676" w:type="pct"/>
              <w:tblInd w:w="28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247"/>
            </w:tblGrid>
            <w:tr w:rsidR="009A7F87" w:rsidTr="009A7F87">
              <w:tc>
                <w:tcPr>
                  <w:tcW w:w="5000" w:type="pct"/>
                  <w:tcBorders>
                    <w:top w:val="single" w:sz="6" w:space="0" w:color="78A22F"/>
                    <w:left w:val="nil"/>
                    <w:bottom w:val="nil"/>
                    <w:right w:val="nil"/>
                  </w:tcBorders>
                  <w:shd w:val="clear" w:color="auto" w:fill="auto"/>
                </w:tcPr>
                <w:p w:rsidR="009A7F87" w:rsidRPr="00784A05" w:rsidRDefault="009A7F87" w:rsidP="009A7F87">
                  <w:pPr>
                    <w:pStyle w:val="Subtitle"/>
                    <w:spacing w:after="0"/>
                  </w:pPr>
                </w:p>
              </w:tc>
            </w:tr>
            <w:tr w:rsidR="009A7F87" w:rsidTr="004556BF">
              <w:tc>
                <w:tcPr>
                  <w:tcW w:w="5000" w:type="pct"/>
                  <w:tcBorders>
                    <w:top w:val="nil"/>
                    <w:left w:val="nil"/>
                    <w:bottom w:val="nil"/>
                    <w:right w:val="nil"/>
                  </w:tcBorders>
                  <w:shd w:val="clear" w:color="auto" w:fill="auto"/>
                </w:tcPr>
                <w:tbl>
                  <w:tblPr>
                    <w:tblW w:w="7963" w:type="dxa"/>
                    <w:tblBorders>
                      <w:bottom w:val="single" w:sz="4" w:space="0" w:color="265A9A" w:themeColor="background2"/>
                    </w:tblBorders>
                    <w:tblCellMar>
                      <w:top w:w="28" w:type="dxa"/>
                      <w:left w:w="0" w:type="dxa"/>
                      <w:right w:w="0" w:type="dxa"/>
                    </w:tblCellMar>
                    <w:tblLook w:val="0000" w:firstRow="0" w:lastRow="0" w:firstColumn="0" w:lastColumn="0" w:noHBand="0" w:noVBand="0"/>
                  </w:tblPr>
                  <w:tblGrid>
                    <w:gridCol w:w="990"/>
                    <w:gridCol w:w="1700"/>
                    <w:gridCol w:w="141"/>
                    <w:gridCol w:w="577"/>
                    <w:gridCol w:w="563"/>
                    <w:gridCol w:w="563"/>
                    <w:gridCol w:w="139"/>
                    <w:gridCol w:w="568"/>
                    <w:gridCol w:w="568"/>
                    <w:gridCol w:w="615"/>
                    <w:gridCol w:w="114"/>
                    <w:gridCol w:w="450"/>
                    <w:gridCol w:w="555"/>
                    <w:gridCol w:w="420"/>
                  </w:tblGrid>
                  <w:tr w:rsidR="009A7F87" w:rsidTr="004556BF">
                    <w:trPr>
                      <w:tblHeader/>
                    </w:trPr>
                    <w:tc>
                      <w:tcPr>
                        <w:tcW w:w="623" w:type="pct"/>
                        <w:tcBorders>
                          <w:top w:val="single" w:sz="4" w:space="0" w:color="808080" w:themeColor="background1" w:themeShade="80"/>
                          <w:bottom w:val="nil"/>
                        </w:tcBorders>
                        <w:shd w:val="clear" w:color="auto" w:fill="auto"/>
                        <w:tcMar>
                          <w:top w:w="28" w:type="dxa"/>
                        </w:tcMar>
                      </w:tcPr>
                      <w:p w:rsidR="009A7F87" w:rsidRDefault="009A7F87" w:rsidP="009A7F87">
                        <w:pPr>
                          <w:pStyle w:val="TableColumnHeading"/>
                          <w:jc w:val="left"/>
                        </w:pPr>
                      </w:p>
                    </w:tc>
                    <w:tc>
                      <w:tcPr>
                        <w:tcW w:w="1068" w:type="pct"/>
                        <w:tcBorders>
                          <w:top w:val="single" w:sz="4" w:space="0" w:color="808080" w:themeColor="background1" w:themeShade="80"/>
                          <w:bottom w:val="single" w:sz="4" w:space="0" w:color="808080" w:themeColor="background1" w:themeShade="80"/>
                        </w:tcBorders>
                      </w:tcPr>
                      <w:p w:rsidR="009A7F87" w:rsidRDefault="009A7F87" w:rsidP="009A7F87">
                        <w:pPr>
                          <w:pStyle w:val="TableColumnHeading"/>
                        </w:pPr>
                        <w:r>
                          <w:br/>
                        </w:r>
                        <w:r>
                          <w:br/>
                          <w:t>Total expenditure</w:t>
                        </w:r>
                      </w:p>
                    </w:tc>
                    <w:tc>
                      <w:tcPr>
                        <w:tcW w:w="89" w:type="pct"/>
                        <w:tcBorders>
                          <w:top w:val="single" w:sz="4" w:space="0" w:color="808080" w:themeColor="background1" w:themeShade="80"/>
                          <w:bottom w:val="nil"/>
                        </w:tcBorders>
                      </w:tcPr>
                      <w:p w:rsidR="009A7F87" w:rsidRDefault="009A7F87" w:rsidP="009A7F87">
                        <w:pPr>
                          <w:pStyle w:val="TableColumnHeading"/>
                          <w:jc w:val="center"/>
                        </w:pPr>
                      </w:p>
                    </w:tc>
                    <w:tc>
                      <w:tcPr>
                        <w:tcW w:w="1071" w:type="pct"/>
                        <w:gridSpan w:val="3"/>
                        <w:tcBorders>
                          <w:top w:val="single" w:sz="4" w:space="0" w:color="808080" w:themeColor="background1" w:themeShade="80"/>
                          <w:bottom w:val="single" w:sz="4" w:space="0" w:color="808080" w:themeColor="background1" w:themeShade="80"/>
                        </w:tcBorders>
                      </w:tcPr>
                      <w:p w:rsidR="009A7F87" w:rsidRDefault="009A7F87" w:rsidP="009A7F87">
                        <w:pPr>
                          <w:pStyle w:val="TableColumnHeading"/>
                          <w:jc w:val="center"/>
                        </w:pPr>
                        <w:r>
                          <w:br/>
                          <w:t>Service use measure</w:t>
                        </w:r>
                      </w:p>
                    </w:tc>
                    <w:tc>
                      <w:tcPr>
                        <w:tcW w:w="88" w:type="pct"/>
                        <w:tcBorders>
                          <w:top w:val="single" w:sz="4" w:space="0" w:color="808080" w:themeColor="background1" w:themeShade="80"/>
                          <w:bottom w:val="nil"/>
                        </w:tcBorders>
                      </w:tcPr>
                      <w:p w:rsidR="009A7F87" w:rsidRDefault="009A7F87" w:rsidP="009A7F87">
                        <w:pPr>
                          <w:pStyle w:val="TableColumnHeading"/>
                          <w:jc w:val="center"/>
                        </w:pPr>
                      </w:p>
                    </w:tc>
                    <w:tc>
                      <w:tcPr>
                        <w:tcW w:w="1101" w:type="pct"/>
                        <w:gridSpan w:val="3"/>
                        <w:tcBorders>
                          <w:top w:val="single" w:sz="4" w:space="0" w:color="808080" w:themeColor="background1" w:themeShade="80"/>
                          <w:bottom w:val="single" w:sz="4" w:space="0" w:color="808080" w:themeColor="background1" w:themeShade="80"/>
                        </w:tcBorders>
                        <w:shd w:val="clear" w:color="auto" w:fill="auto"/>
                        <w:tcMar>
                          <w:top w:w="28" w:type="dxa"/>
                        </w:tcMar>
                      </w:tcPr>
                      <w:p w:rsidR="009A7F87" w:rsidRDefault="009A7F87" w:rsidP="009A7F87">
                        <w:pPr>
                          <w:pStyle w:val="TableColumnHeading"/>
                          <w:jc w:val="center"/>
                        </w:pPr>
                        <w:r>
                          <w:br/>
                          <w:t>Under-identification adjustment</w:t>
                        </w:r>
                      </w:p>
                    </w:tc>
                    <w:tc>
                      <w:tcPr>
                        <w:tcW w:w="72" w:type="pct"/>
                        <w:tcBorders>
                          <w:top w:val="single" w:sz="4" w:space="0" w:color="808080" w:themeColor="background1" w:themeShade="80"/>
                          <w:bottom w:val="nil"/>
                        </w:tcBorders>
                      </w:tcPr>
                      <w:p w:rsidR="009A7F87" w:rsidRDefault="009A7F87" w:rsidP="009A7F87">
                        <w:pPr>
                          <w:pStyle w:val="TableColumnHeading"/>
                          <w:ind w:right="28"/>
                          <w:jc w:val="center"/>
                        </w:pPr>
                      </w:p>
                    </w:tc>
                    <w:tc>
                      <w:tcPr>
                        <w:tcW w:w="887" w:type="pct"/>
                        <w:gridSpan w:val="3"/>
                        <w:tcBorders>
                          <w:top w:val="single" w:sz="4" w:space="0" w:color="808080" w:themeColor="background1" w:themeShade="80"/>
                          <w:bottom w:val="single" w:sz="4" w:space="0" w:color="808080" w:themeColor="background1" w:themeShade="80"/>
                        </w:tcBorders>
                        <w:shd w:val="clear" w:color="auto" w:fill="auto"/>
                      </w:tcPr>
                      <w:p w:rsidR="009A7F87" w:rsidRDefault="009A7F87" w:rsidP="009A7F87">
                        <w:pPr>
                          <w:pStyle w:val="TableColumnHeading"/>
                          <w:ind w:right="28"/>
                          <w:jc w:val="center"/>
                        </w:pPr>
                        <w:r>
                          <w:t xml:space="preserve">Cost </w:t>
                        </w:r>
                        <w:r>
                          <w:br/>
                          <w:t>differential adjustment</w:t>
                        </w:r>
                      </w:p>
                    </w:tc>
                  </w:tr>
                  <w:tr w:rsidR="009A7F87" w:rsidTr="004556BF">
                    <w:tc>
                      <w:tcPr>
                        <w:tcW w:w="623" w:type="pct"/>
                        <w:tcBorders>
                          <w:top w:val="nil"/>
                          <w:bottom w:val="single" w:sz="4" w:space="0" w:color="808080" w:themeColor="background1" w:themeShade="80"/>
                        </w:tcBorders>
                      </w:tcPr>
                      <w:p w:rsidR="009A7F87" w:rsidRDefault="009A7F87" w:rsidP="009A7F87">
                        <w:pPr>
                          <w:pStyle w:val="TableUnitsRow"/>
                          <w:jc w:val="left"/>
                        </w:pPr>
                      </w:p>
                    </w:tc>
                    <w:tc>
                      <w:tcPr>
                        <w:tcW w:w="1068" w:type="pct"/>
                        <w:tcBorders>
                          <w:top w:val="single" w:sz="4" w:space="0" w:color="808080" w:themeColor="background1" w:themeShade="80"/>
                          <w:bottom w:val="single" w:sz="4" w:space="0" w:color="808080" w:themeColor="background1" w:themeShade="80"/>
                        </w:tcBorders>
                      </w:tcPr>
                      <w:p w:rsidR="009A7F87" w:rsidRPr="00FA5103" w:rsidRDefault="009A7F87" w:rsidP="009A7F87">
                        <w:pPr>
                          <w:pStyle w:val="TableUnitsRow"/>
                          <w:jc w:val="center"/>
                          <w:rPr>
                            <w:i/>
                          </w:rPr>
                        </w:pPr>
                        <w:r>
                          <w:rPr>
                            <w:i/>
                          </w:rPr>
                          <w:br/>
                        </w:r>
                        <w:r w:rsidRPr="004556BF">
                          <w:rPr>
                            <w:i/>
                          </w:rPr>
                          <w:t>Known</w:t>
                        </w:r>
                      </w:p>
                    </w:tc>
                    <w:tc>
                      <w:tcPr>
                        <w:tcW w:w="89" w:type="pct"/>
                        <w:tcBorders>
                          <w:top w:val="nil"/>
                          <w:bottom w:val="single" w:sz="4" w:space="0" w:color="808080" w:themeColor="background1" w:themeShade="80"/>
                        </w:tcBorders>
                      </w:tcPr>
                      <w:p w:rsidR="009A7F87" w:rsidRPr="00FA5103" w:rsidRDefault="009A7F87" w:rsidP="009A7F87">
                        <w:pPr>
                          <w:pStyle w:val="TableUnitsRow"/>
                          <w:jc w:val="center"/>
                          <w:rPr>
                            <w:i/>
                          </w:rPr>
                        </w:pPr>
                      </w:p>
                    </w:tc>
                    <w:tc>
                      <w:tcPr>
                        <w:tcW w:w="363" w:type="pct"/>
                        <w:tcBorders>
                          <w:top w:val="single" w:sz="4" w:space="0" w:color="808080" w:themeColor="background1" w:themeShade="80"/>
                          <w:bottom w:val="single" w:sz="4" w:space="0" w:color="808080" w:themeColor="background1" w:themeShade="80"/>
                        </w:tcBorders>
                      </w:tcPr>
                      <w:p w:rsidR="009A7F87" w:rsidRPr="00FA5103" w:rsidRDefault="009A7F87" w:rsidP="009A7F87">
                        <w:pPr>
                          <w:pStyle w:val="TableUnitsRow"/>
                          <w:jc w:val="center"/>
                          <w:rPr>
                            <w:i/>
                          </w:rPr>
                        </w:pPr>
                        <w:r w:rsidRPr="00FA5103">
                          <w:rPr>
                            <w:i/>
                          </w:rPr>
                          <w:br/>
                          <w:t>Low</w:t>
                        </w:r>
                      </w:p>
                    </w:tc>
                    <w:tc>
                      <w:tcPr>
                        <w:tcW w:w="354" w:type="pct"/>
                        <w:tcBorders>
                          <w:top w:val="single" w:sz="4" w:space="0" w:color="808080" w:themeColor="background1" w:themeShade="80"/>
                          <w:bottom w:val="single" w:sz="4" w:space="0" w:color="808080" w:themeColor="background1" w:themeShade="80"/>
                        </w:tcBorders>
                      </w:tcPr>
                      <w:p w:rsidR="009A7F87" w:rsidRPr="00FA5103" w:rsidRDefault="009A7F87" w:rsidP="009A7F87">
                        <w:pPr>
                          <w:pStyle w:val="TableUnitsRow"/>
                          <w:jc w:val="center"/>
                          <w:rPr>
                            <w:i/>
                          </w:rPr>
                        </w:pPr>
                        <w:r w:rsidRPr="00FA5103">
                          <w:rPr>
                            <w:i/>
                          </w:rPr>
                          <w:t>Most likely</w:t>
                        </w:r>
                      </w:p>
                    </w:tc>
                    <w:tc>
                      <w:tcPr>
                        <w:tcW w:w="354" w:type="pct"/>
                        <w:tcBorders>
                          <w:top w:val="single" w:sz="4" w:space="0" w:color="808080" w:themeColor="background1" w:themeShade="80"/>
                          <w:bottom w:val="single" w:sz="4" w:space="0" w:color="808080" w:themeColor="background1" w:themeShade="80"/>
                        </w:tcBorders>
                      </w:tcPr>
                      <w:p w:rsidR="009A7F87" w:rsidRPr="00FA5103" w:rsidRDefault="009A7F87" w:rsidP="009A7F87">
                        <w:pPr>
                          <w:pStyle w:val="TableUnitsRow"/>
                          <w:jc w:val="center"/>
                          <w:rPr>
                            <w:i/>
                          </w:rPr>
                        </w:pPr>
                        <w:r w:rsidRPr="00FA5103">
                          <w:rPr>
                            <w:i/>
                          </w:rPr>
                          <w:br/>
                          <w:t>High</w:t>
                        </w:r>
                      </w:p>
                    </w:tc>
                    <w:tc>
                      <w:tcPr>
                        <w:tcW w:w="88" w:type="pct"/>
                        <w:tcBorders>
                          <w:top w:val="nil"/>
                          <w:bottom w:val="single" w:sz="4" w:space="0" w:color="808080" w:themeColor="background1" w:themeShade="80"/>
                        </w:tcBorders>
                      </w:tcPr>
                      <w:p w:rsidR="009A7F87" w:rsidRPr="00FA5103" w:rsidRDefault="009A7F87" w:rsidP="009A7F87">
                        <w:pPr>
                          <w:pStyle w:val="TableUnitsRow"/>
                          <w:jc w:val="center"/>
                          <w:rPr>
                            <w:i/>
                          </w:rPr>
                        </w:pPr>
                      </w:p>
                    </w:tc>
                    <w:tc>
                      <w:tcPr>
                        <w:tcW w:w="357" w:type="pct"/>
                        <w:tcBorders>
                          <w:top w:val="single" w:sz="4" w:space="0" w:color="808080" w:themeColor="background1" w:themeShade="80"/>
                          <w:bottom w:val="single" w:sz="4" w:space="0" w:color="808080" w:themeColor="background1" w:themeShade="80"/>
                        </w:tcBorders>
                      </w:tcPr>
                      <w:p w:rsidR="009A7F87" w:rsidRPr="00FA5103" w:rsidRDefault="009A7F87" w:rsidP="009A7F87">
                        <w:pPr>
                          <w:pStyle w:val="TableUnitsRow"/>
                          <w:jc w:val="center"/>
                          <w:rPr>
                            <w:i/>
                          </w:rPr>
                        </w:pPr>
                        <w:r w:rsidRPr="00FA5103">
                          <w:rPr>
                            <w:i/>
                          </w:rPr>
                          <w:br/>
                          <w:t>Low</w:t>
                        </w:r>
                      </w:p>
                    </w:tc>
                    <w:tc>
                      <w:tcPr>
                        <w:tcW w:w="357" w:type="pct"/>
                        <w:tcBorders>
                          <w:top w:val="single" w:sz="4" w:space="0" w:color="808080" w:themeColor="background1" w:themeShade="80"/>
                          <w:bottom w:val="single" w:sz="4" w:space="0" w:color="808080" w:themeColor="background1" w:themeShade="80"/>
                        </w:tcBorders>
                      </w:tcPr>
                      <w:p w:rsidR="009A7F87" w:rsidRPr="00FA5103" w:rsidRDefault="009A7F87" w:rsidP="009A7F87">
                        <w:pPr>
                          <w:pStyle w:val="TableUnitsRow"/>
                          <w:jc w:val="center"/>
                          <w:rPr>
                            <w:i/>
                          </w:rPr>
                        </w:pPr>
                        <w:r w:rsidRPr="00FA5103">
                          <w:rPr>
                            <w:i/>
                          </w:rPr>
                          <w:t>Most</w:t>
                        </w:r>
                        <w:r w:rsidRPr="00FA5103">
                          <w:rPr>
                            <w:i/>
                          </w:rPr>
                          <w:br/>
                          <w:t>likely</w:t>
                        </w:r>
                      </w:p>
                    </w:tc>
                    <w:tc>
                      <w:tcPr>
                        <w:tcW w:w="387" w:type="pct"/>
                        <w:tcBorders>
                          <w:top w:val="single" w:sz="4" w:space="0" w:color="808080" w:themeColor="background1" w:themeShade="80"/>
                          <w:bottom w:val="single" w:sz="4" w:space="0" w:color="808080" w:themeColor="background1" w:themeShade="80"/>
                        </w:tcBorders>
                      </w:tcPr>
                      <w:p w:rsidR="009A7F87" w:rsidRPr="00FA5103" w:rsidRDefault="009A7F87" w:rsidP="009A7F87">
                        <w:pPr>
                          <w:pStyle w:val="TableUnitsRow"/>
                          <w:jc w:val="center"/>
                          <w:rPr>
                            <w:i/>
                          </w:rPr>
                        </w:pPr>
                        <w:r w:rsidRPr="00FA5103">
                          <w:rPr>
                            <w:i/>
                          </w:rPr>
                          <w:br/>
                          <w:t>High</w:t>
                        </w:r>
                      </w:p>
                    </w:tc>
                    <w:tc>
                      <w:tcPr>
                        <w:tcW w:w="72" w:type="pct"/>
                        <w:tcBorders>
                          <w:top w:val="nil"/>
                          <w:bottom w:val="single" w:sz="4" w:space="0" w:color="808080" w:themeColor="background1" w:themeShade="80"/>
                        </w:tcBorders>
                      </w:tcPr>
                      <w:p w:rsidR="009A7F87" w:rsidRPr="00FA5103" w:rsidRDefault="009A7F87" w:rsidP="009A7F87">
                        <w:pPr>
                          <w:pStyle w:val="TableUnitsRow"/>
                          <w:jc w:val="center"/>
                          <w:rPr>
                            <w:i/>
                          </w:rPr>
                        </w:pPr>
                      </w:p>
                    </w:tc>
                    <w:tc>
                      <w:tcPr>
                        <w:tcW w:w="283" w:type="pct"/>
                        <w:tcBorders>
                          <w:top w:val="single" w:sz="4" w:space="0" w:color="808080" w:themeColor="background1" w:themeShade="80"/>
                          <w:bottom w:val="single" w:sz="4" w:space="0" w:color="808080" w:themeColor="background1" w:themeShade="80"/>
                        </w:tcBorders>
                      </w:tcPr>
                      <w:p w:rsidR="009A7F87" w:rsidRPr="00FA5103" w:rsidRDefault="009A7F87" w:rsidP="009A7F87">
                        <w:pPr>
                          <w:pStyle w:val="TableUnitsRow"/>
                          <w:jc w:val="center"/>
                          <w:rPr>
                            <w:i/>
                          </w:rPr>
                        </w:pPr>
                        <w:r w:rsidRPr="00FA5103">
                          <w:rPr>
                            <w:i/>
                          </w:rPr>
                          <w:br/>
                          <w:t>Low</w:t>
                        </w:r>
                      </w:p>
                    </w:tc>
                    <w:tc>
                      <w:tcPr>
                        <w:tcW w:w="349" w:type="pct"/>
                        <w:tcBorders>
                          <w:top w:val="single" w:sz="4" w:space="0" w:color="808080" w:themeColor="background1" w:themeShade="80"/>
                          <w:bottom w:val="single" w:sz="4" w:space="0" w:color="808080" w:themeColor="background1" w:themeShade="80"/>
                        </w:tcBorders>
                      </w:tcPr>
                      <w:p w:rsidR="009A7F87" w:rsidRPr="00FA5103" w:rsidRDefault="009A7F87" w:rsidP="009A7F87">
                        <w:pPr>
                          <w:pStyle w:val="TableUnitsRow"/>
                          <w:ind w:right="28"/>
                          <w:jc w:val="center"/>
                          <w:rPr>
                            <w:i/>
                          </w:rPr>
                        </w:pPr>
                        <w:r w:rsidRPr="00FA5103">
                          <w:rPr>
                            <w:i/>
                          </w:rPr>
                          <w:t>Most likely</w:t>
                        </w:r>
                      </w:p>
                    </w:tc>
                    <w:tc>
                      <w:tcPr>
                        <w:tcW w:w="255" w:type="pct"/>
                        <w:tcBorders>
                          <w:top w:val="single" w:sz="4" w:space="0" w:color="808080" w:themeColor="background1" w:themeShade="80"/>
                          <w:bottom w:val="single" w:sz="4" w:space="0" w:color="808080" w:themeColor="background1" w:themeShade="80"/>
                        </w:tcBorders>
                      </w:tcPr>
                      <w:p w:rsidR="009A7F87" w:rsidRPr="00FA5103" w:rsidRDefault="009A7F87" w:rsidP="009A7F87">
                        <w:pPr>
                          <w:pStyle w:val="TableUnitsRow"/>
                          <w:ind w:right="28"/>
                          <w:jc w:val="center"/>
                          <w:rPr>
                            <w:i/>
                          </w:rPr>
                        </w:pPr>
                        <w:r w:rsidRPr="00FA5103">
                          <w:rPr>
                            <w:i/>
                          </w:rPr>
                          <w:br/>
                          <w:t>High</w:t>
                        </w:r>
                      </w:p>
                    </w:tc>
                  </w:tr>
                  <w:tr w:rsidR="009A7F87" w:rsidTr="004556BF">
                    <w:tc>
                      <w:tcPr>
                        <w:tcW w:w="623" w:type="pct"/>
                        <w:tcBorders>
                          <w:top w:val="single" w:sz="4" w:space="0" w:color="808080" w:themeColor="background1" w:themeShade="80"/>
                          <w:bottom w:val="nil"/>
                        </w:tcBorders>
                      </w:tcPr>
                      <w:p w:rsidR="009A7F87" w:rsidRDefault="009A7F87" w:rsidP="004556BF">
                        <w:pPr>
                          <w:pStyle w:val="TableBodyText"/>
                          <w:spacing w:before="40"/>
                          <w:jc w:val="left"/>
                        </w:pPr>
                        <w:r>
                          <w:t>Service 1</w:t>
                        </w:r>
                      </w:p>
                    </w:tc>
                    <w:tc>
                      <w:tcPr>
                        <w:tcW w:w="1068" w:type="pct"/>
                        <w:tcBorders>
                          <w:top w:val="single" w:sz="4" w:space="0" w:color="808080" w:themeColor="background1" w:themeShade="80"/>
                          <w:bottom w:val="nil"/>
                        </w:tcBorders>
                      </w:tcPr>
                      <w:p w:rsidR="009A7F87" w:rsidRDefault="009A7F87" w:rsidP="004556BF">
                        <w:pPr>
                          <w:pStyle w:val="TableBodyText"/>
                          <w:spacing w:before="40"/>
                          <w:jc w:val="center"/>
                        </w:pPr>
                        <w:r>
                          <w:t>100</w:t>
                        </w:r>
                      </w:p>
                    </w:tc>
                    <w:tc>
                      <w:tcPr>
                        <w:tcW w:w="89" w:type="pct"/>
                        <w:tcBorders>
                          <w:top w:val="single" w:sz="4" w:space="0" w:color="808080" w:themeColor="background1" w:themeShade="80"/>
                          <w:bottom w:val="nil"/>
                        </w:tcBorders>
                      </w:tcPr>
                      <w:p w:rsidR="009A7F87" w:rsidRDefault="009A7F87" w:rsidP="009A7F87">
                        <w:pPr>
                          <w:pStyle w:val="TableBodyText"/>
                          <w:jc w:val="center"/>
                        </w:pPr>
                      </w:p>
                    </w:tc>
                    <w:tc>
                      <w:tcPr>
                        <w:tcW w:w="363" w:type="pct"/>
                        <w:tcBorders>
                          <w:top w:val="single" w:sz="4" w:space="0" w:color="808080" w:themeColor="background1" w:themeShade="80"/>
                          <w:bottom w:val="nil"/>
                        </w:tcBorders>
                      </w:tcPr>
                      <w:p w:rsidR="009A7F87" w:rsidRDefault="009A7F87" w:rsidP="004556BF">
                        <w:pPr>
                          <w:pStyle w:val="TableBodyText"/>
                          <w:spacing w:before="40"/>
                          <w:jc w:val="center"/>
                        </w:pPr>
                        <w:r>
                          <w:t>20</w:t>
                        </w:r>
                      </w:p>
                    </w:tc>
                    <w:tc>
                      <w:tcPr>
                        <w:tcW w:w="354" w:type="pct"/>
                        <w:tcBorders>
                          <w:top w:val="single" w:sz="4" w:space="0" w:color="808080" w:themeColor="background1" w:themeShade="80"/>
                          <w:bottom w:val="nil"/>
                        </w:tcBorders>
                      </w:tcPr>
                      <w:p w:rsidR="009A7F87" w:rsidRDefault="009A7F87" w:rsidP="004556BF">
                        <w:pPr>
                          <w:pStyle w:val="TableBodyText"/>
                          <w:spacing w:before="40"/>
                          <w:jc w:val="center"/>
                        </w:pPr>
                        <w:r>
                          <w:t>25</w:t>
                        </w:r>
                      </w:p>
                    </w:tc>
                    <w:tc>
                      <w:tcPr>
                        <w:tcW w:w="354" w:type="pct"/>
                        <w:tcBorders>
                          <w:top w:val="single" w:sz="4" w:space="0" w:color="808080" w:themeColor="background1" w:themeShade="80"/>
                          <w:bottom w:val="nil"/>
                        </w:tcBorders>
                      </w:tcPr>
                      <w:p w:rsidR="009A7F87" w:rsidRDefault="009A7F87" w:rsidP="004556BF">
                        <w:pPr>
                          <w:pStyle w:val="TableBodyText"/>
                          <w:spacing w:before="40"/>
                          <w:jc w:val="center"/>
                        </w:pPr>
                        <w:r>
                          <w:t>30</w:t>
                        </w:r>
                      </w:p>
                    </w:tc>
                    <w:tc>
                      <w:tcPr>
                        <w:tcW w:w="88" w:type="pct"/>
                        <w:tcBorders>
                          <w:top w:val="single" w:sz="4" w:space="0" w:color="808080" w:themeColor="background1" w:themeShade="80"/>
                          <w:bottom w:val="nil"/>
                        </w:tcBorders>
                      </w:tcPr>
                      <w:p w:rsidR="009A7F87" w:rsidRDefault="009A7F87" w:rsidP="004556BF">
                        <w:pPr>
                          <w:pStyle w:val="TableBodyText"/>
                          <w:jc w:val="center"/>
                        </w:pPr>
                      </w:p>
                    </w:tc>
                    <w:tc>
                      <w:tcPr>
                        <w:tcW w:w="357" w:type="pct"/>
                        <w:tcBorders>
                          <w:top w:val="single" w:sz="4" w:space="0" w:color="808080" w:themeColor="background1" w:themeShade="80"/>
                          <w:bottom w:val="nil"/>
                        </w:tcBorders>
                      </w:tcPr>
                      <w:p w:rsidR="009A7F87" w:rsidRDefault="009A7F87" w:rsidP="004556BF">
                        <w:pPr>
                          <w:pStyle w:val="TableBodyText"/>
                          <w:spacing w:before="40"/>
                          <w:jc w:val="center"/>
                        </w:pPr>
                        <w:r>
                          <w:t>120</w:t>
                        </w:r>
                      </w:p>
                    </w:tc>
                    <w:tc>
                      <w:tcPr>
                        <w:tcW w:w="357" w:type="pct"/>
                        <w:tcBorders>
                          <w:top w:val="single" w:sz="4" w:space="0" w:color="808080" w:themeColor="background1" w:themeShade="80"/>
                          <w:bottom w:val="nil"/>
                        </w:tcBorders>
                      </w:tcPr>
                      <w:p w:rsidR="009A7F87" w:rsidRDefault="009A7F87" w:rsidP="004556BF">
                        <w:pPr>
                          <w:pStyle w:val="TableBodyText"/>
                          <w:spacing w:before="40"/>
                          <w:jc w:val="center"/>
                        </w:pPr>
                        <w:r>
                          <w:t>125</w:t>
                        </w:r>
                      </w:p>
                    </w:tc>
                    <w:tc>
                      <w:tcPr>
                        <w:tcW w:w="387" w:type="pct"/>
                        <w:tcBorders>
                          <w:top w:val="single" w:sz="4" w:space="0" w:color="808080" w:themeColor="background1" w:themeShade="80"/>
                          <w:bottom w:val="nil"/>
                        </w:tcBorders>
                      </w:tcPr>
                      <w:p w:rsidR="009A7F87" w:rsidRDefault="009A7F87" w:rsidP="004556BF">
                        <w:pPr>
                          <w:pStyle w:val="TableBodyText"/>
                          <w:spacing w:before="40"/>
                          <w:jc w:val="center"/>
                        </w:pPr>
                        <w:r>
                          <w:t>130</w:t>
                        </w:r>
                      </w:p>
                    </w:tc>
                    <w:tc>
                      <w:tcPr>
                        <w:tcW w:w="72" w:type="pct"/>
                        <w:tcBorders>
                          <w:top w:val="single" w:sz="4" w:space="0" w:color="808080" w:themeColor="background1" w:themeShade="80"/>
                          <w:bottom w:val="nil"/>
                        </w:tcBorders>
                      </w:tcPr>
                      <w:p w:rsidR="009A7F87" w:rsidRDefault="009A7F87" w:rsidP="004556BF">
                        <w:pPr>
                          <w:pStyle w:val="TableBodyText"/>
                          <w:jc w:val="center"/>
                        </w:pPr>
                      </w:p>
                    </w:tc>
                    <w:tc>
                      <w:tcPr>
                        <w:tcW w:w="283" w:type="pct"/>
                        <w:tcBorders>
                          <w:top w:val="single" w:sz="4" w:space="0" w:color="808080" w:themeColor="background1" w:themeShade="80"/>
                          <w:bottom w:val="nil"/>
                        </w:tcBorders>
                      </w:tcPr>
                      <w:p w:rsidR="009A7F87" w:rsidRDefault="009A7F87" w:rsidP="004556BF">
                        <w:pPr>
                          <w:pStyle w:val="TableBodyText"/>
                          <w:spacing w:before="40"/>
                          <w:jc w:val="center"/>
                        </w:pPr>
                        <w:r>
                          <w:t>200</w:t>
                        </w:r>
                      </w:p>
                    </w:tc>
                    <w:tc>
                      <w:tcPr>
                        <w:tcW w:w="349" w:type="pct"/>
                        <w:tcBorders>
                          <w:top w:val="single" w:sz="4" w:space="0" w:color="808080" w:themeColor="background1" w:themeShade="80"/>
                          <w:bottom w:val="nil"/>
                        </w:tcBorders>
                      </w:tcPr>
                      <w:p w:rsidR="009A7F87" w:rsidRDefault="009A7F87" w:rsidP="004556BF">
                        <w:pPr>
                          <w:pStyle w:val="TableBodyText"/>
                          <w:spacing w:before="40"/>
                          <w:jc w:val="center"/>
                        </w:pPr>
                        <w:r>
                          <w:t>215</w:t>
                        </w:r>
                      </w:p>
                    </w:tc>
                    <w:tc>
                      <w:tcPr>
                        <w:tcW w:w="255" w:type="pct"/>
                        <w:tcBorders>
                          <w:top w:val="single" w:sz="4" w:space="0" w:color="808080" w:themeColor="background1" w:themeShade="80"/>
                          <w:bottom w:val="nil"/>
                        </w:tcBorders>
                      </w:tcPr>
                      <w:p w:rsidR="009A7F87" w:rsidRDefault="009A7F87" w:rsidP="004556BF">
                        <w:pPr>
                          <w:pStyle w:val="TableBodyText"/>
                          <w:spacing w:before="40"/>
                          <w:jc w:val="center"/>
                        </w:pPr>
                        <w:r>
                          <w:t>220</w:t>
                        </w:r>
                      </w:p>
                    </w:tc>
                  </w:tr>
                  <w:tr w:rsidR="009A7F87" w:rsidTr="004556BF">
                    <w:tc>
                      <w:tcPr>
                        <w:tcW w:w="623" w:type="pct"/>
                        <w:tcBorders>
                          <w:top w:val="nil"/>
                        </w:tcBorders>
                        <w:shd w:val="clear" w:color="auto" w:fill="auto"/>
                      </w:tcPr>
                      <w:p w:rsidR="009A7F87" w:rsidRDefault="009A7F87" w:rsidP="009A7F87">
                        <w:pPr>
                          <w:pStyle w:val="TableBodyText"/>
                          <w:jc w:val="left"/>
                        </w:pPr>
                        <w:r>
                          <w:t>Service 2</w:t>
                        </w:r>
                      </w:p>
                    </w:tc>
                    <w:tc>
                      <w:tcPr>
                        <w:tcW w:w="1068" w:type="pct"/>
                        <w:tcBorders>
                          <w:top w:val="nil"/>
                        </w:tcBorders>
                      </w:tcPr>
                      <w:p w:rsidR="009A7F87" w:rsidRDefault="009A7F87" w:rsidP="009A7F87">
                        <w:pPr>
                          <w:pStyle w:val="TableBodyText"/>
                          <w:jc w:val="center"/>
                        </w:pPr>
                        <w:r>
                          <w:t>150</w:t>
                        </w:r>
                      </w:p>
                    </w:tc>
                    <w:tc>
                      <w:tcPr>
                        <w:tcW w:w="89" w:type="pct"/>
                        <w:tcBorders>
                          <w:top w:val="nil"/>
                        </w:tcBorders>
                      </w:tcPr>
                      <w:p w:rsidR="009A7F87" w:rsidRDefault="009A7F87" w:rsidP="009A7F87">
                        <w:pPr>
                          <w:pStyle w:val="TableBodyText"/>
                          <w:jc w:val="center"/>
                        </w:pPr>
                      </w:p>
                    </w:tc>
                    <w:tc>
                      <w:tcPr>
                        <w:tcW w:w="363" w:type="pct"/>
                        <w:tcBorders>
                          <w:top w:val="nil"/>
                        </w:tcBorders>
                      </w:tcPr>
                      <w:p w:rsidR="009A7F87" w:rsidRDefault="009A7F87" w:rsidP="009A7F87">
                        <w:pPr>
                          <w:pStyle w:val="TableBodyText"/>
                          <w:jc w:val="center"/>
                        </w:pPr>
                        <w:r>
                          <w:t>15</w:t>
                        </w:r>
                      </w:p>
                    </w:tc>
                    <w:tc>
                      <w:tcPr>
                        <w:tcW w:w="354" w:type="pct"/>
                        <w:tcBorders>
                          <w:top w:val="nil"/>
                        </w:tcBorders>
                      </w:tcPr>
                      <w:p w:rsidR="009A7F87" w:rsidRDefault="009A7F87" w:rsidP="009A7F87">
                        <w:pPr>
                          <w:pStyle w:val="TableBodyText"/>
                          <w:jc w:val="center"/>
                        </w:pPr>
                        <w:r>
                          <w:t>18</w:t>
                        </w:r>
                      </w:p>
                    </w:tc>
                    <w:tc>
                      <w:tcPr>
                        <w:tcW w:w="354" w:type="pct"/>
                        <w:tcBorders>
                          <w:top w:val="nil"/>
                        </w:tcBorders>
                      </w:tcPr>
                      <w:p w:rsidR="009A7F87" w:rsidRDefault="009A7F87" w:rsidP="009A7F87">
                        <w:pPr>
                          <w:pStyle w:val="TableBodyText"/>
                          <w:jc w:val="center"/>
                        </w:pPr>
                        <w:r>
                          <w:t>20</w:t>
                        </w:r>
                      </w:p>
                    </w:tc>
                    <w:tc>
                      <w:tcPr>
                        <w:tcW w:w="88" w:type="pct"/>
                        <w:tcBorders>
                          <w:top w:val="nil"/>
                        </w:tcBorders>
                      </w:tcPr>
                      <w:p w:rsidR="009A7F87" w:rsidRDefault="009A7F87" w:rsidP="009A7F87">
                        <w:pPr>
                          <w:pStyle w:val="TableBodyText"/>
                          <w:jc w:val="center"/>
                        </w:pPr>
                      </w:p>
                    </w:tc>
                    <w:tc>
                      <w:tcPr>
                        <w:tcW w:w="357" w:type="pct"/>
                        <w:tcBorders>
                          <w:top w:val="nil"/>
                        </w:tcBorders>
                        <w:shd w:val="clear" w:color="auto" w:fill="auto"/>
                      </w:tcPr>
                      <w:p w:rsidR="009A7F87" w:rsidRDefault="009A7F87" w:rsidP="009A7F87">
                        <w:pPr>
                          <w:pStyle w:val="TableBodyText"/>
                          <w:jc w:val="center"/>
                        </w:pPr>
                        <w:r>
                          <w:t>100</w:t>
                        </w:r>
                      </w:p>
                    </w:tc>
                    <w:tc>
                      <w:tcPr>
                        <w:tcW w:w="357" w:type="pct"/>
                        <w:tcBorders>
                          <w:top w:val="nil"/>
                        </w:tcBorders>
                        <w:shd w:val="clear" w:color="auto" w:fill="auto"/>
                      </w:tcPr>
                      <w:p w:rsidR="009A7F87" w:rsidRDefault="009A7F87" w:rsidP="009A7F87">
                        <w:pPr>
                          <w:pStyle w:val="TableBodyText"/>
                          <w:jc w:val="center"/>
                        </w:pPr>
                        <w:r>
                          <w:t>100</w:t>
                        </w:r>
                      </w:p>
                    </w:tc>
                    <w:tc>
                      <w:tcPr>
                        <w:tcW w:w="387" w:type="pct"/>
                        <w:tcBorders>
                          <w:top w:val="nil"/>
                        </w:tcBorders>
                        <w:shd w:val="clear" w:color="auto" w:fill="auto"/>
                      </w:tcPr>
                      <w:p w:rsidR="009A7F87" w:rsidRDefault="009A7F87" w:rsidP="009A7F87">
                        <w:pPr>
                          <w:pStyle w:val="TableBodyText"/>
                          <w:jc w:val="center"/>
                        </w:pPr>
                        <w:r>
                          <w:t>110</w:t>
                        </w:r>
                      </w:p>
                    </w:tc>
                    <w:tc>
                      <w:tcPr>
                        <w:tcW w:w="72" w:type="pct"/>
                        <w:tcBorders>
                          <w:top w:val="nil"/>
                        </w:tcBorders>
                      </w:tcPr>
                      <w:p w:rsidR="009A7F87" w:rsidRDefault="009A7F87" w:rsidP="009A7F87">
                        <w:pPr>
                          <w:pStyle w:val="TableBodyText"/>
                          <w:jc w:val="center"/>
                        </w:pPr>
                      </w:p>
                    </w:tc>
                    <w:tc>
                      <w:tcPr>
                        <w:tcW w:w="283" w:type="pct"/>
                        <w:tcBorders>
                          <w:top w:val="nil"/>
                        </w:tcBorders>
                        <w:shd w:val="clear" w:color="auto" w:fill="auto"/>
                      </w:tcPr>
                      <w:p w:rsidR="009A7F87" w:rsidRDefault="009A7F87" w:rsidP="009A7F87">
                        <w:pPr>
                          <w:pStyle w:val="TableBodyText"/>
                          <w:jc w:val="center"/>
                        </w:pPr>
                        <w:r>
                          <w:t>105</w:t>
                        </w:r>
                      </w:p>
                    </w:tc>
                    <w:tc>
                      <w:tcPr>
                        <w:tcW w:w="349" w:type="pct"/>
                        <w:tcBorders>
                          <w:top w:val="nil"/>
                        </w:tcBorders>
                        <w:shd w:val="clear" w:color="auto" w:fill="auto"/>
                      </w:tcPr>
                      <w:p w:rsidR="009A7F87" w:rsidRDefault="009A7F87" w:rsidP="009A7F87">
                        <w:pPr>
                          <w:pStyle w:val="TableBodyText"/>
                          <w:ind w:right="28"/>
                          <w:jc w:val="center"/>
                        </w:pPr>
                        <w:r>
                          <w:t>118</w:t>
                        </w:r>
                      </w:p>
                    </w:tc>
                    <w:tc>
                      <w:tcPr>
                        <w:tcW w:w="255" w:type="pct"/>
                        <w:tcBorders>
                          <w:top w:val="nil"/>
                        </w:tcBorders>
                      </w:tcPr>
                      <w:p w:rsidR="009A7F87" w:rsidRDefault="009A7F87" w:rsidP="009A7F87">
                        <w:pPr>
                          <w:pStyle w:val="TableBodyText"/>
                          <w:ind w:right="28"/>
                          <w:jc w:val="center"/>
                        </w:pPr>
                        <w:r>
                          <w:t>120</w:t>
                        </w:r>
                      </w:p>
                    </w:tc>
                  </w:tr>
                  <w:tr w:rsidR="009A7F87" w:rsidTr="004556BF">
                    <w:tc>
                      <w:tcPr>
                        <w:tcW w:w="623" w:type="pct"/>
                        <w:tcBorders>
                          <w:bottom w:val="nil"/>
                        </w:tcBorders>
                        <w:shd w:val="clear" w:color="auto" w:fill="auto"/>
                      </w:tcPr>
                      <w:p w:rsidR="009A7F87" w:rsidRDefault="009A7F87" w:rsidP="009A7F87">
                        <w:pPr>
                          <w:pStyle w:val="TableBodyText"/>
                          <w:jc w:val="left"/>
                        </w:pPr>
                        <w:r>
                          <w:t>Service 3</w:t>
                        </w:r>
                      </w:p>
                    </w:tc>
                    <w:tc>
                      <w:tcPr>
                        <w:tcW w:w="1068" w:type="pct"/>
                        <w:tcBorders>
                          <w:bottom w:val="nil"/>
                        </w:tcBorders>
                      </w:tcPr>
                      <w:p w:rsidR="009A7F87" w:rsidRDefault="009A7F87" w:rsidP="009A7F87">
                        <w:pPr>
                          <w:pStyle w:val="TableBodyText"/>
                          <w:jc w:val="center"/>
                        </w:pPr>
                        <w:r>
                          <w:t>86</w:t>
                        </w:r>
                      </w:p>
                    </w:tc>
                    <w:tc>
                      <w:tcPr>
                        <w:tcW w:w="89" w:type="pct"/>
                        <w:tcBorders>
                          <w:bottom w:val="nil"/>
                        </w:tcBorders>
                      </w:tcPr>
                      <w:p w:rsidR="009A7F87" w:rsidRDefault="009A7F87" w:rsidP="009A7F87">
                        <w:pPr>
                          <w:pStyle w:val="TableBodyText"/>
                          <w:jc w:val="center"/>
                        </w:pPr>
                      </w:p>
                    </w:tc>
                    <w:tc>
                      <w:tcPr>
                        <w:tcW w:w="363" w:type="pct"/>
                        <w:tcBorders>
                          <w:bottom w:val="nil"/>
                        </w:tcBorders>
                      </w:tcPr>
                      <w:p w:rsidR="009A7F87" w:rsidRDefault="009A7F87" w:rsidP="009A7F87">
                        <w:pPr>
                          <w:pStyle w:val="TableBodyText"/>
                          <w:jc w:val="center"/>
                        </w:pPr>
                        <w:r>
                          <w:t>15</w:t>
                        </w:r>
                      </w:p>
                    </w:tc>
                    <w:tc>
                      <w:tcPr>
                        <w:tcW w:w="354" w:type="pct"/>
                        <w:tcBorders>
                          <w:bottom w:val="nil"/>
                        </w:tcBorders>
                      </w:tcPr>
                      <w:p w:rsidR="009A7F87" w:rsidRDefault="009A7F87" w:rsidP="009A7F87">
                        <w:pPr>
                          <w:pStyle w:val="TableBodyText"/>
                          <w:jc w:val="center"/>
                        </w:pPr>
                        <w:r>
                          <w:t>16</w:t>
                        </w:r>
                      </w:p>
                    </w:tc>
                    <w:tc>
                      <w:tcPr>
                        <w:tcW w:w="354" w:type="pct"/>
                        <w:tcBorders>
                          <w:bottom w:val="nil"/>
                        </w:tcBorders>
                      </w:tcPr>
                      <w:p w:rsidR="009A7F87" w:rsidRDefault="009A7F87" w:rsidP="009A7F87">
                        <w:pPr>
                          <w:pStyle w:val="TableBodyText"/>
                          <w:jc w:val="center"/>
                        </w:pPr>
                        <w:r>
                          <w:t>20</w:t>
                        </w:r>
                      </w:p>
                    </w:tc>
                    <w:tc>
                      <w:tcPr>
                        <w:tcW w:w="88" w:type="pct"/>
                        <w:tcBorders>
                          <w:bottom w:val="nil"/>
                        </w:tcBorders>
                      </w:tcPr>
                      <w:p w:rsidR="009A7F87" w:rsidRDefault="009A7F87" w:rsidP="009A7F87">
                        <w:pPr>
                          <w:pStyle w:val="TableBodyText"/>
                          <w:jc w:val="center"/>
                        </w:pPr>
                      </w:p>
                    </w:tc>
                    <w:tc>
                      <w:tcPr>
                        <w:tcW w:w="357" w:type="pct"/>
                        <w:tcBorders>
                          <w:bottom w:val="nil"/>
                        </w:tcBorders>
                        <w:shd w:val="clear" w:color="auto" w:fill="auto"/>
                      </w:tcPr>
                      <w:p w:rsidR="009A7F87" w:rsidRDefault="009A7F87" w:rsidP="009A7F87">
                        <w:pPr>
                          <w:pStyle w:val="TableBodyText"/>
                          <w:jc w:val="center"/>
                        </w:pPr>
                        <w:r>
                          <w:t>105</w:t>
                        </w:r>
                      </w:p>
                    </w:tc>
                    <w:tc>
                      <w:tcPr>
                        <w:tcW w:w="357" w:type="pct"/>
                        <w:tcBorders>
                          <w:bottom w:val="nil"/>
                        </w:tcBorders>
                        <w:shd w:val="clear" w:color="auto" w:fill="auto"/>
                      </w:tcPr>
                      <w:p w:rsidR="009A7F87" w:rsidRDefault="009A7F87" w:rsidP="009A7F87">
                        <w:pPr>
                          <w:pStyle w:val="TableBodyText"/>
                          <w:jc w:val="center"/>
                        </w:pPr>
                        <w:r>
                          <w:t>106</w:t>
                        </w:r>
                      </w:p>
                    </w:tc>
                    <w:tc>
                      <w:tcPr>
                        <w:tcW w:w="387" w:type="pct"/>
                        <w:tcBorders>
                          <w:bottom w:val="nil"/>
                        </w:tcBorders>
                        <w:shd w:val="clear" w:color="auto" w:fill="auto"/>
                      </w:tcPr>
                      <w:p w:rsidR="009A7F87" w:rsidRDefault="009A7F87" w:rsidP="009A7F87">
                        <w:pPr>
                          <w:pStyle w:val="TableBodyText"/>
                          <w:jc w:val="center"/>
                        </w:pPr>
                        <w:r>
                          <w:t>120</w:t>
                        </w:r>
                      </w:p>
                    </w:tc>
                    <w:tc>
                      <w:tcPr>
                        <w:tcW w:w="72" w:type="pct"/>
                        <w:tcBorders>
                          <w:bottom w:val="nil"/>
                        </w:tcBorders>
                      </w:tcPr>
                      <w:p w:rsidR="009A7F87" w:rsidRDefault="009A7F87" w:rsidP="009A7F87">
                        <w:pPr>
                          <w:pStyle w:val="TableBodyText"/>
                          <w:jc w:val="center"/>
                        </w:pPr>
                      </w:p>
                    </w:tc>
                    <w:tc>
                      <w:tcPr>
                        <w:tcW w:w="283" w:type="pct"/>
                        <w:tcBorders>
                          <w:bottom w:val="nil"/>
                        </w:tcBorders>
                        <w:shd w:val="clear" w:color="auto" w:fill="auto"/>
                      </w:tcPr>
                      <w:p w:rsidR="009A7F87" w:rsidRDefault="009A7F87" w:rsidP="009A7F87">
                        <w:pPr>
                          <w:pStyle w:val="TableBodyText"/>
                          <w:jc w:val="center"/>
                        </w:pPr>
                        <w:r>
                          <w:t>195</w:t>
                        </w:r>
                      </w:p>
                    </w:tc>
                    <w:tc>
                      <w:tcPr>
                        <w:tcW w:w="349" w:type="pct"/>
                        <w:tcBorders>
                          <w:bottom w:val="nil"/>
                        </w:tcBorders>
                        <w:shd w:val="clear" w:color="auto" w:fill="auto"/>
                      </w:tcPr>
                      <w:p w:rsidR="009A7F87" w:rsidRDefault="009A7F87" w:rsidP="009A7F87">
                        <w:pPr>
                          <w:pStyle w:val="TableBodyText"/>
                          <w:ind w:right="28"/>
                          <w:jc w:val="center"/>
                        </w:pPr>
                        <w:r>
                          <w:t>210</w:t>
                        </w:r>
                      </w:p>
                    </w:tc>
                    <w:tc>
                      <w:tcPr>
                        <w:tcW w:w="255" w:type="pct"/>
                        <w:tcBorders>
                          <w:bottom w:val="nil"/>
                        </w:tcBorders>
                      </w:tcPr>
                      <w:p w:rsidR="009A7F87" w:rsidRDefault="009A7F87" w:rsidP="009A7F87">
                        <w:pPr>
                          <w:pStyle w:val="TableBodyText"/>
                          <w:ind w:right="28"/>
                          <w:jc w:val="center"/>
                        </w:pPr>
                        <w:r>
                          <w:t>220</w:t>
                        </w:r>
                      </w:p>
                    </w:tc>
                  </w:tr>
                </w:tbl>
                <w:p w:rsidR="009A7F87" w:rsidRDefault="009A7F87" w:rsidP="009A7F87">
                  <w:pPr>
                    <w:pStyle w:val="Box"/>
                  </w:pPr>
                </w:p>
              </w:tc>
            </w:tr>
            <w:tr w:rsidR="009A7F87" w:rsidTr="004556BF">
              <w:tc>
                <w:tcPr>
                  <w:tcW w:w="5000" w:type="pct"/>
                  <w:tcBorders>
                    <w:top w:val="nil"/>
                    <w:left w:val="nil"/>
                    <w:bottom w:val="single" w:sz="6" w:space="0" w:color="808080" w:themeColor="background1" w:themeShade="80"/>
                    <w:right w:val="nil"/>
                  </w:tcBorders>
                  <w:shd w:val="clear" w:color="auto" w:fill="auto"/>
                </w:tcPr>
                <w:p w:rsidR="009A7F87" w:rsidRDefault="009A7F87" w:rsidP="009A7F87">
                  <w:pPr>
                    <w:pStyle w:val="Box"/>
                    <w:spacing w:before="0" w:line="120" w:lineRule="exact"/>
                  </w:pPr>
                </w:p>
              </w:tc>
            </w:tr>
            <w:tr w:rsidR="009A7F87" w:rsidRPr="000863A5" w:rsidTr="004556BF">
              <w:tc>
                <w:tcPr>
                  <w:tcW w:w="5000" w:type="pct"/>
                  <w:tcBorders>
                    <w:top w:val="single" w:sz="6" w:space="0" w:color="808080" w:themeColor="background1" w:themeShade="80"/>
                    <w:left w:val="nil"/>
                    <w:bottom w:val="nil"/>
                    <w:right w:val="nil"/>
                  </w:tcBorders>
                </w:tcPr>
                <w:p w:rsidR="009A7F87" w:rsidRPr="00626D32" w:rsidRDefault="009A7F87" w:rsidP="009A7F87">
                  <w:pPr>
                    <w:pStyle w:val="BoxSpaceBelow"/>
                  </w:pPr>
                </w:p>
              </w:tc>
            </w:tr>
          </w:tbl>
          <w:p w:rsidR="009A7F87" w:rsidRPr="0091042F" w:rsidRDefault="009A7F87" w:rsidP="009A7F87">
            <w:pPr>
              <w:pStyle w:val="Box"/>
            </w:pPr>
          </w:p>
        </w:tc>
      </w:tr>
      <w:tr w:rsidR="009A7F87" w:rsidTr="009A7F87">
        <w:tc>
          <w:tcPr>
            <w:tcW w:w="5000" w:type="pct"/>
            <w:tcBorders>
              <w:top w:val="nil"/>
              <w:left w:val="nil"/>
              <w:bottom w:val="nil"/>
              <w:right w:val="nil"/>
            </w:tcBorders>
            <w:shd w:val="clear" w:color="auto" w:fill="F2F2F2"/>
          </w:tcPr>
          <w:p w:rsidR="009A7F87" w:rsidRPr="00E97D3E" w:rsidRDefault="009A7F87" w:rsidP="009A7F87">
            <w:pPr>
              <w:pStyle w:val="BoxSource"/>
              <w:jc w:val="right"/>
              <w:rPr>
                <w:szCs w:val="18"/>
              </w:rPr>
            </w:pPr>
            <w:r w:rsidRPr="00E97D3E">
              <w:rPr>
                <w:szCs w:val="18"/>
              </w:rPr>
              <w:t>(continued next page)</w:t>
            </w:r>
          </w:p>
        </w:tc>
      </w:tr>
      <w:tr w:rsidR="009A7F87" w:rsidTr="009A7F87">
        <w:tc>
          <w:tcPr>
            <w:tcW w:w="5000" w:type="pct"/>
            <w:tcBorders>
              <w:top w:val="nil"/>
              <w:left w:val="nil"/>
              <w:bottom w:val="single" w:sz="6" w:space="0" w:color="78A22F"/>
              <w:right w:val="nil"/>
            </w:tcBorders>
            <w:shd w:val="clear" w:color="auto" w:fill="F2F2F2"/>
          </w:tcPr>
          <w:p w:rsidR="009A7F87" w:rsidRDefault="009A7F87">
            <w:pPr>
              <w:pStyle w:val="Box"/>
              <w:spacing w:before="0" w:line="120" w:lineRule="exact"/>
            </w:pPr>
          </w:p>
        </w:tc>
      </w:tr>
      <w:tr w:rsidR="009A7F87" w:rsidRPr="000863A5" w:rsidTr="009A7F87">
        <w:tc>
          <w:tcPr>
            <w:tcW w:w="5000" w:type="pct"/>
            <w:tcBorders>
              <w:top w:val="single" w:sz="6" w:space="0" w:color="78A22F"/>
              <w:left w:val="nil"/>
              <w:bottom w:val="nil"/>
              <w:right w:val="nil"/>
            </w:tcBorders>
          </w:tcPr>
          <w:p w:rsidR="009A7F87" w:rsidRPr="00626D32" w:rsidRDefault="009A7F87" w:rsidP="009A7F87">
            <w:pPr>
              <w:pStyle w:val="BoxSpaceBelow"/>
            </w:pPr>
          </w:p>
        </w:tc>
      </w:tr>
    </w:tbl>
    <w:p w:rsidR="009A7F87" w:rsidRDefault="009A7F8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9A7F87" w:rsidTr="009A7F87">
        <w:tc>
          <w:tcPr>
            <w:tcW w:w="5000" w:type="pct"/>
            <w:tcBorders>
              <w:top w:val="single" w:sz="6" w:space="0" w:color="78A22F"/>
              <w:left w:val="nil"/>
              <w:bottom w:val="nil"/>
              <w:right w:val="nil"/>
            </w:tcBorders>
            <w:shd w:val="clear" w:color="auto" w:fill="F2F2F2"/>
          </w:tcPr>
          <w:p w:rsidR="009A7F87" w:rsidRDefault="009A7F87" w:rsidP="009A7F87">
            <w:pPr>
              <w:pStyle w:val="BoxTitle"/>
            </w:pPr>
            <w:r>
              <w:rPr>
                <w:b w:val="0"/>
              </w:rPr>
              <w:t>Box 8.2</w:t>
            </w:r>
            <w:r>
              <w:tab/>
            </w:r>
            <w:r w:rsidR="00E97D3E" w:rsidRPr="00E97D3E">
              <w:rPr>
                <w:sz w:val="18"/>
                <w:szCs w:val="18"/>
              </w:rPr>
              <w:t>(</w:t>
            </w:r>
            <w:r w:rsidRPr="00E97D3E">
              <w:rPr>
                <w:sz w:val="18"/>
                <w:szCs w:val="18"/>
              </w:rPr>
              <w:t>continued</w:t>
            </w:r>
            <w:r w:rsidR="00E97D3E" w:rsidRPr="00E97D3E">
              <w:rPr>
                <w:sz w:val="18"/>
                <w:szCs w:val="18"/>
              </w:rPr>
              <w:t>)</w:t>
            </w:r>
          </w:p>
        </w:tc>
      </w:tr>
      <w:tr w:rsidR="009A7F87" w:rsidTr="009A7F87">
        <w:tc>
          <w:tcPr>
            <w:tcW w:w="5000" w:type="pct"/>
            <w:tcBorders>
              <w:top w:val="nil"/>
              <w:left w:val="nil"/>
              <w:bottom w:val="nil"/>
              <w:right w:val="nil"/>
            </w:tcBorders>
            <w:shd w:val="clear" w:color="auto" w:fill="F2F2F2"/>
          </w:tcPr>
          <w:p w:rsidR="009A7F87" w:rsidRDefault="009A7F87" w:rsidP="009A7F87">
            <w:pPr>
              <w:pStyle w:val="Box"/>
              <w:spacing w:after="120"/>
            </w:pPr>
            <w:r>
              <w:rPr>
                <w:i/>
              </w:rPr>
              <w:t>Comparison</w:t>
            </w:r>
            <w:r>
              <w:t xml:space="preserve"> — </w:t>
            </w:r>
            <w:r w:rsidRPr="00770229">
              <w:t>the figure below compares the ‘what if’ and Monte Carlo</w:t>
            </w:r>
            <w:r w:rsidRPr="00770229">
              <w:rPr>
                <w:b/>
              </w:rPr>
              <w:t xml:space="preserve"> </w:t>
            </w:r>
            <w:r w:rsidRPr="00770229">
              <w:t>analysis results. The probability information incorporated into Monte Carlo analysis illustrates that while the extreme values of $98 million and $171 million are possible, they are far quite unlikely.</w:t>
            </w:r>
          </w:p>
          <w:tbl>
            <w:tblPr>
              <w:tblW w:w="4677" w:type="pct"/>
              <w:tblInd w:w="28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294"/>
            </w:tblGrid>
            <w:tr w:rsidR="009A7F87" w:rsidTr="009A7F87">
              <w:tc>
                <w:tcPr>
                  <w:tcW w:w="5000" w:type="pct"/>
                  <w:tcBorders>
                    <w:top w:val="single" w:sz="6" w:space="0" w:color="78A22F"/>
                    <w:left w:val="nil"/>
                    <w:bottom w:val="nil"/>
                    <w:right w:val="nil"/>
                  </w:tcBorders>
                  <w:shd w:val="clear" w:color="auto" w:fill="auto"/>
                </w:tcPr>
                <w:p w:rsidR="009A7F87" w:rsidRPr="00176D3F" w:rsidRDefault="009A7F87" w:rsidP="009A7F87">
                  <w:pPr>
                    <w:pStyle w:val="Subtitle"/>
                    <w:spacing w:after="0"/>
                  </w:pPr>
                </w:p>
              </w:tc>
            </w:tr>
            <w:tr w:rsidR="009A7F87" w:rsidRPr="00B1465D" w:rsidTr="009A7F87">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layout."/>
                  </w:tblPr>
                  <w:tblGrid>
                    <w:gridCol w:w="8010"/>
                  </w:tblGrid>
                  <w:tr w:rsidR="009A7F87" w:rsidRPr="00B1465D" w:rsidTr="009A7F87">
                    <w:trPr>
                      <w:tblHeader/>
                      <w:jc w:val="center"/>
                    </w:trPr>
                    <w:tc>
                      <w:tcPr>
                        <w:tcW w:w="5000" w:type="pct"/>
                        <w:tcBorders>
                          <w:top w:val="nil"/>
                          <w:bottom w:val="nil"/>
                        </w:tcBorders>
                      </w:tcPr>
                      <w:p w:rsidR="009A7F87" w:rsidRPr="00B1465D" w:rsidRDefault="009A7F87" w:rsidP="009A7F87">
                        <w:pPr>
                          <w:pStyle w:val="Figure"/>
                          <w:spacing w:before="60" w:after="60"/>
                          <w:rPr>
                            <w:rFonts w:ascii="Arial" w:hAnsi="Arial" w:cs="Arial"/>
                            <w:sz w:val="18"/>
                            <w:szCs w:val="18"/>
                          </w:rPr>
                        </w:pPr>
                        <w:r>
                          <w:rPr>
                            <w:noProof/>
                          </w:rPr>
                          <w:drawing>
                            <wp:inline distT="0" distB="0" distL="0" distR="0" wp14:anchorId="6F10F7DD" wp14:editId="7901C9C0">
                              <wp:extent cx="5086350" cy="2944495"/>
                              <wp:effectExtent l="0" t="0" r="0" b="0"/>
                              <wp:docPr id="6" name="Picture 5" descr="Figure in Box 8.2   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in Box 8.2   More details can be found within the text surrounding this image."/>
                                      <pic:cNvPicPr>
                                        <a:picLocks noChangeAspect="1" noChangeArrowheads="1"/>
                                      </pic:cNvPicPr>
                                    </pic:nvPicPr>
                                    <pic:blipFill>
                                      <a:blip r:embed="rId62" cstate="print">
                                        <a:extLst>
                                          <a:ext uri="{28A0092B-C50C-407E-A947-70E740481C1C}">
                                            <a14:useLocalDpi xmlns:a14="http://schemas.microsoft.com/office/drawing/2010/main" val="0"/>
                                          </a:ext>
                                        </a:extLst>
                                      </a:blip>
                                      <a:srcRect t="11980"/>
                                      <a:stretch>
                                        <a:fillRect/>
                                      </a:stretch>
                                    </pic:blipFill>
                                    <pic:spPr bwMode="auto">
                                      <a:xfrm>
                                        <a:off x="0" y="0"/>
                                        <a:ext cx="5086350" cy="2944495"/>
                                      </a:xfrm>
                                      <a:prstGeom prst="rect">
                                        <a:avLst/>
                                      </a:prstGeom>
                                      <a:noFill/>
                                      <a:ln>
                                        <a:noFill/>
                                      </a:ln>
                                    </pic:spPr>
                                  </pic:pic>
                                </a:graphicData>
                              </a:graphic>
                            </wp:inline>
                          </w:drawing>
                        </w:r>
                      </w:p>
                    </w:tc>
                  </w:tr>
                </w:tbl>
                <w:p w:rsidR="009A7F87" w:rsidRPr="00B1465D" w:rsidRDefault="009A7F87" w:rsidP="009A7F87">
                  <w:pPr>
                    <w:pStyle w:val="Figure"/>
                    <w:rPr>
                      <w:rFonts w:ascii="Arial" w:hAnsi="Arial" w:cs="Arial"/>
                      <w:sz w:val="18"/>
                      <w:szCs w:val="18"/>
                    </w:rPr>
                  </w:pPr>
                </w:p>
              </w:tc>
            </w:tr>
            <w:tr w:rsidR="009A7F87" w:rsidTr="009A7F87">
              <w:tc>
                <w:tcPr>
                  <w:tcW w:w="5000" w:type="pct"/>
                  <w:tcBorders>
                    <w:top w:val="nil"/>
                    <w:left w:val="nil"/>
                    <w:bottom w:val="single" w:sz="6" w:space="0" w:color="78A22F"/>
                    <w:right w:val="nil"/>
                  </w:tcBorders>
                  <w:shd w:val="clear" w:color="auto" w:fill="auto"/>
                </w:tcPr>
                <w:p w:rsidR="009A7F87" w:rsidRDefault="009A7F87" w:rsidP="009A7F87">
                  <w:pPr>
                    <w:pStyle w:val="Figurespace"/>
                  </w:pPr>
                </w:p>
              </w:tc>
            </w:tr>
            <w:tr w:rsidR="009A7F87" w:rsidRPr="000863A5" w:rsidTr="009A7F87">
              <w:tc>
                <w:tcPr>
                  <w:tcW w:w="5000" w:type="pct"/>
                  <w:tcBorders>
                    <w:top w:val="single" w:sz="6" w:space="0" w:color="78A22F"/>
                    <w:left w:val="nil"/>
                    <w:bottom w:val="nil"/>
                    <w:right w:val="nil"/>
                  </w:tcBorders>
                </w:tcPr>
                <w:p w:rsidR="009A7F87" w:rsidRPr="00626D32" w:rsidRDefault="009A7F87" w:rsidP="009A7F87">
                  <w:pPr>
                    <w:pStyle w:val="BoxSpaceBelow"/>
                  </w:pPr>
                </w:p>
              </w:tc>
            </w:tr>
          </w:tbl>
          <w:p w:rsidR="009A7F87" w:rsidRPr="0091042F" w:rsidRDefault="009A7F87" w:rsidP="009A7F87">
            <w:pPr>
              <w:pStyle w:val="Box"/>
            </w:pPr>
          </w:p>
        </w:tc>
      </w:tr>
      <w:tr w:rsidR="009A7F87" w:rsidTr="009A7F87">
        <w:tc>
          <w:tcPr>
            <w:tcW w:w="5000" w:type="pct"/>
            <w:tcBorders>
              <w:top w:val="nil"/>
              <w:left w:val="nil"/>
              <w:bottom w:val="nil"/>
              <w:right w:val="nil"/>
            </w:tcBorders>
            <w:shd w:val="clear" w:color="auto" w:fill="F2F2F2"/>
          </w:tcPr>
          <w:p w:rsidR="009A7F87" w:rsidRDefault="009A7F87" w:rsidP="009A7F87">
            <w:pPr>
              <w:pStyle w:val="BoxSource"/>
            </w:pPr>
            <w:r w:rsidRPr="00770229">
              <w:rPr>
                <w:rStyle w:val="NoteLabel"/>
              </w:rPr>
              <w:t>a</w:t>
            </w:r>
            <w:r>
              <w:rPr>
                <w:rStyle w:val="NoteLabel"/>
              </w:rPr>
              <w:t xml:space="preserve"> </w:t>
            </w:r>
            <w:r w:rsidRPr="00770229">
              <w:t>The number of possible scenarios is defined as (possible values</w:t>
            </w:r>
            <w:r>
              <w:t xml:space="preserve"> </w:t>
            </w:r>
            <w:r w:rsidRPr="00770229">
              <w:rPr>
                <w:vertAlign w:val="superscript"/>
              </w:rPr>
              <w:t>Proration factors</w:t>
            </w:r>
            <w:r w:rsidRPr="00770229">
              <w:t>)</w:t>
            </w:r>
            <w:r w:rsidRPr="00770229">
              <w:rPr>
                <w:vertAlign w:val="superscript"/>
              </w:rPr>
              <w:t>Services</w:t>
            </w:r>
            <w:r w:rsidRPr="00770229">
              <w:t xml:space="preserve">. For the example above </w:t>
            </w:r>
            <w:r>
              <w:t xml:space="preserve"> </w:t>
            </w:r>
            <w:r>
              <w:br/>
              <w:t xml:space="preserve">   </w:t>
            </w:r>
            <w:r w:rsidRPr="00770229">
              <w:t>this is (3</w:t>
            </w:r>
            <w:r w:rsidRPr="00770229">
              <w:rPr>
                <w:vertAlign w:val="superscript"/>
              </w:rPr>
              <w:t>3</w:t>
            </w:r>
            <w:r w:rsidRPr="00770229">
              <w:t>)</w:t>
            </w:r>
            <w:r w:rsidRPr="00770229">
              <w:rPr>
                <w:vertAlign w:val="superscript"/>
              </w:rPr>
              <w:t>3</w:t>
            </w:r>
            <w:r w:rsidRPr="00770229">
              <w:t xml:space="preserve"> = 19 683 possible ‘what if’ scenarios.</w:t>
            </w:r>
          </w:p>
        </w:tc>
      </w:tr>
      <w:tr w:rsidR="009A7F87" w:rsidTr="009A7F87">
        <w:tc>
          <w:tcPr>
            <w:tcW w:w="5000" w:type="pct"/>
            <w:tcBorders>
              <w:top w:val="nil"/>
              <w:left w:val="nil"/>
              <w:bottom w:val="single" w:sz="6" w:space="0" w:color="78A22F"/>
              <w:right w:val="nil"/>
            </w:tcBorders>
            <w:shd w:val="clear" w:color="auto" w:fill="F2F2F2"/>
          </w:tcPr>
          <w:p w:rsidR="009A7F87" w:rsidRDefault="009A7F87">
            <w:pPr>
              <w:pStyle w:val="Box"/>
              <w:spacing w:before="0" w:line="120" w:lineRule="exact"/>
            </w:pPr>
          </w:p>
        </w:tc>
      </w:tr>
      <w:tr w:rsidR="009A7F87" w:rsidRPr="000863A5" w:rsidTr="009A7F87">
        <w:tc>
          <w:tcPr>
            <w:tcW w:w="5000" w:type="pct"/>
            <w:tcBorders>
              <w:top w:val="single" w:sz="6" w:space="0" w:color="78A22F"/>
              <w:left w:val="nil"/>
              <w:bottom w:val="nil"/>
              <w:right w:val="nil"/>
            </w:tcBorders>
          </w:tcPr>
          <w:p w:rsidR="009A7F87" w:rsidRPr="00626D32" w:rsidRDefault="009A7F87" w:rsidP="009A7F87">
            <w:pPr>
              <w:pStyle w:val="BoxSpaceBelow"/>
            </w:pPr>
          </w:p>
        </w:tc>
      </w:tr>
    </w:tbl>
    <w:p w:rsidR="009A7F87" w:rsidRPr="003F57CD" w:rsidRDefault="009A7F87" w:rsidP="009A7F87">
      <w:pPr>
        <w:pStyle w:val="ListBullet"/>
        <w:spacing w:after="120"/>
      </w:pPr>
      <w:r>
        <w:rPr>
          <w:i/>
        </w:rPr>
        <w:t>Indigenous cost differential</w:t>
      </w:r>
      <w:r>
        <w:t xml:space="preserve"> — </w:t>
      </w:r>
      <w:r w:rsidRPr="00F91B73">
        <w:rPr>
          <w:szCs w:val="24"/>
        </w:rPr>
        <w:t>to account for the fact that the average cost of providing a government service to Aboriginal and Torres Strait Islander Australians may be more/less than the cost of providing the same service to non</w:t>
      </w:r>
      <w:r w:rsidRPr="00F91B73">
        <w:rPr>
          <w:szCs w:val="24"/>
        </w:rPr>
        <w:noBreakHyphen/>
        <w:t>Indigenous Australians.</w:t>
      </w:r>
    </w:p>
    <w:tbl>
      <w:tblPr>
        <w:tblW w:w="8460" w:type="dxa"/>
        <w:tblInd w:w="360" w:type="dxa"/>
        <w:tblCellMar>
          <w:left w:w="0" w:type="dxa"/>
          <w:right w:w="0" w:type="dxa"/>
        </w:tblCellMar>
        <w:tblLook w:val="01E0" w:firstRow="1" w:lastRow="1" w:firstColumn="1" w:lastColumn="1" w:noHBand="0" w:noVBand="0"/>
      </w:tblPr>
      <w:tblGrid>
        <w:gridCol w:w="1235"/>
        <w:gridCol w:w="510"/>
        <w:gridCol w:w="1275"/>
        <w:gridCol w:w="510"/>
        <w:gridCol w:w="935"/>
        <w:gridCol w:w="333"/>
        <w:gridCol w:w="1696"/>
        <w:gridCol w:w="333"/>
        <w:gridCol w:w="1093"/>
        <w:gridCol w:w="540"/>
      </w:tblGrid>
      <w:tr w:rsidR="009A7F87" w:rsidRPr="00F91B73" w:rsidTr="009A7F87">
        <w:tc>
          <w:tcPr>
            <w:tcW w:w="1235" w:type="dxa"/>
            <w:shd w:val="clear" w:color="auto" w:fill="auto"/>
            <w:vAlign w:val="center"/>
          </w:tcPr>
          <w:p w:rsidR="009A7F87" w:rsidRPr="00770229" w:rsidRDefault="009A7F87" w:rsidP="009A7F87">
            <w:pPr>
              <w:pStyle w:val="TableBodyText"/>
              <w:keepNext w:val="0"/>
              <w:jc w:val="center"/>
              <w:rPr>
                <w:i/>
              </w:rPr>
            </w:pPr>
            <w:r w:rsidRPr="00770229">
              <w:rPr>
                <w:i/>
              </w:rPr>
              <w:t xml:space="preserve">Indigenous </w:t>
            </w:r>
            <w:r w:rsidRPr="00770229">
              <w:rPr>
                <w:i/>
              </w:rPr>
              <w:br/>
              <w:t xml:space="preserve">mainstream </w:t>
            </w:r>
            <w:r w:rsidRPr="00770229">
              <w:rPr>
                <w:i/>
              </w:rPr>
              <w:br/>
              <w:t>expenditure</w:t>
            </w:r>
          </w:p>
        </w:tc>
        <w:tc>
          <w:tcPr>
            <w:tcW w:w="510" w:type="dxa"/>
            <w:shd w:val="clear" w:color="auto" w:fill="auto"/>
            <w:vAlign w:val="center"/>
          </w:tcPr>
          <w:p w:rsidR="009A7F87" w:rsidRPr="00770229" w:rsidRDefault="009A7F87" w:rsidP="009A7F87">
            <w:pPr>
              <w:pStyle w:val="TableBodyText"/>
              <w:keepNext w:val="0"/>
              <w:jc w:val="center"/>
              <w:rPr>
                <w:sz w:val="48"/>
                <w:szCs w:val="48"/>
              </w:rPr>
            </w:pPr>
            <w:r w:rsidRPr="00770229">
              <w:rPr>
                <w:sz w:val="48"/>
                <w:szCs w:val="48"/>
              </w:rPr>
              <w:t>=</w:t>
            </w:r>
          </w:p>
        </w:tc>
        <w:tc>
          <w:tcPr>
            <w:tcW w:w="1275" w:type="dxa"/>
            <w:shd w:val="clear" w:color="auto" w:fill="auto"/>
            <w:vAlign w:val="center"/>
          </w:tcPr>
          <w:p w:rsidR="009A7F87" w:rsidRPr="00770229" w:rsidRDefault="009A7F87" w:rsidP="009A7F87">
            <w:pPr>
              <w:pStyle w:val="TableBodyText"/>
              <w:keepNext w:val="0"/>
              <w:jc w:val="center"/>
            </w:pPr>
            <w:r w:rsidRPr="00770229">
              <w:rPr>
                <w:i/>
              </w:rPr>
              <w:t xml:space="preserve">Total </w:t>
            </w:r>
            <w:r w:rsidRPr="00770229">
              <w:rPr>
                <w:i/>
              </w:rPr>
              <w:br/>
              <w:t>mainstream</w:t>
            </w:r>
            <w:r w:rsidRPr="00770229">
              <w:rPr>
                <w:i/>
              </w:rPr>
              <w:br/>
              <w:t xml:space="preserve"> expenditure</w:t>
            </w:r>
          </w:p>
        </w:tc>
        <w:tc>
          <w:tcPr>
            <w:tcW w:w="510" w:type="dxa"/>
            <w:shd w:val="clear" w:color="auto" w:fill="auto"/>
            <w:vAlign w:val="center"/>
          </w:tcPr>
          <w:p w:rsidR="009A7F87" w:rsidRPr="00770229" w:rsidRDefault="009A7F87" w:rsidP="009A7F87">
            <w:pPr>
              <w:pStyle w:val="TableBodyText"/>
              <w:keepNext w:val="0"/>
              <w:jc w:val="center"/>
              <w:rPr>
                <w:sz w:val="48"/>
                <w:szCs w:val="48"/>
              </w:rPr>
            </w:pPr>
            <w:r w:rsidRPr="00770229">
              <w:rPr>
                <w:sz w:val="48"/>
                <w:szCs w:val="48"/>
              </w:rPr>
              <w:t>×</w:t>
            </w:r>
          </w:p>
        </w:tc>
        <w:tc>
          <w:tcPr>
            <w:tcW w:w="935" w:type="dxa"/>
            <w:shd w:val="clear" w:color="auto" w:fill="auto"/>
            <w:vAlign w:val="center"/>
          </w:tcPr>
          <w:p w:rsidR="009A7F87" w:rsidRPr="00770229" w:rsidRDefault="009A7F87" w:rsidP="009A7F87">
            <w:pPr>
              <w:pStyle w:val="TableBodyText"/>
              <w:keepNext w:val="0"/>
              <w:jc w:val="center"/>
            </w:pPr>
            <w:r w:rsidRPr="00770229">
              <w:rPr>
                <w:i/>
              </w:rPr>
              <w:t xml:space="preserve">Service </w:t>
            </w:r>
            <w:r w:rsidRPr="00770229">
              <w:rPr>
                <w:i/>
              </w:rPr>
              <w:br/>
              <w:t xml:space="preserve">use </w:t>
            </w:r>
            <w:r w:rsidRPr="00770229">
              <w:rPr>
                <w:i/>
              </w:rPr>
              <w:br/>
              <w:t>measure</w:t>
            </w:r>
          </w:p>
        </w:tc>
        <w:tc>
          <w:tcPr>
            <w:tcW w:w="333" w:type="dxa"/>
            <w:shd w:val="clear" w:color="auto" w:fill="auto"/>
            <w:vAlign w:val="center"/>
          </w:tcPr>
          <w:p w:rsidR="009A7F87" w:rsidRPr="00770229" w:rsidRDefault="009A7F87" w:rsidP="009A7F87">
            <w:pPr>
              <w:pStyle w:val="TableBodyText"/>
              <w:keepNext w:val="0"/>
              <w:ind w:right="0"/>
            </w:pPr>
            <w:r w:rsidRPr="00770229">
              <w:rPr>
                <w:sz w:val="48"/>
                <w:szCs w:val="48"/>
              </w:rPr>
              <w:t>×</w:t>
            </w:r>
          </w:p>
        </w:tc>
        <w:tc>
          <w:tcPr>
            <w:tcW w:w="1696" w:type="dxa"/>
            <w:shd w:val="clear" w:color="auto" w:fill="auto"/>
            <w:vAlign w:val="center"/>
          </w:tcPr>
          <w:p w:rsidR="009A7F87" w:rsidRPr="00770229" w:rsidRDefault="009A7F87" w:rsidP="009A7F87">
            <w:pPr>
              <w:pStyle w:val="TableBodyText"/>
              <w:keepNext w:val="0"/>
              <w:ind w:right="0"/>
              <w:jc w:val="center"/>
              <w:rPr>
                <w:sz w:val="48"/>
                <w:szCs w:val="48"/>
              </w:rPr>
            </w:pPr>
            <w:r w:rsidRPr="00770229">
              <w:rPr>
                <w:i/>
              </w:rPr>
              <w:t>Under</w:t>
            </w:r>
            <w:r w:rsidRPr="00770229">
              <w:rPr>
                <w:i/>
              </w:rPr>
              <w:br/>
            </w:r>
            <w:r>
              <w:rPr>
                <w:i/>
              </w:rPr>
              <w:noBreakHyphen/>
            </w:r>
            <w:r w:rsidRPr="00770229">
              <w:rPr>
                <w:i/>
              </w:rPr>
              <w:t>identification</w:t>
            </w:r>
          </w:p>
        </w:tc>
        <w:tc>
          <w:tcPr>
            <w:tcW w:w="333" w:type="dxa"/>
            <w:shd w:val="clear" w:color="auto" w:fill="auto"/>
            <w:vAlign w:val="center"/>
          </w:tcPr>
          <w:p w:rsidR="009A7F87" w:rsidRPr="00770229" w:rsidRDefault="009A7F87" w:rsidP="009A7F87">
            <w:pPr>
              <w:pStyle w:val="TableBodyText"/>
              <w:keepNext w:val="0"/>
              <w:ind w:right="0"/>
            </w:pPr>
            <w:r w:rsidRPr="00770229">
              <w:rPr>
                <w:sz w:val="48"/>
                <w:szCs w:val="48"/>
              </w:rPr>
              <w:t>×</w:t>
            </w:r>
          </w:p>
        </w:tc>
        <w:tc>
          <w:tcPr>
            <w:tcW w:w="1093" w:type="dxa"/>
            <w:shd w:val="clear" w:color="auto" w:fill="auto"/>
            <w:vAlign w:val="center"/>
          </w:tcPr>
          <w:p w:rsidR="009A7F87" w:rsidRPr="00770229" w:rsidRDefault="009A7F87" w:rsidP="009A7F87">
            <w:pPr>
              <w:pStyle w:val="TableBodyText"/>
              <w:keepNext w:val="0"/>
              <w:ind w:right="0"/>
              <w:jc w:val="center"/>
            </w:pPr>
            <w:r w:rsidRPr="00770229">
              <w:rPr>
                <w:i/>
              </w:rPr>
              <w:t>Cost differential</w:t>
            </w:r>
          </w:p>
        </w:tc>
        <w:tc>
          <w:tcPr>
            <w:tcW w:w="540" w:type="dxa"/>
            <w:shd w:val="clear" w:color="auto" w:fill="auto"/>
            <w:vAlign w:val="center"/>
          </w:tcPr>
          <w:p w:rsidR="009A7F87" w:rsidRPr="00597A34" w:rsidRDefault="009A7F87" w:rsidP="009A7F87">
            <w:pPr>
              <w:pStyle w:val="TableBodyText"/>
              <w:keepNext w:val="0"/>
              <w:ind w:right="0"/>
              <w:rPr>
                <w:rFonts w:ascii="Times New Roman" w:hAnsi="Times New Roman"/>
                <w:sz w:val="24"/>
                <w:szCs w:val="24"/>
              </w:rPr>
            </w:pPr>
            <w:r w:rsidRPr="00597A34">
              <w:rPr>
                <w:rFonts w:ascii="Times New Roman" w:hAnsi="Times New Roman"/>
                <w:sz w:val="24"/>
                <w:szCs w:val="24"/>
              </w:rPr>
              <w:t>[2]</w:t>
            </w:r>
          </w:p>
        </w:tc>
      </w:tr>
    </w:tbl>
    <w:p w:rsidR="009A7F87" w:rsidRPr="00F91B73" w:rsidRDefault="009A7F87" w:rsidP="009A7F87">
      <w:pPr>
        <w:pStyle w:val="BodyText"/>
        <w:rPr>
          <w:szCs w:val="24"/>
        </w:rPr>
      </w:pPr>
      <w:r w:rsidRPr="00F91B73">
        <w:rPr>
          <w:szCs w:val="24"/>
        </w:rPr>
        <w:t>The Monte Carlo analysis assumes that the total mainstream expenditure is known with certainty.</w:t>
      </w:r>
      <w:r w:rsidRPr="00F91B73">
        <w:rPr>
          <w:rStyle w:val="FootnoteReference"/>
          <w:szCs w:val="24"/>
        </w:rPr>
        <w:footnoteReference w:id="15"/>
      </w:r>
      <w:r w:rsidRPr="00F91B73">
        <w:rPr>
          <w:szCs w:val="24"/>
        </w:rPr>
        <w:t xml:space="preserve"> If the proration factors (the service use measure, Indigenous under</w:t>
      </w:r>
      <w:r w:rsidRPr="00F91B73">
        <w:rPr>
          <w:szCs w:val="24"/>
        </w:rPr>
        <w:noBreakHyphen/>
        <w:t xml:space="preserve">identification and Indigenous cost differential) are known with absolute certainty, there is no need for Monte Carlo analysis. </w:t>
      </w:r>
    </w:p>
    <w:p w:rsidR="009A7F87" w:rsidRPr="00F91B73" w:rsidRDefault="009A7F87" w:rsidP="009A7F87">
      <w:pPr>
        <w:pStyle w:val="BodyText"/>
        <w:rPr>
          <w:szCs w:val="24"/>
        </w:rPr>
      </w:pPr>
      <w:r w:rsidRPr="00F91B73">
        <w:rPr>
          <w:szCs w:val="24"/>
        </w:rPr>
        <w:lastRenderedPageBreak/>
        <w:t>Imperfect data (or the absence of data) mean that, in some cases, the values of the proration factors are estimates. While these data are the best available, the lack of knowledge regarding the precise value of the proration factors introduces uncertainty into the estimated Aboriginal and Torres Strait Islander share of expenditure.</w:t>
      </w:r>
    </w:p>
    <w:p w:rsidR="009A7F87" w:rsidRDefault="009A7F87" w:rsidP="009A7F87">
      <w:pPr>
        <w:pStyle w:val="BodyText"/>
        <w:rPr>
          <w:szCs w:val="24"/>
        </w:rPr>
      </w:pPr>
      <w:r w:rsidRPr="00F91B73">
        <w:rPr>
          <w:szCs w:val="24"/>
        </w:rPr>
        <w:t>Reliable data on proration factors can be limited for a number of reasons, including:</w:t>
      </w:r>
    </w:p>
    <w:p w:rsidR="009A7F87" w:rsidRPr="001106D6" w:rsidRDefault="009A7F87" w:rsidP="009A7F87">
      <w:pPr>
        <w:pStyle w:val="ListBullet"/>
      </w:pPr>
      <w:r>
        <w:rPr>
          <w:i/>
        </w:rPr>
        <w:t>mainstream services are broadly focused</w:t>
      </w:r>
      <w:r>
        <w:t xml:space="preserve"> — </w:t>
      </w:r>
      <w:r w:rsidRPr="00F91B73">
        <w:rPr>
          <w:szCs w:val="24"/>
        </w:rPr>
        <w:t>there might not be an imperative to collect information on Aboriginal and Torres Strait Islander services users where the service or programs are targeted at all Australians. As a consequence, government administrative systems do not necessarily record the number of Aboriginal and Torres Strait Islander users, or the cost of services to Aboriginal and Torres Strait Islander Australians</w:t>
      </w:r>
    </w:p>
    <w:p w:rsidR="009A7F87" w:rsidRPr="001106D6" w:rsidRDefault="009A7F87" w:rsidP="009A7F87">
      <w:pPr>
        <w:pStyle w:val="ListBullet"/>
      </w:pPr>
      <w:r>
        <w:rPr>
          <w:i/>
        </w:rPr>
        <w:t>some services are not directly targeted to individuals</w:t>
      </w:r>
      <w:r>
        <w:t xml:space="preserve"> — </w:t>
      </w:r>
      <w:r w:rsidRPr="00F91B73">
        <w:rPr>
          <w:szCs w:val="24"/>
        </w:rPr>
        <w:t>it is administratively more difficult to capture information on service recipients when the service targets the community (police services), families (some welfare services, community amenities) or people with a transient involvement with the service (some health services, some emergency services)</w:t>
      </w:r>
    </w:p>
    <w:p w:rsidR="009A7F87" w:rsidRPr="001106D6" w:rsidRDefault="009A7F87" w:rsidP="009A7F87">
      <w:pPr>
        <w:pStyle w:val="ListBullet"/>
      </w:pPr>
      <w:r>
        <w:rPr>
          <w:i/>
        </w:rPr>
        <w:t>information on Aboriginal and Torres Strait Islander service users might not be a priority</w:t>
      </w:r>
      <w:r>
        <w:t xml:space="preserve"> — </w:t>
      </w:r>
      <w:r w:rsidRPr="00F91B73">
        <w:rPr>
          <w:szCs w:val="24"/>
        </w:rPr>
        <w:t>where information is collected, the quality of the Aboriginal and Torres Strait Islander data can be poor as the imperatives for collecting high quality data may not be apparent to those delivering the service</w:t>
      </w:r>
    </w:p>
    <w:p w:rsidR="009A7F87" w:rsidRPr="001106D6" w:rsidRDefault="009A7F87" w:rsidP="009A7F87">
      <w:pPr>
        <w:pStyle w:val="ListBullet"/>
      </w:pPr>
      <w:r>
        <w:rPr>
          <w:i/>
        </w:rPr>
        <w:t>reliable survey information can be difficult to obtain</w:t>
      </w:r>
      <w:r>
        <w:t xml:space="preserve"> — </w:t>
      </w:r>
      <w:r w:rsidRPr="00F91B73">
        <w:rPr>
          <w:szCs w:val="24"/>
        </w:rPr>
        <w:t>supplementary statistical collections provide an alternative to administrative data collections, but also have limitations (and costs). Where the Aboriginal and Torres Strait Islander population is small, it is more difficult to collect high quality statistics as:</w:t>
      </w:r>
    </w:p>
    <w:p w:rsidR="009A7F87" w:rsidRPr="00F91B73" w:rsidRDefault="009A7F87" w:rsidP="009A7F87">
      <w:pPr>
        <w:pStyle w:val="ListBullet2"/>
        <w:spacing w:line="320" w:lineRule="atLeast"/>
        <w:rPr>
          <w:szCs w:val="24"/>
        </w:rPr>
      </w:pPr>
      <w:r w:rsidRPr="00F91B73">
        <w:rPr>
          <w:szCs w:val="24"/>
        </w:rPr>
        <w:t>service providers may be less attuned to collecting Indigenous statistics</w:t>
      </w:r>
    </w:p>
    <w:p w:rsidR="009A7F87" w:rsidRPr="001106D6" w:rsidRDefault="009A7F87" w:rsidP="009A7F87">
      <w:pPr>
        <w:pStyle w:val="ListBullet2"/>
      </w:pPr>
      <w:r w:rsidRPr="00F91B73">
        <w:rPr>
          <w:szCs w:val="24"/>
        </w:rPr>
        <w:t>sample surveys are less likely to produce reliable Indigenous estimates, unless they have been specifically designed to do so.</w:t>
      </w:r>
    </w:p>
    <w:p w:rsidR="009A7F87" w:rsidRDefault="009A7F87" w:rsidP="009A7F87">
      <w:pPr>
        <w:pStyle w:val="BodyText"/>
        <w:rPr>
          <w:szCs w:val="24"/>
        </w:rPr>
      </w:pPr>
      <w:r w:rsidRPr="00F91B73">
        <w:rPr>
          <w:szCs w:val="24"/>
        </w:rPr>
        <w:t>A more detailed analysis of the material sources of uncertainty (those that have a significant impact on the reliability of the expenditure estimates) will be important for prioritising areas for improvement.</w:t>
      </w:r>
    </w:p>
    <w:p w:rsidR="009A7F87" w:rsidRDefault="009A7F87" w:rsidP="009A7F87">
      <w:pPr>
        <w:pStyle w:val="Heading2"/>
      </w:pPr>
      <w:r>
        <w:t>8.</w:t>
      </w:r>
      <w:r>
        <w:rPr>
          <w:noProof/>
        </w:rPr>
        <w:t>3</w:t>
      </w:r>
      <w:r w:rsidRPr="001106D6">
        <w:tab/>
      </w:r>
      <w:r>
        <w:t>Limitations of sensitivity analysis</w:t>
      </w:r>
    </w:p>
    <w:p w:rsidR="009A7F87" w:rsidRDefault="009A7F87" w:rsidP="009A7F87">
      <w:pPr>
        <w:pStyle w:val="Heading4"/>
        <w:rPr>
          <w:b/>
        </w:rPr>
      </w:pPr>
      <w:r>
        <w:rPr>
          <w:b/>
        </w:rPr>
        <w:t>Sensitivity analysis cannot identify unknown errors in data or model specification</w:t>
      </w:r>
    </w:p>
    <w:p w:rsidR="009A7F87" w:rsidRDefault="009A7F87" w:rsidP="009A7F87">
      <w:pPr>
        <w:pStyle w:val="BodyText"/>
        <w:rPr>
          <w:szCs w:val="24"/>
        </w:rPr>
      </w:pPr>
      <w:r w:rsidRPr="00F91B73">
        <w:rPr>
          <w:szCs w:val="24"/>
        </w:rPr>
        <w:t>Sensitivity analysis can be used to assess the range of possible outcomes for estimates using the Indigenous Expenditure Report proration method. However, it cannot identify uncertainty associated with:</w:t>
      </w:r>
    </w:p>
    <w:p w:rsidR="009A7F87" w:rsidRPr="001106D6" w:rsidRDefault="009A7F87" w:rsidP="009A7F87">
      <w:pPr>
        <w:pStyle w:val="ListBullet"/>
      </w:pPr>
      <w:r>
        <w:rPr>
          <w:i/>
        </w:rPr>
        <w:lastRenderedPageBreak/>
        <w:t>incorrectly specified estimation model</w:t>
      </w:r>
      <w:r>
        <w:t xml:space="preserve"> — </w:t>
      </w:r>
      <w:r w:rsidRPr="00F91B73">
        <w:rPr>
          <w:szCs w:val="24"/>
        </w:rPr>
        <w:t>sensitivity analysis cannot be used to identify whether one service use measure should be used over another, or whether the proration method itself is sound.</w:t>
      </w:r>
    </w:p>
    <w:p w:rsidR="009A7F87" w:rsidRPr="001106D6" w:rsidRDefault="009A7F87" w:rsidP="009A7F87">
      <w:pPr>
        <w:pStyle w:val="ListBullet"/>
      </w:pPr>
      <w:r>
        <w:rPr>
          <w:i/>
        </w:rPr>
        <w:t>unknown data errors</w:t>
      </w:r>
      <w:r>
        <w:t xml:space="preserve"> — </w:t>
      </w:r>
      <w:r w:rsidRPr="00F91B73">
        <w:rPr>
          <w:szCs w:val="24"/>
        </w:rPr>
        <w:t>sensitivity analysis cannot be used to identify incorrect choice of data sources, data coding and allocation errors or unknown variations in the data.</w:t>
      </w:r>
    </w:p>
    <w:p w:rsidR="009A7F87" w:rsidRDefault="009A7F87" w:rsidP="009A7F87">
      <w:pPr>
        <w:pStyle w:val="ListBullet"/>
        <w:numPr>
          <w:ilvl w:val="0"/>
          <w:numId w:val="0"/>
        </w:numPr>
        <w:ind w:left="340"/>
        <w:rPr>
          <w:szCs w:val="24"/>
        </w:rPr>
      </w:pPr>
      <w:r w:rsidRPr="00F91B73">
        <w:rPr>
          <w:szCs w:val="24"/>
        </w:rPr>
        <w:t>Sensitivity analysis assumes that the data are correct and accurate except for the information provided for each proration factor.</w:t>
      </w:r>
    </w:p>
    <w:p w:rsidR="009A7F87" w:rsidRPr="001106D6" w:rsidRDefault="009A7F87" w:rsidP="009A7F87">
      <w:pPr>
        <w:pStyle w:val="BodyText"/>
      </w:pPr>
      <w:r w:rsidRPr="00F91B73">
        <w:rPr>
          <w:szCs w:val="24"/>
        </w:rPr>
        <w:t>The Indigenous Expenditure Report method addresses these issues by engaging a wide</w:t>
      </w:r>
      <w:r>
        <w:rPr>
          <w:szCs w:val="24"/>
        </w:rPr>
        <w:noBreakHyphen/>
      </w:r>
      <w:r w:rsidRPr="00F91B73">
        <w:rPr>
          <w:szCs w:val="24"/>
        </w:rPr>
        <w:t>range of data and service delivery specialists in the development and specification of the estimation framework. The method also places a high priority on identifying areas and strategies for continual improvement in order to minimise errors in the current report and/or improve processes for future reports.</w:t>
      </w:r>
    </w:p>
    <w:p w:rsidR="009A7F87" w:rsidRDefault="009A7F87" w:rsidP="009A7F87">
      <w:pPr>
        <w:pStyle w:val="Heading2"/>
      </w:pPr>
      <w:r>
        <w:t>8.</w:t>
      </w:r>
      <w:r>
        <w:rPr>
          <w:noProof/>
        </w:rPr>
        <w:t>4</w:t>
      </w:r>
      <w:r>
        <w:tab/>
        <w:t>Qualitative description of uncertainty</w:t>
      </w:r>
    </w:p>
    <w:p w:rsidR="009A7F87" w:rsidRPr="00F91B73" w:rsidRDefault="009A7F87" w:rsidP="009A7F87">
      <w:pPr>
        <w:pStyle w:val="BodyText"/>
        <w:rPr>
          <w:szCs w:val="24"/>
        </w:rPr>
      </w:pPr>
      <w:r>
        <w:rPr>
          <w:szCs w:val="24"/>
        </w:rPr>
        <w:t xml:space="preserve">The </w:t>
      </w:r>
      <w:r w:rsidRPr="00F91B73">
        <w:rPr>
          <w:szCs w:val="24"/>
        </w:rPr>
        <w:t xml:space="preserve">ABS </w:t>
      </w:r>
      <w:r w:rsidRPr="00F91B73">
        <w:rPr>
          <w:i/>
          <w:szCs w:val="24"/>
        </w:rPr>
        <w:t>Data Quality Framework</w:t>
      </w:r>
      <w:r w:rsidRPr="00F91B73">
        <w:rPr>
          <w:szCs w:val="24"/>
        </w:rPr>
        <w:t xml:space="preserve"> </w:t>
      </w:r>
      <w:r>
        <w:rPr>
          <w:szCs w:val="24"/>
        </w:rPr>
        <w:t xml:space="preserve">has been used </w:t>
      </w:r>
      <w:r w:rsidRPr="00F91B73">
        <w:rPr>
          <w:szCs w:val="24"/>
        </w:rPr>
        <w:t xml:space="preserve">to </w:t>
      </w:r>
      <w:r>
        <w:rPr>
          <w:szCs w:val="24"/>
        </w:rPr>
        <w:t>assess</w:t>
      </w:r>
      <w:r w:rsidRPr="00F91B73">
        <w:rPr>
          <w:szCs w:val="24"/>
        </w:rPr>
        <w:t xml:space="preserve"> the level of uncertainty associated with the data that underpin the expenditure estimates.</w:t>
      </w:r>
    </w:p>
    <w:p w:rsidR="009A7F87" w:rsidRDefault="009A7F87" w:rsidP="009A7F87">
      <w:pPr>
        <w:pStyle w:val="BodyText"/>
        <w:rPr>
          <w:szCs w:val="24"/>
        </w:rPr>
      </w:pPr>
      <w:r w:rsidRPr="00F91B73">
        <w:rPr>
          <w:szCs w:val="24"/>
        </w:rPr>
        <w:t xml:space="preserve">The ABS </w:t>
      </w:r>
      <w:r w:rsidRPr="00F91B73">
        <w:rPr>
          <w:i/>
          <w:szCs w:val="24"/>
        </w:rPr>
        <w:t>Data Quality Framework</w:t>
      </w:r>
      <w:r w:rsidRPr="00F91B73">
        <w:rPr>
          <w:szCs w:val="24"/>
        </w:rPr>
        <w:t xml:space="preserve"> is a general framework to enable a qualitative assessment of the quality of statistical data. The framework describes seven dimensions of quality:</w:t>
      </w:r>
    </w:p>
    <w:p w:rsidR="009A7F87" w:rsidRPr="001106D6" w:rsidRDefault="009A7F87" w:rsidP="009A7F87">
      <w:pPr>
        <w:pStyle w:val="ListBullet"/>
      </w:pPr>
      <w:r>
        <w:rPr>
          <w:i/>
        </w:rPr>
        <w:t>institutional environment</w:t>
      </w:r>
      <w:r>
        <w:t xml:space="preserve"> — </w:t>
      </w:r>
      <w:r w:rsidRPr="00F91B73">
        <w:rPr>
          <w:szCs w:val="24"/>
        </w:rPr>
        <w:t>institutional and organisational factors which may have a significant influence on the effectiveness and credibility of the agency producing the statistics</w:t>
      </w:r>
    </w:p>
    <w:p w:rsidR="009A7F87" w:rsidRPr="001106D6" w:rsidRDefault="009A7F87" w:rsidP="009A7F87">
      <w:pPr>
        <w:pStyle w:val="ListBullet"/>
      </w:pPr>
      <w:r>
        <w:rPr>
          <w:i/>
        </w:rPr>
        <w:t>relevance</w:t>
      </w:r>
      <w:r>
        <w:t xml:space="preserve"> — </w:t>
      </w:r>
      <w:r w:rsidRPr="00F91B73">
        <w:rPr>
          <w:szCs w:val="24"/>
        </w:rPr>
        <w:t>how well the statistical product or release meets the needs of users in terms of the concept(s) measured, and the population(s) represented</w:t>
      </w:r>
    </w:p>
    <w:p w:rsidR="009A7F87" w:rsidRPr="001106D6" w:rsidRDefault="009A7F87" w:rsidP="009A7F87">
      <w:pPr>
        <w:pStyle w:val="ListBullet"/>
      </w:pPr>
      <w:r>
        <w:rPr>
          <w:i/>
        </w:rPr>
        <w:t>timeliness</w:t>
      </w:r>
      <w:r>
        <w:t xml:space="preserve"> — </w:t>
      </w:r>
      <w:r w:rsidRPr="00F91B73">
        <w:rPr>
          <w:szCs w:val="24"/>
        </w:rPr>
        <w:t>the delay between the reference period and the date at which the data become available</w:t>
      </w:r>
    </w:p>
    <w:p w:rsidR="009A7F87" w:rsidRPr="001106D6" w:rsidRDefault="009A7F87" w:rsidP="009A7F87">
      <w:pPr>
        <w:pStyle w:val="ListBullet"/>
      </w:pPr>
      <w:r>
        <w:rPr>
          <w:i/>
        </w:rPr>
        <w:t>accuracy</w:t>
      </w:r>
      <w:r>
        <w:t xml:space="preserve"> — </w:t>
      </w:r>
      <w:r w:rsidRPr="00F91B73">
        <w:rPr>
          <w:szCs w:val="24"/>
        </w:rPr>
        <w:t>the degree to which the data correctly describe the phenomenon they were designed to measure</w:t>
      </w:r>
    </w:p>
    <w:p w:rsidR="009A7F87" w:rsidRPr="001106D6" w:rsidRDefault="009A7F87" w:rsidP="009A7F87">
      <w:pPr>
        <w:pStyle w:val="ListBullet"/>
      </w:pPr>
      <w:r>
        <w:rPr>
          <w:i/>
        </w:rPr>
        <w:t>coherence</w:t>
      </w:r>
      <w:r>
        <w:t xml:space="preserve"> — </w:t>
      </w:r>
      <w:r w:rsidRPr="00F91B73">
        <w:rPr>
          <w:szCs w:val="24"/>
        </w:rPr>
        <w:t>the internal consistency of a statistical collection, product or release, as well as its comparability with other sources of information, within a broad analytical framework and over time</w:t>
      </w:r>
    </w:p>
    <w:p w:rsidR="009A7F87" w:rsidRPr="001106D6" w:rsidRDefault="009A7F87" w:rsidP="009A7F87">
      <w:pPr>
        <w:pStyle w:val="ListBullet"/>
      </w:pPr>
      <w:r>
        <w:rPr>
          <w:i/>
        </w:rPr>
        <w:t>interpretability</w:t>
      </w:r>
      <w:r>
        <w:t xml:space="preserve"> — </w:t>
      </w:r>
      <w:r w:rsidRPr="00F91B73">
        <w:rPr>
          <w:szCs w:val="24"/>
        </w:rPr>
        <w:t>the availability of information to help provide insight into the data</w:t>
      </w:r>
    </w:p>
    <w:p w:rsidR="009A7F87" w:rsidRPr="001106D6" w:rsidRDefault="009A7F87" w:rsidP="009A7F87">
      <w:pPr>
        <w:pStyle w:val="ListBullet"/>
      </w:pPr>
      <w:r>
        <w:rPr>
          <w:i/>
        </w:rPr>
        <w:t>accessibility</w:t>
      </w:r>
      <w:r>
        <w:t xml:space="preserve"> — </w:t>
      </w:r>
      <w:r w:rsidRPr="00F91B73">
        <w:rPr>
          <w:szCs w:val="24"/>
        </w:rPr>
        <w:t>the ease of access to data by users.</w:t>
      </w:r>
    </w:p>
    <w:p w:rsidR="009A7F87" w:rsidRPr="00F91B73" w:rsidRDefault="009A7F87" w:rsidP="009A7F87">
      <w:pPr>
        <w:pStyle w:val="BodyText"/>
      </w:pPr>
      <w:r w:rsidRPr="00F91B73">
        <w:t xml:space="preserve">The ABS advises that all seven dimensions should be included for the purpose of quality assessment and reporting. However, the seven dimensions are not necessarily equally </w:t>
      </w:r>
      <w:r w:rsidRPr="00F91B73">
        <w:lastRenderedPageBreak/>
        <w:t>weighted, as the importance of each dimension may vary depending on the data source and context.</w:t>
      </w:r>
      <w:r w:rsidRPr="00F91B73">
        <w:rPr>
          <w:rFonts w:ascii="Arial" w:hAnsi="Arial" w:cs="Arial"/>
        </w:rPr>
        <w:t xml:space="preserve"> </w:t>
      </w:r>
    </w:p>
    <w:p w:rsidR="009A7F87" w:rsidRPr="00F91B73" w:rsidRDefault="009A7F87" w:rsidP="009A7F87">
      <w:pPr>
        <w:pStyle w:val="BodyText"/>
      </w:pPr>
      <w:r w:rsidRPr="00F91B73">
        <w:t xml:space="preserve">Further information on the data quality framework can be found in the ABS </w:t>
      </w:r>
      <w:r w:rsidRPr="00F91B73">
        <w:rPr>
          <w:i/>
        </w:rPr>
        <w:t>Data Quality Framework, May 2009</w:t>
      </w:r>
      <w:r w:rsidRPr="00F91B73">
        <w:t xml:space="preserve"> documentation.</w:t>
      </w:r>
      <w:r w:rsidRPr="00F91B73">
        <w:rPr>
          <w:rStyle w:val="FootnoteReference"/>
          <w:szCs w:val="24"/>
        </w:rPr>
        <w:footnoteReference w:id="16"/>
      </w:r>
    </w:p>
    <w:p w:rsidR="009A7F87" w:rsidRDefault="009A7F87" w:rsidP="009A7F87">
      <w:pPr>
        <w:pStyle w:val="Heading4"/>
        <w:rPr>
          <w:b/>
        </w:rPr>
      </w:pPr>
      <w:r>
        <w:rPr>
          <w:b/>
        </w:rPr>
        <w:t>Appropriateness of service use measures and data sources</w:t>
      </w:r>
    </w:p>
    <w:p w:rsidR="009A7F87" w:rsidRDefault="009A7F87" w:rsidP="009A7F87">
      <w:pPr>
        <w:pStyle w:val="BodyText"/>
        <w:rPr>
          <w:szCs w:val="24"/>
        </w:rPr>
      </w:pPr>
      <w:r w:rsidRPr="00F91B73">
        <w:rPr>
          <w:szCs w:val="24"/>
        </w:rPr>
        <w:t>The Indigenous Expenditure Report prorates mainstream expenditure between Aboriginal and Torres Strait Islander and non</w:t>
      </w:r>
      <w:r>
        <w:rPr>
          <w:szCs w:val="24"/>
        </w:rPr>
        <w:noBreakHyphen/>
      </w:r>
      <w:r w:rsidRPr="00F91B73">
        <w:rPr>
          <w:szCs w:val="24"/>
        </w:rPr>
        <w:t>Indigenous Australians using service use measures. Therefore, the quality of the estimates depends on the selection of appropriate service use measures (as proxies for the cost drivers) and relevant, good quality, data sources.</w:t>
      </w:r>
    </w:p>
    <w:p w:rsidR="009A7F87" w:rsidRDefault="009A7F87" w:rsidP="009A7F87">
      <w:pPr>
        <w:pStyle w:val="BodyText"/>
        <w:rPr>
          <w:szCs w:val="24"/>
        </w:rPr>
      </w:pPr>
      <w:r>
        <w:rPr>
          <w:szCs w:val="24"/>
        </w:rPr>
        <w:t>T</w:t>
      </w:r>
      <w:r w:rsidRPr="00F91B73">
        <w:rPr>
          <w:szCs w:val="24"/>
        </w:rPr>
        <w:t xml:space="preserve">he reliability of estimates for all published expenditure categories </w:t>
      </w:r>
      <w:r>
        <w:rPr>
          <w:szCs w:val="24"/>
        </w:rPr>
        <w:t>has been examined in relation to</w:t>
      </w:r>
      <w:r w:rsidRPr="00F91B73">
        <w:rPr>
          <w:szCs w:val="24"/>
        </w:rPr>
        <w:t>:</w:t>
      </w:r>
    </w:p>
    <w:p w:rsidR="009A7F87" w:rsidRPr="000950EA" w:rsidRDefault="009A7F87" w:rsidP="009A7F87">
      <w:pPr>
        <w:pStyle w:val="ListNumber"/>
      </w:pPr>
      <w:r w:rsidRPr="00F91B73">
        <w:rPr>
          <w:szCs w:val="24"/>
        </w:rPr>
        <w:t>appropriateness</w:t>
      </w:r>
      <w:r w:rsidRPr="00F91B73">
        <w:rPr>
          <w:i/>
          <w:szCs w:val="24"/>
        </w:rPr>
        <w:t xml:space="preserve"> of each service use measure</w:t>
      </w:r>
      <w:r w:rsidRPr="00F91B73">
        <w:rPr>
          <w:szCs w:val="24"/>
        </w:rPr>
        <w:t xml:space="preserve"> — how well the service use measure for each expenditure category represents the link between service use and cost. The assessment of the appropriateness of service use measures was based on the strength of the link between the service use measure and the service costs. That is, whether the measure of service use provides a good proxy for the distribution of costs (expenditure) among service users (in particular, Aboriginal and Torres Strait Islander users).</w:t>
      </w:r>
    </w:p>
    <w:p w:rsidR="009A7F87" w:rsidRPr="000950EA" w:rsidRDefault="009A7F87" w:rsidP="009A7F87">
      <w:pPr>
        <w:pStyle w:val="ListNumber"/>
      </w:pPr>
      <w:r w:rsidRPr="00F91B73">
        <w:rPr>
          <w:i/>
          <w:szCs w:val="24"/>
        </w:rPr>
        <w:t>quality of the service use measure data source</w:t>
      </w:r>
      <w:r w:rsidRPr="00F91B73">
        <w:rPr>
          <w:szCs w:val="24"/>
        </w:rPr>
        <w:t xml:space="preserve"> — does the data source provide good quality estimates of the service use measure, including Indigenous identification.</w:t>
      </w:r>
    </w:p>
    <w:p w:rsidR="009A7F87" w:rsidRDefault="009A7F87" w:rsidP="009A7F87">
      <w:pPr>
        <w:pStyle w:val="BodyText"/>
        <w:rPr>
          <w:szCs w:val="24"/>
        </w:rPr>
      </w:pPr>
      <w:r w:rsidRPr="00626969">
        <w:rPr>
          <w:szCs w:val="24"/>
        </w:rPr>
        <w:t xml:space="preserve">The 2014 Report </w:t>
      </w:r>
      <w:r w:rsidRPr="00626969">
        <w:rPr>
          <w:i/>
          <w:szCs w:val="24"/>
        </w:rPr>
        <w:t>Service Use Measure Definitions Manual</w:t>
      </w:r>
      <w:r w:rsidRPr="00626969">
        <w:rPr>
          <w:szCs w:val="24"/>
        </w:rPr>
        <w:t xml:space="preserve"> (http://www.pc.gov.au/</w:t>
      </w:r>
      <w:r>
        <w:rPr>
          <w:szCs w:val="24"/>
        </w:rPr>
        <w:br/>
      </w:r>
      <w:r w:rsidRPr="00626969">
        <w:rPr>
          <w:szCs w:val="24"/>
        </w:rPr>
        <w:t>research/recurring/</w:t>
      </w:r>
      <w:proofErr w:type="spellStart"/>
      <w:r w:rsidRPr="00626969">
        <w:rPr>
          <w:szCs w:val="24"/>
        </w:rPr>
        <w:t>ier</w:t>
      </w:r>
      <w:proofErr w:type="spellEnd"/>
      <w:r w:rsidRPr="00626969">
        <w:rPr>
          <w:szCs w:val="24"/>
        </w:rPr>
        <w:t>/indigenous-expenditure-report-2014) includes additional information on data quality assessment for the Report (Appendix D), and reliability of estimates (Appendix E). While some of the material in that manual specifically addressed the 2014</w:t>
      </w:r>
      <w:r>
        <w:rPr>
          <w:szCs w:val="24"/>
        </w:rPr>
        <w:t> </w:t>
      </w:r>
      <w:r w:rsidRPr="00626969">
        <w:rPr>
          <w:szCs w:val="24"/>
        </w:rPr>
        <w:t xml:space="preserve">Report, much of the general discussion is applicable to </w:t>
      </w:r>
      <w:r>
        <w:rPr>
          <w:szCs w:val="24"/>
        </w:rPr>
        <w:t>this</w:t>
      </w:r>
      <w:r w:rsidRPr="00626969">
        <w:rPr>
          <w:szCs w:val="24"/>
        </w:rPr>
        <w:t xml:space="preserve"> edition.</w:t>
      </w:r>
    </w:p>
    <w:p w:rsidR="009A7F87" w:rsidRDefault="009A7F87" w:rsidP="009A7F87">
      <w:pPr>
        <w:pStyle w:val="Heading4"/>
        <w:rPr>
          <w:b/>
        </w:rPr>
      </w:pPr>
      <w:r>
        <w:rPr>
          <w:b/>
        </w:rPr>
        <w:t>The role of continual improvement</w:t>
      </w:r>
    </w:p>
    <w:p w:rsidR="009A7F87" w:rsidRPr="000950EA" w:rsidRDefault="009A7F87" w:rsidP="009A7F87">
      <w:pPr>
        <w:pStyle w:val="BodyText"/>
      </w:pPr>
      <w:r w:rsidRPr="00F91B73">
        <w:rPr>
          <w:szCs w:val="24"/>
        </w:rPr>
        <w:t>Sensitivity analysis can help identify which proration factors contribute the most to uncertainty. The Indigenous Expenditure Report Working Group will use this information to help develop the Indigenous Expenditure Report annual work plan. The work plan will identify the key sources of uncertainty and target these for data quality improvements.</w:t>
      </w:r>
    </w:p>
    <w:p w:rsidR="009A7F87" w:rsidRPr="001106D6" w:rsidRDefault="009A7F87" w:rsidP="009A7F87">
      <w:pPr>
        <w:pStyle w:val="BodyText"/>
      </w:pPr>
    </w:p>
    <w:p w:rsidR="009A7F87" w:rsidRPr="001C1DAE" w:rsidRDefault="009A7F87" w:rsidP="009A7F87">
      <w:pPr>
        <w:pStyle w:val="BodyText"/>
      </w:pPr>
    </w:p>
    <w:p w:rsidR="009A7F87" w:rsidRDefault="009A7F87" w:rsidP="009A7F87">
      <w:pPr>
        <w:sectPr w:rsidR="009A7F87" w:rsidSect="009A7F87">
          <w:headerReference w:type="even" r:id="rId63"/>
          <w:headerReference w:type="default" r:id="rId64"/>
          <w:footerReference w:type="even" r:id="rId65"/>
          <w:footerReference w:type="default" r:id="rId66"/>
          <w:footnotePr>
            <w:numRestart w:val="eachSect"/>
          </w:footnotePr>
          <w:type w:val="oddPage"/>
          <w:pgSz w:w="11907" w:h="16840" w:code="9"/>
          <w:pgMar w:top="1985" w:right="1304" w:bottom="1247" w:left="1814" w:header="1701" w:footer="397" w:gutter="0"/>
          <w:pgNumType w:chapSep="period"/>
          <w:cols w:space="720"/>
          <w:docGrid w:linePitch="326"/>
        </w:sectPr>
      </w:pPr>
    </w:p>
    <w:p w:rsidR="009A7F87" w:rsidRDefault="009A7F87" w:rsidP="009A7F87">
      <w:pPr>
        <w:pStyle w:val="Chapter"/>
        <w:ind w:left="907" w:hanging="907"/>
      </w:pPr>
      <w:bookmarkStart w:id="26" w:name="_AppendixNotByChapter"/>
      <w:bookmarkEnd w:id="26"/>
      <w:r>
        <w:lastRenderedPageBreak/>
        <w:t>A</w:t>
      </w:r>
      <w:r>
        <w:tab/>
        <w:t>Service use measure definitions</w:t>
      </w:r>
    </w:p>
    <w:p w:rsidR="009A7F87" w:rsidRPr="00F91B73" w:rsidRDefault="009A7F87" w:rsidP="009A7F87">
      <w:pPr>
        <w:pStyle w:val="BodyText"/>
        <w:rPr>
          <w:szCs w:val="24"/>
        </w:rPr>
      </w:pPr>
      <w:r w:rsidRPr="00F91B73">
        <w:rPr>
          <w:szCs w:val="24"/>
        </w:rPr>
        <w:t>The Indigenous Expenditure Report method for prorating mainstream expenditure between services for Aboriginal and Torres Strait Islander and non</w:t>
      </w:r>
      <w:r>
        <w:rPr>
          <w:szCs w:val="24"/>
        </w:rPr>
        <w:noBreakHyphen/>
      </w:r>
      <w:r w:rsidRPr="00F91B73">
        <w:rPr>
          <w:szCs w:val="24"/>
        </w:rPr>
        <w:t xml:space="preserve">Indigenous Australians uses the relative share of service users as a proxy for the impact that Aboriginal and Torres Strait Islander Australians have on total expenditure (chapter 2). </w:t>
      </w:r>
    </w:p>
    <w:p w:rsidR="009A7F87" w:rsidRPr="00F91B73" w:rsidRDefault="009A7F87" w:rsidP="009A7F87">
      <w:pPr>
        <w:pStyle w:val="BodyText"/>
        <w:rPr>
          <w:szCs w:val="24"/>
        </w:rPr>
      </w:pPr>
      <w:r w:rsidRPr="00F91B73">
        <w:rPr>
          <w:szCs w:val="24"/>
        </w:rPr>
        <w:t>This appendix describes the service use measures that have been used for each expenditure category (table A.1). Information is presented in a template format, which includes a description of the service, the service cost drivers, and the selected service use measures for each expenditure category.</w:t>
      </w:r>
    </w:p>
    <w:p w:rsidR="009A7F87" w:rsidRPr="00F91B73" w:rsidRDefault="009A7F87" w:rsidP="009A7F87">
      <w:pPr>
        <w:pStyle w:val="BodyText"/>
        <w:rPr>
          <w:szCs w:val="24"/>
        </w:rPr>
      </w:pPr>
      <w:r w:rsidRPr="00F91B73">
        <w:rPr>
          <w:szCs w:val="24"/>
        </w:rPr>
        <w:t xml:space="preserve">The measures of service use need to be adjusted for </w:t>
      </w:r>
      <w:r>
        <w:rPr>
          <w:szCs w:val="24"/>
        </w:rPr>
        <w:t>Indigenous</w:t>
      </w:r>
      <w:r w:rsidRPr="00317BFD">
        <w:rPr>
          <w:szCs w:val="24"/>
        </w:rPr>
        <w:t xml:space="preserve"> </w:t>
      </w:r>
      <w:r w:rsidRPr="00F91B73">
        <w:rPr>
          <w:szCs w:val="24"/>
        </w:rPr>
        <w:t>under</w:t>
      </w:r>
      <w:r w:rsidRPr="00F91B73">
        <w:rPr>
          <w:szCs w:val="24"/>
        </w:rPr>
        <w:noBreakHyphen/>
        <w:t xml:space="preserve">identification and service use cost differentials. Information relating to </w:t>
      </w:r>
      <w:r>
        <w:rPr>
          <w:szCs w:val="24"/>
        </w:rPr>
        <w:t>adjustment for Indigenous under</w:t>
      </w:r>
      <w:r>
        <w:rPr>
          <w:szCs w:val="24"/>
        </w:rPr>
        <w:noBreakHyphen/>
      </w:r>
      <w:r w:rsidRPr="004E57E9">
        <w:rPr>
          <w:szCs w:val="24"/>
        </w:rPr>
        <w:t>identification</w:t>
      </w:r>
      <w:r>
        <w:rPr>
          <w:szCs w:val="24"/>
        </w:rPr>
        <w:t xml:space="preserve"> </w:t>
      </w:r>
      <w:r w:rsidRPr="00F91B73">
        <w:rPr>
          <w:szCs w:val="24"/>
        </w:rPr>
        <w:t>is provided in appendix</w:t>
      </w:r>
      <w:r>
        <w:rPr>
          <w:szCs w:val="24"/>
        </w:rPr>
        <w:t> </w:t>
      </w:r>
      <w:r w:rsidRPr="00F91B73">
        <w:rPr>
          <w:szCs w:val="24"/>
        </w:rPr>
        <w:t>B.</w:t>
      </w:r>
    </w:p>
    <w:p w:rsidR="009A7F87" w:rsidRDefault="009A7F87" w:rsidP="009A7F8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9073"/>
      </w:tblGrid>
      <w:tr w:rsidR="009A7F87" w:rsidTr="009A7F87">
        <w:tc>
          <w:tcPr>
            <w:tcW w:w="5000" w:type="pct"/>
            <w:tcBorders>
              <w:top w:val="single" w:sz="6" w:space="0" w:color="78A22F"/>
              <w:left w:val="nil"/>
              <w:bottom w:val="nil"/>
              <w:right w:val="nil"/>
            </w:tcBorders>
            <w:shd w:val="clear" w:color="auto" w:fill="auto"/>
          </w:tcPr>
          <w:p w:rsidR="009A7F87" w:rsidRPr="00784A05" w:rsidRDefault="009A7F87" w:rsidP="009A7F87">
            <w:pPr>
              <w:pStyle w:val="TableTitle"/>
            </w:pPr>
            <w:r>
              <w:rPr>
                <w:b w:val="0"/>
              </w:rPr>
              <w:t>Table A.</w:t>
            </w:r>
            <w:r>
              <w:rPr>
                <w:b w:val="0"/>
                <w:noProof/>
              </w:rPr>
              <w:t>1</w:t>
            </w:r>
            <w:r>
              <w:tab/>
              <w:t>Expenditure categories</w:t>
            </w:r>
          </w:p>
        </w:tc>
      </w:tr>
      <w:tr w:rsidR="009A7F87" w:rsidTr="009A7F87">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7764"/>
              <w:gridCol w:w="1025"/>
            </w:tblGrid>
            <w:tr w:rsidR="009A7F87" w:rsidTr="009A7F87">
              <w:trPr>
                <w:tblHeader/>
              </w:trPr>
              <w:tc>
                <w:tcPr>
                  <w:tcW w:w="4417" w:type="pct"/>
                  <w:tcBorders>
                    <w:top w:val="single" w:sz="6" w:space="0" w:color="BFBFBF"/>
                    <w:bottom w:val="single" w:sz="6" w:space="0" w:color="BFBFBF"/>
                  </w:tcBorders>
                  <w:shd w:val="clear" w:color="auto" w:fill="auto"/>
                  <w:tcMar>
                    <w:top w:w="28" w:type="dxa"/>
                  </w:tcMar>
                </w:tcPr>
                <w:p w:rsidR="009A7F87" w:rsidRDefault="009A7F87" w:rsidP="009A7F87">
                  <w:pPr>
                    <w:pStyle w:val="TableColumnHeading"/>
                    <w:jc w:val="left"/>
                  </w:pPr>
                  <w:r>
                    <w:t>GPC major group</w:t>
                  </w:r>
                </w:p>
              </w:tc>
              <w:tc>
                <w:tcPr>
                  <w:tcW w:w="583" w:type="pct"/>
                  <w:tcBorders>
                    <w:top w:val="single" w:sz="6" w:space="0" w:color="BFBFBF"/>
                    <w:bottom w:val="single" w:sz="6" w:space="0" w:color="BFBFBF"/>
                  </w:tcBorders>
                  <w:shd w:val="clear" w:color="auto" w:fill="auto"/>
                  <w:tcMar>
                    <w:top w:w="28" w:type="dxa"/>
                  </w:tcMar>
                </w:tcPr>
                <w:p w:rsidR="009A7F87" w:rsidRDefault="009A7F87" w:rsidP="009A7F87">
                  <w:pPr>
                    <w:pStyle w:val="TableColumnHeading"/>
                    <w:ind w:right="28"/>
                  </w:pPr>
                  <w:r>
                    <w:t>Page</w:t>
                  </w:r>
                </w:p>
              </w:tc>
            </w:tr>
            <w:tr w:rsidR="009A7F87" w:rsidTr="009A7F87">
              <w:tc>
                <w:tcPr>
                  <w:tcW w:w="4417" w:type="pct"/>
                  <w:tcBorders>
                    <w:top w:val="single" w:sz="6" w:space="0" w:color="BFBFBF"/>
                  </w:tcBorders>
                </w:tcPr>
                <w:p w:rsidR="009A7F87" w:rsidRDefault="009A7F87" w:rsidP="009A7F87">
                  <w:pPr>
                    <w:pStyle w:val="TableUnitsRow"/>
                    <w:jc w:val="left"/>
                  </w:pPr>
                  <w:r>
                    <w:t>General public services (GPC 01)</w:t>
                  </w:r>
                </w:p>
              </w:tc>
              <w:tc>
                <w:tcPr>
                  <w:tcW w:w="583" w:type="pct"/>
                  <w:tcBorders>
                    <w:top w:val="single" w:sz="6" w:space="0" w:color="BFBFBF"/>
                  </w:tcBorders>
                </w:tcPr>
                <w:p w:rsidR="009A7F87" w:rsidRDefault="00A64EEF" w:rsidP="009A7F87">
                  <w:pPr>
                    <w:pStyle w:val="TableUnitsRow"/>
                    <w:ind w:right="28"/>
                  </w:pPr>
                  <w:r>
                    <w:t>55</w:t>
                  </w:r>
                </w:p>
              </w:tc>
            </w:tr>
            <w:tr w:rsidR="009A7F87" w:rsidTr="009A7F87">
              <w:tc>
                <w:tcPr>
                  <w:tcW w:w="4417" w:type="pct"/>
                </w:tcPr>
                <w:p w:rsidR="009A7F87" w:rsidRDefault="009A7F87" w:rsidP="009A7F87">
                  <w:pPr>
                    <w:pStyle w:val="TableBodyText"/>
                    <w:jc w:val="left"/>
                  </w:pPr>
                  <w:r>
                    <w:t>Defence (GPC 02)</w:t>
                  </w:r>
                </w:p>
              </w:tc>
              <w:tc>
                <w:tcPr>
                  <w:tcW w:w="583" w:type="pct"/>
                </w:tcPr>
                <w:p w:rsidR="009A7F87" w:rsidRDefault="0002551A" w:rsidP="009A7F87">
                  <w:pPr>
                    <w:pStyle w:val="TableBodyText"/>
                    <w:ind w:right="28"/>
                  </w:pPr>
                  <w:r>
                    <w:t>59</w:t>
                  </w:r>
                </w:p>
              </w:tc>
            </w:tr>
            <w:tr w:rsidR="009A7F87" w:rsidTr="009A7F87">
              <w:tc>
                <w:tcPr>
                  <w:tcW w:w="4417" w:type="pct"/>
                  <w:shd w:val="clear" w:color="auto" w:fill="auto"/>
                </w:tcPr>
                <w:p w:rsidR="009A7F87" w:rsidRDefault="009A7F87" w:rsidP="009A7F87">
                  <w:pPr>
                    <w:pStyle w:val="TableBodyText"/>
                    <w:jc w:val="left"/>
                  </w:pPr>
                  <w:r>
                    <w:t>Public order and safety (GPC 03)</w:t>
                  </w:r>
                </w:p>
              </w:tc>
              <w:tc>
                <w:tcPr>
                  <w:tcW w:w="583" w:type="pct"/>
                  <w:shd w:val="clear" w:color="auto" w:fill="auto"/>
                </w:tcPr>
                <w:p w:rsidR="009A7F87" w:rsidRDefault="0002551A" w:rsidP="009A7F87">
                  <w:pPr>
                    <w:pStyle w:val="TableBodyText"/>
                    <w:ind w:right="28"/>
                  </w:pPr>
                  <w:r>
                    <w:t>63</w:t>
                  </w:r>
                </w:p>
              </w:tc>
            </w:tr>
            <w:tr w:rsidR="009A7F87" w:rsidTr="009A7F87">
              <w:tc>
                <w:tcPr>
                  <w:tcW w:w="4417" w:type="pct"/>
                  <w:shd w:val="clear" w:color="auto" w:fill="auto"/>
                </w:tcPr>
                <w:p w:rsidR="009A7F87" w:rsidRDefault="009A7F87" w:rsidP="009A7F87">
                  <w:pPr>
                    <w:pStyle w:val="TableBodyText"/>
                    <w:jc w:val="left"/>
                  </w:pPr>
                  <w:r>
                    <w:t>Education (GPC 04)</w:t>
                  </w:r>
                </w:p>
              </w:tc>
              <w:tc>
                <w:tcPr>
                  <w:tcW w:w="583" w:type="pct"/>
                  <w:shd w:val="clear" w:color="auto" w:fill="auto"/>
                </w:tcPr>
                <w:p w:rsidR="009A7F87" w:rsidRDefault="0002551A" w:rsidP="009A7F87">
                  <w:pPr>
                    <w:pStyle w:val="TableBodyText"/>
                    <w:ind w:right="28"/>
                  </w:pPr>
                  <w:r>
                    <w:t>77</w:t>
                  </w:r>
                </w:p>
              </w:tc>
            </w:tr>
            <w:tr w:rsidR="009A7F87" w:rsidTr="009A7F87">
              <w:tc>
                <w:tcPr>
                  <w:tcW w:w="4417" w:type="pct"/>
                  <w:shd w:val="clear" w:color="auto" w:fill="auto"/>
                </w:tcPr>
                <w:p w:rsidR="009A7F87" w:rsidRDefault="009A7F87" w:rsidP="009A7F87">
                  <w:pPr>
                    <w:pStyle w:val="TableBodyText"/>
                    <w:jc w:val="left"/>
                  </w:pPr>
                  <w:r>
                    <w:t>Health (GPC 05)</w:t>
                  </w:r>
                </w:p>
              </w:tc>
              <w:tc>
                <w:tcPr>
                  <w:tcW w:w="583" w:type="pct"/>
                  <w:shd w:val="clear" w:color="auto" w:fill="auto"/>
                </w:tcPr>
                <w:p w:rsidR="009A7F87" w:rsidRDefault="0002551A" w:rsidP="009A7F87">
                  <w:pPr>
                    <w:pStyle w:val="TableBodyText"/>
                    <w:ind w:right="28"/>
                  </w:pPr>
                  <w:r>
                    <w:t>95</w:t>
                  </w:r>
                </w:p>
              </w:tc>
            </w:tr>
            <w:tr w:rsidR="009A7F87" w:rsidTr="009A7F87">
              <w:tc>
                <w:tcPr>
                  <w:tcW w:w="4417" w:type="pct"/>
                  <w:shd w:val="clear" w:color="auto" w:fill="auto"/>
                </w:tcPr>
                <w:p w:rsidR="009A7F87" w:rsidRDefault="009A7F87" w:rsidP="009A7F87">
                  <w:pPr>
                    <w:pStyle w:val="TableBodyText"/>
                    <w:jc w:val="left"/>
                  </w:pPr>
                  <w:r>
                    <w:t>Social security and welfare (GPC 06)</w:t>
                  </w:r>
                </w:p>
              </w:tc>
              <w:tc>
                <w:tcPr>
                  <w:tcW w:w="583" w:type="pct"/>
                  <w:shd w:val="clear" w:color="auto" w:fill="auto"/>
                </w:tcPr>
                <w:p w:rsidR="009A7F87" w:rsidRDefault="0002551A" w:rsidP="00B412F1">
                  <w:pPr>
                    <w:pStyle w:val="TableBodyText"/>
                    <w:ind w:right="28"/>
                  </w:pPr>
                  <w:r>
                    <w:t>12</w:t>
                  </w:r>
                  <w:r w:rsidR="00B412F1">
                    <w:t>7</w:t>
                  </w:r>
                </w:p>
              </w:tc>
            </w:tr>
            <w:tr w:rsidR="009A7F87" w:rsidTr="009A7F87">
              <w:tc>
                <w:tcPr>
                  <w:tcW w:w="4417" w:type="pct"/>
                  <w:shd w:val="clear" w:color="auto" w:fill="auto"/>
                </w:tcPr>
                <w:p w:rsidR="009A7F87" w:rsidRDefault="009A7F87" w:rsidP="009A7F87">
                  <w:pPr>
                    <w:pStyle w:val="TableBodyText"/>
                    <w:jc w:val="left"/>
                  </w:pPr>
                  <w:r>
                    <w:t>Housing and community amenities (GPC 07)</w:t>
                  </w:r>
                </w:p>
              </w:tc>
              <w:tc>
                <w:tcPr>
                  <w:tcW w:w="583" w:type="pct"/>
                  <w:shd w:val="clear" w:color="auto" w:fill="auto"/>
                </w:tcPr>
                <w:p w:rsidR="009A7F87" w:rsidRDefault="00B412F1" w:rsidP="009A7F87">
                  <w:pPr>
                    <w:pStyle w:val="TableBodyText"/>
                    <w:ind w:right="28"/>
                  </w:pPr>
                  <w:r>
                    <w:t>145</w:t>
                  </w:r>
                </w:p>
              </w:tc>
            </w:tr>
            <w:tr w:rsidR="009A7F87" w:rsidTr="009A7F87">
              <w:tc>
                <w:tcPr>
                  <w:tcW w:w="4417" w:type="pct"/>
                  <w:shd w:val="clear" w:color="auto" w:fill="auto"/>
                </w:tcPr>
                <w:p w:rsidR="009A7F87" w:rsidRDefault="009A7F87" w:rsidP="009A7F87">
                  <w:pPr>
                    <w:pStyle w:val="TableBodyText"/>
                    <w:jc w:val="left"/>
                  </w:pPr>
                  <w:r>
                    <w:t>Recreation and culture (GPC 08)</w:t>
                  </w:r>
                </w:p>
              </w:tc>
              <w:tc>
                <w:tcPr>
                  <w:tcW w:w="583" w:type="pct"/>
                  <w:shd w:val="clear" w:color="auto" w:fill="auto"/>
                </w:tcPr>
                <w:p w:rsidR="009A7F87" w:rsidRDefault="00B412F1" w:rsidP="009A7F87">
                  <w:pPr>
                    <w:pStyle w:val="TableBodyText"/>
                    <w:ind w:right="28"/>
                  </w:pPr>
                  <w:r>
                    <w:t>155</w:t>
                  </w:r>
                </w:p>
              </w:tc>
            </w:tr>
            <w:tr w:rsidR="009A7F87" w:rsidTr="009A7F87">
              <w:tc>
                <w:tcPr>
                  <w:tcW w:w="4417" w:type="pct"/>
                  <w:shd w:val="clear" w:color="auto" w:fill="auto"/>
                </w:tcPr>
                <w:p w:rsidR="009A7F87" w:rsidRDefault="009A7F87" w:rsidP="009A7F87">
                  <w:pPr>
                    <w:pStyle w:val="TableBodyText"/>
                    <w:jc w:val="left"/>
                  </w:pPr>
                  <w:r>
                    <w:t>Fuel and energy (GPC 09)</w:t>
                  </w:r>
                </w:p>
              </w:tc>
              <w:tc>
                <w:tcPr>
                  <w:tcW w:w="583" w:type="pct"/>
                  <w:shd w:val="clear" w:color="auto" w:fill="auto"/>
                </w:tcPr>
                <w:p w:rsidR="009A7F87" w:rsidRDefault="00B412F1" w:rsidP="009A7F87">
                  <w:pPr>
                    <w:pStyle w:val="TableBodyText"/>
                    <w:ind w:right="28"/>
                  </w:pPr>
                  <w:r>
                    <w:t>163</w:t>
                  </w:r>
                </w:p>
              </w:tc>
            </w:tr>
            <w:tr w:rsidR="009A7F87" w:rsidTr="009A7F87">
              <w:tc>
                <w:tcPr>
                  <w:tcW w:w="4417" w:type="pct"/>
                  <w:shd w:val="clear" w:color="auto" w:fill="auto"/>
                </w:tcPr>
                <w:p w:rsidR="009A7F87" w:rsidRDefault="009A7F87" w:rsidP="009A7F87">
                  <w:pPr>
                    <w:pStyle w:val="TableBodyText"/>
                    <w:jc w:val="left"/>
                  </w:pPr>
                  <w:r>
                    <w:t>Agriculture, forestry, fishing and hunting (GPC 10)</w:t>
                  </w:r>
                </w:p>
              </w:tc>
              <w:tc>
                <w:tcPr>
                  <w:tcW w:w="583" w:type="pct"/>
                  <w:shd w:val="clear" w:color="auto" w:fill="auto"/>
                </w:tcPr>
                <w:p w:rsidR="009A7F87" w:rsidRDefault="00B412F1" w:rsidP="009A7F87">
                  <w:pPr>
                    <w:pStyle w:val="TableBodyText"/>
                    <w:ind w:right="28"/>
                  </w:pPr>
                  <w:r>
                    <w:t>171</w:t>
                  </w:r>
                </w:p>
              </w:tc>
            </w:tr>
            <w:tr w:rsidR="009A7F87" w:rsidTr="009A7F87">
              <w:tc>
                <w:tcPr>
                  <w:tcW w:w="4417" w:type="pct"/>
                  <w:shd w:val="clear" w:color="auto" w:fill="auto"/>
                </w:tcPr>
                <w:p w:rsidR="009A7F87" w:rsidRDefault="009A7F87" w:rsidP="009A7F87">
                  <w:pPr>
                    <w:pStyle w:val="TableBodyText"/>
                    <w:jc w:val="left"/>
                  </w:pPr>
                  <w:r>
                    <w:t>Mining and mineral resources other than fuels; manufacturing; and construction (GPC 11)</w:t>
                  </w:r>
                </w:p>
              </w:tc>
              <w:tc>
                <w:tcPr>
                  <w:tcW w:w="583" w:type="pct"/>
                  <w:shd w:val="clear" w:color="auto" w:fill="auto"/>
                </w:tcPr>
                <w:p w:rsidR="009A7F87" w:rsidRDefault="00B412F1" w:rsidP="009A7F87">
                  <w:pPr>
                    <w:pStyle w:val="TableBodyText"/>
                    <w:ind w:right="28"/>
                  </w:pPr>
                  <w:r>
                    <w:t>175</w:t>
                  </w:r>
                </w:p>
              </w:tc>
            </w:tr>
            <w:tr w:rsidR="009A7F87" w:rsidTr="009A7F87">
              <w:tc>
                <w:tcPr>
                  <w:tcW w:w="4417" w:type="pct"/>
                  <w:shd w:val="clear" w:color="auto" w:fill="auto"/>
                </w:tcPr>
                <w:p w:rsidR="009A7F87" w:rsidRDefault="009A7F87" w:rsidP="009A7F87">
                  <w:pPr>
                    <w:pStyle w:val="TableBodyText"/>
                    <w:jc w:val="left"/>
                  </w:pPr>
                  <w:r>
                    <w:t>Transport and communications (GPC 12)</w:t>
                  </w:r>
                </w:p>
              </w:tc>
              <w:tc>
                <w:tcPr>
                  <w:tcW w:w="583" w:type="pct"/>
                  <w:shd w:val="clear" w:color="auto" w:fill="auto"/>
                </w:tcPr>
                <w:p w:rsidR="009A7F87" w:rsidRDefault="00B412F1" w:rsidP="009A7F87">
                  <w:pPr>
                    <w:pStyle w:val="TableBodyText"/>
                    <w:ind w:right="28"/>
                  </w:pPr>
                  <w:r>
                    <w:t>181</w:t>
                  </w:r>
                </w:p>
              </w:tc>
            </w:tr>
            <w:tr w:rsidR="009A7F87" w:rsidTr="009A7F87">
              <w:tc>
                <w:tcPr>
                  <w:tcW w:w="4417" w:type="pct"/>
                  <w:shd w:val="clear" w:color="auto" w:fill="auto"/>
                </w:tcPr>
                <w:p w:rsidR="009A7F87" w:rsidRDefault="009A7F87" w:rsidP="009A7F87">
                  <w:pPr>
                    <w:pStyle w:val="TableBodyText"/>
                    <w:jc w:val="left"/>
                  </w:pPr>
                  <w:r>
                    <w:t>Other economic affairs (GPC 13)</w:t>
                  </w:r>
                </w:p>
              </w:tc>
              <w:tc>
                <w:tcPr>
                  <w:tcW w:w="583" w:type="pct"/>
                  <w:shd w:val="clear" w:color="auto" w:fill="auto"/>
                </w:tcPr>
                <w:p w:rsidR="009A7F87" w:rsidRDefault="00B412F1" w:rsidP="009A7F87">
                  <w:pPr>
                    <w:pStyle w:val="TableBodyText"/>
                    <w:ind w:right="28"/>
                  </w:pPr>
                  <w:r>
                    <w:t>195</w:t>
                  </w:r>
                </w:p>
              </w:tc>
            </w:tr>
            <w:tr w:rsidR="009A7F87" w:rsidTr="009A7F87">
              <w:tc>
                <w:tcPr>
                  <w:tcW w:w="4417" w:type="pct"/>
                  <w:tcBorders>
                    <w:bottom w:val="single" w:sz="6" w:space="0" w:color="BFBFBF"/>
                  </w:tcBorders>
                  <w:shd w:val="clear" w:color="auto" w:fill="auto"/>
                </w:tcPr>
                <w:p w:rsidR="009A7F87" w:rsidRDefault="009A7F87" w:rsidP="009A7F87">
                  <w:pPr>
                    <w:pStyle w:val="TableBodyText"/>
                    <w:jc w:val="left"/>
                  </w:pPr>
                  <w:r>
                    <w:t>Other purposes (GPC 14)</w:t>
                  </w:r>
                </w:p>
              </w:tc>
              <w:tc>
                <w:tcPr>
                  <w:tcW w:w="583" w:type="pct"/>
                  <w:tcBorders>
                    <w:bottom w:val="single" w:sz="6" w:space="0" w:color="BFBFBF"/>
                  </w:tcBorders>
                  <w:shd w:val="clear" w:color="auto" w:fill="auto"/>
                </w:tcPr>
                <w:p w:rsidR="009A7F87" w:rsidRDefault="00B412F1" w:rsidP="009A7F87">
                  <w:pPr>
                    <w:pStyle w:val="TableBodyText"/>
                    <w:ind w:right="28"/>
                  </w:pPr>
                  <w:r>
                    <w:t>205</w:t>
                  </w:r>
                </w:p>
              </w:tc>
            </w:tr>
          </w:tbl>
          <w:p w:rsidR="009A7F87" w:rsidRDefault="009A7F87" w:rsidP="009A7F87">
            <w:pPr>
              <w:pStyle w:val="Box"/>
            </w:pPr>
          </w:p>
        </w:tc>
      </w:tr>
      <w:tr w:rsidR="009A7F87" w:rsidTr="009A7F87">
        <w:tc>
          <w:tcPr>
            <w:tcW w:w="5000" w:type="pct"/>
            <w:tcBorders>
              <w:top w:val="nil"/>
              <w:left w:val="nil"/>
              <w:bottom w:val="single" w:sz="6" w:space="0" w:color="78A22F"/>
              <w:right w:val="nil"/>
            </w:tcBorders>
            <w:shd w:val="clear" w:color="auto" w:fill="auto"/>
          </w:tcPr>
          <w:p w:rsidR="009A7F87" w:rsidRDefault="009A7F87" w:rsidP="009A7F87">
            <w:pPr>
              <w:pStyle w:val="Box"/>
              <w:spacing w:before="0" w:line="120" w:lineRule="exact"/>
            </w:pPr>
          </w:p>
        </w:tc>
      </w:tr>
      <w:tr w:rsidR="009A7F87" w:rsidRPr="000863A5" w:rsidTr="009A7F87">
        <w:tc>
          <w:tcPr>
            <w:tcW w:w="5000" w:type="pct"/>
            <w:tcBorders>
              <w:top w:val="single" w:sz="6" w:space="0" w:color="78A22F"/>
              <w:left w:val="nil"/>
              <w:bottom w:val="nil"/>
              <w:right w:val="nil"/>
            </w:tcBorders>
          </w:tcPr>
          <w:p w:rsidR="009A7F87" w:rsidRPr="00626D32" w:rsidRDefault="009A7F87" w:rsidP="009A7F87">
            <w:pPr>
              <w:pStyle w:val="BoxSpaceBelow"/>
            </w:pPr>
          </w:p>
        </w:tc>
      </w:tr>
    </w:tbl>
    <w:p w:rsidR="009A7F87" w:rsidRDefault="009A7F87" w:rsidP="00120072">
      <w:pPr>
        <w:pStyle w:val="BodyText"/>
      </w:pPr>
    </w:p>
    <w:p w:rsidR="009A7F87" w:rsidRDefault="009A7F87" w:rsidP="00120072">
      <w:pPr>
        <w:pStyle w:val="BodyText"/>
      </w:pPr>
    </w:p>
    <w:p w:rsidR="009A7F87" w:rsidRDefault="009A7F87" w:rsidP="009A7F87">
      <w:pPr>
        <w:sectPr w:rsidR="009A7F87" w:rsidSect="009A7F87">
          <w:headerReference w:type="even" r:id="rId67"/>
          <w:headerReference w:type="default" r:id="rId68"/>
          <w:footerReference w:type="even" r:id="rId69"/>
          <w:footerReference w:type="default" r:id="rId70"/>
          <w:footnotePr>
            <w:numRestart w:val="eachSect"/>
          </w:footnotePr>
          <w:type w:val="oddPage"/>
          <w:pgSz w:w="11907" w:h="16840" w:code="9"/>
          <w:pgMar w:top="1985" w:right="1304" w:bottom="1247" w:left="1814" w:header="1701" w:footer="397" w:gutter="0"/>
          <w:pgNumType w:chapSep="period"/>
          <w:cols w:space="720"/>
          <w:docGrid w:linePitch="326"/>
        </w:sectPr>
      </w:pPr>
    </w:p>
    <w:p w:rsidR="009A7F87" w:rsidRDefault="009A7F87">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9A7F87">
        <w:tc>
          <w:tcPr>
            <w:tcW w:w="6634" w:type="dxa"/>
            <w:tcBorders>
              <w:top w:val="single" w:sz="6" w:space="0" w:color="auto"/>
            </w:tcBorders>
          </w:tcPr>
          <w:p w:rsidR="009A7F87" w:rsidRDefault="009A7F87">
            <w:pPr>
              <w:pStyle w:val="PartDivider"/>
            </w:pPr>
          </w:p>
        </w:tc>
        <w:tc>
          <w:tcPr>
            <w:tcW w:w="2155" w:type="dxa"/>
            <w:tcBorders>
              <w:top w:val="single" w:sz="24" w:space="0" w:color="auto"/>
            </w:tcBorders>
          </w:tcPr>
          <w:p w:rsidR="009A7F87" w:rsidRDefault="009A7F87">
            <w:pPr>
              <w:pStyle w:val="PartDivider"/>
            </w:pPr>
          </w:p>
        </w:tc>
      </w:tr>
    </w:tbl>
    <w:p w:rsidR="009A7F87" w:rsidRDefault="009A7F87">
      <w:pPr>
        <w:pStyle w:val="PartDivider"/>
      </w:pPr>
    </w:p>
    <w:p w:rsidR="009A7F87" w:rsidRDefault="009A7F87" w:rsidP="009A7F87">
      <w:pPr>
        <w:pStyle w:val="PartTitle"/>
        <w:spacing w:after="240"/>
      </w:pPr>
      <w:r>
        <w:t>GPC 01</w:t>
      </w:r>
    </w:p>
    <w:p w:rsidR="009A7F87" w:rsidRDefault="009A7F87" w:rsidP="009A7F87">
      <w:pPr>
        <w:pStyle w:val="PartTitle"/>
        <w:spacing w:after="240"/>
      </w:pPr>
      <w:r>
        <w:t>general public services</w:t>
      </w:r>
    </w:p>
    <w:p w:rsidR="009A7F87" w:rsidRDefault="009A7F87" w:rsidP="009A7F87">
      <w:pPr>
        <w:pStyle w:val="BodyText"/>
        <w:rPr>
          <w:sz w:val="52"/>
        </w:rPr>
      </w:pPr>
      <w:r>
        <w:br w:type="page"/>
      </w:r>
    </w:p>
    <w:p w:rsidR="009A7F87" w:rsidRPr="003755C6" w:rsidRDefault="009A7F87" w:rsidP="009A7F87">
      <w:pPr>
        <w:rPr>
          <w:szCs w:val="20"/>
        </w:rPr>
      </w:pPr>
    </w:p>
    <w:p w:rsidR="009A7F87" w:rsidRDefault="009A7F87" w:rsidP="009A7F87">
      <w:pPr>
        <w:sectPr w:rsidR="009A7F87" w:rsidSect="009A7F87">
          <w:headerReference w:type="even" r:id="rId71"/>
          <w:headerReference w:type="default" r:id="rId72"/>
          <w:footerReference w:type="even" r:id="rId73"/>
          <w:footerReference w:type="default" r:id="rId74"/>
          <w:footnotePr>
            <w:numRestart w:val="eachSect"/>
          </w:footnotePr>
          <w:type w:val="oddPage"/>
          <w:pgSz w:w="11907" w:h="16840" w:code="9"/>
          <w:pgMar w:top="1985" w:right="1304" w:bottom="1247" w:left="1814" w:header="1701" w:footer="397" w:gutter="0"/>
          <w:pgNumType w:chapSep="period"/>
          <w:cols w:space="720"/>
          <w:docGrid w:linePitch="326"/>
        </w:sectPr>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A672D0">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lastRenderedPageBreak/>
              <w:br w:type="page"/>
            </w:r>
            <w:bookmarkStart w:id="27" w:name="_Ref266098392"/>
            <w:r w:rsidRPr="00770229">
              <w:t>0110 Government superannuation benefits</w:t>
            </w:r>
            <w:bookmarkEnd w:id="27"/>
          </w:p>
        </w:tc>
      </w:tr>
      <w:tr w:rsidR="009A7F87" w:rsidRPr="00770229" w:rsidTr="00A672D0">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szCs w:val="26"/>
              </w:rPr>
            </w:pPr>
            <w:r w:rsidRPr="00770229">
              <w:rPr>
                <w:szCs w:val="26"/>
              </w:rPr>
              <w:t xml:space="preserve">Historically, all government superannuation transactions were classified to this category. However, superannuation transactions should be classified to the relevant GPC. </w:t>
            </w:r>
          </w:p>
          <w:p w:rsidR="009A7F87" w:rsidRPr="00770229" w:rsidRDefault="009A7F87" w:rsidP="009A7F87">
            <w:pPr>
              <w:pStyle w:val="TableBodyText"/>
              <w:jc w:val="left"/>
              <w:rPr>
                <w:b/>
                <w:sz w:val="24"/>
              </w:rPr>
            </w:pPr>
            <w:r w:rsidRPr="00770229">
              <w:rPr>
                <w:b/>
              </w:rPr>
              <w:t>A detailed definition of expenditure included under this category is provided in the 201</w:t>
            </w:r>
            <w:r>
              <w:rPr>
                <w:b/>
              </w:rPr>
              <w:t>7</w:t>
            </w:r>
            <w:r w:rsidRPr="00770229">
              <w:rPr>
                <w:b/>
              </w:rPr>
              <w:t xml:space="preserve"> </w:t>
            </w:r>
            <w:r w:rsidRPr="00DF2CB4">
              <w:rPr>
                <w:b/>
              </w:rPr>
              <w:t xml:space="preserve">Report </w:t>
            </w:r>
            <w:r w:rsidRPr="00770229">
              <w:rPr>
                <w:b/>
              </w:rPr>
              <w:t xml:space="preserve">Expenditure Data Manual </w:t>
            </w:r>
            <w:r w:rsidRPr="00F56AE1">
              <w:t>http://www.pc.gov.au/ier2017</w:t>
            </w:r>
            <w:r w:rsidRPr="00770229">
              <w:rPr>
                <w:b/>
              </w:rPr>
              <w:t>).</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The key cost driver of expenditure on government superannuation benefits is the number of </w:t>
            </w:r>
            <w:r w:rsidRPr="00770229">
              <w:rPr>
                <w:szCs w:val="26"/>
              </w:rPr>
              <w:t>government</w:t>
            </w:r>
            <w:r w:rsidRPr="00770229">
              <w:t xml:space="preserve"> employees in general public services receiving payments under Australian, State and Territory government superannuation schemes. </w:t>
            </w:r>
          </w:p>
          <w:p w:rsidR="009A7F87" w:rsidRPr="00770229" w:rsidRDefault="009A7F87" w:rsidP="009A7F87">
            <w:pPr>
              <w:pStyle w:val="TableBodyText"/>
              <w:keepNext w:val="0"/>
              <w:keepLines w:val="0"/>
              <w:spacing w:before="80" w:after="80"/>
              <w:jc w:val="left"/>
              <w:rPr>
                <w:szCs w:val="26"/>
              </w:rPr>
            </w:pPr>
            <w:r w:rsidRPr="00770229">
              <w:rPr>
                <w:szCs w:val="26"/>
              </w:rPr>
              <w:t xml:space="preserve">Given that these payments should be classified to the relevant GPC, expenditure in this category will be considered as driven by the population on a uniform basis. </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F0518E"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F0518E"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F0518E" w:rsidRDefault="009A7F87" w:rsidP="009A7F87">
            <w:pPr>
              <w:pStyle w:val="TableColumnHeading"/>
              <w:keepNext w:val="0"/>
              <w:ind w:left="180"/>
              <w:jc w:val="center"/>
            </w:pPr>
            <w:r w:rsidRPr="00F0518E">
              <w:t>Data Years</w:t>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F0518E" w:rsidRDefault="009A7F87" w:rsidP="009A7F87">
            <w:pPr>
              <w:pStyle w:val="TableBodyText"/>
              <w:keepNext w:val="0"/>
              <w:spacing w:before="60" w:after="60"/>
              <w:ind w:left="0"/>
              <w:jc w:val="both"/>
              <w:rPr>
                <w:i/>
              </w:rPr>
            </w:pPr>
            <w:r w:rsidRPr="00F0518E">
              <w:rPr>
                <w:i/>
              </w:rPr>
              <w:br/>
              <w:t>Measure</w:t>
            </w:r>
            <w:r w:rsidRPr="00944F69">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F0518E" w:rsidRDefault="009A7F87" w:rsidP="009A7F87">
            <w:pPr>
              <w:pStyle w:val="TableBodyText"/>
              <w:keepNext w:val="0"/>
              <w:spacing w:before="60" w:after="60"/>
              <w:ind w:left="180"/>
              <w:jc w:val="left"/>
              <w:rPr>
                <w:i/>
              </w:rPr>
            </w:pPr>
            <w:r w:rsidRPr="00F0518E">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F0518E" w:rsidRDefault="009A7F87" w:rsidP="009A7F87">
            <w:pPr>
              <w:pStyle w:val="TableBodyText"/>
              <w:keepNext w:val="0"/>
              <w:spacing w:before="60" w:after="60"/>
              <w:ind w:left="2"/>
              <w:jc w:val="center"/>
              <w:rPr>
                <w:i/>
              </w:rPr>
            </w:pPr>
            <w:r w:rsidRPr="00F0518E">
              <w:rPr>
                <w:i/>
              </w:rPr>
              <w:t>2008</w:t>
            </w:r>
            <w:r w:rsidRPr="00F0518E">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F0518E" w:rsidRDefault="009A7F87" w:rsidP="009A7F87">
            <w:pPr>
              <w:pStyle w:val="TableBodyText"/>
              <w:keepNext w:val="0"/>
              <w:spacing w:before="60" w:after="60"/>
              <w:ind w:left="2"/>
              <w:jc w:val="center"/>
              <w:rPr>
                <w:i/>
              </w:rPr>
            </w:pPr>
            <w:r w:rsidRPr="00F0518E">
              <w:rPr>
                <w:i/>
              </w:rPr>
              <w:t>2010</w:t>
            </w:r>
            <w:r w:rsidRPr="00F0518E">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F0518E" w:rsidRDefault="009A7F87" w:rsidP="009A7F87">
            <w:pPr>
              <w:pStyle w:val="TableBodyText"/>
              <w:keepNext w:val="0"/>
              <w:spacing w:before="60" w:after="60"/>
              <w:ind w:left="2"/>
              <w:jc w:val="center"/>
              <w:rPr>
                <w:i/>
              </w:rPr>
            </w:pPr>
            <w:r w:rsidRPr="00F0518E">
              <w:rPr>
                <w:i/>
              </w:rPr>
              <w:t>2012</w:t>
            </w:r>
            <w:r w:rsidRPr="00F0518E">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F0518E" w:rsidRDefault="009A7F87" w:rsidP="009A7F87">
            <w:pPr>
              <w:pStyle w:val="TableBodyText"/>
              <w:keepNext w:val="0"/>
              <w:spacing w:before="60" w:after="60"/>
              <w:ind w:left="2"/>
              <w:jc w:val="center"/>
              <w:rPr>
                <w:i/>
              </w:rPr>
            </w:pPr>
            <w:r w:rsidRPr="00F0518E">
              <w:rPr>
                <w:i/>
              </w:rPr>
              <w:t>2015</w:t>
            </w:r>
            <w:r w:rsidRPr="00F0518E">
              <w:rPr>
                <w:i/>
              </w:rPr>
              <w:noBreakHyphen/>
              <w:t>16 Estimates</w:t>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w:t>
            </w:r>
            <w:r w:rsidRPr="00770229">
              <w:t>,</w:t>
            </w:r>
            <w:r w:rsidRPr="00770229">
              <w:rPr>
                <w:i/>
              </w:rPr>
              <w:t xml:space="preserve"> 2001</w:t>
            </w:r>
            <w:r>
              <w:rPr>
                <w:i/>
              </w:rPr>
              <w:t>–</w:t>
            </w:r>
            <w:r w:rsidRPr="00770229">
              <w:rPr>
                <w:i/>
              </w:rPr>
              <w:t xml:space="preserve">2026 </w:t>
            </w:r>
            <w:r w:rsidRPr="003C29E2">
              <w:t>(Cat.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rsidRPr="00770229">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rsidRPr="00770229">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rsidRPr="00FF7A3F">
              <w:t>June</w:t>
            </w:r>
            <w:r w:rsidRPr="00770229">
              <w:t xml:space="preserv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 xml:space="preserve">June </w:t>
            </w:r>
            <w:r w:rsidRPr="00FF7A3F">
              <w:t>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A672D0">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3C29E2">
              <w:t>(Cat. no. 3101.0)</w:t>
            </w:r>
          </w:p>
        </w:tc>
        <w:tc>
          <w:tcPr>
            <w:tcW w:w="584"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br/>
            </w:r>
            <w:r w:rsidRPr="00770229">
              <w:t>June 2009</w:t>
            </w:r>
          </w:p>
        </w:tc>
        <w:tc>
          <w:tcPr>
            <w:tcW w:w="585" w:type="pct"/>
            <w:gridSpan w:val="2"/>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br/>
            </w:r>
            <w:r w:rsidRPr="00770229">
              <w:t>June 2011</w:t>
            </w:r>
          </w:p>
        </w:tc>
        <w:tc>
          <w:tcPr>
            <w:tcW w:w="585"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br/>
            </w:r>
            <w:r w:rsidRPr="00770229">
              <w:t>June 2013</w:t>
            </w:r>
          </w:p>
        </w:tc>
        <w:tc>
          <w:tcPr>
            <w:tcW w:w="583" w:type="pct"/>
            <w:gridSpan w:val="2"/>
            <w:tcBorders>
              <w:bottom w:val="single" w:sz="4" w:space="0" w:color="808080" w:themeColor="background1" w:themeShade="80"/>
            </w:tcBorders>
          </w:tcPr>
          <w:p w:rsidR="009A7F87" w:rsidRPr="00770229" w:rsidRDefault="009A7F87" w:rsidP="009A7F87">
            <w:pPr>
              <w:pStyle w:val="TableBodyText"/>
              <w:keepNext w:val="0"/>
              <w:spacing w:before="60" w:after="60"/>
              <w:ind w:left="2"/>
              <w:jc w:val="center"/>
            </w:pPr>
            <w:r>
              <w:br/>
              <w:t xml:space="preserve">June </w:t>
            </w:r>
            <w:r w:rsidRPr="00FF7A3F">
              <w:t>2016</w:t>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Default="009A7F87" w:rsidP="009A7F87">
            <w:pPr>
              <w:pStyle w:val="Note"/>
              <w:rPr>
                <w:i/>
              </w:rPr>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120072">
      <w:pPr>
        <w:pStyle w:val="BodyText"/>
      </w:pPr>
    </w:p>
    <w:p w:rsidR="009A7F87" w:rsidRDefault="009A7F87" w:rsidP="00120072">
      <w:pPr>
        <w:pStyle w:val="BodyText"/>
      </w:pPr>
    </w:p>
    <w:p w:rsidR="009A7F87" w:rsidRDefault="009A7F87" w:rsidP="00120072">
      <w:pPr>
        <w:pStyle w:val="BodyText"/>
      </w:pPr>
    </w:p>
    <w:p w:rsidR="009A7F87" w:rsidRDefault="009A7F87" w:rsidP="00120072">
      <w:pPr>
        <w:pStyle w:val="BodyText"/>
      </w:pPr>
    </w:p>
    <w:p w:rsidR="009A7F87" w:rsidRDefault="009A7F87" w:rsidP="00120072">
      <w:pPr>
        <w:pStyle w:val="BodyText"/>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A672D0">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lastRenderedPageBreak/>
              <w:br w:type="page"/>
              <w:t>0190 Other general public services</w:t>
            </w:r>
          </w:p>
        </w:tc>
      </w:tr>
      <w:tr w:rsidR="009A7F87" w:rsidRPr="00770229" w:rsidTr="00A672D0">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40"/>
              <w:jc w:val="left"/>
            </w:pPr>
            <w:r w:rsidRPr="00770229">
              <w:t>The ABS GPC definition identifies six types of other general public services:</w:t>
            </w:r>
          </w:p>
          <w:p w:rsidR="009A7F87" w:rsidRPr="00770229" w:rsidRDefault="009A7F87" w:rsidP="009A7F87">
            <w:pPr>
              <w:pStyle w:val="TableBullet"/>
              <w:numPr>
                <w:ilvl w:val="0"/>
                <w:numId w:val="24"/>
              </w:numPr>
              <w:spacing w:line="220" w:lineRule="atLeast"/>
            </w:pPr>
            <w:r w:rsidRPr="00770229">
              <w:t>legislative and executive affairs</w:t>
            </w:r>
          </w:p>
          <w:p w:rsidR="009A7F87" w:rsidRPr="00770229" w:rsidRDefault="009A7F87" w:rsidP="009A7F87">
            <w:pPr>
              <w:pStyle w:val="TableBullet"/>
              <w:numPr>
                <w:ilvl w:val="0"/>
                <w:numId w:val="24"/>
              </w:numPr>
              <w:spacing w:line="220" w:lineRule="atLeast"/>
            </w:pPr>
            <w:r w:rsidRPr="00770229">
              <w:t>financial and fiscal affairs</w:t>
            </w:r>
          </w:p>
          <w:p w:rsidR="009A7F87" w:rsidRPr="00770229" w:rsidRDefault="009A7F87" w:rsidP="009A7F87">
            <w:pPr>
              <w:pStyle w:val="TableBullet"/>
              <w:numPr>
                <w:ilvl w:val="0"/>
                <w:numId w:val="24"/>
              </w:numPr>
              <w:spacing w:line="220" w:lineRule="atLeast"/>
            </w:pPr>
            <w:r w:rsidRPr="00770229">
              <w:t>external affairs</w:t>
            </w:r>
          </w:p>
          <w:p w:rsidR="009A7F87" w:rsidRPr="00770229" w:rsidRDefault="009A7F87" w:rsidP="009A7F87">
            <w:pPr>
              <w:pStyle w:val="TableBullet"/>
              <w:numPr>
                <w:ilvl w:val="0"/>
                <w:numId w:val="24"/>
              </w:numPr>
              <w:spacing w:line="220" w:lineRule="atLeast"/>
            </w:pPr>
            <w:r w:rsidRPr="00770229">
              <w:t>foreign economic aid</w:t>
            </w:r>
          </w:p>
          <w:p w:rsidR="009A7F87" w:rsidRPr="00770229" w:rsidRDefault="009A7F87" w:rsidP="009A7F87">
            <w:pPr>
              <w:pStyle w:val="TableBullet"/>
              <w:numPr>
                <w:ilvl w:val="0"/>
                <w:numId w:val="24"/>
              </w:numPr>
              <w:spacing w:line="220" w:lineRule="atLeast"/>
            </w:pPr>
            <w:r w:rsidRPr="00770229">
              <w:t xml:space="preserve">general research </w:t>
            </w:r>
          </w:p>
          <w:p w:rsidR="009A7F87" w:rsidRPr="00770229" w:rsidRDefault="009A7F87" w:rsidP="009A7F87">
            <w:pPr>
              <w:pStyle w:val="TableBullet"/>
              <w:numPr>
                <w:ilvl w:val="0"/>
                <w:numId w:val="24"/>
              </w:numPr>
              <w:spacing w:line="220" w:lineRule="atLeast"/>
              <w:rPr>
                <w:b/>
                <w:sz w:val="24"/>
              </w:rPr>
            </w:pPr>
            <w:r w:rsidRPr="00770229">
              <w:t>general services.</w:t>
            </w:r>
          </w:p>
          <w:p w:rsidR="009A7F87" w:rsidRPr="00770229" w:rsidRDefault="009A7F87" w:rsidP="009A7F87">
            <w:pPr>
              <w:pStyle w:val="TableBodyText"/>
              <w:keepNext w:val="0"/>
              <w:keepLines w:val="0"/>
              <w:spacing w:before="80" w:after="80"/>
              <w:jc w:val="left"/>
              <w:rPr>
                <w:szCs w:val="26"/>
              </w:rPr>
            </w:pPr>
            <w:r w:rsidRPr="00770229">
              <w:rPr>
                <w:b/>
              </w:rPr>
              <w:t>A detailed definition of expenditure included under this category is provided in the 201</w:t>
            </w:r>
            <w:r>
              <w:rPr>
                <w:b/>
              </w:rPr>
              <w:t>7</w:t>
            </w:r>
            <w:r w:rsidRPr="00770229">
              <w:rPr>
                <w:b/>
              </w:rPr>
              <w:t xml:space="preserve"> </w:t>
            </w:r>
            <w:r w:rsidRPr="00DF2CB4">
              <w:rPr>
                <w:b/>
              </w:rPr>
              <w:t xml:space="preserve">Report </w:t>
            </w:r>
            <w:r w:rsidRPr="00770229">
              <w:rPr>
                <w:b/>
              </w:rPr>
              <w:t>Expenditure Data Manual (</w:t>
            </w:r>
            <w:r w:rsidRPr="00F56AE1">
              <w:t>http://www.pc.gov.au/ier2017</w:t>
            </w:r>
            <w:r w:rsidRPr="00770229">
              <w:rPr>
                <w:b/>
              </w:rPr>
              <w:t>).</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Other general public services cover a range of programs. As a consequence, the key cost drivers are varied and cannot be linked closely with a particular service area or cohort of service users. </w:t>
            </w:r>
          </w:p>
          <w:p w:rsidR="009A7F87" w:rsidRPr="00770229" w:rsidRDefault="009A7F87" w:rsidP="009A7F87">
            <w:pPr>
              <w:pStyle w:val="TableBodyText"/>
              <w:keepNext w:val="0"/>
              <w:keepLines w:val="0"/>
              <w:spacing w:before="80" w:after="80"/>
              <w:jc w:val="left"/>
              <w:rPr>
                <w:szCs w:val="26"/>
              </w:rPr>
            </w:pPr>
            <w:r w:rsidRPr="00770229">
              <w:t>It is assumed that the costs associated with this expenditure are driven by the population on a uniform basis.</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40137F" w:rsidTr="000E0C9E">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40137F"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40137F"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40137F" w:rsidRDefault="009A7F87" w:rsidP="009A7F87">
            <w:pPr>
              <w:pStyle w:val="TableColumnHeading"/>
              <w:keepNext w:val="0"/>
              <w:ind w:left="180"/>
              <w:jc w:val="center"/>
            </w:pPr>
            <w:r w:rsidRPr="0040137F">
              <w:t>Data Years</w:t>
            </w:r>
          </w:p>
        </w:tc>
      </w:tr>
      <w:tr w:rsidR="009A7F87" w:rsidRPr="0040137F"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40137F" w:rsidRDefault="009A7F87" w:rsidP="009A7F87">
            <w:pPr>
              <w:pStyle w:val="TableBodyText"/>
              <w:keepNext w:val="0"/>
              <w:spacing w:before="60" w:after="60"/>
              <w:ind w:left="0"/>
              <w:jc w:val="both"/>
              <w:rPr>
                <w:i/>
              </w:rPr>
            </w:pPr>
            <w:r w:rsidRPr="0040137F">
              <w:rPr>
                <w:i/>
              </w:rPr>
              <w:br/>
              <w:t>Measure</w:t>
            </w:r>
            <w:r w:rsidRPr="00944F69">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40137F" w:rsidRDefault="009A7F87" w:rsidP="009A7F87">
            <w:pPr>
              <w:pStyle w:val="TableBodyText"/>
              <w:keepNext w:val="0"/>
              <w:spacing w:before="60" w:after="60"/>
              <w:ind w:left="180"/>
              <w:jc w:val="left"/>
              <w:rPr>
                <w:i/>
              </w:rPr>
            </w:pPr>
            <w:r w:rsidRPr="0040137F">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40137F" w:rsidRDefault="009A7F87" w:rsidP="009A7F87">
            <w:pPr>
              <w:pStyle w:val="TableBodyText"/>
              <w:keepNext w:val="0"/>
              <w:spacing w:before="60" w:after="60"/>
              <w:ind w:left="2"/>
              <w:jc w:val="center"/>
              <w:rPr>
                <w:i/>
              </w:rPr>
            </w:pPr>
            <w:r w:rsidRPr="0040137F">
              <w:rPr>
                <w:i/>
              </w:rPr>
              <w:t>2008</w:t>
            </w:r>
            <w:r w:rsidRPr="0040137F">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40137F" w:rsidRDefault="009A7F87" w:rsidP="009A7F87">
            <w:pPr>
              <w:pStyle w:val="TableBodyText"/>
              <w:keepNext w:val="0"/>
              <w:spacing w:before="60" w:after="60"/>
              <w:ind w:left="2"/>
              <w:jc w:val="center"/>
              <w:rPr>
                <w:i/>
              </w:rPr>
            </w:pPr>
            <w:r w:rsidRPr="0040137F">
              <w:rPr>
                <w:i/>
              </w:rPr>
              <w:t>2010</w:t>
            </w:r>
            <w:r w:rsidRPr="0040137F">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40137F" w:rsidRDefault="009A7F87" w:rsidP="009A7F87">
            <w:pPr>
              <w:pStyle w:val="TableBodyText"/>
              <w:keepNext w:val="0"/>
              <w:spacing w:before="60" w:after="60"/>
              <w:ind w:left="2"/>
              <w:jc w:val="center"/>
              <w:rPr>
                <w:i/>
              </w:rPr>
            </w:pPr>
            <w:r w:rsidRPr="0040137F">
              <w:rPr>
                <w:i/>
              </w:rPr>
              <w:t>2012</w:t>
            </w:r>
            <w:r w:rsidRPr="0040137F">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40137F" w:rsidRDefault="009A7F87" w:rsidP="009A7F87">
            <w:pPr>
              <w:pStyle w:val="TableBodyText"/>
              <w:keepNext w:val="0"/>
              <w:spacing w:before="60" w:after="60"/>
              <w:ind w:left="2"/>
              <w:jc w:val="center"/>
              <w:rPr>
                <w:i/>
              </w:rPr>
            </w:pPr>
            <w:r w:rsidRPr="0040137F">
              <w:rPr>
                <w:i/>
              </w:rPr>
              <w:t>2015</w:t>
            </w:r>
            <w:r w:rsidRPr="0040137F">
              <w:rPr>
                <w:i/>
              </w:rPr>
              <w:noBreakHyphen/>
              <w:t>16 Estimates</w:t>
            </w:r>
          </w:p>
        </w:tc>
      </w:tr>
      <w:tr w:rsidR="009A7F87" w:rsidRPr="00770229" w:rsidTr="000E0C9E">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rsidRPr="00770229">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rsidRPr="00770229">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rsidRPr="00FF7A3F">
              <w:t>June</w:t>
            </w:r>
            <w:r w:rsidRPr="00770229">
              <w:t xml:space="preserv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 xml:space="preserve">June </w:t>
            </w:r>
            <w:r w:rsidRPr="00FF7A3F">
              <w:t>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0E0C9E">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3C29E2">
              <w:t>(Cat. no. 3101.0)</w:t>
            </w:r>
          </w:p>
        </w:tc>
        <w:tc>
          <w:tcPr>
            <w:tcW w:w="584"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2009</w:t>
            </w:r>
            <w:r>
              <w:br/>
            </w:r>
          </w:p>
        </w:tc>
        <w:tc>
          <w:tcPr>
            <w:tcW w:w="585" w:type="pct"/>
            <w:gridSpan w:val="2"/>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2011</w:t>
            </w:r>
            <w:r>
              <w:br/>
            </w:r>
          </w:p>
        </w:tc>
        <w:tc>
          <w:tcPr>
            <w:tcW w:w="585"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2013</w:t>
            </w:r>
            <w:r>
              <w:br/>
            </w:r>
          </w:p>
        </w:tc>
        <w:tc>
          <w:tcPr>
            <w:tcW w:w="583" w:type="pct"/>
            <w:gridSpan w:val="2"/>
            <w:tcBorders>
              <w:bottom w:val="single" w:sz="4" w:space="0" w:color="808080" w:themeColor="background1" w:themeShade="80"/>
            </w:tcBorders>
          </w:tcPr>
          <w:p w:rsidR="009A7F87" w:rsidRPr="00770229" w:rsidRDefault="009A7F87" w:rsidP="009A7F87">
            <w:pPr>
              <w:pStyle w:val="TableBodyText"/>
              <w:keepNext w:val="0"/>
              <w:spacing w:before="60" w:after="60"/>
              <w:ind w:left="2"/>
              <w:jc w:val="center"/>
            </w:pPr>
            <w:r>
              <w:t xml:space="preserve">June </w:t>
            </w:r>
            <w:r w:rsidRPr="00FF7A3F">
              <w:t>2016</w:t>
            </w: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Default="009A7F87" w:rsidP="009A7F87">
            <w:pPr>
              <w:pStyle w:val="Note"/>
              <w:rPr>
                <w:i/>
              </w:rPr>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sectPr w:rsidR="009A7F87" w:rsidSect="009A7F87">
          <w:headerReference w:type="even" r:id="rId75"/>
          <w:headerReference w:type="default" r:id="rId76"/>
          <w:footerReference w:type="even" r:id="rId77"/>
          <w:footerReference w:type="default" r:id="rId78"/>
          <w:footnotePr>
            <w:numRestart w:val="eachSect"/>
          </w:footnotePr>
          <w:type w:val="oddPage"/>
          <w:pgSz w:w="11907" w:h="16840" w:code="9"/>
          <w:pgMar w:top="1985" w:right="1304" w:bottom="1247" w:left="1814" w:header="1701" w:footer="397" w:gutter="0"/>
          <w:pgNumType w:chapSep="period"/>
          <w:cols w:space="720"/>
          <w:docGrid w:linePitch="326"/>
        </w:sectPr>
      </w:pPr>
    </w:p>
    <w:p w:rsidR="009A7F87" w:rsidRDefault="009A7F87">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9A7F87">
        <w:tc>
          <w:tcPr>
            <w:tcW w:w="6634" w:type="dxa"/>
            <w:tcBorders>
              <w:top w:val="single" w:sz="6" w:space="0" w:color="auto"/>
            </w:tcBorders>
          </w:tcPr>
          <w:p w:rsidR="009A7F87" w:rsidRDefault="009A7F87">
            <w:pPr>
              <w:pStyle w:val="PartDivider"/>
            </w:pPr>
          </w:p>
        </w:tc>
        <w:tc>
          <w:tcPr>
            <w:tcW w:w="2155" w:type="dxa"/>
            <w:tcBorders>
              <w:top w:val="single" w:sz="24" w:space="0" w:color="auto"/>
            </w:tcBorders>
          </w:tcPr>
          <w:p w:rsidR="009A7F87" w:rsidRDefault="009A7F87">
            <w:pPr>
              <w:pStyle w:val="PartDivider"/>
            </w:pPr>
          </w:p>
        </w:tc>
      </w:tr>
    </w:tbl>
    <w:p w:rsidR="009A7F87" w:rsidRDefault="009A7F87">
      <w:pPr>
        <w:pStyle w:val="PartDivider"/>
      </w:pPr>
    </w:p>
    <w:p w:rsidR="009A7F87" w:rsidRDefault="009A7F87" w:rsidP="009A7F87">
      <w:pPr>
        <w:pStyle w:val="PartTitle"/>
        <w:spacing w:after="240"/>
      </w:pPr>
      <w:r>
        <w:t>GPC 02</w:t>
      </w:r>
    </w:p>
    <w:p w:rsidR="009A7F87" w:rsidRDefault="009A7F87" w:rsidP="009A7F87">
      <w:pPr>
        <w:pStyle w:val="PartTitle"/>
        <w:spacing w:after="240"/>
      </w:pPr>
      <w:r>
        <w:t>defence</w:t>
      </w:r>
    </w:p>
    <w:p w:rsidR="009A7F87" w:rsidRDefault="009A7F87" w:rsidP="009A7F87">
      <w:pPr>
        <w:pStyle w:val="BodyText"/>
        <w:rPr>
          <w:sz w:val="52"/>
        </w:rPr>
      </w:pPr>
      <w:r>
        <w:br w:type="page"/>
      </w:r>
    </w:p>
    <w:p w:rsidR="009A7F87" w:rsidRPr="003755C6" w:rsidRDefault="009A7F87" w:rsidP="009A7F87">
      <w:pPr>
        <w:rPr>
          <w:szCs w:val="20"/>
        </w:rPr>
      </w:pPr>
    </w:p>
    <w:p w:rsidR="009A7F87" w:rsidRDefault="009A7F87" w:rsidP="009A7F87">
      <w:pPr>
        <w:sectPr w:rsidR="009A7F87" w:rsidSect="009A7F87">
          <w:headerReference w:type="even" r:id="rId79"/>
          <w:headerReference w:type="default" r:id="rId80"/>
          <w:footerReference w:type="even" r:id="rId81"/>
          <w:footerReference w:type="default" r:id="rId82"/>
          <w:footnotePr>
            <w:numRestart w:val="eachSect"/>
          </w:footnotePr>
          <w:type w:val="oddPage"/>
          <w:pgSz w:w="11907" w:h="16840" w:code="9"/>
          <w:pgMar w:top="1985" w:right="1304" w:bottom="1247" w:left="1814" w:header="1701" w:footer="397" w:gutter="0"/>
          <w:pgNumType w:chapSep="period"/>
          <w:cols w:space="720"/>
          <w:docGrid w:linePitch="326"/>
        </w:sectPr>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2E2409">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bookmarkStart w:id="28" w:name="_Ref266098242"/>
            <w:r w:rsidRPr="00770229">
              <w:lastRenderedPageBreak/>
              <w:t>0200 Defence</w:t>
            </w:r>
            <w:bookmarkEnd w:id="28"/>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The Australian Government has the constitutional responsibility to provide defence services. </w:t>
            </w:r>
          </w:p>
          <w:p w:rsidR="009A7F87" w:rsidRPr="00770229" w:rsidRDefault="009A7F87" w:rsidP="009A7F87">
            <w:pPr>
              <w:pStyle w:val="TableBullet"/>
              <w:numPr>
                <w:ilvl w:val="0"/>
                <w:numId w:val="0"/>
              </w:numPr>
            </w:pPr>
            <w:r w:rsidRPr="00770229">
              <w:t>The ABS GPC definition identifies three types of defence expenditure that should be included under this category:</w:t>
            </w:r>
          </w:p>
          <w:p w:rsidR="009A7F87" w:rsidRPr="00770229" w:rsidRDefault="009A7F87" w:rsidP="009A7F87">
            <w:pPr>
              <w:pStyle w:val="TableBullet"/>
              <w:numPr>
                <w:ilvl w:val="0"/>
                <w:numId w:val="24"/>
              </w:numPr>
              <w:spacing w:line="220" w:lineRule="atLeast"/>
            </w:pPr>
            <w:r w:rsidRPr="00770229">
              <w:rPr>
                <w:i/>
              </w:rPr>
              <w:t>military and civil defence affairs</w:t>
            </w:r>
            <w:r w:rsidRPr="00770229">
              <w:t xml:space="preserve"> — includes expenditure on land, sea, air and reservist combat personnel, engineering, transport, communications, intelligence, training and recruitment, and other non</w:t>
            </w:r>
            <w:r w:rsidRPr="00770229">
              <w:noBreakHyphen/>
              <w:t>combatant personnel and associated services</w:t>
            </w:r>
          </w:p>
          <w:p w:rsidR="009A7F87" w:rsidRPr="00770229" w:rsidRDefault="009A7F87" w:rsidP="009A7F87">
            <w:pPr>
              <w:pStyle w:val="TableBullet"/>
              <w:numPr>
                <w:ilvl w:val="0"/>
                <w:numId w:val="24"/>
              </w:numPr>
              <w:spacing w:line="220" w:lineRule="atLeast"/>
            </w:pPr>
            <w:r w:rsidRPr="00770229">
              <w:rPr>
                <w:i/>
              </w:rPr>
              <w:t>foreign military aid</w:t>
            </w:r>
            <w:r w:rsidRPr="00770229">
              <w:t xml:space="preserve"> — includes expenditure on military aid missions and military aid grants, and advances and contributions to international peace</w:t>
            </w:r>
            <w:r w:rsidRPr="00770229">
              <w:noBreakHyphen/>
              <w:t>keeping forces</w:t>
            </w:r>
          </w:p>
          <w:p w:rsidR="009A7F87" w:rsidRPr="00770229" w:rsidRDefault="009A7F87" w:rsidP="009A7F87">
            <w:pPr>
              <w:pStyle w:val="TableBullet"/>
            </w:pPr>
            <w:r w:rsidRPr="00770229">
              <w:rPr>
                <w:i/>
              </w:rPr>
              <w:t>defence research</w:t>
            </w:r>
            <w:r w:rsidRPr="00770229">
              <w:t xml:space="preserve"> — includes expenditure on research and experimental development related to the armed forces and civil defence.</w:t>
            </w:r>
          </w:p>
          <w:p w:rsidR="009A7F87" w:rsidRPr="00770229" w:rsidRDefault="009A7F87" w:rsidP="009A7F87">
            <w:pPr>
              <w:pStyle w:val="TableBodyText"/>
              <w:jc w:val="left"/>
              <w:rPr>
                <w:b/>
                <w:sz w:val="24"/>
              </w:rPr>
            </w:pPr>
            <w:r w:rsidRPr="00770229">
              <w:rPr>
                <w:b/>
              </w:rPr>
              <w:t>A detailed definition of expenditure included under this category is provided in the 201</w:t>
            </w:r>
            <w:r>
              <w:rPr>
                <w:b/>
              </w:rPr>
              <w:t>7</w:t>
            </w:r>
            <w:r w:rsidRPr="00770229">
              <w:rPr>
                <w:b/>
              </w:rPr>
              <w:t xml:space="preserve"> </w:t>
            </w:r>
            <w:r w:rsidRPr="00DF2CB4">
              <w:rPr>
                <w:b/>
              </w:rPr>
              <w:t xml:space="preserve">Report </w:t>
            </w:r>
            <w:r w:rsidRPr="00770229">
              <w:rPr>
                <w:b/>
              </w:rPr>
              <w:t>Expenditure Data Manual (</w:t>
            </w:r>
            <w:r w:rsidRPr="00F56AE1">
              <w:rPr>
                <w:b/>
              </w:rPr>
              <w:t>http://www.pc.gov.au/ier2017</w:t>
            </w:r>
            <w:r w:rsidRPr="00770229">
              <w:rPr>
                <w:b/>
              </w:rPr>
              <w:t>).</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The key cost drivers of expenditure on defence are not linked closely with a particular service area or cohort of service users. </w:t>
            </w:r>
          </w:p>
          <w:p w:rsidR="009A7F87" w:rsidRPr="00770229" w:rsidRDefault="009A7F87" w:rsidP="009A7F87">
            <w:pPr>
              <w:pStyle w:val="TableBodyText"/>
              <w:keepNext w:val="0"/>
              <w:keepLines w:val="0"/>
              <w:spacing w:before="80" w:after="80"/>
              <w:jc w:val="left"/>
              <w:rPr>
                <w:szCs w:val="26"/>
              </w:rPr>
            </w:pPr>
            <w:r w:rsidRPr="00770229">
              <w:t xml:space="preserve">It is assumed that the costs associated with this expenditure are driven by the population on a uniform basis. </w:t>
            </w:r>
            <w:r w:rsidRPr="00770229">
              <w:rPr>
                <w:szCs w:val="26"/>
              </w:rPr>
              <w:t xml:space="preserve"> </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170E5C"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170E5C"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170E5C"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170E5C" w:rsidRDefault="009A7F87" w:rsidP="009A7F87">
            <w:pPr>
              <w:pStyle w:val="TableColumnHeading"/>
              <w:keepNext w:val="0"/>
              <w:ind w:left="180"/>
              <w:jc w:val="center"/>
            </w:pPr>
            <w:r w:rsidRPr="00170E5C">
              <w:t>Data Years</w:t>
            </w:r>
          </w:p>
        </w:tc>
      </w:tr>
      <w:tr w:rsidR="009A7F87" w:rsidRPr="00170E5C"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170E5C" w:rsidRDefault="009A7F87" w:rsidP="009A7F87">
            <w:pPr>
              <w:pStyle w:val="TableBodyText"/>
              <w:keepNext w:val="0"/>
              <w:spacing w:before="60" w:after="60"/>
              <w:ind w:left="0"/>
              <w:jc w:val="both"/>
              <w:rPr>
                <w:i/>
              </w:rPr>
            </w:pPr>
            <w:r w:rsidRPr="00170E5C">
              <w:rPr>
                <w:i/>
              </w:rPr>
              <w:br/>
              <w:t>Measure</w:t>
            </w:r>
            <w:r w:rsidRPr="00944F69">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170E5C" w:rsidRDefault="009A7F87" w:rsidP="009A7F87">
            <w:pPr>
              <w:pStyle w:val="TableBodyText"/>
              <w:keepNext w:val="0"/>
              <w:spacing w:before="60" w:after="60"/>
              <w:ind w:left="180"/>
              <w:jc w:val="left"/>
              <w:rPr>
                <w:i/>
              </w:rPr>
            </w:pPr>
            <w:r w:rsidRPr="00170E5C">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170E5C" w:rsidRDefault="009A7F87" w:rsidP="009A7F87">
            <w:pPr>
              <w:pStyle w:val="TableBodyText"/>
              <w:keepNext w:val="0"/>
              <w:spacing w:before="60" w:after="60"/>
              <w:ind w:left="2"/>
              <w:jc w:val="center"/>
              <w:rPr>
                <w:i/>
              </w:rPr>
            </w:pPr>
            <w:r w:rsidRPr="00170E5C">
              <w:rPr>
                <w:i/>
              </w:rPr>
              <w:t>2008</w:t>
            </w:r>
            <w:r w:rsidRPr="00170E5C">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170E5C" w:rsidRDefault="009A7F87" w:rsidP="009A7F87">
            <w:pPr>
              <w:pStyle w:val="TableBodyText"/>
              <w:keepNext w:val="0"/>
              <w:spacing w:before="60" w:after="60"/>
              <w:ind w:left="2"/>
              <w:jc w:val="center"/>
              <w:rPr>
                <w:i/>
              </w:rPr>
            </w:pPr>
            <w:r w:rsidRPr="00170E5C">
              <w:rPr>
                <w:i/>
              </w:rPr>
              <w:t>2010</w:t>
            </w:r>
            <w:r w:rsidRPr="00170E5C">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170E5C" w:rsidRDefault="009A7F87" w:rsidP="009A7F87">
            <w:pPr>
              <w:pStyle w:val="TableBodyText"/>
              <w:keepNext w:val="0"/>
              <w:spacing w:before="60" w:after="60"/>
              <w:ind w:left="2"/>
              <w:jc w:val="center"/>
              <w:rPr>
                <w:i/>
              </w:rPr>
            </w:pPr>
            <w:r w:rsidRPr="00170E5C">
              <w:rPr>
                <w:i/>
              </w:rPr>
              <w:t>2012</w:t>
            </w:r>
            <w:r w:rsidRPr="00170E5C">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170E5C" w:rsidRDefault="009A7F87" w:rsidP="009A7F87">
            <w:pPr>
              <w:pStyle w:val="TableBodyText"/>
              <w:keepNext w:val="0"/>
              <w:spacing w:before="60" w:after="60"/>
              <w:ind w:left="2"/>
              <w:jc w:val="center"/>
              <w:rPr>
                <w:i/>
              </w:rPr>
            </w:pPr>
            <w:r w:rsidRPr="00170E5C">
              <w:rPr>
                <w:i/>
              </w:rPr>
              <w:t>2015</w:t>
            </w:r>
            <w:r w:rsidRPr="00170E5C">
              <w:rPr>
                <w:i/>
              </w:rPr>
              <w:noBreakHyphen/>
              <w:t>16 Estimates</w:t>
            </w:r>
          </w:p>
        </w:tc>
      </w:tr>
      <w:tr w:rsidR="009A7F87" w:rsidRPr="00770229" w:rsidTr="000E0C9E">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w:t>
            </w:r>
            <w:r>
              <w:br/>
            </w:r>
            <w:r w:rsidRPr="00770229">
              <w:t>(Cat.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rsidRPr="00770229">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rsidRPr="00770229">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rsidRPr="00FF7A3F">
              <w:t>June</w:t>
            </w:r>
            <w:r w:rsidRPr="00770229">
              <w:t xml:space="preserv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 xml:space="preserve">June </w:t>
            </w:r>
            <w:r w:rsidRPr="00FF7A3F">
              <w:t>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0E0C9E">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E16701">
              <w:t>(Cat. no. 3101.0)</w:t>
            </w:r>
          </w:p>
        </w:tc>
        <w:tc>
          <w:tcPr>
            <w:tcW w:w="584"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2009</w:t>
            </w:r>
            <w:r>
              <w:br/>
            </w:r>
          </w:p>
        </w:tc>
        <w:tc>
          <w:tcPr>
            <w:tcW w:w="585" w:type="pct"/>
            <w:gridSpan w:val="2"/>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2011</w:t>
            </w:r>
            <w:r>
              <w:br/>
            </w:r>
          </w:p>
        </w:tc>
        <w:tc>
          <w:tcPr>
            <w:tcW w:w="585"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2013</w:t>
            </w:r>
            <w:r>
              <w:br/>
            </w:r>
          </w:p>
        </w:tc>
        <w:tc>
          <w:tcPr>
            <w:tcW w:w="583" w:type="pct"/>
            <w:gridSpan w:val="2"/>
            <w:tcBorders>
              <w:bottom w:val="single" w:sz="4" w:space="0" w:color="808080" w:themeColor="background1" w:themeShade="80"/>
            </w:tcBorders>
          </w:tcPr>
          <w:p w:rsidR="009A7F87" w:rsidRPr="00770229" w:rsidRDefault="009A7F87" w:rsidP="009A7F87">
            <w:pPr>
              <w:pStyle w:val="TableBodyText"/>
              <w:keepNext w:val="0"/>
              <w:spacing w:before="60" w:after="60"/>
              <w:ind w:left="2"/>
              <w:jc w:val="center"/>
            </w:pPr>
            <w:r>
              <w:t xml:space="preserve">June </w:t>
            </w:r>
            <w:r w:rsidRPr="00FF7A3F">
              <w:t>2016</w:t>
            </w: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Default="009A7F87" w:rsidP="009A7F87">
            <w:pPr>
              <w:pStyle w:val="Note"/>
              <w:rPr>
                <w:i/>
              </w:rPr>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9A7F87">
      <w:pPr>
        <w:pStyle w:val="BodyText"/>
      </w:pPr>
    </w:p>
    <w:p w:rsidR="009A7F87" w:rsidRDefault="009A7F87" w:rsidP="009A7F87">
      <w:pPr>
        <w:sectPr w:rsidR="009A7F87" w:rsidSect="009A7F87">
          <w:headerReference w:type="even" r:id="rId83"/>
          <w:headerReference w:type="default" r:id="rId84"/>
          <w:footerReference w:type="even" r:id="rId85"/>
          <w:footerReference w:type="default" r:id="rId86"/>
          <w:footnotePr>
            <w:numRestart w:val="eachSect"/>
          </w:footnotePr>
          <w:type w:val="oddPage"/>
          <w:pgSz w:w="11907" w:h="16840" w:code="9"/>
          <w:pgMar w:top="1985" w:right="1304" w:bottom="1247" w:left="1814" w:header="1701" w:footer="397" w:gutter="0"/>
          <w:pgNumType w:chapSep="period"/>
          <w:cols w:space="720"/>
          <w:docGrid w:linePitch="326"/>
        </w:sectPr>
      </w:pPr>
    </w:p>
    <w:p w:rsidR="009A7F87" w:rsidRDefault="009A7F87">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9A7F87">
        <w:tc>
          <w:tcPr>
            <w:tcW w:w="6634" w:type="dxa"/>
            <w:tcBorders>
              <w:top w:val="single" w:sz="6" w:space="0" w:color="auto"/>
            </w:tcBorders>
          </w:tcPr>
          <w:p w:rsidR="009A7F87" w:rsidRDefault="009A7F87">
            <w:pPr>
              <w:pStyle w:val="PartDivider"/>
            </w:pPr>
          </w:p>
        </w:tc>
        <w:tc>
          <w:tcPr>
            <w:tcW w:w="2155" w:type="dxa"/>
            <w:tcBorders>
              <w:top w:val="single" w:sz="24" w:space="0" w:color="auto"/>
            </w:tcBorders>
          </w:tcPr>
          <w:p w:rsidR="009A7F87" w:rsidRDefault="009A7F87">
            <w:pPr>
              <w:pStyle w:val="PartDivider"/>
            </w:pPr>
          </w:p>
        </w:tc>
      </w:tr>
    </w:tbl>
    <w:p w:rsidR="009A7F87" w:rsidRDefault="009A7F87">
      <w:pPr>
        <w:pStyle w:val="PartDivider"/>
      </w:pPr>
    </w:p>
    <w:p w:rsidR="009A7F87" w:rsidRDefault="009A7F87" w:rsidP="009A7F87">
      <w:pPr>
        <w:pStyle w:val="PartTitle"/>
        <w:spacing w:after="240"/>
      </w:pPr>
      <w:r>
        <w:t>GPC 03</w:t>
      </w:r>
    </w:p>
    <w:p w:rsidR="009A7F87" w:rsidRDefault="009A7F87" w:rsidP="009A7F87">
      <w:pPr>
        <w:pStyle w:val="PartTitle"/>
        <w:spacing w:after="240"/>
      </w:pPr>
      <w:r>
        <w:t>public order and safety</w:t>
      </w:r>
    </w:p>
    <w:p w:rsidR="009A7F87" w:rsidRDefault="009A7F87" w:rsidP="009A7F87">
      <w:pPr>
        <w:pStyle w:val="BodyText"/>
        <w:rPr>
          <w:sz w:val="52"/>
        </w:rPr>
      </w:pPr>
      <w:r>
        <w:br w:type="page"/>
      </w:r>
    </w:p>
    <w:p w:rsidR="009A7F87" w:rsidRPr="003755C6" w:rsidRDefault="009A7F87" w:rsidP="009A7F87">
      <w:pPr>
        <w:rPr>
          <w:szCs w:val="20"/>
        </w:rPr>
      </w:pPr>
    </w:p>
    <w:p w:rsidR="009A7F87" w:rsidRDefault="009A7F87" w:rsidP="009A7F87">
      <w:pPr>
        <w:sectPr w:rsidR="009A7F87" w:rsidSect="009A7F87">
          <w:headerReference w:type="even" r:id="rId87"/>
          <w:headerReference w:type="default" r:id="rId88"/>
          <w:footerReference w:type="even" r:id="rId89"/>
          <w:footerReference w:type="default" r:id="rId90"/>
          <w:footnotePr>
            <w:numRestart w:val="eachSect"/>
          </w:footnotePr>
          <w:type w:val="oddPage"/>
          <w:pgSz w:w="11907" w:h="16840" w:code="9"/>
          <w:pgMar w:top="1985" w:right="1304" w:bottom="1247" w:left="1814" w:header="1701" w:footer="397" w:gutter="0"/>
          <w:pgNumType w:chapSep="period"/>
          <w:cols w:space="720"/>
          <w:docGrid w:linePitch="326"/>
        </w:sectPr>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6314"/>
        <w:gridCol w:w="2482"/>
      </w:tblGrid>
      <w:tr w:rsidR="009A7F87" w:rsidRPr="00770229" w:rsidTr="002E2409">
        <w:tc>
          <w:tcPr>
            <w:tcW w:w="5000" w:type="pct"/>
            <w:gridSpan w:val="2"/>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t>0</w:t>
            </w:r>
            <w:r>
              <w:t>3</w:t>
            </w:r>
            <w:r w:rsidRPr="00770229">
              <w:t xml:space="preserve">11 </w:t>
            </w:r>
            <w:r>
              <w:t>Police services</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589" w:type="pct"/>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2"/>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2"/>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In Australia, police services cover four broad areas of law enforcement.</w:t>
            </w:r>
          </w:p>
          <w:p w:rsidR="009A7F87" w:rsidRPr="00770229" w:rsidRDefault="009A7F87" w:rsidP="009A7F87">
            <w:pPr>
              <w:pStyle w:val="TableBullet"/>
              <w:keepNext w:val="0"/>
              <w:numPr>
                <w:ilvl w:val="0"/>
                <w:numId w:val="26"/>
              </w:numPr>
              <w:spacing w:line="220" w:lineRule="atLeast"/>
            </w:pPr>
            <w:r w:rsidRPr="00770229">
              <w:rPr>
                <w:i/>
              </w:rPr>
              <w:t>Major crime and corruption</w:t>
            </w:r>
            <w:r w:rsidRPr="00770229">
              <w:t xml:space="preserve"> — Investigation and apprehension of offenders engaged in major crime or corruption undertaken by public service agencies.</w:t>
            </w:r>
          </w:p>
          <w:p w:rsidR="009A7F87" w:rsidRPr="00770229" w:rsidRDefault="009A7F87" w:rsidP="009A7F87">
            <w:pPr>
              <w:pStyle w:val="TableBullet"/>
              <w:keepNext w:val="0"/>
              <w:numPr>
                <w:ilvl w:val="0"/>
                <w:numId w:val="26"/>
              </w:numPr>
              <w:spacing w:line="220" w:lineRule="atLeast"/>
            </w:pPr>
            <w:r w:rsidRPr="00770229">
              <w:rPr>
                <w:i/>
              </w:rPr>
              <w:t>Law enforcement integrity</w:t>
            </w:r>
            <w:r w:rsidRPr="00770229">
              <w:t xml:space="preserve"> — Handling and investigation of complaints regarding the conduct of law enforcement agencies (such as by Ombudsman Offices).</w:t>
            </w:r>
          </w:p>
          <w:p w:rsidR="009A7F87" w:rsidRPr="00770229" w:rsidRDefault="009A7F87" w:rsidP="009A7F87">
            <w:pPr>
              <w:pStyle w:val="TableBullet"/>
              <w:keepNext w:val="0"/>
              <w:numPr>
                <w:ilvl w:val="0"/>
                <w:numId w:val="26"/>
              </w:numPr>
              <w:spacing w:line="220" w:lineRule="atLeast"/>
            </w:pPr>
            <w:r w:rsidRPr="00770229">
              <w:rPr>
                <w:i/>
              </w:rPr>
              <w:t>Border control</w:t>
            </w:r>
            <w:r w:rsidRPr="00770229">
              <w:t xml:space="preserve"> — Activities related to the enforcement of Australia’s border control legislation.</w:t>
            </w:r>
          </w:p>
          <w:p w:rsidR="009A7F87" w:rsidRPr="00770229" w:rsidRDefault="009A7F87" w:rsidP="009A7F87">
            <w:pPr>
              <w:pStyle w:val="TableBullet"/>
              <w:keepNext w:val="0"/>
              <w:numPr>
                <w:ilvl w:val="0"/>
                <w:numId w:val="26"/>
              </w:numPr>
              <w:spacing w:line="220" w:lineRule="atLeast"/>
            </w:pPr>
            <w:r w:rsidRPr="00770229">
              <w:rPr>
                <w:i/>
              </w:rPr>
              <w:t>General policing services</w:t>
            </w:r>
            <w:r w:rsidRPr="00770229">
              <w:t xml:space="preserve"> — General activities of police agencies that relate to:</w:t>
            </w:r>
          </w:p>
          <w:p w:rsidR="009A7F87" w:rsidRPr="00770229" w:rsidRDefault="009A7F87" w:rsidP="009A7F87">
            <w:pPr>
              <w:pStyle w:val="TableBullet2"/>
            </w:pPr>
            <w:r w:rsidRPr="00770229">
              <w:rPr>
                <w:i/>
              </w:rPr>
              <w:t>criminal investigation</w:t>
            </w:r>
            <w:r w:rsidRPr="00770229">
              <w:t xml:space="preserve"> — activities related to the detection and investigation of offences and identifying and apprehending offenders</w:t>
            </w:r>
          </w:p>
          <w:p w:rsidR="009A7F87" w:rsidRPr="00770229" w:rsidRDefault="009A7F87" w:rsidP="009A7F87">
            <w:pPr>
              <w:pStyle w:val="TableBullet2"/>
            </w:pPr>
            <w:r w:rsidRPr="00770229">
              <w:rPr>
                <w:i/>
              </w:rPr>
              <w:t>traffic and commuter services</w:t>
            </w:r>
            <w:r w:rsidRPr="00770229">
              <w:t xml:space="preserve"> — activities related to maximising road safety and maintaining traffic flow, as well as the safety of commuters using public transport</w:t>
            </w:r>
          </w:p>
          <w:p w:rsidR="009A7F87" w:rsidRPr="00770229" w:rsidRDefault="009A7F87" w:rsidP="009A7F87">
            <w:pPr>
              <w:pStyle w:val="TableBullet2"/>
            </w:pPr>
            <w:r w:rsidRPr="00770229">
              <w:rPr>
                <w:i/>
              </w:rPr>
              <w:t>community safety and support</w:t>
            </w:r>
            <w:r w:rsidRPr="00770229">
              <w:t xml:space="preserve"> — activities aimed at preserving public order and promoting a safer community including crime prevention and community support</w:t>
            </w:r>
            <w:r>
              <w:t>.</w:t>
            </w:r>
          </w:p>
          <w:p w:rsidR="009A7F87" w:rsidRPr="00770229" w:rsidRDefault="009A7F87" w:rsidP="009A7F87">
            <w:pPr>
              <w:pStyle w:val="TableBodyText"/>
              <w:jc w:val="left"/>
              <w:rPr>
                <w:b/>
                <w:sz w:val="24"/>
              </w:rPr>
            </w:pPr>
            <w:r w:rsidRPr="00770229">
              <w:rPr>
                <w:b/>
              </w:rPr>
              <w:t>A detailed definition of expenditure included under this category is provided in the 201</w:t>
            </w:r>
            <w:r>
              <w:rPr>
                <w:b/>
              </w:rPr>
              <w:t>7</w:t>
            </w:r>
            <w:r w:rsidRPr="00770229">
              <w:rPr>
                <w:b/>
              </w:rPr>
              <w:t xml:space="preserve"> </w:t>
            </w:r>
            <w:r w:rsidRPr="00DF2CB4">
              <w:rPr>
                <w:b/>
              </w:rPr>
              <w:t xml:space="preserve">Report </w:t>
            </w:r>
            <w:r w:rsidRPr="00770229">
              <w:rPr>
                <w:b/>
              </w:rPr>
              <w:t>Expenditure Data Manual (</w:t>
            </w:r>
            <w:r w:rsidRPr="00F56AE1">
              <w:rPr>
                <w:b/>
              </w:rPr>
              <w:t>http://www.pc.gov.au/ier2017</w:t>
            </w:r>
            <w:r w:rsidRPr="00770229">
              <w:rPr>
                <w:b/>
              </w:rPr>
              <w:t>).</w:t>
            </w:r>
          </w:p>
        </w:tc>
      </w:tr>
      <w:tr w:rsidR="009A7F87" w:rsidRPr="00770229" w:rsidTr="00A672D0">
        <w:tc>
          <w:tcPr>
            <w:tcW w:w="5000" w:type="pct"/>
            <w:gridSpan w:val="2"/>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2"/>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Police services activities are diverse and consequently have a broad range of cost drivers:</w:t>
            </w:r>
          </w:p>
          <w:p w:rsidR="009A7F87" w:rsidRPr="00770229" w:rsidRDefault="009A7F87" w:rsidP="009A7F87">
            <w:pPr>
              <w:pStyle w:val="TableBullet"/>
              <w:keepNext w:val="0"/>
              <w:numPr>
                <w:ilvl w:val="0"/>
                <w:numId w:val="24"/>
              </w:numPr>
              <w:tabs>
                <w:tab w:val="clear" w:pos="170"/>
                <w:tab w:val="left" w:pos="284"/>
              </w:tabs>
              <w:spacing w:line="220" w:lineRule="atLeast"/>
              <w:ind w:left="284" w:hanging="284"/>
            </w:pPr>
            <w:r w:rsidRPr="00770229">
              <w:rPr>
                <w:i/>
              </w:rPr>
              <w:t>population size</w:t>
            </w:r>
            <w:r w:rsidRPr="00770229">
              <w:t xml:space="preserve"> — where services are provided to the entire community</w:t>
            </w:r>
          </w:p>
          <w:p w:rsidR="009A7F87" w:rsidRPr="00770229" w:rsidRDefault="009A7F87" w:rsidP="009A7F87">
            <w:pPr>
              <w:pStyle w:val="TableBullet"/>
              <w:keepNext w:val="0"/>
              <w:numPr>
                <w:ilvl w:val="0"/>
                <w:numId w:val="24"/>
              </w:numPr>
              <w:tabs>
                <w:tab w:val="clear" w:pos="170"/>
                <w:tab w:val="left" w:pos="284"/>
              </w:tabs>
              <w:spacing w:line="220" w:lineRule="atLeast"/>
              <w:ind w:left="284" w:hanging="284"/>
            </w:pPr>
            <w:r w:rsidRPr="00770229">
              <w:rPr>
                <w:i/>
              </w:rPr>
              <w:t>population characteristics</w:t>
            </w:r>
            <w:r w:rsidRPr="00770229">
              <w:t xml:space="preserve"> — some population groups are over</w:t>
            </w:r>
            <w:r w:rsidRPr="00770229">
              <w:noBreakHyphen/>
              <w:t>represented in the offender population for particular types of offences</w:t>
            </w:r>
          </w:p>
          <w:p w:rsidR="009A7F87" w:rsidRPr="00770229" w:rsidRDefault="009A7F87" w:rsidP="009A7F87">
            <w:pPr>
              <w:pStyle w:val="TableBullet"/>
              <w:keepNext w:val="0"/>
              <w:numPr>
                <w:ilvl w:val="0"/>
                <w:numId w:val="24"/>
              </w:numPr>
              <w:tabs>
                <w:tab w:val="clear" w:pos="170"/>
                <w:tab w:val="left" w:pos="284"/>
              </w:tabs>
              <w:spacing w:line="220" w:lineRule="atLeast"/>
              <w:ind w:left="284" w:hanging="284"/>
            </w:pPr>
            <w:r w:rsidRPr="00770229">
              <w:rPr>
                <w:i/>
              </w:rPr>
              <w:t>level and character of criminal activity</w:t>
            </w:r>
            <w:r w:rsidRPr="00770229">
              <w:t xml:space="preserve"> — where police activity focuses on crime investigation and prevention and the characteristics of criminal offenders and offences (including the likelihood of offences and incidents)</w:t>
            </w:r>
          </w:p>
          <w:p w:rsidR="009A7F87" w:rsidRPr="00770229" w:rsidRDefault="009A7F87" w:rsidP="009A7F87">
            <w:pPr>
              <w:pStyle w:val="TableBullet"/>
              <w:numPr>
                <w:ilvl w:val="0"/>
                <w:numId w:val="24"/>
              </w:numPr>
              <w:tabs>
                <w:tab w:val="clear" w:pos="170"/>
                <w:tab w:val="left" w:pos="284"/>
              </w:tabs>
              <w:spacing w:line="220" w:lineRule="atLeast"/>
              <w:ind w:left="284" w:hanging="284"/>
            </w:pPr>
            <w:r w:rsidRPr="00770229">
              <w:rPr>
                <w:i/>
              </w:rPr>
              <w:t>location</w:t>
            </w:r>
            <w:r w:rsidRPr="00770229">
              <w:t xml:space="preserve"> — the cost will be greater in areas where the likelihood and seriousness of crime is higher. They can also be higher in more remote locations and smaller communities (where economies of scale cannot easily be realised).</w:t>
            </w:r>
          </w:p>
          <w:p w:rsidR="009A7F87" w:rsidRPr="00770229" w:rsidRDefault="009A7F87" w:rsidP="009A7F87">
            <w:pPr>
              <w:pStyle w:val="TableBullet"/>
              <w:numPr>
                <w:ilvl w:val="0"/>
                <w:numId w:val="0"/>
              </w:numPr>
            </w:pPr>
            <w:r w:rsidRPr="00770229">
              <w:t>To reflect the complicated mix of cost drivers, the 201</w:t>
            </w:r>
            <w:r>
              <w:t>7</w:t>
            </w:r>
            <w:r w:rsidRPr="00770229">
              <w:t> Report prorates expenditure on these services on the basis of four unpublished expenditure sub</w:t>
            </w:r>
            <w:r>
              <w:noBreakHyphen/>
            </w:r>
            <w:r w:rsidRPr="00770229">
              <w:t>categories:</w:t>
            </w:r>
          </w:p>
          <w:p w:rsidR="009A7F87" w:rsidRPr="00770229" w:rsidRDefault="009A7F87" w:rsidP="009A7F87">
            <w:pPr>
              <w:pStyle w:val="TableBullet"/>
              <w:numPr>
                <w:ilvl w:val="0"/>
                <w:numId w:val="27"/>
              </w:numPr>
              <w:spacing w:line="220" w:lineRule="atLeast"/>
              <w:ind w:left="284" w:hanging="284"/>
            </w:pPr>
            <w:r w:rsidRPr="00770229">
              <w:rPr>
                <w:i/>
              </w:rPr>
              <w:t>strategic services (prorated using resident population)</w:t>
            </w:r>
            <w:r w:rsidRPr="00770229">
              <w:t xml:space="preserve"> — services such as ‘major crime or corruption’, ‘law enforcement integrity’ and ‘alien registration and border control’ are provided for strategic reasons or on behalf of the community as a whole. The agreed service use measure for this expenditure is the Aboriginal and Torres Strait Islander share of the resident population. All Australian Government expenditure falls into this category of expenditure.</w:t>
            </w:r>
          </w:p>
          <w:p w:rsidR="009A7F87" w:rsidRPr="00770229" w:rsidRDefault="009A7F87" w:rsidP="009A7F87">
            <w:pPr>
              <w:pStyle w:val="TableBullet"/>
              <w:numPr>
                <w:ilvl w:val="0"/>
                <w:numId w:val="0"/>
              </w:numPr>
            </w:pPr>
            <w:r w:rsidRPr="00770229">
              <w:rPr>
                <w:i/>
              </w:rPr>
              <w:t>General policing services expenditure</w:t>
            </w:r>
            <w:r w:rsidRPr="00770229">
              <w:t xml:space="preserve"> — the activities of police agencies (excluding support to the judiciary) is prorated on the basis of the following sub</w:t>
            </w:r>
            <w:r>
              <w:noBreakHyphen/>
            </w:r>
            <w:r w:rsidRPr="00770229">
              <w:t>categories:</w:t>
            </w:r>
          </w:p>
          <w:p w:rsidR="009A7F87" w:rsidRPr="00770229" w:rsidRDefault="009A7F87" w:rsidP="009A7F87">
            <w:pPr>
              <w:pStyle w:val="TableBullet"/>
              <w:numPr>
                <w:ilvl w:val="0"/>
                <w:numId w:val="27"/>
              </w:numPr>
              <w:spacing w:line="220" w:lineRule="atLeast"/>
              <w:ind w:left="284" w:hanging="284"/>
            </w:pPr>
            <w:r w:rsidRPr="00770229">
              <w:rPr>
                <w:i/>
              </w:rPr>
              <w:t>criminal investigation (prorated using offenders)</w:t>
            </w:r>
            <w:r w:rsidRPr="00770229">
              <w:t xml:space="preserve"> — cost is assumed to be driven by criminal activity. The agreed service use measure for this expenditure is the Aboriginal and Torres Strait Islander share of offenders.</w:t>
            </w:r>
          </w:p>
          <w:p w:rsidR="009A7F87" w:rsidRDefault="009A7F87" w:rsidP="009A7F87">
            <w:pPr>
              <w:pStyle w:val="TableBullet"/>
              <w:numPr>
                <w:ilvl w:val="0"/>
                <w:numId w:val="27"/>
              </w:numPr>
              <w:spacing w:after="0" w:line="220" w:lineRule="atLeast"/>
              <w:ind w:left="284" w:hanging="284"/>
            </w:pPr>
            <w:r w:rsidRPr="00770229">
              <w:rPr>
                <w:i/>
              </w:rPr>
              <w:t>traffic and commuter services (prorated resident population)</w:t>
            </w:r>
            <w:r w:rsidRPr="00770229">
              <w:t xml:space="preserve"> — while cost is likely to be driven by traffic and commuter offences, data in this area are not available. As a proxy, the agreed service use measure for this expenditure is the Aboriginal and Torres Strait Islander share of the resident population.</w:t>
            </w:r>
          </w:p>
          <w:p w:rsidR="009A7F87" w:rsidRPr="004D2F05" w:rsidRDefault="009A7F87" w:rsidP="009A7F87">
            <w:pPr>
              <w:pStyle w:val="TableBodyText"/>
              <w:spacing w:after="0" w:line="240" w:lineRule="auto"/>
            </w:pPr>
          </w:p>
          <w:p w:rsidR="009A7F87" w:rsidRPr="004D2F05" w:rsidRDefault="009A7F87" w:rsidP="009A7F87">
            <w:pPr>
              <w:pStyle w:val="TableBodyText"/>
              <w:rPr>
                <w:szCs w:val="26"/>
              </w:rPr>
            </w:pPr>
            <w:r w:rsidRPr="004D2F05">
              <w:t>(continued next page)</w:t>
            </w:r>
          </w:p>
        </w:tc>
      </w:tr>
      <w:tr w:rsidR="009A7F87" w:rsidRPr="0071369A" w:rsidTr="00A672D0">
        <w:tblPrEx>
          <w:tblBorders>
            <w:top w:val="none" w:sz="0" w:space="0" w:color="auto"/>
            <w:bottom w:val="none" w:sz="0" w:space="0" w:color="auto"/>
            <w:insideH w:val="none" w:sz="0" w:space="0" w:color="auto"/>
          </w:tblBorders>
        </w:tblPrEx>
        <w:tc>
          <w:tcPr>
            <w:tcW w:w="5000" w:type="pct"/>
            <w:gridSpan w:val="2"/>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1029"/>
        <w:gridCol w:w="1029"/>
        <w:gridCol w:w="1019"/>
        <w:gridCol w:w="7"/>
      </w:tblGrid>
      <w:tr w:rsidR="009A7F87" w:rsidRPr="00770229" w:rsidTr="002E2409">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4033CF" w:rsidRDefault="009A7F87" w:rsidP="009A7F87">
            <w:pPr>
              <w:pStyle w:val="Heading3"/>
              <w:rPr>
                <w:sz w:val="18"/>
                <w:szCs w:val="18"/>
              </w:rPr>
            </w:pPr>
            <w:r w:rsidRPr="00770229">
              <w:br w:type="page"/>
            </w:r>
            <w:r w:rsidRPr="004033CF">
              <w:rPr>
                <w:sz w:val="18"/>
                <w:szCs w:val="18"/>
              </w:rPr>
              <w:t>(continued)</w:t>
            </w:r>
          </w:p>
        </w:tc>
      </w:tr>
      <w:tr w:rsidR="009A7F87" w:rsidRPr="00770229" w:rsidTr="002E2409">
        <w:tc>
          <w:tcPr>
            <w:tcW w:w="5000" w:type="pct"/>
            <w:gridSpan w:val="7"/>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ullet"/>
              <w:numPr>
                <w:ilvl w:val="0"/>
                <w:numId w:val="27"/>
              </w:numPr>
              <w:spacing w:line="220" w:lineRule="atLeast"/>
              <w:ind w:left="284" w:hanging="284"/>
            </w:pPr>
            <w:r w:rsidRPr="00770229">
              <w:rPr>
                <w:i/>
              </w:rPr>
              <w:t>community safety and support (prorated using a combination of offenders and resident population)</w:t>
            </w:r>
            <w:r w:rsidRPr="00770229">
              <w:t xml:space="preserve"> — includes expenditure related to preserving public order and promoting a safer community including crime prevention and community support, managing and coordinating major events, incidents and emergencies, and responding to calls for assistance.</w:t>
            </w:r>
          </w:p>
          <w:p w:rsidR="009A7F87" w:rsidRPr="00770229" w:rsidRDefault="009A7F87" w:rsidP="009A7F87">
            <w:pPr>
              <w:pStyle w:val="TableBullet"/>
              <w:numPr>
                <w:ilvl w:val="0"/>
                <w:numId w:val="0"/>
              </w:numPr>
              <w:ind w:left="170"/>
              <w:rPr>
                <w:szCs w:val="26"/>
              </w:rPr>
            </w:pPr>
            <w:r>
              <w:t xml:space="preserve">  </w:t>
            </w:r>
            <w:r w:rsidRPr="00770229">
              <w:t xml:space="preserve">Some of these services relate to criminal activity (or the risk of criminal activity), while others are </w:t>
            </w:r>
            <w:r>
              <w:t xml:space="preserve">    </w:t>
            </w:r>
            <w:r>
              <w:br/>
              <w:t xml:space="preserve">  </w:t>
            </w:r>
            <w:r w:rsidRPr="00770229">
              <w:t xml:space="preserve">provided on behalf of the community as a whole. The agreed service use measure for this expenditure </w:t>
            </w:r>
            <w:r>
              <w:br/>
              <w:t xml:space="preserve">  </w:t>
            </w:r>
            <w:r w:rsidRPr="00770229">
              <w:t xml:space="preserve">is a combination of the Aboriginal and Torres Strait Islander share of offenders and Aboriginal and </w:t>
            </w:r>
            <w:r>
              <w:br/>
              <w:t xml:space="preserve">  </w:t>
            </w:r>
            <w:r w:rsidRPr="00770229">
              <w:t>Torres Strait Islander share of the resident population.</w:t>
            </w:r>
            <w:r w:rsidRPr="00770229">
              <w:rPr>
                <w:szCs w:val="26"/>
              </w:rPr>
              <w:t xml:space="preserve"> </w:t>
            </w:r>
          </w:p>
        </w:tc>
      </w:tr>
      <w:tr w:rsidR="009A7F87" w:rsidRPr="00770229" w:rsidTr="00A672D0">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A5029E"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A5029E"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A5029E" w:rsidRDefault="009A7F87" w:rsidP="009A7F87">
            <w:pPr>
              <w:pStyle w:val="TableColumnHeading"/>
              <w:keepNext w:val="0"/>
              <w:ind w:left="180"/>
              <w:jc w:val="left"/>
            </w:pPr>
          </w:p>
        </w:tc>
        <w:tc>
          <w:tcPr>
            <w:tcW w:w="2337" w:type="pct"/>
            <w:gridSpan w:val="5"/>
            <w:tcBorders>
              <w:top w:val="single" w:sz="6" w:space="0" w:color="808080" w:themeColor="background1" w:themeShade="80"/>
              <w:bottom w:val="single" w:sz="6" w:space="0" w:color="808080" w:themeColor="background1" w:themeShade="80"/>
            </w:tcBorders>
            <w:shd w:val="clear" w:color="auto" w:fill="auto"/>
          </w:tcPr>
          <w:p w:rsidR="009A7F87" w:rsidRPr="00A5029E" w:rsidRDefault="009A7F87" w:rsidP="009A7F87">
            <w:pPr>
              <w:pStyle w:val="TableColumnHeading"/>
              <w:keepNext w:val="0"/>
              <w:ind w:left="180"/>
              <w:jc w:val="center"/>
            </w:pPr>
            <w:r w:rsidRPr="00A5029E">
              <w:t>Data Years</w:t>
            </w:r>
          </w:p>
        </w:tc>
      </w:tr>
      <w:tr w:rsidR="009A7F87" w:rsidRPr="00A5029E"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A5029E" w:rsidRDefault="009A7F87" w:rsidP="009A7F87">
            <w:pPr>
              <w:pStyle w:val="TableBodyText"/>
              <w:keepNext w:val="0"/>
              <w:spacing w:before="60" w:after="60"/>
              <w:ind w:left="0"/>
              <w:jc w:val="both"/>
              <w:rPr>
                <w:i/>
              </w:rPr>
            </w:pPr>
            <w:r w:rsidRPr="00A5029E">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A5029E" w:rsidRDefault="009A7F87" w:rsidP="009A7F87">
            <w:pPr>
              <w:pStyle w:val="TableBodyText"/>
              <w:keepNext w:val="0"/>
              <w:spacing w:before="60" w:after="60"/>
              <w:ind w:left="180"/>
              <w:jc w:val="left"/>
              <w:rPr>
                <w:i/>
              </w:rPr>
            </w:pPr>
            <w:r w:rsidRPr="00A5029E">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A5029E" w:rsidRDefault="009A7F87" w:rsidP="009A7F87">
            <w:pPr>
              <w:pStyle w:val="TableBodyText"/>
              <w:keepNext w:val="0"/>
              <w:spacing w:before="60" w:after="60"/>
              <w:ind w:left="2"/>
              <w:jc w:val="center"/>
              <w:rPr>
                <w:i/>
              </w:rPr>
            </w:pPr>
            <w:r w:rsidRPr="00A5029E">
              <w:rPr>
                <w:i/>
              </w:rPr>
              <w:t>2008</w:t>
            </w:r>
            <w:r w:rsidRPr="00A5029E">
              <w:rPr>
                <w:i/>
              </w:rPr>
              <w:noBreakHyphen/>
              <w:t>09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A5029E" w:rsidRDefault="009A7F87" w:rsidP="009A7F87">
            <w:pPr>
              <w:pStyle w:val="TableBodyText"/>
              <w:keepNext w:val="0"/>
              <w:spacing w:before="60" w:after="60"/>
              <w:ind w:left="2"/>
              <w:jc w:val="center"/>
              <w:rPr>
                <w:i/>
              </w:rPr>
            </w:pPr>
            <w:r w:rsidRPr="00A5029E">
              <w:rPr>
                <w:i/>
              </w:rPr>
              <w:t>2010</w:t>
            </w:r>
            <w:r w:rsidRPr="00A5029E">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A5029E" w:rsidRDefault="009A7F87" w:rsidP="009A7F87">
            <w:pPr>
              <w:pStyle w:val="TableBodyText"/>
              <w:keepNext w:val="0"/>
              <w:spacing w:before="60" w:after="60"/>
              <w:ind w:left="2"/>
              <w:jc w:val="center"/>
              <w:rPr>
                <w:i/>
              </w:rPr>
            </w:pPr>
            <w:r w:rsidRPr="00A5029E">
              <w:rPr>
                <w:i/>
              </w:rPr>
              <w:t>2012</w:t>
            </w:r>
            <w:r w:rsidRPr="00A5029E">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A5029E" w:rsidRDefault="009A7F87" w:rsidP="009A7F87">
            <w:pPr>
              <w:pStyle w:val="TableBodyText"/>
              <w:keepNext w:val="0"/>
              <w:spacing w:before="60" w:after="60"/>
              <w:ind w:left="2"/>
              <w:jc w:val="center"/>
              <w:rPr>
                <w:i/>
              </w:rPr>
            </w:pPr>
            <w:r w:rsidRPr="00A5029E">
              <w:rPr>
                <w:i/>
              </w:rPr>
              <w:t>2015</w:t>
            </w:r>
            <w:r w:rsidRPr="00A5029E">
              <w:rPr>
                <w:i/>
              </w:rPr>
              <w:noBreakHyphen/>
              <w:t>16 Estimates</w:t>
            </w:r>
          </w:p>
        </w:tc>
      </w:tr>
      <w:tr w:rsidR="009A7F87" w:rsidRPr="00770229" w:rsidTr="000E0C9E">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t>Resident population</w:t>
            </w:r>
            <w:r w:rsidRPr="00770229">
              <w:rPr>
                <w:rStyle w:val="NoteLabel"/>
              </w:rPr>
              <w:t>a</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A355C0">
              <w:t>(Cat. no. 3101.0)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rsidRPr="00770229">
              <w:t>June 2009</w:t>
            </w:r>
          </w:p>
          <w:p w:rsidR="009A7F87" w:rsidRPr="00770229" w:rsidRDefault="009A7F87" w:rsidP="009A7F87">
            <w:pPr>
              <w:pStyle w:val="TableBodyText"/>
              <w:keepNext w:val="0"/>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rsidRPr="00770229">
              <w:t>June 2011</w:t>
            </w: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rsidRPr="00FF7A3F">
              <w:t>June</w:t>
            </w:r>
            <w:r w:rsidRPr="00770229">
              <w:t xml:space="preserve"> 2013</w:t>
            </w:r>
          </w:p>
          <w:p w:rsidR="009A7F87" w:rsidRPr="00770229" w:rsidRDefault="009A7F87" w:rsidP="009A7F87">
            <w:pPr>
              <w:pStyle w:val="TableBodyText"/>
              <w:spacing w:before="60" w:after="60"/>
              <w:ind w:left="2"/>
              <w:jc w:val="center"/>
            </w:pP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 xml:space="preserve">June </w:t>
            </w:r>
            <w:r w:rsidRPr="00FF7A3F">
              <w:t>2016</w:t>
            </w:r>
          </w:p>
          <w:p w:rsidR="009A7F87" w:rsidRPr="00770229" w:rsidRDefault="009A7F87" w:rsidP="009A7F87">
            <w:pPr>
              <w:pStyle w:val="TableBodyText"/>
              <w:spacing w:before="60" w:after="60"/>
              <w:ind w:left="2"/>
              <w:jc w:val="center"/>
            </w:pPr>
          </w:p>
        </w:tc>
      </w:tr>
      <w:tr w:rsidR="009A7F87" w:rsidRPr="00770229" w:rsidTr="000E0C9E">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Criminal defendants</w:t>
            </w:r>
            <w:r>
              <w:rPr>
                <w:rStyle w:val="NoteLabel"/>
              </w:rPr>
              <w:t>b</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CGC Criminal Courts Appearances Collection (unpublished)</w:t>
            </w:r>
          </w:p>
        </w:tc>
        <w:tc>
          <w:tcPr>
            <w:tcW w:w="584"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afterLines="60" w:after="144"/>
              <w:ind w:left="0"/>
              <w:jc w:val="center"/>
            </w:pPr>
            <w:r>
              <w:t>2008-09</w:t>
            </w:r>
            <w:r>
              <w:br/>
            </w:r>
          </w:p>
        </w:tc>
        <w:tc>
          <w:tcPr>
            <w:tcW w:w="585"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afterLines="60" w:after="144"/>
              <w:ind w:left="0"/>
              <w:jc w:val="center"/>
            </w:pPr>
            <w:r>
              <w:t>2008-09</w:t>
            </w:r>
            <w:r>
              <w:br/>
            </w:r>
          </w:p>
        </w:tc>
        <w:tc>
          <w:tcPr>
            <w:tcW w:w="585" w:type="pct"/>
            <w:tcBorders>
              <w:bottom w:val="single" w:sz="4" w:space="0" w:color="808080" w:themeColor="background1" w:themeShade="80"/>
            </w:tcBorders>
            <w:shd w:val="clear" w:color="auto" w:fill="auto"/>
            <w:vAlign w:val="center"/>
          </w:tcPr>
          <w:p w:rsidR="009A7F87" w:rsidRPr="00A11FE7" w:rsidRDefault="009A7F87" w:rsidP="009A7F87">
            <w:pPr>
              <w:pStyle w:val="TableBodyText"/>
              <w:keepNext w:val="0"/>
              <w:spacing w:afterLines="60" w:after="144"/>
              <w:ind w:left="0"/>
              <w:jc w:val="center"/>
            </w:pPr>
            <w:r w:rsidRPr="00A11FE7">
              <w:t>2008-09</w:t>
            </w:r>
            <w:r w:rsidRPr="00A11FE7">
              <w:br/>
            </w:r>
          </w:p>
        </w:tc>
        <w:tc>
          <w:tcPr>
            <w:tcW w:w="583" w:type="pct"/>
            <w:gridSpan w:val="2"/>
            <w:tcBorders>
              <w:bottom w:val="single" w:sz="4" w:space="0" w:color="808080" w:themeColor="background1" w:themeShade="80"/>
            </w:tcBorders>
            <w:vAlign w:val="center"/>
          </w:tcPr>
          <w:p w:rsidR="009A7F87" w:rsidRPr="00A11FE7" w:rsidRDefault="009A7F87" w:rsidP="009A7F87">
            <w:pPr>
              <w:pStyle w:val="TableBodyText"/>
              <w:keepNext w:val="0"/>
              <w:spacing w:afterLines="60" w:after="144"/>
              <w:ind w:left="0"/>
              <w:jc w:val="center"/>
            </w:pPr>
            <w:r w:rsidRPr="00A11FE7">
              <w:t>2012-13</w:t>
            </w:r>
            <w:r w:rsidRPr="00A11FE7">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6"/>
            <w:tcBorders>
              <w:top w:val="nil"/>
              <w:left w:val="nil"/>
              <w:bottom w:val="nil"/>
              <w:right w:val="nil"/>
            </w:tcBorders>
            <w:shd w:val="clear" w:color="auto" w:fill="auto"/>
          </w:tcPr>
          <w:p w:rsidR="009A7F87" w:rsidRDefault="009A7F87" w:rsidP="009F14B3">
            <w:pPr>
              <w:pStyle w:val="Note"/>
              <w:rPr>
                <w:i/>
              </w:rPr>
            </w:pPr>
            <w:r w:rsidRPr="008E77FE">
              <w:rPr>
                <w:rStyle w:val="NoteLabel"/>
              </w:rPr>
              <w:t>a</w:t>
            </w:r>
            <w:r w:rsidR="009F14B3">
              <w:t xml:space="preserve"> </w:t>
            </w:r>
            <w:r w:rsidRPr="00770229">
              <w:t>Non</w:t>
            </w:r>
            <w:r>
              <w:noBreakHyphen/>
            </w:r>
            <w:r w:rsidRPr="00770229">
              <w:t xml:space="preserve">Indigenous </w:t>
            </w:r>
            <w:r>
              <w:t xml:space="preserve">population </w:t>
            </w:r>
            <w:r w:rsidRPr="00770229">
              <w:t>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r>
              <w:t xml:space="preserve"> </w:t>
            </w:r>
            <w:r>
              <w:rPr>
                <w:rStyle w:val="NoteLabel"/>
              </w:rPr>
              <w:t>b </w:t>
            </w:r>
            <w:r>
              <w:t>Data on criminal defendants are not collected for all years. Where data are not available for a particular year, data for the closest available year will be used (for Victoria, Tasmania and the ACT, 2008-09 data are used for 2015-16 estimates and for WA the latest year of data are 2011-12).</w:t>
            </w:r>
          </w:p>
        </w:tc>
      </w:tr>
      <w:tr w:rsidR="009A7F87" w:rsidRPr="0071369A" w:rsidTr="009A7F87">
        <w:tblPrEx>
          <w:tblBorders>
            <w:top w:val="none" w:sz="0" w:space="0" w:color="auto"/>
            <w:bottom w:val="none" w:sz="0" w:space="0" w:color="auto"/>
            <w:insideH w:val="none" w:sz="0" w:space="0" w:color="auto"/>
          </w:tblBorders>
        </w:tblPrEx>
        <w:tc>
          <w:tcPr>
            <w:tcW w:w="5000" w:type="pct"/>
            <w:gridSpan w:val="7"/>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120072">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2E2409">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312</w:t>
            </w:r>
            <w:r w:rsidRPr="00770229">
              <w:t xml:space="preserve"> </w:t>
            </w:r>
            <w:r>
              <w:t>Fire protection services</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jc w:val="left"/>
            </w:pPr>
            <w:r w:rsidRPr="00770229">
              <w:t>In Australia, State and Territory governments have the primary responsibility for delivering fire protection services. The role of fire service organisations varies across jurisdictions, but mainly includes:</w:t>
            </w:r>
          </w:p>
          <w:p w:rsidR="009A7F87" w:rsidRPr="00770229" w:rsidRDefault="009A7F87" w:rsidP="009A7F87">
            <w:pPr>
              <w:pStyle w:val="TableBullet"/>
              <w:keepNext w:val="0"/>
              <w:numPr>
                <w:ilvl w:val="0"/>
                <w:numId w:val="24"/>
              </w:numPr>
              <w:spacing w:before="40" w:line="220" w:lineRule="atLeast"/>
            </w:pPr>
            <w:r w:rsidRPr="00770229">
              <w:rPr>
                <w:i/>
              </w:rPr>
              <w:t>urban fire incidents</w:t>
            </w:r>
            <w:r w:rsidRPr="00770229">
              <w:t xml:space="preserve"> — activities related to residential and commercial structure fires, incidents involving hazardous materials, and road accidents within major urban centres</w:t>
            </w:r>
          </w:p>
          <w:p w:rsidR="009A7F87" w:rsidRPr="00770229" w:rsidRDefault="009A7F87" w:rsidP="009A7F87">
            <w:pPr>
              <w:pStyle w:val="TableBullet"/>
              <w:keepNext w:val="0"/>
              <w:numPr>
                <w:ilvl w:val="0"/>
                <w:numId w:val="24"/>
              </w:numPr>
              <w:spacing w:before="40" w:line="220" w:lineRule="atLeast"/>
            </w:pPr>
            <w:r w:rsidRPr="00770229">
              <w:rPr>
                <w:i/>
              </w:rPr>
              <w:t>rural fire incidents</w:t>
            </w:r>
            <w:r w:rsidRPr="00770229">
              <w:t xml:space="preserve"> — activities related to local structure fires and other events outside major urban centres, rural non</w:t>
            </w:r>
            <w:r w:rsidRPr="00770229">
              <w:noBreakHyphen/>
              <w:t>structure fires (including crop, bushland and grassland fires on private property), and fires in national parks and State forests.</w:t>
            </w:r>
          </w:p>
          <w:p w:rsidR="009A7F87" w:rsidRPr="00770229" w:rsidRDefault="009A7F87" w:rsidP="009A7F87">
            <w:pPr>
              <w:pStyle w:val="TableBodyText"/>
              <w:keepNext w:val="0"/>
              <w:keepLines w:val="0"/>
              <w:spacing w:before="80" w:after="80"/>
              <w:jc w:val="left"/>
              <w:rPr>
                <w:szCs w:val="26"/>
              </w:rPr>
            </w:pPr>
            <w:r w:rsidRPr="00770229">
              <w:rPr>
                <w:b/>
              </w:rPr>
              <w:t>A detailed definition of expenditure included under this category is provided in the 201</w:t>
            </w:r>
            <w:r>
              <w:rPr>
                <w:b/>
              </w:rPr>
              <w:t>7</w:t>
            </w:r>
            <w:r w:rsidRPr="00770229">
              <w:rPr>
                <w:b/>
              </w:rPr>
              <w:t xml:space="preserve"> </w:t>
            </w:r>
            <w:r w:rsidRPr="00DF2CB4">
              <w:rPr>
                <w:b/>
              </w:rPr>
              <w:t xml:space="preserve">Report </w:t>
            </w:r>
            <w:r w:rsidRPr="00770229">
              <w:rPr>
                <w:b/>
              </w:rPr>
              <w:t>Expenditure Data Manual (</w:t>
            </w:r>
            <w:r w:rsidRPr="00F56AE1">
              <w:rPr>
                <w:b/>
              </w:rPr>
              <w:t>http://www.pc.gov.au/ier2017</w:t>
            </w:r>
            <w:r w:rsidRPr="00770229">
              <w:rPr>
                <w:b/>
              </w:rPr>
              <w:t>).</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rPr>
                <w:szCs w:val="26"/>
              </w:rPr>
            </w:pPr>
            <w:r w:rsidRPr="00770229">
              <w:t>The key cost drivers of expenditure on fire protection services are mainly associated with non</w:t>
            </w:r>
            <w:r w:rsidRPr="00770229">
              <w:noBreakHyphen/>
              <w:t xml:space="preserve">population related factors (for example, weather, topography, house design/construction and so on). </w:t>
            </w:r>
            <w:r w:rsidRPr="00770229">
              <w:rPr>
                <w:szCs w:val="26"/>
              </w:rPr>
              <w:t>Expenditure in this category is not linked closely with a particular service area or cohort of service users. However, there is likely to be a difference between the nature of fire incidents in urban versus non</w:t>
            </w:r>
            <w:r w:rsidRPr="00770229">
              <w:rPr>
                <w:szCs w:val="26"/>
              </w:rPr>
              <w:noBreakHyphen/>
              <w:t xml:space="preserve">urban locations. </w:t>
            </w:r>
          </w:p>
          <w:p w:rsidR="009A7F87" w:rsidRPr="00770229" w:rsidRDefault="009A7F87" w:rsidP="009A7F87">
            <w:pPr>
              <w:pStyle w:val="TableBodyText"/>
              <w:keepNext w:val="0"/>
              <w:keepLines w:val="0"/>
              <w:spacing w:before="80" w:after="80"/>
              <w:jc w:val="left"/>
              <w:rPr>
                <w:szCs w:val="26"/>
              </w:rPr>
            </w:pPr>
            <w:r w:rsidRPr="00770229">
              <w:rPr>
                <w:szCs w:val="26"/>
              </w:rPr>
              <w:t>It is assumed that the costs associated with this expenditure are driven by the population on a uniform basis, in urban and non</w:t>
            </w:r>
            <w:r w:rsidRPr="00770229">
              <w:rPr>
                <w:szCs w:val="26"/>
              </w:rPr>
              <w:noBreakHyphen/>
              <w:t>urban locations, respectively.</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A5029E"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A5029E"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A5029E"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A5029E" w:rsidRDefault="009A7F87" w:rsidP="009A7F87">
            <w:pPr>
              <w:pStyle w:val="TableColumnHeading"/>
              <w:keepNext w:val="0"/>
              <w:ind w:left="180"/>
              <w:jc w:val="center"/>
            </w:pPr>
            <w:r w:rsidRPr="00A5029E">
              <w:t>Data Years</w:t>
            </w:r>
          </w:p>
        </w:tc>
      </w:tr>
      <w:tr w:rsidR="009A7F87" w:rsidRPr="00A5029E"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A5029E" w:rsidRDefault="009A7F87" w:rsidP="009A7F87">
            <w:pPr>
              <w:pStyle w:val="TableBodyText"/>
              <w:keepNext w:val="0"/>
              <w:spacing w:before="60" w:after="60"/>
              <w:ind w:left="0"/>
              <w:jc w:val="both"/>
              <w:rPr>
                <w:i/>
              </w:rPr>
            </w:pPr>
            <w:r w:rsidRPr="00A5029E">
              <w:rPr>
                <w:i/>
              </w:rPr>
              <w:br/>
              <w:t>Measure</w:t>
            </w:r>
            <w:r w:rsidRPr="00944F69">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A5029E" w:rsidRDefault="009A7F87" w:rsidP="009A7F87">
            <w:pPr>
              <w:pStyle w:val="TableBodyText"/>
              <w:keepNext w:val="0"/>
              <w:spacing w:before="60" w:after="60"/>
              <w:ind w:left="180"/>
              <w:jc w:val="left"/>
              <w:rPr>
                <w:i/>
              </w:rPr>
            </w:pPr>
            <w:r w:rsidRPr="00A5029E">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A5029E" w:rsidRDefault="009A7F87" w:rsidP="009A7F87">
            <w:pPr>
              <w:pStyle w:val="TableBodyText"/>
              <w:keepNext w:val="0"/>
              <w:spacing w:before="60" w:after="60"/>
              <w:ind w:left="2"/>
              <w:jc w:val="center"/>
              <w:rPr>
                <w:i/>
              </w:rPr>
            </w:pPr>
            <w:r w:rsidRPr="00A5029E">
              <w:rPr>
                <w:i/>
              </w:rPr>
              <w:t>2008</w:t>
            </w:r>
            <w:r w:rsidRPr="00A5029E">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A5029E" w:rsidRDefault="009A7F87" w:rsidP="009A7F87">
            <w:pPr>
              <w:pStyle w:val="TableBodyText"/>
              <w:keepNext w:val="0"/>
              <w:spacing w:before="60" w:after="60"/>
              <w:ind w:left="2"/>
              <w:jc w:val="center"/>
              <w:rPr>
                <w:i/>
              </w:rPr>
            </w:pPr>
            <w:r w:rsidRPr="00A5029E">
              <w:rPr>
                <w:i/>
              </w:rPr>
              <w:t>2010</w:t>
            </w:r>
            <w:r w:rsidRPr="00A5029E">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A5029E" w:rsidRDefault="009A7F87" w:rsidP="009A7F87">
            <w:pPr>
              <w:pStyle w:val="TableBodyText"/>
              <w:keepNext w:val="0"/>
              <w:spacing w:before="60" w:after="60"/>
              <w:ind w:left="2"/>
              <w:jc w:val="center"/>
              <w:rPr>
                <w:i/>
              </w:rPr>
            </w:pPr>
            <w:r w:rsidRPr="00A5029E">
              <w:rPr>
                <w:i/>
              </w:rPr>
              <w:t>2012</w:t>
            </w:r>
            <w:r w:rsidRPr="00A5029E">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A5029E" w:rsidRDefault="009A7F87" w:rsidP="009A7F87">
            <w:pPr>
              <w:pStyle w:val="TableBodyText"/>
              <w:keepNext w:val="0"/>
              <w:spacing w:before="60" w:after="60"/>
              <w:ind w:left="2"/>
              <w:jc w:val="center"/>
              <w:rPr>
                <w:i/>
              </w:rPr>
            </w:pPr>
            <w:r w:rsidRPr="00A5029E">
              <w:rPr>
                <w:i/>
              </w:rPr>
              <w:t>2015</w:t>
            </w:r>
            <w:r w:rsidRPr="00A5029E">
              <w:rPr>
                <w:i/>
              </w:rPr>
              <w:noBreakHyphen/>
              <w:t>16 Estimates</w:t>
            </w:r>
          </w:p>
        </w:tc>
      </w:tr>
      <w:tr w:rsidR="009A7F87" w:rsidRPr="00770229" w:rsidTr="000E0C9E">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 xml:space="preserve">‘Major city’ resident population </w:t>
            </w:r>
            <w:r w:rsidRPr="00770229">
              <w:br/>
              <w:t xml:space="preserve">(‘Inner regional’ for </w:t>
            </w:r>
            <w:proofErr w:type="spellStart"/>
            <w:r w:rsidRPr="00770229">
              <w:t>Tas</w:t>
            </w:r>
            <w:proofErr w:type="spellEnd"/>
            <w:r w:rsidRPr="00770229">
              <w:t>, ‘outer regional’ for NT)</w:t>
            </w:r>
            <w:r w:rsidR="00CC5FDF" w:rsidRPr="00CC5FDF">
              <w:rPr>
                <w:rStyle w:val="NoteLabel"/>
              </w:rPr>
              <w:t>b</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Estimates and Projections, </w:t>
            </w:r>
            <w:r w:rsidRPr="00B57BBD">
              <w:t>Aboriginal and Torres Strait Islander Australians, 2001–2026</w:t>
            </w:r>
            <w:r w:rsidRPr="00770229">
              <w:t xml:space="preserve"> (</w:t>
            </w:r>
            <w:r>
              <w:t>C</w:t>
            </w:r>
            <w:r w:rsidRPr="00770229">
              <w:t xml:space="preserve">at. no. 3238.0); </w:t>
            </w:r>
            <w:r>
              <w:t xml:space="preserve"> </w:t>
            </w:r>
            <w:r w:rsidRPr="00770229">
              <w:rPr>
                <w:i/>
              </w:rPr>
              <w:t>Estimates of Aboriginal and Torres Strait Islander Australians, Jun 2011</w:t>
            </w:r>
            <w:r w:rsidRPr="00770229">
              <w:t>, (</w:t>
            </w:r>
            <w:r>
              <w:t>C</w:t>
            </w:r>
            <w:r w:rsidRPr="00770229">
              <w:t xml:space="preserve">at. no. 3238.0.55.001); </w:t>
            </w:r>
            <w:r w:rsidRPr="00770229">
              <w:rPr>
                <w:i/>
              </w:rPr>
              <w:t xml:space="preserve">Regional Population Growth, Australia </w:t>
            </w:r>
            <w:r w:rsidRPr="00770229">
              <w:t>(cat. no. 3218.0)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rsidRPr="00770229">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rsidRPr="00770229">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rsidRPr="00FF7A3F">
              <w:t>June</w:t>
            </w:r>
            <w:r w:rsidRPr="00770229">
              <w:t xml:space="preserv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 xml:space="preserve">June </w:t>
            </w:r>
            <w:r w:rsidRPr="00FF7A3F">
              <w:t>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0E0C9E">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 xml:space="preserve">Other than ‘major city' resident population (other than 'inner regional' for </w:t>
            </w:r>
            <w:proofErr w:type="spellStart"/>
            <w:r w:rsidRPr="00770229">
              <w:t>Tas</w:t>
            </w:r>
            <w:proofErr w:type="spellEnd"/>
            <w:r w:rsidRPr="00770229">
              <w:t xml:space="preserve"> &amp; 'outer regional' for NT)</w:t>
            </w:r>
            <w:r w:rsidR="00CC5FDF" w:rsidRPr="00CC5FDF">
              <w:rPr>
                <w:rStyle w:val="NoteLabel"/>
              </w:rPr>
              <w:t>c</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Estimates and Projections, </w:t>
            </w:r>
            <w:r w:rsidRPr="00B57BBD">
              <w:t>Aboriginal and Torres Strait Islander Australians, 2001–2026</w:t>
            </w:r>
            <w:r w:rsidRPr="00770229">
              <w:t xml:space="preserve"> (</w:t>
            </w:r>
            <w:r>
              <w:t>C</w:t>
            </w:r>
            <w:r w:rsidRPr="00770229">
              <w:t>at. no. 3238.0); Estimates of Aboriginal and Torres Strait Islander Australians, Jun 2011, (</w:t>
            </w:r>
            <w:r>
              <w:t>C</w:t>
            </w:r>
            <w:r w:rsidRPr="00770229">
              <w:t>at. no. 3238.0.55.001); Regional Population Growth, Australia (</w:t>
            </w:r>
            <w:r>
              <w:t>C</w:t>
            </w:r>
            <w:r w:rsidRPr="00770229">
              <w:t>at. no. 3218.0)</w:t>
            </w:r>
          </w:p>
        </w:tc>
        <w:tc>
          <w:tcPr>
            <w:tcW w:w="584" w:type="pct"/>
            <w:tcBorders>
              <w:bottom w:val="single" w:sz="4"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rsidRPr="00770229">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bottom w:val="single" w:sz="4"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rsidRPr="00770229">
              <w:t>June 2011</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tcBorders>
              <w:bottom w:val="single" w:sz="4"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rsidRPr="00770229">
              <w:t>June 2013</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3" w:type="pct"/>
            <w:gridSpan w:val="2"/>
            <w:tcBorders>
              <w:bottom w:val="single" w:sz="4" w:space="0" w:color="808080" w:themeColor="background1" w:themeShade="80"/>
            </w:tcBorders>
          </w:tcPr>
          <w:p w:rsidR="009A7F87" w:rsidRPr="00770229" w:rsidRDefault="009A7F87" w:rsidP="009A7F87">
            <w:pPr>
              <w:pStyle w:val="TableBodyText"/>
              <w:keepNext w:val="0"/>
              <w:spacing w:before="60" w:after="60"/>
              <w:ind w:left="2"/>
              <w:jc w:val="center"/>
            </w:pPr>
            <w:r>
              <w:t xml:space="preserve">June </w:t>
            </w:r>
            <w:r w:rsidRPr="00FF7A3F">
              <w:t>2016</w:t>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08353B" w:rsidRDefault="009A7F87" w:rsidP="009A7F87">
            <w:pPr>
              <w:pStyle w:val="Note"/>
              <w:jc w:val="right"/>
            </w:pPr>
            <w:r>
              <w:t>(continued next page)</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120072">
      <w:pPr>
        <w:pStyle w:val="BodyText"/>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1029"/>
        <w:gridCol w:w="1029"/>
        <w:gridCol w:w="1019"/>
        <w:gridCol w:w="7"/>
      </w:tblGrid>
      <w:tr w:rsidR="009A7F87" w:rsidRPr="00770229" w:rsidTr="002E2409">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E97D3E" w:rsidRDefault="009A7F87" w:rsidP="009A7F87">
            <w:pPr>
              <w:pStyle w:val="Heading3"/>
              <w:ind w:hanging="82"/>
              <w:rPr>
                <w:sz w:val="18"/>
                <w:szCs w:val="18"/>
              </w:rPr>
            </w:pPr>
            <w:r w:rsidRPr="00770229">
              <w:br w:type="page"/>
            </w:r>
            <w:r w:rsidRPr="00E97D3E">
              <w:rPr>
                <w:sz w:val="18"/>
                <w:szCs w:val="18"/>
              </w:rPr>
              <w:t>(continued)</w:t>
            </w:r>
          </w:p>
        </w:tc>
      </w:tr>
      <w:tr w:rsidR="009A7F87" w:rsidRPr="00770229" w:rsidTr="002E2409">
        <w:tblPrEx>
          <w:tblBorders>
            <w:top w:val="none" w:sz="0" w:space="0" w:color="auto"/>
            <w:bottom w:val="none" w:sz="0" w:space="0" w:color="auto"/>
            <w:insideH w:val="none" w:sz="0" w:space="0" w:color="auto"/>
          </w:tblBorders>
        </w:tblPrEx>
        <w:tc>
          <w:tcPr>
            <w:tcW w:w="5000" w:type="pct"/>
            <w:gridSpan w:val="7"/>
            <w:tcBorders>
              <w:top w:val="single" w:sz="12"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A5029E"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A5029E"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A5029E" w:rsidRDefault="009A7F87" w:rsidP="009A7F87">
            <w:pPr>
              <w:pStyle w:val="TableColumnHeading"/>
              <w:keepNext w:val="0"/>
              <w:ind w:left="180"/>
              <w:jc w:val="left"/>
            </w:pPr>
          </w:p>
        </w:tc>
        <w:tc>
          <w:tcPr>
            <w:tcW w:w="2337" w:type="pct"/>
            <w:gridSpan w:val="5"/>
            <w:tcBorders>
              <w:top w:val="single" w:sz="6" w:space="0" w:color="808080" w:themeColor="background1" w:themeShade="80"/>
              <w:bottom w:val="single" w:sz="6" w:space="0" w:color="808080" w:themeColor="background1" w:themeShade="80"/>
            </w:tcBorders>
            <w:shd w:val="clear" w:color="auto" w:fill="auto"/>
          </w:tcPr>
          <w:p w:rsidR="009A7F87" w:rsidRPr="00A5029E" w:rsidRDefault="009A7F87" w:rsidP="009A7F87">
            <w:pPr>
              <w:pStyle w:val="TableColumnHeading"/>
              <w:keepNext w:val="0"/>
              <w:ind w:left="180"/>
              <w:jc w:val="center"/>
            </w:pPr>
            <w:r w:rsidRPr="00A5029E">
              <w:t>Data Years</w:t>
            </w:r>
          </w:p>
        </w:tc>
      </w:tr>
      <w:tr w:rsidR="009A7F87" w:rsidRPr="00A5029E"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A5029E" w:rsidRDefault="009A7F87" w:rsidP="009A7F87">
            <w:pPr>
              <w:pStyle w:val="TableBodyText"/>
              <w:keepNext w:val="0"/>
              <w:spacing w:before="60" w:after="60"/>
              <w:ind w:left="0"/>
              <w:jc w:val="both"/>
              <w:rPr>
                <w:i/>
              </w:rPr>
            </w:pPr>
            <w:r w:rsidRPr="00A5029E">
              <w:rPr>
                <w:i/>
              </w:rPr>
              <w:br/>
              <w:t>Measure</w:t>
            </w:r>
            <w:r w:rsidRPr="00944F69">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A5029E" w:rsidRDefault="009A7F87" w:rsidP="009A7F87">
            <w:pPr>
              <w:pStyle w:val="TableBodyText"/>
              <w:keepNext w:val="0"/>
              <w:spacing w:before="60" w:after="60"/>
              <w:ind w:left="180"/>
              <w:jc w:val="left"/>
              <w:rPr>
                <w:i/>
              </w:rPr>
            </w:pPr>
            <w:r w:rsidRPr="00A5029E">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A5029E" w:rsidRDefault="009A7F87" w:rsidP="009A7F87">
            <w:pPr>
              <w:pStyle w:val="TableBodyText"/>
              <w:keepNext w:val="0"/>
              <w:spacing w:before="60" w:after="60"/>
              <w:ind w:left="2"/>
              <w:jc w:val="center"/>
              <w:rPr>
                <w:i/>
              </w:rPr>
            </w:pPr>
            <w:r w:rsidRPr="00A5029E">
              <w:rPr>
                <w:i/>
              </w:rPr>
              <w:t>2008</w:t>
            </w:r>
            <w:r w:rsidRPr="00A5029E">
              <w:rPr>
                <w:i/>
              </w:rPr>
              <w:noBreakHyphen/>
              <w:t>09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A5029E" w:rsidRDefault="009A7F87" w:rsidP="009A7F87">
            <w:pPr>
              <w:pStyle w:val="TableBodyText"/>
              <w:keepNext w:val="0"/>
              <w:spacing w:before="60" w:after="60"/>
              <w:ind w:left="2"/>
              <w:jc w:val="center"/>
              <w:rPr>
                <w:i/>
              </w:rPr>
            </w:pPr>
            <w:r w:rsidRPr="00A5029E">
              <w:rPr>
                <w:i/>
              </w:rPr>
              <w:t>2010</w:t>
            </w:r>
            <w:r w:rsidRPr="00A5029E">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A5029E" w:rsidRDefault="009A7F87" w:rsidP="009A7F87">
            <w:pPr>
              <w:pStyle w:val="TableBodyText"/>
              <w:keepNext w:val="0"/>
              <w:spacing w:before="60" w:after="60"/>
              <w:ind w:left="2"/>
              <w:jc w:val="center"/>
              <w:rPr>
                <w:i/>
              </w:rPr>
            </w:pPr>
            <w:r w:rsidRPr="00A5029E">
              <w:rPr>
                <w:i/>
              </w:rPr>
              <w:t>2012</w:t>
            </w:r>
            <w:r w:rsidRPr="00A5029E">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A5029E" w:rsidRDefault="009A7F87" w:rsidP="009A7F87">
            <w:pPr>
              <w:pStyle w:val="TableBodyText"/>
              <w:keepNext w:val="0"/>
              <w:spacing w:before="60" w:after="60"/>
              <w:ind w:left="2"/>
              <w:jc w:val="center"/>
              <w:rPr>
                <w:i/>
              </w:rPr>
            </w:pPr>
            <w:r w:rsidRPr="00A5029E">
              <w:rPr>
                <w:i/>
              </w:rPr>
              <w:t>2015</w:t>
            </w:r>
            <w:r w:rsidRPr="00A5029E">
              <w:rPr>
                <w:i/>
              </w:rPr>
              <w:noBreakHyphen/>
              <w:t>16 Estimates</w:t>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r w:rsidRPr="00770229">
              <w:rPr>
                <w:rStyle w:val="NoteLabel"/>
              </w:rPr>
              <w:t>d</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ABS Estimates and Projections, Indigenous Australians, 1991 to 2021 (</w:t>
            </w:r>
            <w:r>
              <w:t>C</w:t>
            </w:r>
            <w:r w:rsidRPr="00770229">
              <w:t>at. no. 3238.0); Australian Demographic Statistics (</w:t>
            </w:r>
            <w:r>
              <w:t>C</w:t>
            </w:r>
            <w:r w:rsidRPr="00770229">
              <w:t>at. no. 3101.0)</w:t>
            </w:r>
          </w:p>
        </w:tc>
        <w:tc>
          <w:tcPr>
            <w:tcW w:w="584"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0"/>
              <w:jc w:val="center"/>
            </w:pPr>
            <w:r>
              <w:t>J</w:t>
            </w:r>
            <w:r w:rsidRPr="00770229">
              <w:t>une 2009</w:t>
            </w:r>
          </w:p>
          <w:p w:rsidR="009A7F87" w:rsidRDefault="009A7F87" w:rsidP="009A7F87">
            <w:pPr>
              <w:pStyle w:val="TableBodyText"/>
              <w:keepNext w:val="0"/>
              <w:spacing w:before="200" w:after="60"/>
              <w:ind w:left="0"/>
              <w:jc w:val="center"/>
            </w:pPr>
          </w:p>
          <w:p w:rsidR="009A7F87" w:rsidRPr="00770229" w:rsidRDefault="009A7F87" w:rsidP="009A7F87">
            <w:pPr>
              <w:pStyle w:val="TableBodyText"/>
              <w:keepNext w:val="0"/>
              <w:spacing w:before="200" w:after="60"/>
              <w:ind w:left="0"/>
              <w:jc w:val="center"/>
            </w:pPr>
          </w:p>
        </w:tc>
        <w:tc>
          <w:tcPr>
            <w:tcW w:w="585"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0"/>
              <w:jc w:val="center"/>
            </w:pPr>
            <w:r>
              <w:t>J</w:t>
            </w:r>
            <w:r w:rsidRPr="00770229">
              <w:t>une 2011</w:t>
            </w: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Pr="00770229" w:rsidRDefault="009A7F87" w:rsidP="009A7F87">
            <w:pPr>
              <w:pStyle w:val="TableBodyText"/>
              <w:keepNext w:val="0"/>
              <w:spacing w:before="60" w:after="60"/>
              <w:ind w:left="0"/>
              <w:jc w:val="center"/>
            </w:pPr>
          </w:p>
        </w:tc>
        <w:tc>
          <w:tcPr>
            <w:tcW w:w="585"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0"/>
              <w:jc w:val="center"/>
            </w:pPr>
            <w:r>
              <w:t>J</w:t>
            </w:r>
            <w:r w:rsidRPr="00770229">
              <w:t>une 2013</w:t>
            </w: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Pr="00770229" w:rsidRDefault="009A7F87" w:rsidP="009A7F87">
            <w:pPr>
              <w:pStyle w:val="TableBodyText"/>
              <w:keepNext w:val="0"/>
              <w:spacing w:before="60" w:after="60"/>
              <w:ind w:left="0"/>
              <w:jc w:val="center"/>
            </w:pPr>
          </w:p>
        </w:tc>
        <w:tc>
          <w:tcPr>
            <w:tcW w:w="583" w:type="pct"/>
            <w:gridSpan w:val="2"/>
            <w:tcBorders>
              <w:top w:val="single" w:sz="6" w:space="0" w:color="808080" w:themeColor="background1" w:themeShade="80"/>
              <w:bottom w:val="single" w:sz="6" w:space="0" w:color="808080" w:themeColor="background1" w:themeShade="80"/>
            </w:tcBorders>
          </w:tcPr>
          <w:p w:rsidR="009A7F87" w:rsidRPr="00770229" w:rsidRDefault="009A7F87" w:rsidP="009A7F87">
            <w:pPr>
              <w:pStyle w:val="TableBodyText"/>
              <w:keepNext w:val="0"/>
              <w:spacing w:before="60" w:after="60"/>
              <w:ind w:left="2"/>
              <w:jc w:val="center"/>
            </w:pPr>
            <w:r>
              <w:t xml:space="preserve">June </w:t>
            </w:r>
            <w:r w:rsidRPr="00FF7A3F">
              <w:t>2016</w:t>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6"/>
            <w:tcBorders>
              <w:top w:val="nil"/>
              <w:left w:val="nil"/>
              <w:bottom w:val="nil"/>
              <w:right w:val="nil"/>
            </w:tcBorders>
            <w:shd w:val="clear" w:color="auto" w:fill="auto"/>
          </w:tcPr>
          <w:p w:rsidR="009A7F87" w:rsidRDefault="009A7F87" w:rsidP="009A7F87">
            <w:pPr>
              <w:pStyle w:val="Note"/>
              <w:rPr>
                <w:i/>
              </w:rPr>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r w:rsidRPr="00770229">
              <w:rPr>
                <w:rStyle w:val="NoteLabel"/>
              </w:rPr>
              <w:t>b</w:t>
            </w:r>
            <w:r w:rsidRPr="00770229">
              <w:rPr>
                <w:b/>
              </w:rPr>
              <w:t xml:space="preserve"> </w:t>
            </w:r>
            <w:r w:rsidRPr="00770229">
              <w:t xml:space="preserve">For metropolitan fire services </w:t>
            </w:r>
            <w:r w:rsidRPr="00770229">
              <w:rPr>
                <w:rStyle w:val="NoteLabel"/>
              </w:rPr>
              <w:t xml:space="preserve">c </w:t>
            </w:r>
            <w:r w:rsidRPr="00770229">
              <w:t xml:space="preserve">For rural fire services </w:t>
            </w:r>
            <w:r w:rsidRPr="00770229">
              <w:rPr>
                <w:rStyle w:val="NoteLabel"/>
              </w:rPr>
              <w:t xml:space="preserve">d </w:t>
            </w:r>
            <w:r w:rsidRPr="00770229">
              <w:t>For fire protection services not elsewhere classified</w:t>
            </w:r>
            <w:r>
              <w:t>.</w:t>
            </w:r>
          </w:p>
        </w:tc>
      </w:tr>
      <w:tr w:rsidR="009A7F87" w:rsidRPr="0071369A" w:rsidTr="009A7F87">
        <w:tblPrEx>
          <w:tblBorders>
            <w:top w:val="none" w:sz="0" w:space="0" w:color="auto"/>
            <w:bottom w:val="none" w:sz="0" w:space="0" w:color="auto"/>
            <w:insideH w:val="none" w:sz="0" w:space="0" w:color="auto"/>
          </w:tblBorders>
        </w:tblPrEx>
        <w:tc>
          <w:tcPr>
            <w:tcW w:w="5000" w:type="pct"/>
            <w:gridSpan w:val="7"/>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2E2409">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320.1</w:t>
            </w:r>
            <w:r w:rsidRPr="00770229">
              <w:t xml:space="preserve"> </w:t>
            </w:r>
            <w:r>
              <w:t>Criminal courts services</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Criminal courts services is a sub</w:t>
            </w:r>
            <w:r w:rsidRPr="00770229">
              <w:noBreakHyphen/>
              <w:t>category of law courts and legal services (GPC 0320). Criminal courts services are law court and legal services provided in relation to criminal justice prosecutions.</w:t>
            </w:r>
          </w:p>
          <w:p w:rsidR="009A7F87" w:rsidRPr="00770229" w:rsidRDefault="009A7F87" w:rsidP="009A7F87">
            <w:pPr>
              <w:pStyle w:val="TableBodyText"/>
              <w:keepNext w:val="0"/>
              <w:keepLines w:val="0"/>
              <w:spacing w:before="80" w:after="80"/>
              <w:jc w:val="left"/>
            </w:pPr>
            <w:r w:rsidRPr="00770229">
              <w:t xml:space="preserve">Law courts and legal services covers the activities of a broad range of agencies and institutions involved in the operation of the justice system. This includes the cost of administering and providing the judicial process and the cost of representing the government’s public position in litigations. </w:t>
            </w:r>
          </w:p>
          <w:p w:rsidR="009A7F87" w:rsidRPr="00770229" w:rsidRDefault="009A7F87" w:rsidP="009A7F87">
            <w:pPr>
              <w:pStyle w:val="TableBodyText"/>
              <w:jc w:val="left"/>
              <w:rPr>
                <w:b/>
                <w:sz w:val="24"/>
              </w:rPr>
            </w:pPr>
            <w:r w:rsidRPr="00770229">
              <w:rPr>
                <w:b/>
              </w:rPr>
              <w:t>A detailed definition of expenditure included under this category is provided in the 201</w:t>
            </w:r>
            <w:r>
              <w:rPr>
                <w:b/>
              </w:rPr>
              <w:t>7</w:t>
            </w:r>
            <w:r w:rsidRPr="00770229">
              <w:rPr>
                <w:b/>
              </w:rPr>
              <w:t xml:space="preserve"> </w:t>
            </w:r>
            <w:r w:rsidRPr="00DF2CB4">
              <w:rPr>
                <w:b/>
              </w:rPr>
              <w:t xml:space="preserve">Report </w:t>
            </w:r>
            <w:r w:rsidRPr="00770229">
              <w:rPr>
                <w:b/>
              </w:rPr>
              <w:t>Expenditure Data Manual (</w:t>
            </w:r>
            <w:r w:rsidRPr="00F56AE1">
              <w:rPr>
                <w:b/>
              </w:rPr>
              <w:t>http://www.pc.gov.au/ier2017</w:t>
            </w:r>
            <w:r w:rsidRPr="00770229">
              <w:rPr>
                <w:b/>
              </w:rPr>
              <w:t>).</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Criminal courts services costs are largely driven by the number and complexity of criminal cases, which influence the evidentiary requirements, the number of sitting days, and so on. The link between case characteristics and individuals is information on criminal courts defendants.</w:t>
            </w:r>
          </w:p>
          <w:p w:rsidR="009A7F87" w:rsidRPr="00770229" w:rsidRDefault="009A7F87" w:rsidP="009A7F87">
            <w:pPr>
              <w:pStyle w:val="TableBodyText"/>
              <w:keepNext w:val="0"/>
              <w:keepLines w:val="0"/>
              <w:spacing w:before="80" w:after="80"/>
              <w:jc w:val="left"/>
              <w:rPr>
                <w:szCs w:val="26"/>
              </w:rPr>
            </w:pPr>
            <w:r w:rsidRPr="00770229">
              <w:t>Costs might also be influenced by location and the characteristics of the defendants (particularly those with special cultural or language needs and those financially unable to fund their own defence).</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0D371C"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0D371C"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0D371C"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0D371C" w:rsidRDefault="009A7F87" w:rsidP="009A7F87">
            <w:pPr>
              <w:pStyle w:val="TableColumnHeading"/>
              <w:keepNext w:val="0"/>
              <w:ind w:left="180"/>
              <w:jc w:val="center"/>
            </w:pPr>
            <w:r w:rsidRPr="000D371C">
              <w:t>Data Years</w:t>
            </w:r>
          </w:p>
        </w:tc>
      </w:tr>
      <w:tr w:rsidR="009A7F87" w:rsidRPr="000D371C"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0D371C" w:rsidRDefault="009A7F87" w:rsidP="009A7F87">
            <w:pPr>
              <w:pStyle w:val="TableBodyText"/>
              <w:keepNext w:val="0"/>
              <w:spacing w:before="60" w:after="60"/>
              <w:ind w:left="0"/>
              <w:jc w:val="both"/>
              <w:rPr>
                <w:i/>
              </w:rPr>
            </w:pPr>
            <w:r w:rsidRPr="000D371C">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0D371C" w:rsidRDefault="009A7F87" w:rsidP="009A7F87">
            <w:pPr>
              <w:pStyle w:val="TableBodyText"/>
              <w:keepNext w:val="0"/>
              <w:spacing w:before="60" w:after="60"/>
              <w:ind w:left="180"/>
              <w:jc w:val="left"/>
              <w:rPr>
                <w:i/>
              </w:rPr>
            </w:pPr>
            <w:r w:rsidRPr="000D371C">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0D371C" w:rsidRDefault="009A7F87" w:rsidP="009A7F87">
            <w:pPr>
              <w:pStyle w:val="TableBodyText"/>
              <w:keepNext w:val="0"/>
              <w:spacing w:before="60" w:after="60"/>
              <w:ind w:left="2"/>
              <w:jc w:val="center"/>
              <w:rPr>
                <w:i/>
              </w:rPr>
            </w:pPr>
            <w:r w:rsidRPr="000D371C">
              <w:rPr>
                <w:i/>
              </w:rPr>
              <w:t>2008</w:t>
            </w:r>
            <w:r w:rsidRPr="000D371C">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0D371C" w:rsidRDefault="009A7F87" w:rsidP="009A7F87">
            <w:pPr>
              <w:pStyle w:val="TableBodyText"/>
              <w:keepNext w:val="0"/>
              <w:spacing w:before="60" w:after="60"/>
              <w:ind w:left="2"/>
              <w:jc w:val="center"/>
              <w:rPr>
                <w:i/>
              </w:rPr>
            </w:pPr>
            <w:r w:rsidRPr="000D371C">
              <w:rPr>
                <w:i/>
              </w:rPr>
              <w:t>2010</w:t>
            </w:r>
            <w:r w:rsidRPr="000D371C">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0D371C" w:rsidRDefault="009A7F87" w:rsidP="009A7F87">
            <w:pPr>
              <w:pStyle w:val="TableBodyText"/>
              <w:keepNext w:val="0"/>
              <w:spacing w:before="60" w:after="60"/>
              <w:ind w:left="2"/>
              <w:jc w:val="center"/>
              <w:rPr>
                <w:i/>
              </w:rPr>
            </w:pPr>
            <w:r w:rsidRPr="000D371C">
              <w:rPr>
                <w:i/>
              </w:rPr>
              <w:t>2012</w:t>
            </w:r>
            <w:r w:rsidRPr="000D371C">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0D371C" w:rsidRDefault="009A7F87" w:rsidP="009A7F87">
            <w:pPr>
              <w:pStyle w:val="TableBodyText"/>
              <w:keepNext w:val="0"/>
              <w:spacing w:before="60" w:after="60"/>
              <w:ind w:left="2"/>
              <w:jc w:val="center"/>
              <w:rPr>
                <w:i/>
              </w:rPr>
            </w:pPr>
            <w:r w:rsidRPr="000D371C">
              <w:rPr>
                <w:i/>
              </w:rPr>
              <w:t>2015</w:t>
            </w:r>
            <w:r w:rsidRPr="000D371C">
              <w:rPr>
                <w:i/>
              </w:rPr>
              <w:noBreakHyphen/>
              <w:t>16 Estimates</w:t>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Criminal defendants</w:t>
            </w:r>
            <w:r>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CGC Crimina</w:t>
            </w:r>
            <w:r>
              <w:t>l Courts Appearances Collection</w:t>
            </w:r>
            <w:r w:rsidRPr="00770229">
              <w:t xml:space="preserve"> (unpublished)</w:t>
            </w:r>
          </w:p>
        </w:tc>
        <w:tc>
          <w:tcPr>
            <w:tcW w:w="584"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2008-09</w:t>
            </w: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2008-09</w:t>
            </w:r>
          </w:p>
          <w:p w:rsidR="009A7F87" w:rsidRPr="00770229" w:rsidRDefault="009A7F87" w:rsidP="009A7F87">
            <w:pPr>
              <w:pStyle w:val="TableBodyText"/>
              <w:spacing w:before="60" w:after="60"/>
              <w:ind w:left="2"/>
              <w:jc w:val="center"/>
            </w:pPr>
          </w:p>
        </w:tc>
        <w:tc>
          <w:tcPr>
            <w:tcW w:w="583" w:type="pct"/>
            <w:gridSpan w:val="2"/>
            <w:tcBorders>
              <w:top w:val="single" w:sz="6" w:space="0" w:color="808080" w:themeColor="background1" w:themeShade="80"/>
              <w:bottom w:val="single" w:sz="6" w:space="0" w:color="808080" w:themeColor="background1" w:themeShade="80"/>
            </w:tcBorders>
            <w:vAlign w:val="center"/>
          </w:tcPr>
          <w:p w:rsidR="009A7F87" w:rsidRDefault="009A7F87" w:rsidP="009A7F87">
            <w:pPr>
              <w:pStyle w:val="TableBodyText"/>
              <w:spacing w:before="60" w:after="60"/>
              <w:ind w:left="2"/>
              <w:jc w:val="center"/>
            </w:pPr>
            <w:r>
              <w:t>2012-13</w:t>
            </w:r>
          </w:p>
          <w:p w:rsidR="009A7F87" w:rsidRPr="00770229" w:rsidRDefault="009A7F87" w:rsidP="009A7F87">
            <w:pPr>
              <w:pStyle w:val="TableBodyText"/>
              <w:spacing w:before="60" w:after="60"/>
              <w:ind w:left="2"/>
              <w:jc w:val="center"/>
            </w:pP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746B0C" w:rsidRDefault="009A7F87" w:rsidP="009A7F87">
            <w:pPr>
              <w:pStyle w:val="Note"/>
            </w:pPr>
            <w:r w:rsidRPr="008E77FE">
              <w:rPr>
                <w:rStyle w:val="NoteLabel"/>
              </w:rPr>
              <w:t>a</w:t>
            </w:r>
            <w:r>
              <w:t xml:space="preserve"> </w:t>
            </w:r>
            <w:r w:rsidRPr="00A0601F">
              <w:t>Data on criminal defendants are not collected for all years. Where data are not available for a particular year, data for the closest available year will be used (for Victoria, Tasmania and the ACT, 2008-09 data are used for 2015-16 estimates; for WA the latest year of data are 2011-12).</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2E2409">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320.2</w:t>
            </w:r>
            <w:r w:rsidRPr="00770229">
              <w:t xml:space="preserve"> </w:t>
            </w:r>
            <w:r>
              <w:t>Other courts and legal services</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Other courts and legal services is a sub</w:t>
            </w:r>
            <w:r w:rsidRPr="00770229">
              <w:noBreakHyphen/>
              <w:t>category of law courts and legal services (GPC 0320). Other courts and legal services include services in relation to civil actions. This category also includes a large number of legal administrative services, such as registration of legal titles to property, births, deaths and marriages, as well as the administration of probate and trusteeship services.</w:t>
            </w:r>
          </w:p>
          <w:p w:rsidR="009A7F87" w:rsidRPr="00770229" w:rsidRDefault="009A7F87" w:rsidP="009A7F87">
            <w:pPr>
              <w:pStyle w:val="TableBodyText"/>
              <w:keepNext w:val="0"/>
              <w:keepLines w:val="0"/>
              <w:spacing w:before="80" w:after="80"/>
              <w:jc w:val="left"/>
            </w:pPr>
            <w:r w:rsidRPr="00770229">
              <w:t xml:space="preserve">Law courts and legal services covers the activities of a broad range of agencies and institutions involved in the operation of the justice system. This includes the cost of administering and providing the judicial process and the cost of representing the government’s public position in litigations. </w:t>
            </w:r>
          </w:p>
          <w:p w:rsidR="009A7F87" w:rsidRPr="00770229" w:rsidRDefault="009A7F87" w:rsidP="009A7F87">
            <w:pPr>
              <w:pStyle w:val="TableBodyText"/>
              <w:jc w:val="left"/>
              <w:rPr>
                <w:b/>
                <w:sz w:val="24"/>
              </w:rPr>
            </w:pPr>
            <w:r w:rsidRPr="00770229">
              <w:rPr>
                <w:b/>
              </w:rPr>
              <w:t>A detailed definition of expenditure included under this category is provided in the 201</w:t>
            </w:r>
            <w:r>
              <w:rPr>
                <w:b/>
              </w:rPr>
              <w:t>7</w:t>
            </w:r>
            <w:r w:rsidRPr="00770229">
              <w:rPr>
                <w:b/>
              </w:rPr>
              <w:t xml:space="preserve"> </w:t>
            </w:r>
            <w:r w:rsidRPr="00DF2CB4">
              <w:rPr>
                <w:b/>
              </w:rPr>
              <w:t xml:space="preserve">Report </w:t>
            </w:r>
            <w:r w:rsidRPr="00770229">
              <w:rPr>
                <w:b/>
              </w:rPr>
              <w:t>Expenditure Data Manual (</w:t>
            </w:r>
            <w:r w:rsidRPr="00F56AE1">
              <w:rPr>
                <w:b/>
              </w:rPr>
              <w:t>http://www.pc.gov.au/ier2017</w:t>
            </w:r>
            <w:r w:rsidRPr="00770229">
              <w:rPr>
                <w:b/>
              </w:rPr>
              <w:t>).</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Other courts and legal services costs are largely driven by the number and complexity of civil cases. However, this category also includes a large number of legal administrative services. As a consequence, it is difficult to link the costs of these services to a unique cohort of service users. </w:t>
            </w:r>
          </w:p>
          <w:p w:rsidR="009A7F87" w:rsidRPr="00770229" w:rsidRDefault="009A7F87" w:rsidP="009A7F87">
            <w:pPr>
              <w:pStyle w:val="TableBodyText"/>
              <w:keepNext w:val="0"/>
              <w:keepLines w:val="0"/>
              <w:spacing w:before="80" w:after="80"/>
              <w:jc w:val="left"/>
              <w:rPr>
                <w:szCs w:val="26"/>
              </w:rPr>
            </w:pPr>
            <w:r w:rsidRPr="00770229">
              <w:t>It is assumed that the costs associated with this expenditure are driven by the population on a uniform basis.</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8D0951"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8D0951"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8D0951"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8D0951" w:rsidRDefault="009A7F87" w:rsidP="009A7F87">
            <w:pPr>
              <w:pStyle w:val="TableColumnHeading"/>
              <w:keepNext w:val="0"/>
              <w:ind w:left="180"/>
              <w:jc w:val="center"/>
            </w:pPr>
            <w:r w:rsidRPr="008D0951">
              <w:t>Data Years</w:t>
            </w:r>
          </w:p>
        </w:tc>
      </w:tr>
      <w:tr w:rsidR="009A7F87" w:rsidRPr="008D0951"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8D0951" w:rsidRDefault="009A7F87" w:rsidP="009A7F87">
            <w:pPr>
              <w:pStyle w:val="TableBodyText"/>
              <w:keepNext w:val="0"/>
              <w:spacing w:before="60" w:after="60"/>
              <w:ind w:left="0"/>
              <w:jc w:val="both"/>
              <w:rPr>
                <w:i/>
              </w:rPr>
            </w:pPr>
            <w:r w:rsidRPr="008D0951">
              <w:rPr>
                <w:i/>
              </w:rPr>
              <w:br/>
              <w:t>Measure</w:t>
            </w:r>
            <w:r w:rsidRPr="00944F69">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8D0951" w:rsidRDefault="009A7F87" w:rsidP="009A7F87">
            <w:pPr>
              <w:pStyle w:val="TableBodyText"/>
              <w:keepNext w:val="0"/>
              <w:spacing w:before="60" w:after="60"/>
              <w:ind w:left="180"/>
              <w:jc w:val="left"/>
              <w:rPr>
                <w:i/>
              </w:rPr>
            </w:pPr>
            <w:r w:rsidRPr="008D0951">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8D0951" w:rsidRDefault="009A7F87" w:rsidP="009A7F87">
            <w:pPr>
              <w:pStyle w:val="TableBodyText"/>
              <w:keepNext w:val="0"/>
              <w:spacing w:before="60" w:after="60"/>
              <w:ind w:left="2"/>
              <w:jc w:val="center"/>
              <w:rPr>
                <w:i/>
              </w:rPr>
            </w:pPr>
            <w:r w:rsidRPr="008D0951">
              <w:rPr>
                <w:i/>
              </w:rPr>
              <w:t>2008</w:t>
            </w:r>
            <w:r w:rsidRPr="008D0951">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8D0951" w:rsidRDefault="009A7F87" w:rsidP="009A7F87">
            <w:pPr>
              <w:pStyle w:val="TableBodyText"/>
              <w:keepNext w:val="0"/>
              <w:spacing w:before="60" w:after="60"/>
              <w:ind w:left="2"/>
              <w:jc w:val="center"/>
              <w:rPr>
                <w:i/>
              </w:rPr>
            </w:pPr>
            <w:r w:rsidRPr="008D0951">
              <w:rPr>
                <w:i/>
              </w:rPr>
              <w:t>2010</w:t>
            </w:r>
            <w:r w:rsidRPr="008D0951">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8D0951" w:rsidRDefault="009A7F87" w:rsidP="009A7F87">
            <w:pPr>
              <w:pStyle w:val="TableBodyText"/>
              <w:keepNext w:val="0"/>
              <w:spacing w:before="60" w:after="60"/>
              <w:ind w:left="2"/>
              <w:jc w:val="center"/>
              <w:rPr>
                <w:i/>
              </w:rPr>
            </w:pPr>
            <w:r w:rsidRPr="008D0951">
              <w:rPr>
                <w:i/>
              </w:rPr>
              <w:t>2012</w:t>
            </w:r>
            <w:r w:rsidRPr="008D0951">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8D0951" w:rsidRDefault="009A7F87" w:rsidP="009A7F87">
            <w:pPr>
              <w:pStyle w:val="TableBodyText"/>
              <w:keepNext w:val="0"/>
              <w:spacing w:before="60" w:after="60"/>
              <w:ind w:left="2"/>
              <w:jc w:val="center"/>
              <w:rPr>
                <w:i/>
              </w:rPr>
            </w:pPr>
            <w:r w:rsidRPr="008D0951">
              <w:rPr>
                <w:i/>
              </w:rPr>
              <w:t>2015</w:t>
            </w:r>
            <w:r w:rsidRPr="008D0951">
              <w:rPr>
                <w:i/>
              </w:rPr>
              <w:noBreakHyphen/>
              <w:t>16 Estimates</w:t>
            </w:r>
          </w:p>
        </w:tc>
      </w:tr>
      <w:tr w:rsidR="009A7F87" w:rsidRPr="00770229" w:rsidTr="000E0C9E">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0E0C9E">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40408F">
              <w:t>(Cat. no. 3101.0)</w:t>
            </w:r>
          </w:p>
        </w:tc>
        <w:tc>
          <w:tcPr>
            <w:tcW w:w="584" w:type="pct"/>
            <w:tcBorders>
              <w:bottom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r>
              <w:br/>
            </w:r>
          </w:p>
        </w:tc>
        <w:tc>
          <w:tcPr>
            <w:tcW w:w="585" w:type="pct"/>
            <w:gridSpan w:val="2"/>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r>
              <w:br/>
            </w:r>
          </w:p>
        </w:tc>
        <w:tc>
          <w:tcPr>
            <w:tcW w:w="585" w:type="pct"/>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r>
              <w:br/>
            </w:r>
          </w:p>
        </w:tc>
        <w:tc>
          <w:tcPr>
            <w:tcW w:w="583" w:type="pct"/>
            <w:gridSpan w:val="2"/>
            <w:tcBorders>
              <w:bottom w:val="single" w:sz="4" w:space="0" w:color="808080" w:themeColor="background1" w:themeShade="80"/>
            </w:tcBorders>
            <w:vAlign w:val="center"/>
          </w:tcPr>
          <w:p w:rsidR="009A7F87" w:rsidRDefault="009A7F87" w:rsidP="009A7F87">
            <w:pPr>
              <w:pStyle w:val="TableBodyText"/>
              <w:spacing w:before="60" w:after="60"/>
              <w:ind w:left="2"/>
              <w:jc w:val="center"/>
            </w:pPr>
            <w:r>
              <w:t>June 2016</w:t>
            </w: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746B0C" w:rsidRDefault="009A7F87" w:rsidP="009A7F87">
            <w:pPr>
              <w:pStyle w:val="Note"/>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2E2409">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320.3</w:t>
            </w:r>
            <w:r w:rsidRPr="00770229">
              <w:t xml:space="preserve"> </w:t>
            </w:r>
            <w:r>
              <w:t>Access to justice services</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jc w:val="left"/>
            </w:pPr>
            <w:r w:rsidRPr="00770229">
              <w:t xml:space="preserve">'Access to justice’ services are a range of legal services that assist people to formally enforce rights such as courts, tribunals and legal representation; services that assist people to resolve disputes, such as alternative dispute resolution processes and legal assistance and advice; services which assist people to participate effectively in law reform processes; and services that enhance the justice quality of people’s social, civic and economic relations such as counselling, advocacy, information and education services. Examples of specific services are: </w:t>
            </w:r>
          </w:p>
          <w:p w:rsidR="009A7F87" w:rsidRPr="00770229" w:rsidRDefault="009A7F87" w:rsidP="009A7F87">
            <w:pPr>
              <w:pStyle w:val="TableBullet"/>
              <w:numPr>
                <w:ilvl w:val="0"/>
                <w:numId w:val="24"/>
              </w:numPr>
              <w:spacing w:line="220" w:lineRule="atLeast"/>
            </w:pPr>
            <w:r w:rsidRPr="00770229">
              <w:t>Indigenous legal aid services</w:t>
            </w:r>
          </w:p>
          <w:p w:rsidR="009A7F87" w:rsidRPr="00770229" w:rsidRDefault="009A7F87" w:rsidP="009A7F87">
            <w:pPr>
              <w:pStyle w:val="TableBullet"/>
              <w:numPr>
                <w:ilvl w:val="0"/>
                <w:numId w:val="24"/>
              </w:numPr>
              <w:spacing w:line="220" w:lineRule="atLeast"/>
            </w:pPr>
            <w:r w:rsidRPr="00770229">
              <w:t>Legal education and legal information services</w:t>
            </w:r>
          </w:p>
          <w:p w:rsidR="009A7F87" w:rsidRPr="00770229" w:rsidRDefault="009A7F87" w:rsidP="009A7F87">
            <w:pPr>
              <w:pStyle w:val="TableBullet"/>
              <w:numPr>
                <w:ilvl w:val="0"/>
                <w:numId w:val="24"/>
              </w:numPr>
              <w:spacing w:line="220" w:lineRule="atLeast"/>
            </w:pPr>
            <w:r w:rsidRPr="00770229">
              <w:t>Legal advice and assistance services (including duty lawyer services)</w:t>
            </w:r>
          </w:p>
          <w:p w:rsidR="009A7F87" w:rsidRPr="00770229" w:rsidRDefault="009A7F87" w:rsidP="009A7F87">
            <w:pPr>
              <w:pStyle w:val="TableBullet"/>
              <w:numPr>
                <w:ilvl w:val="0"/>
                <w:numId w:val="24"/>
              </w:numPr>
              <w:spacing w:line="220" w:lineRule="atLeast"/>
            </w:pPr>
            <w:r w:rsidRPr="00770229">
              <w:t>Legal representation services</w:t>
            </w:r>
          </w:p>
          <w:p w:rsidR="009A7F87" w:rsidRPr="00770229" w:rsidRDefault="009A7F87" w:rsidP="009A7F87">
            <w:pPr>
              <w:pStyle w:val="TableBullet"/>
              <w:numPr>
                <w:ilvl w:val="0"/>
                <w:numId w:val="24"/>
              </w:numPr>
              <w:spacing w:line="220" w:lineRule="atLeast"/>
            </w:pPr>
            <w:r w:rsidRPr="00770229">
              <w:t>Family dispute resolution (FDR) services</w:t>
            </w:r>
          </w:p>
          <w:p w:rsidR="009A7F87" w:rsidRPr="00770229" w:rsidRDefault="009A7F87" w:rsidP="009A7F87">
            <w:pPr>
              <w:pStyle w:val="TableBullet"/>
              <w:numPr>
                <w:ilvl w:val="0"/>
                <w:numId w:val="24"/>
              </w:numPr>
              <w:spacing w:line="220" w:lineRule="atLeast"/>
            </w:pPr>
            <w:r w:rsidRPr="00770229">
              <w:t xml:space="preserve">Alternative dispute resolution services (ADR) </w:t>
            </w:r>
          </w:p>
          <w:p w:rsidR="009A7F87" w:rsidRPr="00770229" w:rsidRDefault="009A7F87" w:rsidP="009A7F87">
            <w:pPr>
              <w:pStyle w:val="TableBullet"/>
              <w:numPr>
                <w:ilvl w:val="0"/>
                <w:numId w:val="24"/>
              </w:numPr>
              <w:spacing w:line="220" w:lineRule="atLeast"/>
            </w:pPr>
            <w:r w:rsidRPr="00770229">
              <w:t>Community legal services</w:t>
            </w:r>
          </w:p>
          <w:p w:rsidR="009A7F87" w:rsidRPr="00770229" w:rsidRDefault="009A7F87" w:rsidP="009A7F87">
            <w:pPr>
              <w:pStyle w:val="TableBullet"/>
              <w:numPr>
                <w:ilvl w:val="0"/>
                <w:numId w:val="24"/>
              </w:numPr>
              <w:spacing w:line="220" w:lineRule="atLeast"/>
            </w:pPr>
            <w:r w:rsidRPr="00770229">
              <w:t>Policy and law reform services</w:t>
            </w:r>
            <w:r>
              <w:t>.</w:t>
            </w:r>
          </w:p>
          <w:p w:rsidR="009A7F87" w:rsidRPr="00770229" w:rsidRDefault="009A7F87" w:rsidP="009A7F87">
            <w:pPr>
              <w:pStyle w:val="TableBodyText"/>
              <w:jc w:val="left"/>
              <w:rPr>
                <w:b/>
                <w:sz w:val="24"/>
              </w:rPr>
            </w:pPr>
            <w:r w:rsidRPr="00770229">
              <w:rPr>
                <w:b/>
              </w:rPr>
              <w:t>A detailed definition of expenditure included under this category is provided in the 201</w:t>
            </w:r>
            <w:r>
              <w:rPr>
                <w:b/>
              </w:rPr>
              <w:t>7</w:t>
            </w:r>
            <w:r w:rsidRPr="00770229">
              <w:rPr>
                <w:b/>
              </w:rPr>
              <w:t xml:space="preserve"> </w:t>
            </w:r>
            <w:r w:rsidRPr="00DF2CB4">
              <w:rPr>
                <w:b/>
              </w:rPr>
              <w:t xml:space="preserve">Report </w:t>
            </w:r>
            <w:r w:rsidRPr="00770229">
              <w:rPr>
                <w:b/>
              </w:rPr>
              <w:t>Expenditure Data Manual (</w:t>
            </w:r>
            <w:r w:rsidRPr="00F56AE1">
              <w:rPr>
                <w:b/>
              </w:rPr>
              <w:t>http://www.pc.gov.au/ier2017</w:t>
            </w:r>
            <w:r w:rsidRPr="00770229">
              <w:rPr>
                <w:b/>
              </w:rPr>
              <w:t>).</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The cost drivers of expenditure on legal assistance services are mainly associated with the number of people using legal assistance services.</w:t>
            </w:r>
          </w:p>
          <w:p w:rsidR="009A7F87" w:rsidRPr="00770229" w:rsidRDefault="009A7F87" w:rsidP="009A7F87">
            <w:pPr>
              <w:pStyle w:val="TableBodyText"/>
              <w:keepNext w:val="0"/>
              <w:keepLines w:val="0"/>
              <w:spacing w:before="80" w:after="80"/>
              <w:jc w:val="left"/>
              <w:rPr>
                <w:szCs w:val="26"/>
              </w:rPr>
            </w:pPr>
            <w:r w:rsidRPr="00770229">
              <w:t>It is assumed that the costs associated with expenditure on policy and law reform processes are driven by the population on a uniform basis</w:t>
            </w:r>
            <w:r>
              <w:t>.</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C5160C"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C5160C"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C5160C"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C5160C" w:rsidRDefault="009A7F87" w:rsidP="009A7F87">
            <w:pPr>
              <w:pStyle w:val="TableColumnHeading"/>
              <w:keepNext w:val="0"/>
              <w:ind w:left="180"/>
              <w:jc w:val="center"/>
            </w:pPr>
            <w:r w:rsidRPr="00C5160C">
              <w:t>Data Years</w:t>
            </w:r>
          </w:p>
        </w:tc>
      </w:tr>
      <w:tr w:rsidR="009A7F87" w:rsidRPr="00C5160C"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C5160C" w:rsidRDefault="009A7F87" w:rsidP="009A7F87">
            <w:pPr>
              <w:pStyle w:val="TableBodyText"/>
              <w:keepNext w:val="0"/>
              <w:spacing w:before="60" w:after="60"/>
              <w:ind w:left="0"/>
              <w:jc w:val="both"/>
              <w:rPr>
                <w:i/>
              </w:rPr>
            </w:pPr>
            <w:r w:rsidRPr="00C5160C">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C5160C" w:rsidRDefault="009A7F87" w:rsidP="009A7F87">
            <w:pPr>
              <w:pStyle w:val="TableBodyText"/>
              <w:keepNext w:val="0"/>
              <w:spacing w:before="60" w:after="60"/>
              <w:ind w:left="180"/>
              <w:jc w:val="left"/>
              <w:rPr>
                <w:i/>
              </w:rPr>
            </w:pPr>
            <w:r w:rsidRPr="00C5160C">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C5160C" w:rsidRDefault="009A7F87" w:rsidP="009A7F87">
            <w:pPr>
              <w:pStyle w:val="TableBodyText"/>
              <w:keepNext w:val="0"/>
              <w:spacing w:before="60" w:after="60"/>
              <w:ind w:left="2"/>
              <w:jc w:val="center"/>
              <w:rPr>
                <w:i/>
              </w:rPr>
            </w:pPr>
            <w:r w:rsidRPr="00C5160C">
              <w:rPr>
                <w:i/>
              </w:rPr>
              <w:t>2008</w:t>
            </w:r>
            <w:r w:rsidRPr="00C5160C">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C5160C" w:rsidRDefault="009A7F87" w:rsidP="009A7F87">
            <w:pPr>
              <w:pStyle w:val="TableBodyText"/>
              <w:keepNext w:val="0"/>
              <w:spacing w:before="60" w:after="60"/>
              <w:ind w:left="2"/>
              <w:jc w:val="center"/>
              <w:rPr>
                <w:i/>
              </w:rPr>
            </w:pPr>
            <w:r w:rsidRPr="00C5160C">
              <w:rPr>
                <w:i/>
              </w:rPr>
              <w:t>2010</w:t>
            </w:r>
            <w:r w:rsidRPr="00C5160C">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C5160C" w:rsidRDefault="009A7F87" w:rsidP="009A7F87">
            <w:pPr>
              <w:pStyle w:val="TableBodyText"/>
              <w:keepNext w:val="0"/>
              <w:spacing w:before="60" w:after="60"/>
              <w:ind w:left="2"/>
              <w:jc w:val="center"/>
              <w:rPr>
                <w:i/>
              </w:rPr>
            </w:pPr>
            <w:r w:rsidRPr="00C5160C">
              <w:rPr>
                <w:i/>
              </w:rPr>
              <w:t>2012</w:t>
            </w:r>
            <w:r w:rsidRPr="00C5160C">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C5160C" w:rsidRDefault="009A7F87" w:rsidP="009A7F87">
            <w:pPr>
              <w:pStyle w:val="TableBodyText"/>
              <w:keepNext w:val="0"/>
              <w:spacing w:before="60" w:after="60"/>
              <w:ind w:left="2"/>
              <w:jc w:val="center"/>
              <w:rPr>
                <w:i/>
              </w:rPr>
            </w:pPr>
            <w:r w:rsidRPr="00C5160C">
              <w:rPr>
                <w:i/>
              </w:rPr>
              <w:t>2015</w:t>
            </w:r>
            <w:r w:rsidRPr="00C5160C">
              <w:rPr>
                <w:i/>
              </w:rPr>
              <w:noBreakHyphen/>
              <w:t>16 Estimates</w:t>
            </w:r>
          </w:p>
        </w:tc>
      </w:tr>
      <w:tr w:rsidR="009A7F87" w:rsidRPr="00770229" w:rsidTr="000E0C9E">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t>Resident population</w:t>
            </w:r>
            <w:r w:rsidRPr="00770229">
              <w:rPr>
                <w:rStyle w:val="NoteLabel"/>
              </w:rPr>
              <w:t>a</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40408F">
              <w:t>(Cat. no. 3101.0)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Pr="00770229" w:rsidRDefault="009A7F87" w:rsidP="009A7F87">
            <w:pPr>
              <w:pStyle w:val="TableBodyText"/>
              <w:spacing w:before="60" w:after="60"/>
              <w:ind w:left="2"/>
              <w:jc w:val="center"/>
            </w:pP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Pr="00770229" w:rsidRDefault="009A7F87" w:rsidP="009A7F87">
            <w:pPr>
              <w:pStyle w:val="TableBodyText"/>
              <w:spacing w:before="60" w:after="60"/>
              <w:ind w:left="2"/>
              <w:jc w:val="center"/>
            </w:pPr>
          </w:p>
        </w:tc>
      </w:tr>
      <w:tr w:rsidR="009A7F87" w:rsidRPr="00770229" w:rsidTr="000E0C9E">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National legal aid</w:t>
            </w:r>
            <w:r w:rsidRPr="00770229">
              <w:rPr>
                <w:rStyle w:val="NoteLabel"/>
              </w:rPr>
              <w:t>b</w:t>
            </w:r>
          </w:p>
        </w:tc>
        <w:tc>
          <w:tcPr>
            <w:tcW w:w="1814" w:type="pct"/>
            <w:tcBorders>
              <w:bottom w:val="single" w:sz="4" w:space="0" w:color="808080" w:themeColor="background1" w:themeShade="80"/>
            </w:tcBorders>
            <w:shd w:val="clear" w:color="auto" w:fill="auto"/>
          </w:tcPr>
          <w:p w:rsidR="009A7F87" w:rsidRDefault="009A7F87" w:rsidP="009A7F87">
            <w:pPr>
              <w:pStyle w:val="TableBodyText"/>
              <w:keepNext w:val="0"/>
              <w:spacing w:before="60" w:after="60"/>
              <w:ind w:left="180"/>
              <w:jc w:val="left"/>
            </w:pPr>
            <w:r w:rsidRPr="00770229">
              <w:t>National legal aid statistics (unpublished)</w:t>
            </w:r>
          </w:p>
        </w:tc>
        <w:tc>
          <w:tcPr>
            <w:tcW w:w="584" w:type="pct"/>
            <w:tcBorders>
              <w:bottom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tc>
        <w:tc>
          <w:tcPr>
            <w:tcW w:w="585" w:type="pct"/>
            <w:gridSpan w:val="2"/>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tc>
        <w:tc>
          <w:tcPr>
            <w:tcW w:w="585" w:type="pct"/>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2012-13</w:t>
            </w:r>
          </w:p>
          <w:p w:rsidR="009A7F87" w:rsidRDefault="009A7F87" w:rsidP="009A7F87">
            <w:pPr>
              <w:pStyle w:val="TableBodyText"/>
              <w:spacing w:before="60" w:after="60"/>
              <w:ind w:left="2"/>
              <w:jc w:val="center"/>
            </w:pPr>
          </w:p>
        </w:tc>
        <w:tc>
          <w:tcPr>
            <w:tcW w:w="583" w:type="pct"/>
            <w:gridSpan w:val="2"/>
            <w:tcBorders>
              <w:bottom w:val="single" w:sz="4" w:space="0" w:color="808080" w:themeColor="background1" w:themeShade="80"/>
            </w:tcBorders>
            <w:vAlign w:val="center"/>
          </w:tcPr>
          <w:p w:rsidR="009A7F87" w:rsidRDefault="009A7F87" w:rsidP="009A7F87">
            <w:pPr>
              <w:pStyle w:val="TableBodyText"/>
              <w:spacing w:before="60" w:after="60"/>
              <w:ind w:left="2"/>
              <w:jc w:val="center"/>
            </w:pPr>
            <w:r>
              <w:t>2015-16</w:t>
            </w:r>
          </w:p>
          <w:p w:rsidR="009A7F87" w:rsidRDefault="009A7F87" w:rsidP="009A7F87">
            <w:pPr>
              <w:pStyle w:val="TableBodyText"/>
              <w:spacing w:before="60" w:after="60"/>
              <w:ind w:left="2"/>
              <w:jc w:val="center"/>
            </w:pP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746B0C" w:rsidRDefault="009A7F87" w:rsidP="009A7F87">
            <w:pPr>
              <w:pStyle w:val="Note"/>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 xml:space="preserve">Indigenous rates by subtracting the Aboriginal and Torres Strait Islander population from the total population. Such figures have a degree of uncertainty and should be used with caution, particularly as the time from the base year of the projection series increases. </w:t>
            </w:r>
            <w:r w:rsidRPr="00770229">
              <w:rPr>
                <w:rStyle w:val="NoteLabel"/>
              </w:rPr>
              <w:t xml:space="preserve">b </w:t>
            </w:r>
            <w:r w:rsidRPr="00770229">
              <w:t>Number of legal aid applications approved, by law type, by Indigenous status</w:t>
            </w:r>
            <w:r>
              <w:t>.</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647"/>
        <w:gridCol w:w="3164"/>
        <w:gridCol w:w="1001"/>
        <w:gridCol w:w="577"/>
        <w:gridCol w:w="401"/>
        <w:gridCol w:w="1005"/>
        <w:gridCol w:w="994"/>
        <w:gridCol w:w="7"/>
      </w:tblGrid>
      <w:tr w:rsidR="009A7F87" w:rsidRPr="00770229" w:rsidTr="002E2409">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330.1</w:t>
            </w:r>
            <w:r w:rsidRPr="00770229">
              <w:t xml:space="preserve"> </w:t>
            </w:r>
            <w:r>
              <w:t>Juvenile corrective institutions</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632"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368"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Juvenile corrective institutions is a sub</w:t>
            </w:r>
            <w:r w:rsidRPr="00770229">
              <w:noBreakHyphen/>
              <w:t>category of prisons and corrective services (GPC 0330).</w:t>
            </w:r>
          </w:p>
          <w:p w:rsidR="009A7F87" w:rsidRPr="00770229" w:rsidRDefault="009A7F87" w:rsidP="009A7F87">
            <w:pPr>
              <w:pStyle w:val="TableBodyText"/>
              <w:keepNext w:val="0"/>
              <w:keepLines w:val="0"/>
              <w:spacing w:before="80" w:after="80"/>
              <w:jc w:val="left"/>
            </w:pPr>
            <w:r w:rsidRPr="00770229">
              <w:t>In Australia, juvenile justice processes is governed by State and Territory legislation. This legislation applies to young people aged 10–18 (10–17 in Queensland). However, it is possible to remain under juvenile justice supervision beyond 18 years (beyond 17 years in Queensland) as the legislation refers to the age at which the offence occurred rather than the current age of the individual.</w:t>
            </w:r>
          </w:p>
          <w:p w:rsidR="009A7F87" w:rsidRPr="00770229" w:rsidRDefault="009A7F87" w:rsidP="009A7F87">
            <w:pPr>
              <w:pStyle w:val="TableBodyText"/>
              <w:jc w:val="left"/>
            </w:pPr>
            <w:r w:rsidRPr="00770229">
              <w:t>Young people who are not diverted from the juvenile justice system can come under supervision arrangements at various stages during the justice process:</w:t>
            </w:r>
          </w:p>
          <w:p w:rsidR="009A7F87" w:rsidRPr="00770229" w:rsidRDefault="009A7F87" w:rsidP="009A7F87">
            <w:pPr>
              <w:pStyle w:val="TableBullet"/>
              <w:numPr>
                <w:ilvl w:val="0"/>
                <w:numId w:val="24"/>
              </w:numPr>
              <w:spacing w:line="220" w:lineRule="atLeast"/>
            </w:pPr>
            <w:r w:rsidRPr="00770229">
              <w:rPr>
                <w:i/>
              </w:rPr>
              <w:t>pre</w:t>
            </w:r>
            <w:r w:rsidRPr="00770229">
              <w:rPr>
                <w:i/>
              </w:rPr>
              <w:noBreakHyphen/>
              <w:t>court/pre</w:t>
            </w:r>
            <w:r w:rsidRPr="00770229">
              <w:rPr>
                <w:i/>
              </w:rPr>
              <w:noBreakHyphen/>
              <w:t>sentence supervision</w:t>
            </w:r>
            <w:r w:rsidRPr="00770229">
              <w:t xml:space="preserve"> — juveniles on remand awaiting court appearance, hearing or outcome for an alleged offence. The individual can be released on supervised/conditional bail or held or remanded in a custodial facility</w:t>
            </w:r>
          </w:p>
          <w:p w:rsidR="009A7F87" w:rsidRPr="00770229" w:rsidRDefault="009A7F87" w:rsidP="009A7F87">
            <w:pPr>
              <w:pStyle w:val="TableBullet"/>
              <w:numPr>
                <w:ilvl w:val="0"/>
                <w:numId w:val="24"/>
              </w:numPr>
              <w:spacing w:line="220" w:lineRule="atLeast"/>
            </w:pPr>
            <w:r w:rsidRPr="00770229">
              <w:rPr>
                <w:i/>
              </w:rPr>
              <w:t>sentenced supervision</w:t>
            </w:r>
            <w:r w:rsidRPr="00770229">
              <w:t xml:space="preserve"> — juveniles completing a supervision order following the finalisation of the case. This can be either:</w:t>
            </w:r>
          </w:p>
          <w:p w:rsidR="009A7F87" w:rsidRPr="00770229" w:rsidRDefault="009A7F87" w:rsidP="009A7F87">
            <w:pPr>
              <w:pStyle w:val="TableBullet2"/>
              <w:tabs>
                <w:tab w:val="clear" w:pos="567"/>
                <w:tab w:val="clear" w:pos="680"/>
                <w:tab w:val="num" w:pos="429"/>
              </w:tabs>
              <w:ind w:left="454" w:hanging="284"/>
            </w:pPr>
            <w:r w:rsidRPr="00770229">
              <w:t>community</w:t>
            </w:r>
            <w:r w:rsidRPr="00770229">
              <w:noBreakHyphen/>
              <w:t>based supervision (for example, probation, youth supervision order)</w:t>
            </w:r>
          </w:p>
          <w:p w:rsidR="009A7F87" w:rsidRPr="00770229" w:rsidRDefault="009A7F87" w:rsidP="009A7F87">
            <w:pPr>
              <w:pStyle w:val="TableBullet2"/>
              <w:tabs>
                <w:tab w:val="clear" w:pos="567"/>
                <w:tab w:val="clear" w:pos="680"/>
                <w:tab w:val="num" w:pos="429"/>
              </w:tabs>
              <w:ind w:left="454" w:hanging="284"/>
            </w:pPr>
            <w:r w:rsidRPr="00770229">
              <w:t xml:space="preserve">home detention </w:t>
            </w:r>
          </w:p>
          <w:p w:rsidR="009A7F87" w:rsidRPr="00770229" w:rsidRDefault="009A7F87" w:rsidP="009A7F87">
            <w:pPr>
              <w:pStyle w:val="TableBullet2"/>
              <w:tabs>
                <w:tab w:val="clear" w:pos="567"/>
                <w:tab w:val="clear" w:pos="680"/>
                <w:tab w:val="num" w:pos="429"/>
              </w:tabs>
              <w:ind w:left="454" w:hanging="284"/>
            </w:pPr>
            <w:r w:rsidRPr="00770229">
              <w:t>detained in a custodial facility.</w:t>
            </w:r>
          </w:p>
          <w:p w:rsidR="009A7F87" w:rsidRPr="00770229" w:rsidRDefault="009A7F87" w:rsidP="009A7F87">
            <w:pPr>
              <w:pStyle w:val="TableBodyText"/>
              <w:jc w:val="left"/>
              <w:rPr>
                <w:b/>
                <w:sz w:val="24"/>
              </w:rPr>
            </w:pPr>
            <w:r w:rsidRPr="00770229">
              <w:rPr>
                <w:b/>
              </w:rPr>
              <w:t>A detailed definition of expenditure included under this category is provided in the 201</w:t>
            </w:r>
            <w:r>
              <w:rPr>
                <w:b/>
              </w:rPr>
              <w:t>7</w:t>
            </w:r>
            <w:r w:rsidRPr="00770229">
              <w:rPr>
                <w:b/>
              </w:rPr>
              <w:t xml:space="preserve"> </w:t>
            </w:r>
            <w:r w:rsidRPr="00DF2CB4">
              <w:rPr>
                <w:b/>
              </w:rPr>
              <w:t xml:space="preserve">Report </w:t>
            </w:r>
            <w:r w:rsidRPr="00770229">
              <w:rPr>
                <w:b/>
              </w:rPr>
              <w:t>Expenditure Data Manual (</w:t>
            </w:r>
            <w:r w:rsidRPr="00F56AE1">
              <w:rPr>
                <w:b/>
              </w:rPr>
              <w:t>http://www.pc.gov.au/ier2017</w:t>
            </w:r>
            <w:r w:rsidRPr="00770229">
              <w:rPr>
                <w:b/>
              </w:rPr>
              <w:t>).</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szCs w:val="26"/>
              </w:rPr>
            </w:pPr>
            <w:r w:rsidRPr="00770229">
              <w:t>The key cost drivers of expenditure on juvenile corrective institutions are closely linked to the number of young people under supervision. The impact of young offenders on cost varies by the duration of supervision and the level of supervision required (that is facility</w:t>
            </w:r>
            <w:r w:rsidRPr="00770229">
              <w:noBreakHyphen/>
              <w:t>based detention compared with community</w:t>
            </w:r>
            <w:r>
              <w:t>-</w:t>
            </w:r>
            <w:r w:rsidRPr="00770229">
              <w:t>based service). There may also be cost differences associated with scale and location of juvenile corrective institutions, or with the characteristics of the offenders (such as cultural or physical needs).</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770229" w:rsidTr="00A672D0">
        <w:tblPrEx>
          <w:tblBorders>
            <w:top w:val="none" w:sz="0" w:space="0" w:color="auto"/>
            <w:bottom w:val="none" w:sz="0" w:space="0" w:color="auto"/>
            <w:insideH w:val="none" w:sz="0" w:space="0" w:color="auto"/>
          </w:tblBorders>
        </w:tblPrEx>
        <w:tc>
          <w:tcPr>
            <w:tcW w:w="936"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ColumnHeading"/>
              <w:keepNext w:val="0"/>
              <w:jc w:val="left"/>
            </w:pPr>
          </w:p>
        </w:tc>
        <w:tc>
          <w:tcPr>
            <w:tcW w:w="1799"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ColumnHeading"/>
              <w:keepNext w:val="0"/>
              <w:ind w:left="180"/>
              <w:jc w:val="left"/>
            </w:pPr>
          </w:p>
        </w:tc>
        <w:tc>
          <w:tcPr>
            <w:tcW w:w="2265" w:type="pct"/>
            <w:gridSpan w:val="6"/>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ColumnHeading"/>
              <w:keepNext w:val="0"/>
              <w:ind w:left="180"/>
              <w:jc w:val="center"/>
              <w:rPr>
                <w:i w:val="0"/>
              </w:rPr>
            </w:pPr>
            <w:r w:rsidRPr="00770229">
              <w:rPr>
                <w:i w:val="0"/>
              </w:rPr>
              <w:t>Data Years</w:t>
            </w:r>
          </w:p>
        </w:tc>
      </w:tr>
      <w:tr w:rsidR="009A7F87" w:rsidRPr="00770229" w:rsidTr="00A672D0">
        <w:tblPrEx>
          <w:tblBorders>
            <w:top w:val="none" w:sz="0" w:space="0" w:color="auto"/>
            <w:bottom w:val="none" w:sz="0" w:space="0" w:color="auto"/>
            <w:insideH w:val="none" w:sz="0" w:space="0" w:color="auto"/>
          </w:tblBorders>
        </w:tblPrEx>
        <w:tc>
          <w:tcPr>
            <w:tcW w:w="936"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both"/>
            </w:pPr>
            <w:r>
              <w:br/>
            </w:r>
            <w:r w:rsidRPr="00770229">
              <w:t>Measure</w:t>
            </w:r>
          </w:p>
        </w:tc>
        <w:tc>
          <w:tcPr>
            <w:tcW w:w="1799"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br/>
            </w:r>
            <w:r w:rsidRPr="00770229">
              <w:t>Data source</w:t>
            </w:r>
          </w:p>
        </w:tc>
        <w:tc>
          <w:tcPr>
            <w:tcW w:w="569"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2"/>
              <w:jc w:val="center"/>
            </w:pPr>
            <w:r w:rsidRPr="00770229">
              <w:t>2008</w:t>
            </w:r>
            <w:r>
              <w:noBreakHyphen/>
            </w:r>
            <w:r w:rsidRPr="00770229">
              <w:t>09 Estimates</w:t>
            </w:r>
          </w:p>
        </w:tc>
        <w:tc>
          <w:tcPr>
            <w:tcW w:w="556" w:type="pct"/>
            <w:gridSpan w:val="2"/>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2"/>
              <w:jc w:val="center"/>
            </w:pPr>
            <w:r w:rsidRPr="00770229">
              <w:t>2010</w:t>
            </w:r>
            <w:r>
              <w:noBreakHyphen/>
            </w:r>
            <w:r w:rsidRPr="00770229">
              <w:t>11 Estimates</w:t>
            </w:r>
          </w:p>
        </w:tc>
        <w:tc>
          <w:tcPr>
            <w:tcW w:w="571"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2"/>
              <w:jc w:val="center"/>
            </w:pPr>
            <w:r w:rsidRPr="00770229">
              <w:t>2012</w:t>
            </w:r>
            <w:r>
              <w:noBreakHyphen/>
            </w:r>
            <w:r w:rsidRPr="00770229">
              <w:t>13 Estimates</w:t>
            </w:r>
          </w:p>
        </w:tc>
        <w:tc>
          <w:tcPr>
            <w:tcW w:w="569" w:type="pct"/>
            <w:gridSpan w:val="2"/>
            <w:tcBorders>
              <w:top w:val="single" w:sz="6" w:space="0" w:color="808080" w:themeColor="background1" w:themeShade="80"/>
              <w:bottom w:val="single" w:sz="6" w:space="0" w:color="808080" w:themeColor="background1" w:themeShade="80"/>
            </w:tcBorders>
          </w:tcPr>
          <w:p w:rsidR="009A7F87" w:rsidRPr="00770229" w:rsidRDefault="009A7F87" w:rsidP="009A7F87">
            <w:pPr>
              <w:pStyle w:val="TableBodyText"/>
              <w:keepNext w:val="0"/>
              <w:spacing w:before="60" w:after="60"/>
              <w:ind w:left="2"/>
              <w:jc w:val="center"/>
            </w:pPr>
            <w:r>
              <w:t>2015</w:t>
            </w:r>
            <w:r>
              <w:noBreakHyphen/>
              <w:t>16</w:t>
            </w:r>
            <w:r w:rsidRPr="00770229">
              <w:t xml:space="preserve"> Estimates</w:t>
            </w:r>
          </w:p>
        </w:tc>
      </w:tr>
      <w:tr w:rsidR="009A7F87" w:rsidRPr="00770229" w:rsidTr="00A672D0">
        <w:tblPrEx>
          <w:tblBorders>
            <w:top w:val="none" w:sz="0" w:space="0" w:color="auto"/>
            <w:bottom w:val="none" w:sz="0" w:space="0" w:color="auto"/>
            <w:insideH w:val="none" w:sz="0" w:space="0" w:color="auto"/>
          </w:tblBorders>
        </w:tblPrEx>
        <w:tc>
          <w:tcPr>
            <w:tcW w:w="936"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Juveniles in community</w:t>
            </w:r>
            <w:r>
              <w:noBreakHyphen/>
            </w:r>
            <w:r w:rsidRPr="00770229">
              <w:t>based corrections</w:t>
            </w:r>
          </w:p>
        </w:tc>
        <w:tc>
          <w:tcPr>
            <w:tcW w:w="1799"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spacing w:before="60" w:after="60"/>
              <w:ind w:left="180"/>
              <w:jc w:val="left"/>
            </w:pPr>
            <w:r w:rsidRPr="00770229">
              <w:t xml:space="preserve">AIHW </w:t>
            </w:r>
            <w:r w:rsidRPr="00770229">
              <w:rPr>
                <w:i/>
              </w:rPr>
              <w:t>Juvenile Justice in Australia: 2008</w:t>
            </w:r>
            <w:r>
              <w:rPr>
                <w:i/>
              </w:rPr>
              <w:noBreakHyphen/>
            </w:r>
            <w:r w:rsidRPr="00770229">
              <w:rPr>
                <w:i/>
              </w:rPr>
              <w:t>09</w:t>
            </w:r>
            <w:r w:rsidRPr="00770229">
              <w:t xml:space="preserve"> (Cat. no. JUV 7)</w:t>
            </w:r>
          </w:p>
          <w:p w:rsidR="009A7F87" w:rsidRPr="00770229" w:rsidRDefault="009A7F87" w:rsidP="009A7F87">
            <w:pPr>
              <w:pStyle w:val="TableBodyText"/>
              <w:spacing w:before="60" w:after="60"/>
              <w:ind w:left="180"/>
              <w:jc w:val="left"/>
            </w:pPr>
            <w:r w:rsidRPr="00770229">
              <w:t xml:space="preserve">AIHW </w:t>
            </w:r>
            <w:r w:rsidRPr="00770229">
              <w:rPr>
                <w:i/>
              </w:rPr>
              <w:t>Juvenile Justice in Australia: 2010</w:t>
            </w:r>
            <w:r>
              <w:rPr>
                <w:i/>
              </w:rPr>
              <w:noBreakHyphen/>
            </w:r>
            <w:r w:rsidRPr="00770229">
              <w:rPr>
                <w:i/>
              </w:rPr>
              <w:t>11</w:t>
            </w:r>
            <w:r w:rsidRPr="00770229">
              <w:t xml:space="preserve"> (Cat. no. JUV 10)</w:t>
            </w:r>
          </w:p>
          <w:p w:rsidR="009A7F87" w:rsidRDefault="009A7F87" w:rsidP="009A7F87">
            <w:pPr>
              <w:pStyle w:val="TableBodyText"/>
              <w:spacing w:before="60" w:after="60"/>
              <w:ind w:left="180"/>
              <w:jc w:val="left"/>
              <w:rPr>
                <w:i/>
              </w:rPr>
            </w:pPr>
            <w:r w:rsidRPr="00770229">
              <w:t xml:space="preserve">AIHW </w:t>
            </w:r>
            <w:r w:rsidRPr="00770229">
              <w:rPr>
                <w:i/>
              </w:rPr>
              <w:t>Yout</w:t>
            </w:r>
            <w:r>
              <w:rPr>
                <w:i/>
              </w:rPr>
              <w:t>h Justice in Australia: 2011</w:t>
            </w:r>
            <w:r>
              <w:rPr>
                <w:i/>
              </w:rPr>
              <w:noBreakHyphen/>
              <w:t>12</w:t>
            </w:r>
          </w:p>
          <w:p w:rsidR="009A7F87" w:rsidRDefault="009A7F87" w:rsidP="009A7F87">
            <w:pPr>
              <w:pStyle w:val="TableBodyText"/>
              <w:spacing w:before="60" w:after="60"/>
              <w:ind w:left="180"/>
              <w:jc w:val="left"/>
              <w:rPr>
                <w:i/>
              </w:rPr>
            </w:pPr>
            <w:r w:rsidRPr="00770229">
              <w:t xml:space="preserve">AIHW </w:t>
            </w:r>
            <w:r w:rsidRPr="00770229">
              <w:rPr>
                <w:i/>
              </w:rPr>
              <w:t>Yout</w:t>
            </w:r>
            <w:r>
              <w:rPr>
                <w:i/>
              </w:rPr>
              <w:t>h Justice in Australia: 2014</w:t>
            </w:r>
            <w:r>
              <w:rPr>
                <w:i/>
              </w:rPr>
              <w:noBreakHyphen/>
              <w:t>15</w:t>
            </w:r>
          </w:p>
          <w:p w:rsidR="009A7F87" w:rsidRPr="00770229" w:rsidRDefault="009A7F87" w:rsidP="009A7F87">
            <w:pPr>
              <w:pStyle w:val="TableBodyText"/>
              <w:keepNext w:val="0"/>
              <w:spacing w:before="60" w:after="60"/>
              <w:ind w:left="180"/>
              <w:jc w:val="left"/>
            </w:pPr>
            <w:r w:rsidRPr="00770229">
              <w:t>SCRGSP (201</w:t>
            </w:r>
            <w:r>
              <w:t>7</w:t>
            </w:r>
            <w:r w:rsidRPr="00770229">
              <w:t xml:space="preserve">) </w:t>
            </w:r>
            <w:r w:rsidRPr="00770229">
              <w:rPr>
                <w:i/>
              </w:rPr>
              <w:t>Report on Government Services 201</w:t>
            </w:r>
            <w:r>
              <w:rPr>
                <w:i/>
              </w:rPr>
              <w:t>7</w:t>
            </w:r>
          </w:p>
        </w:tc>
        <w:tc>
          <w:tcPr>
            <w:tcW w:w="569"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56" w:type="pct"/>
            <w:gridSpan w:val="2"/>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71"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2011-12</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69" w:type="pct"/>
            <w:gridSpan w:val="2"/>
            <w:tcBorders>
              <w:top w:val="single" w:sz="6" w:space="0" w:color="808080" w:themeColor="background1" w:themeShade="80"/>
              <w:bottom w:val="single" w:sz="6" w:space="0" w:color="808080" w:themeColor="background1" w:themeShade="80"/>
            </w:tcBorders>
            <w:vAlign w:val="center"/>
          </w:tcPr>
          <w:p w:rsidR="009A7F87" w:rsidRDefault="009A7F87" w:rsidP="009A7F87">
            <w:pPr>
              <w:pStyle w:val="TableBodyText"/>
              <w:spacing w:before="60" w:after="60"/>
              <w:ind w:left="2"/>
              <w:jc w:val="center"/>
            </w:pPr>
            <w:r>
              <w:t>2014-15</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746B0C" w:rsidRDefault="009A7F87" w:rsidP="009A7F87">
            <w:pPr>
              <w:pStyle w:val="Note"/>
              <w:jc w:val="right"/>
            </w:pPr>
            <w:r>
              <w:t>(continued next page)</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1029"/>
        <w:gridCol w:w="1029"/>
        <w:gridCol w:w="1026"/>
      </w:tblGrid>
      <w:tr w:rsidR="009A7F87" w:rsidRPr="00770229" w:rsidTr="002E2409">
        <w:tc>
          <w:tcPr>
            <w:tcW w:w="5000" w:type="pct"/>
            <w:gridSpan w:val="6"/>
            <w:tcBorders>
              <w:top w:val="single" w:sz="12" w:space="0" w:color="78A22F" w:themeColor="accent1"/>
              <w:bottom w:val="single" w:sz="12" w:space="0" w:color="808080" w:themeColor="background1" w:themeShade="80"/>
            </w:tcBorders>
            <w:shd w:val="clear" w:color="auto" w:fill="E0E0E0"/>
            <w:tcMar>
              <w:top w:w="57" w:type="dxa"/>
              <w:left w:w="113" w:type="dxa"/>
            </w:tcMar>
          </w:tcPr>
          <w:p w:rsidR="00E97D3E" w:rsidRPr="00E97D3E" w:rsidRDefault="009A7F87" w:rsidP="00E97D3E">
            <w:pPr>
              <w:pStyle w:val="Heading3"/>
              <w:ind w:hanging="82"/>
              <w:rPr>
                <w:sz w:val="18"/>
                <w:szCs w:val="18"/>
              </w:rPr>
            </w:pPr>
            <w:r w:rsidRPr="00770229">
              <w:br w:type="page"/>
            </w:r>
            <w:r w:rsidRPr="00E97D3E">
              <w:rPr>
                <w:sz w:val="18"/>
                <w:szCs w:val="18"/>
              </w:rPr>
              <w:t>(continued)</w:t>
            </w:r>
          </w:p>
        </w:tc>
      </w:tr>
      <w:tr w:rsidR="009A7F87" w:rsidRPr="00770229" w:rsidTr="002E2409">
        <w:tblPrEx>
          <w:tblBorders>
            <w:top w:val="none" w:sz="0" w:space="0" w:color="auto"/>
            <w:bottom w:val="none" w:sz="0" w:space="0" w:color="auto"/>
            <w:insideH w:val="none" w:sz="0" w:space="0" w:color="auto"/>
          </w:tblBorders>
        </w:tblPrEx>
        <w:tc>
          <w:tcPr>
            <w:tcW w:w="849" w:type="pct"/>
            <w:tcBorders>
              <w:top w:val="single" w:sz="12"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ColumnHeading"/>
              <w:keepNext w:val="0"/>
              <w:jc w:val="left"/>
            </w:pPr>
          </w:p>
        </w:tc>
        <w:tc>
          <w:tcPr>
            <w:tcW w:w="1814" w:type="pct"/>
            <w:tcBorders>
              <w:top w:val="single" w:sz="12"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ColumnHeading"/>
              <w:keepNext w:val="0"/>
              <w:ind w:left="180"/>
              <w:jc w:val="left"/>
            </w:pPr>
          </w:p>
        </w:tc>
        <w:tc>
          <w:tcPr>
            <w:tcW w:w="2337" w:type="pct"/>
            <w:gridSpan w:val="4"/>
            <w:tcBorders>
              <w:top w:val="single" w:sz="12"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ColumnHeading"/>
              <w:keepNext w:val="0"/>
              <w:ind w:left="180"/>
              <w:jc w:val="center"/>
              <w:rPr>
                <w:i w:val="0"/>
              </w:rPr>
            </w:pPr>
            <w:r w:rsidRPr="00770229">
              <w:rPr>
                <w:i w:val="0"/>
              </w:rPr>
              <w:t>Data Years</w:t>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both"/>
            </w:pPr>
            <w:r>
              <w:br/>
            </w:r>
            <w:r w:rsidRPr="00770229">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br/>
            </w:r>
            <w:r w:rsidRPr="00770229">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2"/>
              <w:jc w:val="center"/>
            </w:pPr>
            <w:r w:rsidRPr="00770229">
              <w:t>2008</w:t>
            </w:r>
            <w:r>
              <w:noBreakHyphen/>
            </w:r>
            <w:r w:rsidRPr="00770229">
              <w:t>09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2"/>
              <w:jc w:val="center"/>
            </w:pPr>
            <w:r w:rsidRPr="00770229">
              <w:t>2010</w:t>
            </w:r>
            <w:r>
              <w:noBreakHyphen/>
            </w:r>
            <w:r w:rsidRPr="00770229">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2"/>
              <w:jc w:val="center"/>
            </w:pPr>
            <w:r w:rsidRPr="00770229">
              <w:t>2012</w:t>
            </w:r>
            <w:r>
              <w:noBreakHyphen/>
            </w:r>
            <w:r w:rsidRPr="00770229">
              <w:t>13 Estimates</w:t>
            </w:r>
          </w:p>
        </w:tc>
        <w:tc>
          <w:tcPr>
            <w:tcW w:w="583" w:type="pct"/>
            <w:tcBorders>
              <w:top w:val="single" w:sz="6" w:space="0" w:color="808080" w:themeColor="background1" w:themeShade="80"/>
              <w:bottom w:val="single" w:sz="6" w:space="0" w:color="808080" w:themeColor="background1" w:themeShade="80"/>
            </w:tcBorders>
          </w:tcPr>
          <w:p w:rsidR="009A7F87" w:rsidRPr="00770229" w:rsidRDefault="009A7F87" w:rsidP="009A7F87">
            <w:pPr>
              <w:pStyle w:val="TableBodyText"/>
              <w:keepNext w:val="0"/>
              <w:spacing w:before="60" w:after="60"/>
              <w:ind w:left="2"/>
              <w:jc w:val="center"/>
            </w:pPr>
            <w:r>
              <w:t>2015</w:t>
            </w:r>
            <w:r>
              <w:noBreakHyphen/>
              <w:t>16</w:t>
            </w:r>
            <w:r w:rsidRPr="00770229">
              <w:t xml:space="preserve"> Estimates</w:t>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Juveniles in facility</w:t>
            </w:r>
            <w:r>
              <w:noBreakHyphen/>
            </w:r>
            <w:r w:rsidRPr="00770229">
              <w:t>based detention</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spacing w:before="60" w:after="60"/>
              <w:ind w:left="180"/>
              <w:jc w:val="left"/>
            </w:pPr>
            <w:r w:rsidRPr="00770229">
              <w:t xml:space="preserve">AIHW </w:t>
            </w:r>
            <w:r w:rsidRPr="00770229">
              <w:rPr>
                <w:i/>
              </w:rPr>
              <w:t>Juvenile Justice in Australia: 2008</w:t>
            </w:r>
            <w:r>
              <w:rPr>
                <w:i/>
              </w:rPr>
              <w:noBreakHyphen/>
            </w:r>
            <w:r w:rsidRPr="00770229">
              <w:rPr>
                <w:i/>
              </w:rPr>
              <w:t>09</w:t>
            </w:r>
            <w:r w:rsidRPr="00770229">
              <w:t xml:space="preserve"> (Cat. no. JUV 7)</w:t>
            </w:r>
          </w:p>
          <w:p w:rsidR="009A7F87" w:rsidRPr="00770229" w:rsidRDefault="009A7F87" w:rsidP="009A7F87">
            <w:pPr>
              <w:pStyle w:val="TableBodyText"/>
              <w:spacing w:before="60" w:after="60"/>
              <w:ind w:left="180"/>
              <w:jc w:val="left"/>
            </w:pPr>
            <w:r w:rsidRPr="00770229">
              <w:t xml:space="preserve">AIHW </w:t>
            </w:r>
            <w:r w:rsidRPr="00770229">
              <w:rPr>
                <w:i/>
              </w:rPr>
              <w:t>Juvenile Justice in Australia: 2010</w:t>
            </w:r>
            <w:r>
              <w:rPr>
                <w:i/>
              </w:rPr>
              <w:noBreakHyphen/>
            </w:r>
            <w:r w:rsidRPr="00770229">
              <w:rPr>
                <w:i/>
              </w:rPr>
              <w:t>11</w:t>
            </w:r>
            <w:r w:rsidRPr="00770229">
              <w:t xml:space="preserve"> (Cat. no. JUV 10)</w:t>
            </w:r>
          </w:p>
          <w:p w:rsidR="009A7F87" w:rsidRDefault="009A7F87" w:rsidP="009A7F87">
            <w:pPr>
              <w:pStyle w:val="TableBodyText"/>
              <w:spacing w:before="60" w:after="60"/>
              <w:ind w:left="180"/>
              <w:jc w:val="left"/>
              <w:rPr>
                <w:i/>
              </w:rPr>
            </w:pPr>
            <w:r w:rsidRPr="00770229">
              <w:t xml:space="preserve">AIHW </w:t>
            </w:r>
            <w:r w:rsidRPr="00770229">
              <w:rPr>
                <w:i/>
              </w:rPr>
              <w:t>Youth Justice in Australia: 2011</w:t>
            </w:r>
            <w:r>
              <w:rPr>
                <w:i/>
              </w:rPr>
              <w:noBreakHyphen/>
            </w:r>
            <w:r w:rsidRPr="00770229">
              <w:rPr>
                <w:i/>
              </w:rPr>
              <w:t>12;</w:t>
            </w:r>
          </w:p>
          <w:p w:rsidR="009A7F87" w:rsidRDefault="009A7F87" w:rsidP="009A7F87">
            <w:pPr>
              <w:pStyle w:val="TableBodyText"/>
              <w:spacing w:before="60" w:after="60"/>
              <w:ind w:left="180"/>
              <w:jc w:val="left"/>
              <w:rPr>
                <w:i/>
              </w:rPr>
            </w:pPr>
            <w:r w:rsidRPr="00770229">
              <w:t xml:space="preserve">AIHW </w:t>
            </w:r>
            <w:r w:rsidRPr="00770229">
              <w:rPr>
                <w:i/>
              </w:rPr>
              <w:t>Yout</w:t>
            </w:r>
            <w:r>
              <w:rPr>
                <w:i/>
              </w:rPr>
              <w:t>h Justice in Australia: 2014</w:t>
            </w:r>
            <w:r>
              <w:rPr>
                <w:i/>
              </w:rPr>
              <w:noBreakHyphen/>
              <w:t>15</w:t>
            </w:r>
          </w:p>
          <w:p w:rsidR="009A7F87" w:rsidRPr="00770229" w:rsidRDefault="009A7F87" w:rsidP="009A7F87">
            <w:pPr>
              <w:pStyle w:val="TableBodyText"/>
              <w:keepNext w:val="0"/>
              <w:spacing w:before="60" w:after="60"/>
              <w:ind w:left="180"/>
              <w:jc w:val="left"/>
            </w:pPr>
            <w:r w:rsidRPr="00770229">
              <w:t>SCRGSP (201</w:t>
            </w:r>
            <w:r>
              <w:t>7</w:t>
            </w:r>
            <w:r w:rsidRPr="00770229">
              <w:t xml:space="preserve">) </w:t>
            </w:r>
            <w:r w:rsidRPr="00770229">
              <w:rPr>
                <w:i/>
              </w:rPr>
              <w:t>Report on Government Services 201</w:t>
            </w:r>
            <w:r>
              <w:rPr>
                <w:i/>
              </w:rPr>
              <w:t>7</w:t>
            </w:r>
          </w:p>
        </w:tc>
        <w:tc>
          <w:tcPr>
            <w:tcW w:w="584"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2011-12</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tcBorders>
              <w:top w:val="single" w:sz="6" w:space="0" w:color="808080" w:themeColor="background1" w:themeShade="80"/>
              <w:bottom w:val="single" w:sz="6" w:space="0" w:color="808080" w:themeColor="background1" w:themeShade="80"/>
            </w:tcBorders>
            <w:vAlign w:val="center"/>
          </w:tcPr>
          <w:p w:rsidR="009A7F87" w:rsidRDefault="009A7F87" w:rsidP="009A7F87">
            <w:pPr>
              <w:pStyle w:val="TableBodyText"/>
              <w:spacing w:before="60" w:after="60"/>
              <w:ind w:left="2"/>
              <w:jc w:val="center"/>
            </w:pPr>
            <w:r>
              <w:t>2014-15</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1369A" w:rsidTr="00A672D0">
        <w:tblPrEx>
          <w:tblBorders>
            <w:top w:val="none" w:sz="0" w:space="0" w:color="auto"/>
            <w:bottom w:val="none" w:sz="0" w:space="0" w:color="auto"/>
            <w:insideH w:val="none" w:sz="0" w:space="0" w:color="auto"/>
          </w:tblBorders>
        </w:tblPrEx>
        <w:tc>
          <w:tcPr>
            <w:tcW w:w="5000" w:type="pct"/>
            <w:gridSpan w:val="6"/>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647"/>
        <w:gridCol w:w="3164"/>
        <w:gridCol w:w="1001"/>
        <w:gridCol w:w="577"/>
        <w:gridCol w:w="403"/>
        <w:gridCol w:w="1005"/>
        <w:gridCol w:w="999"/>
      </w:tblGrid>
      <w:tr w:rsidR="009A7F87" w:rsidRPr="00770229" w:rsidTr="002E2409">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330.2</w:t>
            </w:r>
            <w:r w:rsidRPr="00770229">
              <w:t xml:space="preserve"> </w:t>
            </w:r>
            <w:r>
              <w:t>Other prisons and corrective services</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632"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368" w:type="pct"/>
            <w:gridSpan w:val="3"/>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Other prisons and corrective institutions is a sub</w:t>
            </w:r>
            <w:r w:rsidRPr="00770229">
              <w:noBreakHyphen/>
              <w:t>category of prisons and corrective services (GPC 0330).</w:t>
            </w:r>
          </w:p>
          <w:p w:rsidR="009A7F87" w:rsidRPr="00770229" w:rsidRDefault="009A7F87" w:rsidP="009A7F87">
            <w:pPr>
              <w:pStyle w:val="TableBodyText"/>
              <w:keepNext w:val="0"/>
              <w:keepLines w:val="0"/>
              <w:spacing w:before="80" w:after="80"/>
              <w:jc w:val="left"/>
            </w:pPr>
            <w:r w:rsidRPr="00770229">
              <w:t>In Australia, State and Territory governments are responsible for correctional services to support the judicial process. These services can be provided by government directly, or through contractual arrangements with the private sector (or a combination of both).</w:t>
            </w:r>
          </w:p>
          <w:p w:rsidR="009A7F87" w:rsidRPr="00770229" w:rsidRDefault="009A7F87" w:rsidP="009A7F87">
            <w:pPr>
              <w:pStyle w:val="TableBodyText"/>
              <w:spacing w:before="60" w:after="60"/>
              <w:jc w:val="left"/>
            </w:pPr>
            <w:r w:rsidRPr="00770229">
              <w:t>Prison and corrective services under this category relate to adult contact with either:</w:t>
            </w:r>
          </w:p>
          <w:p w:rsidR="009A7F87" w:rsidRPr="00770229" w:rsidRDefault="009A7F87" w:rsidP="009A7F87">
            <w:pPr>
              <w:pStyle w:val="TableBullet"/>
              <w:numPr>
                <w:ilvl w:val="0"/>
                <w:numId w:val="24"/>
              </w:numPr>
              <w:spacing w:line="220" w:lineRule="atLeast"/>
            </w:pPr>
            <w:r w:rsidRPr="00770229">
              <w:rPr>
                <w:i/>
              </w:rPr>
              <w:t>facility based detention</w:t>
            </w:r>
            <w:r w:rsidRPr="00770229">
              <w:t xml:space="preserve"> — includes full</w:t>
            </w:r>
            <w:r w:rsidRPr="00770229">
              <w:noBreakHyphen/>
              <w:t>time and periodic detention in prisons, prison farms, remand centres and centres for offenders requiring involuntary mental health treatment</w:t>
            </w:r>
          </w:p>
          <w:p w:rsidR="009A7F87" w:rsidRPr="00770229" w:rsidRDefault="009A7F87" w:rsidP="009A7F87">
            <w:pPr>
              <w:pStyle w:val="TableBullet"/>
              <w:numPr>
                <w:ilvl w:val="0"/>
                <w:numId w:val="24"/>
              </w:numPr>
              <w:spacing w:line="220" w:lineRule="atLeast"/>
            </w:pPr>
            <w:r w:rsidRPr="00770229">
              <w:rPr>
                <w:i/>
              </w:rPr>
              <w:t>community</w:t>
            </w:r>
            <w:r w:rsidRPr="00770229">
              <w:rPr>
                <w:i/>
              </w:rPr>
              <w:noBreakHyphen/>
              <w:t>based correction services</w:t>
            </w:r>
            <w:r w:rsidRPr="00770229">
              <w:t xml:space="preserve"> — include a range of non</w:t>
            </w:r>
            <w:r w:rsidRPr="00770229">
              <w:noBreakHyphen/>
              <w:t>custodial sanctions and deliver post</w:t>
            </w:r>
            <w:r w:rsidRPr="00770229">
              <w:noBreakHyphen/>
              <w:t>custodial interventions under which prisoners released into the community continue to be subject to corrective services supervision.</w:t>
            </w:r>
          </w:p>
          <w:p w:rsidR="009A7F87" w:rsidRPr="00770229" w:rsidRDefault="009A7F87" w:rsidP="009A7F87">
            <w:pPr>
              <w:pStyle w:val="TableBodyText"/>
              <w:jc w:val="left"/>
              <w:rPr>
                <w:b/>
                <w:sz w:val="24"/>
              </w:rPr>
            </w:pPr>
            <w:r w:rsidRPr="00770229">
              <w:rPr>
                <w:b/>
              </w:rPr>
              <w:t>A detailed definition of expenditure included under this category is provided in the 201</w:t>
            </w:r>
            <w:r>
              <w:rPr>
                <w:b/>
              </w:rPr>
              <w:t>7</w:t>
            </w:r>
            <w:r w:rsidRPr="00770229">
              <w:rPr>
                <w:b/>
              </w:rPr>
              <w:t xml:space="preserve"> </w:t>
            </w:r>
            <w:r w:rsidRPr="00DF2CB4">
              <w:rPr>
                <w:b/>
              </w:rPr>
              <w:t xml:space="preserve">Report </w:t>
            </w:r>
            <w:r w:rsidRPr="00770229">
              <w:rPr>
                <w:b/>
              </w:rPr>
              <w:t>Expenditure Data Manual (</w:t>
            </w:r>
            <w:r w:rsidRPr="00F56AE1">
              <w:rPr>
                <w:b/>
              </w:rPr>
              <w:t>http://www.pc.gov.au/ier2017</w:t>
            </w:r>
            <w:r w:rsidRPr="00770229">
              <w:rPr>
                <w:b/>
              </w:rPr>
              <w:t>).</w:t>
            </w:r>
          </w:p>
        </w:tc>
      </w:tr>
      <w:tr w:rsidR="009A7F87" w:rsidRPr="00770229" w:rsidTr="00A672D0">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szCs w:val="26"/>
              </w:rPr>
            </w:pPr>
            <w:r w:rsidRPr="00770229">
              <w:t>The key cost drivers of expenditure on other prisons and corrective services are closely linked to the number of offenders under supervision. The impact of supervised offenders on cost varies by the duration of supervision and the level of supervision required (low security compared with high security services). There may also be cost differences associated with scale and location of the service, or with the characteristics of the offenders (such as cultural or physical needs).</w:t>
            </w:r>
          </w:p>
        </w:tc>
      </w:tr>
      <w:tr w:rsidR="009A7F87" w:rsidRPr="00770229" w:rsidTr="00A672D0">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394336" w:rsidTr="00A672D0">
        <w:tblPrEx>
          <w:tblBorders>
            <w:top w:val="none" w:sz="0" w:space="0" w:color="auto"/>
            <w:bottom w:val="none" w:sz="0" w:space="0" w:color="auto"/>
            <w:insideH w:val="none" w:sz="0" w:space="0" w:color="auto"/>
          </w:tblBorders>
        </w:tblPrEx>
        <w:tc>
          <w:tcPr>
            <w:tcW w:w="936"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394336" w:rsidRDefault="009A7F87" w:rsidP="009A7F87">
            <w:pPr>
              <w:pStyle w:val="TableColumnHeading"/>
              <w:keepNext w:val="0"/>
              <w:jc w:val="left"/>
            </w:pPr>
          </w:p>
        </w:tc>
        <w:tc>
          <w:tcPr>
            <w:tcW w:w="1799" w:type="pct"/>
            <w:tcBorders>
              <w:top w:val="single" w:sz="6" w:space="0" w:color="808080" w:themeColor="background1" w:themeShade="80"/>
              <w:bottom w:val="single" w:sz="6" w:space="0" w:color="808080" w:themeColor="background1" w:themeShade="80"/>
            </w:tcBorders>
            <w:shd w:val="clear" w:color="auto" w:fill="auto"/>
          </w:tcPr>
          <w:p w:rsidR="009A7F87" w:rsidRPr="00394336" w:rsidRDefault="009A7F87" w:rsidP="009A7F87">
            <w:pPr>
              <w:pStyle w:val="TableColumnHeading"/>
              <w:keepNext w:val="0"/>
              <w:ind w:left="180"/>
              <w:jc w:val="left"/>
            </w:pPr>
          </w:p>
        </w:tc>
        <w:tc>
          <w:tcPr>
            <w:tcW w:w="2265" w:type="pct"/>
            <w:gridSpan w:val="5"/>
            <w:tcBorders>
              <w:top w:val="single" w:sz="6" w:space="0" w:color="808080" w:themeColor="background1" w:themeShade="80"/>
              <w:bottom w:val="single" w:sz="6" w:space="0" w:color="808080" w:themeColor="background1" w:themeShade="80"/>
            </w:tcBorders>
            <w:shd w:val="clear" w:color="auto" w:fill="auto"/>
          </w:tcPr>
          <w:p w:rsidR="009A7F87" w:rsidRPr="00394336" w:rsidRDefault="009A7F87" w:rsidP="009A7F87">
            <w:pPr>
              <w:pStyle w:val="TableColumnHeading"/>
              <w:keepNext w:val="0"/>
              <w:ind w:left="180"/>
              <w:jc w:val="center"/>
            </w:pPr>
            <w:r w:rsidRPr="00394336">
              <w:t>Data Years</w:t>
            </w:r>
          </w:p>
        </w:tc>
      </w:tr>
      <w:tr w:rsidR="009A7F87" w:rsidRPr="00394336" w:rsidTr="00A672D0">
        <w:tblPrEx>
          <w:tblBorders>
            <w:top w:val="none" w:sz="0" w:space="0" w:color="auto"/>
            <w:bottom w:val="none" w:sz="0" w:space="0" w:color="auto"/>
            <w:insideH w:val="none" w:sz="0" w:space="0" w:color="auto"/>
          </w:tblBorders>
        </w:tblPrEx>
        <w:tc>
          <w:tcPr>
            <w:tcW w:w="936"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394336" w:rsidRDefault="009A7F87" w:rsidP="009A7F87">
            <w:pPr>
              <w:pStyle w:val="TableBodyText"/>
              <w:keepNext w:val="0"/>
              <w:spacing w:before="60" w:after="60"/>
              <w:ind w:left="0"/>
              <w:jc w:val="both"/>
              <w:rPr>
                <w:i/>
              </w:rPr>
            </w:pPr>
            <w:r w:rsidRPr="00394336">
              <w:rPr>
                <w:i/>
              </w:rPr>
              <w:br/>
              <w:t>Measure</w:t>
            </w:r>
          </w:p>
        </w:tc>
        <w:tc>
          <w:tcPr>
            <w:tcW w:w="1799" w:type="pct"/>
            <w:tcBorders>
              <w:top w:val="single" w:sz="6" w:space="0" w:color="808080" w:themeColor="background1" w:themeShade="80"/>
              <w:bottom w:val="single" w:sz="6" w:space="0" w:color="808080" w:themeColor="background1" w:themeShade="80"/>
            </w:tcBorders>
            <w:shd w:val="clear" w:color="auto" w:fill="auto"/>
          </w:tcPr>
          <w:p w:rsidR="009A7F87" w:rsidRPr="00394336" w:rsidRDefault="009A7F87" w:rsidP="009A7F87">
            <w:pPr>
              <w:pStyle w:val="TableBodyText"/>
              <w:keepNext w:val="0"/>
              <w:spacing w:before="60" w:after="60"/>
              <w:ind w:left="180"/>
              <w:jc w:val="left"/>
              <w:rPr>
                <w:i/>
              </w:rPr>
            </w:pPr>
            <w:r w:rsidRPr="00394336">
              <w:rPr>
                <w:i/>
              </w:rPr>
              <w:br/>
              <w:t>Data source</w:t>
            </w:r>
          </w:p>
        </w:tc>
        <w:tc>
          <w:tcPr>
            <w:tcW w:w="569" w:type="pct"/>
            <w:tcBorders>
              <w:top w:val="single" w:sz="6" w:space="0" w:color="808080" w:themeColor="background1" w:themeShade="80"/>
              <w:bottom w:val="single" w:sz="6" w:space="0" w:color="808080" w:themeColor="background1" w:themeShade="80"/>
            </w:tcBorders>
            <w:shd w:val="clear" w:color="auto" w:fill="auto"/>
          </w:tcPr>
          <w:p w:rsidR="009A7F87" w:rsidRPr="00394336" w:rsidRDefault="009A7F87" w:rsidP="009A7F87">
            <w:pPr>
              <w:pStyle w:val="TableBodyText"/>
              <w:keepNext w:val="0"/>
              <w:spacing w:before="60" w:after="60"/>
              <w:ind w:left="2"/>
              <w:jc w:val="center"/>
              <w:rPr>
                <w:i/>
              </w:rPr>
            </w:pPr>
            <w:r w:rsidRPr="00394336">
              <w:rPr>
                <w:i/>
              </w:rPr>
              <w:t>2008</w:t>
            </w:r>
            <w:r w:rsidRPr="00394336">
              <w:rPr>
                <w:i/>
              </w:rPr>
              <w:noBreakHyphen/>
              <w:t>09 Estimates</w:t>
            </w:r>
          </w:p>
        </w:tc>
        <w:tc>
          <w:tcPr>
            <w:tcW w:w="557" w:type="pct"/>
            <w:gridSpan w:val="2"/>
            <w:tcBorders>
              <w:top w:val="single" w:sz="6" w:space="0" w:color="808080" w:themeColor="background1" w:themeShade="80"/>
              <w:bottom w:val="single" w:sz="6" w:space="0" w:color="808080" w:themeColor="background1" w:themeShade="80"/>
            </w:tcBorders>
            <w:shd w:val="clear" w:color="auto" w:fill="auto"/>
          </w:tcPr>
          <w:p w:rsidR="009A7F87" w:rsidRPr="00394336" w:rsidRDefault="009A7F87" w:rsidP="009A7F87">
            <w:pPr>
              <w:pStyle w:val="TableBodyText"/>
              <w:keepNext w:val="0"/>
              <w:spacing w:before="60" w:after="60"/>
              <w:ind w:left="2"/>
              <w:jc w:val="center"/>
              <w:rPr>
                <w:i/>
              </w:rPr>
            </w:pPr>
            <w:r w:rsidRPr="00394336">
              <w:rPr>
                <w:i/>
              </w:rPr>
              <w:t>2010</w:t>
            </w:r>
            <w:r w:rsidRPr="00394336">
              <w:rPr>
                <w:i/>
              </w:rPr>
              <w:noBreakHyphen/>
              <w:t>11 Estimates</w:t>
            </w:r>
          </w:p>
        </w:tc>
        <w:tc>
          <w:tcPr>
            <w:tcW w:w="571" w:type="pct"/>
            <w:tcBorders>
              <w:top w:val="single" w:sz="6" w:space="0" w:color="808080" w:themeColor="background1" w:themeShade="80"/>
              <w:bottom w:val="single" w:sz="6" w:space="0" w:color="808080" w:themeColor="background1" w:themeShade="80"/>
            </w:tcBorders>
            <w:shd w:val="clear" w:color="auto" w:fill="auto"/>
          </w:tcPr>
          <w:p w:rsidR="009A7F87" w:rsidRPr="00394336" w:rsidRDefault="009A7F87" w:rsidP="009A7F87">
            <w:pPr>
              <w:pStyle w:val="TableBodyText"/>
              <w:keepNext w:val="0"/>
              <w:spacing w:before="60" w:after="60"/>
              <w:ind w:left="2"/>
              <w:jc w:val="center"/>
              <w:rPr>
                <w:i/>
              </w:rPr>
            </w:pPr>
            <w:r w:rsidRPr="00394336">
              <w:rPr>
                <w:i/>
              </w:rPr>
              <w:t>2012</w:t>
            </w:r>
            <w:r w:rsidRPr="00394336">
              <w:rPr>
                <w:i/>
              </w:rPr>
              <w:noBreakHyphen/>
              <w:t>13 Estimates</w:t>
            </w:r>
          </w:p>
        </w:tc>
        <w:tc>
          <w:tcPr>
            <w:tcW w:w="568" w:type="pct"/>
            <w:tcBorders>
              <w:top w:val="single" w:sz="6" w:space="0" w:color="808080" w:themeColor="background1" w:themeShade="80"/>
              <w:bottom w:val="single" w:sz="6" w:space="0" w:color="808080" w:themeColor="background1" w:themeShade="80"/>
            </w:tcBorders>
          </w:tcPr>
          <w:p w:rsidR="009A7F87" w:rsidRPr="00394336" w:rsidRDefault="009A7F87" w:rsidP="009A7F87">
            <w:pPr>
              <w:pStyle w:val="TableBodyText"/>
              <w:keepNext w:val="0"/>
              <w:spacing w:before="60" w:after="60"/>
              <w:ind w:left="2"/>
              <w:jc w:val="center"/>
              <w:rPr>
                <w:i/>
              </w:rPr>
            </w:pPr>
            <w:r w:rsidRPr="00394336">
              <w:rPr>
                <w:i/>
              </w:rPr>
              <w:t>2015</w:t>
            </w:r>
            <w:r w:rsidRPr="00394336">
              <w:rPr>
                <w:i/>
              </w:rPr>
              <w:noBreakHyphen/>
              <w:t>16 Estimates</w:t>
            </w:r>
          </w:p>
        </w:tc>
      </w:tr>
      <w:tr w:rsidR="009A7F87" w:rsidRPr="00770229" w:rsidTr="000E0C9E">
        <w:tblPrEx>
          <w:tblBorders>
            <w:top w:val="none" w:sz="0" w:space="0" w:color="auto"/>
            <w:bottom w:val="none" w:sz="0" w:space="0" w:color="auto"/>
            <w:insideH w:val="none" w:sz="0" w:space="0" w:color="auto"/>
          </w:tblBorders>
        </w:tblPrEx>
        <w:tc>
          <w:tcPr>
            <w:tcW w:w="936"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Adults in community</w:t>
            </w:r>
            <w:r>
              <w:noBreakHyphen/>
            </w:r>
            <w:r w:rsidRPr="00770229">
              <w:t>based corrections</w:t>
            </w:r>
          </w:p>
        </w:tc>
        <w:tc>
          <w:tcPr>
            <w:tcW w:w="1799"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SCRGSP </w:t>
            </w:r>
            <w:r w:rsidRPr="00770229">
              <w:rPr>
                <w:i/>
              </w:rPr>
              <w:t>Report on Government Services</w:t>
            </w:r>
            <w:r w:rsidRPr="00770229">
              <w:t xml:space="preserve"> Corrective Services Collection</w:t>
            </w:r>
            <w:r>
              <w:t xml:space="preserve"> (State and Territory Governments unpublished)</w:t>
            </w:r>
          </w:p>
        </w:tc>
        <w:tc>
          <w:tcPr>
            <w:tcW w:w="569"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57"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71"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2012-13</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68" w:type="pct"/>
            <w:tcBorders>
              <w:top w:val="single" w:sz="6" w:space="0" w:color="808080" w:themeColor="background1" w:themeShade="80"/>
            </w:tcBorders>
            <w:vAlign w:val="center"/>
          </w:tcPr>
          <w:p w:rsidR="009A7F87" w:rsidRDefault="009A7F87" w:rsidP="009A7F87">
            <w:pPr>
              <w:pStyle w:val="TableBodyText"/>
              <w:spacing w:before="60" w:after="60"/>
              <w:ind w:left="2"/>
              <w:jc w:val="center"/>
            </w:pPr>
            <w:r>
              <w:t>2015-16</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0E0C9E">
        <w:tblPrEx>
          <w:tblBorders>
            <w:top w:val="none" w:sz="0" w:space="0" w:color="auto"/>
            <w:bottom w:val="none" w:sz="0" w:space="0" w:color="auto"/>
            <w:insideH w:val="none" w:sz="0" w:space="0" w:color="auto"/>
          </w:tblBorders>
        </w:tblPrEx>
        <w:tc>
          <w:tcPr>
            <w:tcW w:w="936"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Adults in facility</w:t>
            </w:r>
            <w:r>
              <w:noBreakHyphen/>
            </w:r>
            <w:r w:rsidRPr="00770229">
              <w:t>based detention</w:t>
            </w:r>
          </w:p>
        </w:tc>
        <w:tc>
          <w:tcPr>
            <w:tcW w:w="1799" w:type="pct"/>
            <w:tcBorders>
              <w:bottom w:val="single" w:sz="4" w:space="0" w:color="808080" w:themeColor="background1" w:themeShade="80"/>
            </w:tcBorders>
            <w:shd w:val="clear" w:color="auto" w:fill="auto"/>
          </w:tcPr>
          <w:p w:rsidR="009A7F87" w:rsidRDefault="009A7F87" w:rsidP="009A7F87">
            <w:pPr>
              <w:pStyle w:val="TableBodyText"/>
              <w:keepNext w:val="0"/>
              <w:spacing w:before="60" w:after="60"/>
              <w:ind w:left="180"/>
              <w:jc w:val="left"/>
            </w:pPr>
            <w:r w:rsidRPr="00770229">
              <w:t xml:space="preserve">SCRGSP </w:t>
            </w:r>
            <w:r w:rsidRPr="00770229">
              <w:rPr>
                <w:i/>
              </w:rPr>
              <w:t>Report on Government Services</w:t>
            </w:r>
            <w:r w:rsidRPr="00770229">
              <w:t xml:space="preserve"> Corrective Services Collection</w:t>
            </w:r>
            <w:r>
              <w:t xml:space="preserve"> (State and Territory Governments unpublished)</w:t>
            </w:r>
          </w:p>
        </w:tc>
        <w:tc>
          <w:tcPr>
            <w:tcW w:w="569" w:type="pct"/>
            <w:tcBorders>
              <w:bottom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tc>
        <w:tc>
          <w:tcPr>
            <w:tcW w:w="557" w:type="pct"/>
            <w:gridSpan w:val="2"/>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c>
          <w:tcPr>
            <w:tcW w:w="571" w:type="pct"/>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2012-13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c>
          <w:tcPr>
            <w:tcW w:w="568" w:type="pct"/>
            <w:tcBorders>
              <w:bottom w:val="single" w:sz="4" w:space="0" w:color="808080" w:themeColor="background1" w:themeShade="80"/>
            </w:tcBorders>
            <w:vAlign w:val="center"/>
          </w:tcPr>
          <w:p w:rsidR="009A7F87" w:rsidRDefault="009A7F87" w:rsidP="009A7F87">
            <w:pPr>
              <w:pStyle w:val="TableBodyText"/>
              <w:spacing w:before="60" w:after="60"/>
              <w:ind w:left="2"/>
              <w:jc w:val="center"/>
            </w:pPr>
            <w:r>
              <w:t>2015-16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r>
      <w:tr w:rsidR="009A7F87" w:rsidRPr="0071369A" w:rsidTr="000E0C9E">
        <w:tblPrEx>
          <w:tblBorders>
            <w:top w:val="none" w:sz="0" w:space="0" w:color="auto"/>
            <w:bottom w:val="none" w:sz="0" w:space="0" w:color="auto"/>
            <w:insideH w:val="none" w:sz="0" w:space="0" w:color="auto"/>
          </w:tblBorders>
        </w:tblPrEx>
        <w:tc>
          <w:tcPr>
            <w:tcW w:w="5000" w:type="pct"/>
            <w:gridSpan w:val="7"/>
            <w:tcBorders>
              <w:top w:val="single" w:sz="4"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2E2409">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r>
            <w:r>
              <w:t>0390</w:t>
            </w:r>
            <w:r w:rsidRPr="00770229">
              <w:t xml:space="preserve"> </w:t>
            </w:r>
            <w:r>
              <w:t>Other public order and safety</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ullet"/>
              <w:numPr>
                <w:ilvl w:val="0"/>
                <w:numId w:val="0"/>
              </w:numPr>
              <w:rPr>
                <w:rFonts w:cs="Arial"/>
              </w:rPr>
            </w:pPr>
            <w:r w:rsidRPr="00770229">
              <w:rPr>
                <w:rFonts w:cs="Arial"/>
              </w:rPr>
              <w:t xml:space="preserve">Other public order and safety services </w:t>
            </w:r>
            <w:r w:rsidRPr="00770229">
              <w:t>relate</w:t>
            </w:r>
            <w:r w:rsidRPr="00770229">
              <w:rPr>
                <w:rFonts w:cs="Arial"/>
              </w:rPr>
              <w:t xml:space="preserve"> to a diverse range of activities, including:</w:t>
            </w:r>
          </w:p>
          <w:p w:rsidR="009A7F87" w:rsidRPr="00770229" w:rsidRDefault="009A7F87" w:rsidP="009A7F87">
            <w:pPr>
              <w:pStyle w:val="TableBullet"/>
              <w:numPr>
                <w:ilvl w:val="0"/>
                <w:numId w:val="24"/>
              </w:numPr>
              <w:spacing w:line="220" w:lineRule="atLeast"/>
              <w:rPr>
                <w:rFonts w:cs="Arial"/>
              </w:rPr>
            </w:pPr>
            <w:r w:rsidRPr="00770229">
              <w:rPr>
                <w:rFonts w:cs="Arial"/>
                <w:i/>
              </w:rPr>
              <w:t>animal</w:t>
            </w:r>
            <w:r w:rsidRPr="00770229">
              <w:rPr>
                <w:rFonts w:cs="Arial"/>
              </w:rPr>
              <w:t xml:space="preserve"> </w:t>
            </w:r>
            <w:r w:rsidRPr="00770229">
              <w:rPr>
                <w:rFonts w:cs="Arial"/>
                <w:i/>
              </w:rPr>
              <w:t>control programs</w:t>
            </w:r>
            <w:r w:rsidRPr="00770229">
              <w:rPr>
                <w:rFonts w:cs="Arial"/>
              </w:rPr>
              <w:t xml:space="preserve"> — animal welfare </w:t>
            </w:r>
          </w:p>
          <w:p w:rsidR="009A7F87" w:rsidRPr="00770229" w:rsidRDefault="009A7F87" w:rsidP="009A7F87">
            <w:pPr>
              <w:pStyle w:val="TableBullet"/>
              <w:numPr>
                <w:ilvl w:val="0"/>
                <w:numId w:val="24"/>
              </w:numPr>
              <w:spacing w:line="220" w:lineRule="atLeast"/>
              <w:rPr>
                <w:rFonts w:cs="Arial"/>
              </w:rPr>
            </w:pPr>
            <w:r w:rsidRPr="00770229">
              <w:rPr>
                <w:rFonts w:cs="Arial"/>
                <w:i/>
              </w:rPr>
              <w:t>beach</w:t>
            </w:r>
            <w:r w:rsidRPr="00770229">
              <w:rPr>
                <w:rFonts w:cs="Arial"/>
              </w:rPr>
              <w:t xml:space="preserve"> </w:t>
            </w:r>
            <w:r w:rsidRPr="00770229">
              <w:rPr>
                <w:rFonts w:cs="Arial"/>
                <w:i/>
              </w:rPr>
              <w:t>safety</w:t>
            </w:r>
            <w:r w:rsidRPr="00770229">
              <w:rPr>
                <w:rFonts w:cs="Arial"/>
              </w:rPr>
              <w:t xml:space="preserve"> — beach inspectors and lifesaving patrols</w:t>
            </w:r>
          </w:p>
          <w:p w:rsidR="009A7F87" w:rsidRPr="00770229" w:rsidRDefault="009A7F87" w:rsidP="009A7F87">
            <w:pPr>
              <w:pStyle w:val="TableBullet"/>
              <w:numPr>
                <w:ilvl w:val="0"/>
                <w:numId w:val="24"/>
              </w:numPr>
              <w:spacing w:line="220" w:lineRule="atLeast"/>
              <w:rPr>
                <w:rFonts w:cs="Arial"/>
              </w:rPr>
            </w:pPr>
            <w:r w:rsidRPr="00770229">
              <w:rPr>
                <w:rFonts w:cs="Arial"/>
                <w:i/>
              </w:rPr>
              <w:t>emergency services</w:t>
            </w:r>
            <w:r w:rsidRPr="00770229">
              <w:rPr>
                <w:rFonts w:cs="Arial"/>
              </w:rPr>
              <w:t xml:space="preserve"> — coordination of infrastructure and services and state emergency service agencies.</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rPr>
                <w:szCs w:val="26"/>
              </w:rPr>
              <w:t xml:space="preserve">The services included under </w:t>
            </w:r>
            <w:r w:rsidRPr="00770229">
              <w:t>other public order and safety are diverse and it is difficult to identify a link between costs and any unique cohort of service users.</w:t>
            </w:r>
          </w:p>
          <w:p w:rsidR="009A7F87" w:rsidRPr="00770229" w:rsidRDefault="009A7F87" w:rsidP="009A7F87">
            <w:pPr>
              <w:pStyle w:val="TableBodyText"/>
              <w:keepNext w:val="0"/>
              <w:keepLines w:val="0"/>
              <w:spacing w:before="80" w:after="80"/>
              <w:jc w:val="left"/>
              <w:rPr>
                <w:szCs w:val="26"/>
              </w:rPr>
            </w:pPr>
            <w:r w:rsidRPr="00770229">
              <w:t>It is assumed that the costs associated with this expenditure are driven by the population on a uniform basis.</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ColumnHeading"/>
              <w:keepNext w:val="0"/>
              <w:ind w:left="180"/>
              <w:jc w:val="center"/>
              <w:rPr>
                <w:i w:val="0"/>
              </w:rPr>
            </w:pPr>
            <w:r w:rsidRPr="00770229">
              <w:rPr>
                <w:i w:val="0"/>
              </w:rPr>
              <w:t>Data Years</w:t>
            </w:r>
          </w:p>
        </w:tc>
      </w:tr>
      <w:tr w:rsidR="009A7F87" w:rsidRPr="000E69DB"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0E69DB" w:rsidRDefault="009A7F87" w:rsidP="009A7F87">
            <w:pPr>
              <w:pStyle w:val="TableBodyText"/>
              <w:keepNext w:val="0"/>
              <w:spacing w:after="60"/>
              <w:ind w:left="0"/>
              <w:jc w:val="both"/>
              <w:rPr>
                <w:i/>
              </w:rPr>
            </w:pPr>
            <w:r w:rsidRPr="000E69DB">
              <w:rPr>
                <w:i/>
              </w:rPr>
              <w:br/>
              <w:t>Measure</w:t>
            </w:r>
            <w:r w:rsidRPr="00944F69">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0E69DB" w:rsidRDefault="009A7F87" w:rsidP="009A7F87">
            <w:pPr>
              <w:pStyle w:val="TableBodyText"/>
              <w:keepNext w:val="0"/>
              <w:spacing w:before="60" w:after="60"/>
              <w:ind w:left="180"/>
              <w:jc w:val="left"/>
              <w:rPr>
                <w:i/>
              </w:rPr>
            </w:pPr>
            <w:r w:rsidRPr="000E69DB">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0E69DB" w:rsidRDefault="009A7F87" w:rsidP="009A7F87">
            <w:pPr>
              <w:pStyle w:val="TableBodyText"/>
              <w:keepNext w:val="0"/>
              <w:spacing w:before="60" w:after="60"/>
              <w:ind w:left="2"/>
              <w:jc w:val="center"/>
              <w:rPr>
                <w:i/>
              </w:rPr>
            </w:pPr>
            <w:r w:rsidRPr="000E69DB">
              <w:rPr>
                <w:i/>
              </w:rPr>
              <w:t>2008</w:t>
            </w:r>
            <w:r w:rsidRPr="000E69DB">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0E69DB" w:rsidRDefault="009A7F87" w:rsidP="009A7F87">
            <w:pPr>
              <w:pStyle w:val="TableBodyText"/>
              <w:keepNext w:val="0"/>
              <w:spacing w:before="60" w:after="60"/>
              <w:ind w:left="2"/>
              <w:jc w:val="center"/>
              <w:rPr>
                <w:i/>
              </w:rPr>
            </w:pPr>
            <w:r w:rsidRPr="000E69DB">
              <w:rPr>
                <w:i/>
              </w:rPr>
              <w:t>2010</w:t>
            </w:r>
            <w:r w:rsidRPr="000E69DB">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0E69DB" w:rsidRDefault="009A7F87" w:rsidP="009A7F87">
            <w:pPr>
              <w:pStyle w:val="TableBodyText"/>
              <w:keepNext w:val="0"/>
              <w:spacing w:before="60" w:after="60"/>
              <w:ind w:left="2"/>
              <w:jc w:val="center"/>
              <w:rPr>
                <w:i/>
              </w:rPr>
            </w:pPr>
            <w:r w:rsidRPr="000E69DB">
              <w:rPr>
                <w:i/>
              </w:rPr>
              <w:t>2012</w:t>
            </w:r>
            <w:r w:rsidRPr="000E69DB">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0E69DB" w:rsidRDefault="009A7F87" w:rsidP="009A7F87">
            <w:pPr>
              <w:pStyle w:val="TableBodyText"/>
              <w:keepNext w:val="0"/>
              <w:spacing w:before="60" w:after="60"/>
              <w:ind w:left="2"/>
              <w:jc w:val="center"/>
              <w:rPr>
                <w:i/>
              </w:rPr>
            </w:pPr>
            <w:r w:rsidRPr="000E69DB">
              <w:rPr>
                <w:i/>
              </w:rPr>
              <w:t>2015</w:t>
            </w:r>
            <w:r w:rsidRPr="000E69DB">
              <w:rPr>
                <w:i/>
              </w:rPr>
              <w:noBreakHyphen/>
              <w:t>16 Estimates</w:t>
            </w:r>
          </w:p>
        </w:tc>
      </w:tr>
      <w:tr w:rsidR="009A7F87" w:rsidRPr="00770229" w:rsidTr="000E0C9E">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w:t>
            </w:r>
            <w:r>
              <w:br/>
            </w:r>
            <w:r w:rsidRPr="00770229">
              <w:t>(Cat.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0E0C9E">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40408F">
              <w:t>(Cat. no. 3101.0)</w:t>
            </w:r>
          </w:p>
        </w:tc>
        <w:tc>
          <w:tcPr>
            <w:tcW w:w="584" w:type="pct"/>
            <w:tcBorders>
              <w:bottom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r>
              <w:br/>
            </w:r>
          </w:p>
        </w:tc>
        <w:tc>
          <w:tcPr>
            <w:tcW w:w="585" w:type="pct"/>
            <w:gridSpan w:val="2"/>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r>
              <w:br/>
            </w:r>
          </w:p>
        </w:tc>
        <w:tc>
          <w:tcPr>
            <w:tcW w:w="585" w:type="pct"/>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r>
              <w:br/>
            </w:r>
          </w:p>
        </w:tc>
        <w:tc>
          <w:tcPr>
            <w:tcW w:w="583" w:type="pct"/>
            <w:gridSpan w:val="2"/>
            <w:tcBorders>
              <w:bottom w:val="single" w:sz="4" w:space="0" w:color="808080" w:themeColor="background1" w:themeShade="80"/>
            </w:tcBorders>
            <w:vAlign w:val="center"/>
          </w:tcPr>
          <w:p w:rsidR="009A7F87" w:rsidRDefault="009A7F87" w:rsidP="009A7F87">
            <w:pPr>
              <w:pStyle w:val="TableBodyText"/>
              <w:spacing w:before="60" w:after="60"/>
              <w:ind w:left="2"/>
              <w:jc w:val="center"/>
            </w:pPr>
            <w:r>
              <w:t>June 2016</w:t>
            </w: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746B0C" w:rsidRDefault="009A7F87" w:rsidP="009A7F87">
            <w:pPr>
              <w:pStyle w:val="Note"/>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sectPr w:rsidR="009A7F87" w:rsidSect="009A7F87">
          <w:headerReference w:type="even" r:id="rId91"/>
          <w:headerReference w:type="default" r:id="rId92"/>
          <w:footerReference w:type="even" r:id="rId93"/>
          <w:footerReference w:type="default" r:id="rId94"/>
          <w:footnotePr>
            <w:numRestart w:val="eachSect"/>
          </w:footnotePr>
          <w:type w:val="oddPage"/>
          <w:pgSz w:w="11907" w:h="16840" w:code="9"/>
          <w:pgMar w:top="1985" w:right="1304" w:bottom="1247" w:left="1814" w:header="1701" w:footer="397" w:gutter="0"/>
          <w:pgNumType w:chapSep="period"/>
          <w:cols w:space="720"/>
          <w:docGrid w:linePitch="326"/>
        </w:sectPr>
      </w:pPr>
    </w:p>
    <w:p w:rsidR="009A7F87" w:rsidRDefault="009A7F87">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9A7F87">
        <w:tc>
          <w:tcPr>
            <w:tcW w:w="6634" w:type="dxa"/>
            <w:tcBorders>
              <w:top w:val="single" w:sz="6" w:space="0" w:color="auto"/>
            </w:tcBorders>
          </w:tcPr>
          <w:p w:rsidR="009A7F87" w:rsidRDefault="009A7F87">
            <w:pPr>
              <w:pStyle w:val="PartDivider"/>
            </w:pPr>
          </w:p>
        </w:tc>
        <w:tc>
          <w:tcPr>
            <w:tcW w:w="2155" w:type="dxa"/>
            <w:tcBorders>
              <w:top w:val="single" w:sz="24" w:space="0" w:color="auto"/>
            </w:tcBorders>
          </w:tcPr>
          <w:p w:rsidR="009A7F87" w:rsidRDefault="009A7F87">
            <w:pPr>
              <w:pStyle w:val="PartDivider"/>
            </w:pPr>
          </w:p>
        </w:tc>
      </w:tr>
    </w:tbl>
    <w:p w:rsidR="009A7F87" w:rsidRDefault="009A7F87">
      <w:pPr>
        <w:pStyle w:val="PartDivider"/>
      </w:pPr>
    </w:p>
    <w:p w:rsidR="009A7F87" w:rsidRDefault="009A7F87" w:rsidP="009A7F87">
      <w:pPr>
        <w:pStyle w:val="PartTitle"/>
        <w:spacing w:after="240"/>
      </w:pPr>
      <w:r>
        <w:t>GPC 04</w:t>
      </w:r>
    </w:p>
    <w:p w:rsidR="009A7F87" w:rsidRDefault="009A7F87" w:rsidP="009A7F87">
      <w:pPr>
        <w:pStyle w:val="PartTitle"/>
        <w:spacing w:after="240"/>
      </w:pPr>
      <w:r>
        <w:t>education</w:t>
      </w:r>
    </w:p>
    <w:p w:rsidR="009A7F87" w:rsidRDefault="009A7F87" w:rsidP="009A7F87">
      <w:pPr>
        <w:pStyle w:val="BodyText"/>
        <w:rPr>
          <w:sz w:val="52"/>
        </w:rPr>
      </w:pPr>
      <w:r>
        <w:br w:type="page"/>
      </w:r>
    </w:p>
    <w:p w:rsidR="009A7F87" w:rsidRPr="003755C6" w:rsidRDefault="009A7F87" w:rsidP="009A7F87">
      <w:pPr>
        <w:rPr>
          <w:szCs w:val="20"/>
        </w:rPr>
      </w:pPr>
    </w:p>
    <w:p w:rsidR="009A7F87" w:rsidRDefault="009A7F87" w:rsidP="009A7F87">
      <w:pPr>
        <w:sectPr w:rsidR="009A7F87" w:rsidSect="009A7F87">
          <w:headerReference w:type="even" r:id="rId95"/>
          <w:headerReference w:type="default" r:id="rId96"/>
          <w:footerReference w:type="even" r:id="rId97"/>
          <w:footerReference w:type="default" r:id="rId98"/>
          <w:footnotePr>
            <w:numRestart w:val="eachSect"/>
          </w:footnotePr>
          <w:type w:val="oddPage"/>
          <w:pgSz w:w="11907" w:h="16840" w:code="9"/>
          <w:pgMar w:top="1985" w:right="1304" w:bottom="1247" w:left="1814" w:header="1701" w:footer="397" w:gutter="0"/>
          <w:pgNumType w:chapSep="period"/>
          <w:cols w:space="720"/>
          <w:docGrid w:linePitch="326"/>
        </w:sectPr>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538"/>
        <w:gridCol w:w="3182"/>
        <w:gridCol w:w="1020"/>
        <w:gridCol w:w="595"/>
        <w:gridCol w:w="420"/>
        <w:gridCol w:w="1022"/>
        <w:gridCol w:w="1019"/>
      </w:tblGrid>
      <w:tr w:rsidR="009A7F87" w:rsidRPr="00770229" w:rsidTr="002E2409">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t>0</w:t>
            </w:r>
            <w:r>
              <w:t>411</w:t>
            </w:r>
            <w:r w:rsidRPr="00770229">
              <w:t xml:space="preserve"> </w:t>
            </w:r>
            <w:r>
              <w:t>Primary education</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60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399" w:type="pct"/>
            <w:gridSpan w:val="3"/>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In Australia, State and Territory governments provide, regulate, and administer primary education provided in government schools and the regulation of non</w:t>
            </w:r>
            <w:r w:rsidRPr="00770229">
              <w:noBreakHyphen/>
              <w:t xml:space="preserve">government schools. </w:t>
            </w:r>
          </w:p>
          <w:p w:rsidR="009A7F87" w:rsidRPr="00770229" w:rsidRDefault="009A7F87" w:rsidP="009A7F87">
            <w:pPr>
              <w:pStyle w:val="TableBodyText"/>
              <w:keepNext w:val="0"/>
              <w:spacing w:before="60" w:after="60"/>
              <w:jc w:val="left"/>
            </w:pPr>
            <w:r w:rsidRPr="00770229">
              <w:t>Expenditure on primary education in government schools is primarily made through State and Territory governments, through a range of models. Australian government expenditure on primary education in government schools is made through specific purpose payments to states and territories.</w:t>
            </w:r>
          </w:p>
          <w:p w:rsidR="009A7F87" w:rsidRPr="00770229" w:rsidRDefault="009A7F87" w:rsidP="009A7F87">
            <w:pPr>
              <w:pStyle w:val="TableBodyText"/>
              <w:keepNext w:val="0"/>
              <w:spacing w:before="60" w:after="60"/>
              <w:jc w:val="left"/>
            </w:pPr>
            <w:r w:rsidRPr="00770229">
              <w:t>Expenditure on primary education in non</w:t>
            </w:r>
            <w:r w:rsidRPr="00770229">
              <w:noBreakHyphen/>
              <w:t>government schools are primarily made through the Australian Government. State and territory government expenditure on primary education in non</w:t>
            </w:r>
            <w:r w:rsidRPr="00770229">
              <w:noBreakHyphen/>
              <w:t>government schools generally takes the form of grants to schools.</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w:t>
            </w:r>
            <w:r w:rsidRPr="00770229">
              <w:rPr>
                <w:b/>
              </w:rPr>
              <w:t xml:space="preserve"> Expenditure Data Manual (</w:t>
            </w:r>
            <w:r w:rsidRPr="00F56AE1">
              <w:rPr>
                <w:b/>
              </w:rPr>
              <w:t>http://www.pc.gov.au/ier2017</w:t>
            </w:r>
            <w:r w:rsidRPr="00770229">
              <w:rPr>
                <w:b/>
              </w:rPr>
              <w:t>).</w:t>
            </w:r>
          </w:p>
        </w:tc>
      </w:tr>
      <w:tr w:rsidR="009A7F87" w:rsidRPr="00770229" w:rsidTr="00A672D0">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The key cost drivers of expenditure on primary education provided in government schools are the number of students and (for State and Territory governments) the location and size of schools.</w:t>
            </w:r>
          </w:p>
          <w:p w:rsidR="009A7F87" w:rsidRPr="00770229" w:rsidRDefault="009A7F87" w:rsidP="009A7F87">
            <w:pPr>
              <w:pStyle w:val="TableBodyText"/>
              <w:keepNext w:val="0"/>
              <w:keepLines w:val="0"/>
              <w:spacing w:before="80" w:after="80"/>
              <w:jc w:val="left"/>
              <w:rPr>
                <w:szCs w:val="26"/>
              </w:rPr>
            </w:pPr>
            <w:r w:rsidRPr="00770229">
              <w:t>The key cost drivers of expenditure on primary education provided in non</w:t>
            </w:r>
            <w:r w:rsidRPr="00770229">
              <w:noBreakHyphen/>
              <w:t>government schools are the number of students and (for the Australian Government) the location and size of schools and the socio</w:t>
            </w:r>
            <w:r w:rsidRPr="00770229">
              <w:noBreakHyphen/>
              <w:t>economic profile of their students.</w:t>
            </w:r>
          </w:p>
        </w:tc>
      </w:tr>
      <w:tr w:rsidR="009A7F87" w:rsidRPr="00770229" w:rsidTr="00A672D0">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770229" w:rsidTr="00A672D0">
        <w:tblPrEx>
          <w:tblBorders>
            <w:top w:val="none" w:sz="0" w:space="0" w:color="auto"/>
            <w:bottom w:val="none" w:sz="0" w:space="0" w:color="auto"/>
            <w:insideH w:val="none" w:sz="0" w:space="0" w:color="auto"/>
          </w:tblBorders>
        </w:tblPrEx>
        <w:tc>
          <w:tcPr>
            <w:tcW w:w="874"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ColumnHeading"/>
              <w:keepNext w:val="0"/>
              <w:jc w:val="left"/>
            </w:pPr>
          </w:p>
        </w:tc>
        <w:tc>
          <w:tcPr>
            <w:tcW w:w="1809"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ColumnHeading"/>
              <w:keepNext w:val="0"/>
              <w:ind w:left="180"/>
              <w:jc w:val="left"/>
            </w:pPr>
          </w:p>
        </w:tc>
        <w:tc>
          <w:tcPr>
            <w:tcW w:w="2317" w:type="pct"/>
            <w:gridSpan w:val="5"/>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ColumnHeading"/>
              <w:keepNext w:val="0"/>
              <w:ind w:left="180"/>
              <w:jc w:val="center"/>
              <w:rPr>
                <w:i w:val="0"/>
              </w:rPr>
            </w:pPr>
            <w:r w:rsidRPr="00770229">
              <w:rPr>
                <w:i w:val="0"/>
              </w:rPr>
              <w:t>Data Years</w:t>
            </w:r>
          </w:p>
        </w:tc>
      </w:tr>
      <w:tr w:rsidR="009A7F87" w:rsidRPr="00770229" w:rsidTr="00A672D0">
        <w:tblPrEx>
          <w:tblBorders>
            <w:top w:val="none" w:sz="0" w:space="0" w:color="auto"/>
            <w:bottom w:val="none" w:sz="0" w:space="0" w:color="auto"/>
            <w:insideH w:val="none" w:sz="0" w:space="0" w:color="auto"/>
          </w:tblBorders>
        </w:tblPrEx>
        <w:tc>
          <w:tcPr>
            <w:tcW w:w="874"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both"/>
            </w:pPr>
            <w:r>
              <w:br/>
            </w:r>
            <w:r w:rsidRPr="00770229">
              <w:t>Measure</w:t>
            </w:r>
          </w:p>
        </w:tc>
        <w:tc>
          <w:tcPr>
            <w:tcW w:w="1809"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br/>
            </w:r>
            <w:r w:rsidRPr="00770229">
              <w:t>Data source</w:t>
            </w:r>
          </w:p>
        </w:tc>
        <w:tc>
          <w:tcPr>
            <w:tcW w:w="580"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2"/>
              <w:jc w:val="center"/>
            </w:pPr>
            <w:r w:rsidRPr="00770229">
              <w:t>2008</w:t>
            </w:r>
            <w:r>
              <w:noBreakHyphen/>
            </w:r>
            <w:r w:rsidRPr="00770229">
              <w:t>09 Estimates</w:t>
            </w:r>
          </w:p>
        </w:tc>
        <w:tc>
          <w:tcPr>
            <w:tcW w:w="577" w:type="pct"/>
            <w:gridSpan w:val="2"/>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2"/>
              <w:jc w:val="center"/>
            </w:pPr>
            <w:r w:rsidRPr="00770229">
              <w:t>2010</w:t>
            </w:r>
            <w:r>
              <w:noBreakHyphen/>
            </w:r>
            <w:r w:rsidRPr="00770229">
              <w:t>11 Estimates</w:t>
            </w:r>
          </w:p>
        </w:tc>
        <w:tc>
          <w:tcPr>
            <w:tcW w:w="581"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2"/>
              <w:jc w:val="center"/>
            </w:pPr>
            <w:r w:rsidRPr="00770229">
              <w:t>2012</w:t>
            </w:r>
            <w:r>
              <w:noBreakHyphen/>
            </w:r>
            <w:r w:rsidRPr="00770229">
              <w:t>13 Estimates</w:t>
            </w:r>
          </w:p>
        </w:tc>
        <w:tc>
          <w:tcPr>
            <w:tcW w:w="579" w:type="pct"/>
            <w:tcBorders>
              <w:top w:val="single" w:sz="6" w:space="0" w:color="808080" w:themeColor="background1" w:themeShade="80"/>
              <w:bottom w:val="single" w:sz="6" w:space="0" w:color="808080" w:themeColor="background1" w:themeShade="80"/>
            </w:tcBorders>
          </w:tcPr>
          <w:p w:rsidR="009A7F87" w:rsidRPr="00770229" w:rsidRDefault="009A7F87" w:rsidP="009A7F87">
            <w:pPr>
              <w:pStyle w:val="TableBodyText"/>
              <w:keepNext w:val="0"/>
              <w:spacing w:before="60" w:after="60"/>
              <w:ind w:left="2"/>
              <w:jc w:val="center"/>
            </w:pPr>
            <w:r>
              <w:t>2015</w:t>
            </w:r>
            <w:r>
              <w:noBreakHyphen/>
              <w:t>16</w:t>
            </w:r>
            <w:r w:rsidRPr="00770229">
              <w:t xml:space="preserve"> Estimates</w:t>
            </w:r>
          </w:p>
        </w:tc>
      </w:tr>
      <w:tr w:rsidR="009A7F87" w:rsidRPr="00770229" w:rsidTr="000E0C9E">
        <w:tblPrEx>
          <w:tblBorders>
            <w:top w:val="none" w:sz="0" w:space="0" w:color="auto"/>
            <w:bottom w:val="none" w:sz="0" w:space="0" w:color="auto"/>
            <w:insideH w:val="none" w:sz="0" w:space="0" w:color="auto"/>
          </w:tblBorders>
        </w:tblPrEx>
        <w:tc>
          <w:tcPr>
            <w:tcW w:w="874"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Students enrolled at government primary schools</w:t>
            </w:r>
            <w:r w:rsidRPr="00770229">
              <w:rPr>
                <w:rStyle w:val="NoteLabel"/>
              </w:rPr>
              <w:t>a</w:t>
            </w:r>
          </w:p>
        </w:tc>
        <w:tc>
          <w:tcPr>
            <w:tcW w:w="1809"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Schools, Australia </w:t>
            </w:r>
            <w:r w:rsidRPr="00770229">
              <w:t>(Cat. no. 4221.0)</w:t>
            </w:r>
          </w:p>
        </w:tc>
        <w:tc>
          <w:tcPr>
            <w:tcW w:w="580"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180"/>
              <w:jc w:val="left"/>
            </w:pPr>
            <w:r>
              <w:t>2008-09</w:t>
            </w:r>
          </w:p>
          <w:p w:rsidR="009A7F87" w:rsidRDefault="009A7F87" w:rsidP="009A7F87">
            <w:pPr>
              <w:pStyle w:val="TableBodyText"/>
              <w:keepNext w:val="0"/>
              <w:spacing w:before="60" w:after="60"/>
              <w:ind w:left="180"/>
              <w:jc w:val="left"/>
            </w:pPr>
          </w:p>
          <w:p w:rsidR="009A7F87" w:rsidRDefault="009A7F87" w:rsidP="009A7F87">
            <w:pPr>
              <w:pStyle w:val="TableBodyText"/>
              <w:keepNext w:val="0"/>
              <w:spacing w:before="60" w:after="60"/>
              <w:ind w:left="180"/>
              <w:jc w:val="left"/>
            </w:pPr>
          </w:p>
          <w:p w:rsidR="009A7F87" w:rsidRPr="00770229" w:rsidRDefault="009A7F87" w:rsidP="009A7F87">
            <w:pPr>
              <w:pStyle w:val="TableBodyText"/>
              <w:keepNext w:val="0"/>
              <w:spacing w:before="60" w:after="60"/>
              <w:ind w:left="180"/>
              <w:jc w:val="left"/>
            </w:pPr>
          </w:p>
        </w:tc>
        <w:tc>
          <w:tcPr>
            <w:tcW w:w="577"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1"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2012-13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79" w:type="pct"/>
            <w:tcBorders>
              <w:top w:val="single" w:sz="6" w:space="0" w:color="808080" w:themeColor="background1" w:themeShade="80"/>
            </w:tcBorders>
            <w:vAlign w:val="center"/>
          </w:tcPr>
          <w:p w:rsidR="009A7F87" w:rsidRDefault="009A7F87" w:rsidP="009A7F87">
            <w:pPr>
              <w:pStyle w:val="TableBodyText"/>
              <w:spacing w:before="60" w:after="60"/>
              <w:ind w:left="2"/>
              <w:jc w:val="center"/>
            </w:pPr>
            <w:r>
              <w:t>2015-16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0E0C9E">
        <w:tblPrEx>
          <w:tblBorders>
            <w:top w:val="none" w:sz="0" w:space="0" w:color="auto"/>
            <w:bottom w:val="none" w:sz="0" w:space="0" w:color="auto"/>
            <w:insideH w:val="none" w:sz="0" w:space="0" w:color="auto"/>
          </w:tblBorders>
        </w:tblPrEx>
        <w:tc>
          <w:tcPr>
            <w:tcW w:w="874"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t xml:space="preserve">Students enrolled at </w:t>
            </w:r>
            <w:r>
              <w:br/>
              <w:t>non-government primary schools</w:t>
            </w:r>
            <w:r w:rsidRPr="00770229">
              <w:rPr>
                <w:rStyle w:val="NoteLabel"/>
              </w:rPr>
              <w:t>a</w:t>
            </w:r>
          </w:p>
        </w:tc>
        <w:tc>
          <w:tcPr>
            <w:tcW w:w="1809" w:type="pct"/>
            <w:tcBorders>
              <w:bottom w:val="single" w:sz="4" w:space="0" w:color="808080" w:themeColor="background1" w:themeShade="80"/>
            </w:tcBorders>
            <w:shd w:val="clear" w:color="auto" w:fill="auto"/>
          </w:tcPr>
          <w:p w:rsidR="009A7F87" w:rsidRPr="002F03A1" w:rsidRDefault="009A7F87" w:rsidP="009A7F87">
            <w:pPr>
              <w:pStyle w:val="TableBodyText"/>
              <w:keepNext w:val="0"/>
              <w:spacing w:before="60" w:after="60"/>
              <w:ind w:left="180"/>
              <w:jc w:val="left"/>
            </w:pPr>
            <w:r>
              <w:t xml:space="preserve">ABS </w:t>
            </w:r>
            <w:r>
              <w:rPr>
                <w:i/>
              </w:rPr>
              <w:t>Schools, Australia</w:t>
            </w:r>
            <w:r>
              <w:rPr>
                <w:i/>
              </w:rPr>
              <w:br/>
            </w:r>
            <w:r>
              <w:t>(Cat. no. 4221.0)</w:t>
            </w:r>
          </w:p>
        </w:tc>
        <w:tc>
          <w:tcPr>
            <w:tcW w:w="580" w:type="pct"/>
            <w:tcBorders>
              <w:bottom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180"/>
              <w:jc w:val="left"/>
            </w:pPr>
            <w:r>
              <w:t>2008</w:t>
            </w:r>
            <w:r>
              <w:noBreakHyphen/>
              <w:t>09</w:t>
            </w:r>
          </w:p>
          <w:p w:rsidR="009A7F87" w:rsidRDefault="009A7F87" w:rsidP="009A7F87">
            <w:pPr>
              <w:pStyle w:val="TableBodyText"/>
              <w:keepNext w:val="0"/>
              <w:spacing w:before="60" w:after="60"/>
              <w:ind w:left="180"/>
              <w:jc w:val="left"/>
            </w:pPr>
          </w:p>
          <w:p w:rsidR="009A7F87" w:rsidRDefault="009A7F87" w:rsidP="009A7F87">
            <w:pPr>
              <w:pStyle w:val="TableBodyText"/>
              <w:keepNext w:val="0"/>
              <w:spacing w:before="60" w:after="60"/>
              <w:ind w:left="180"/>
              <w:jc w:val="left"/>
            </w:pPr>
          </w:p>
          <w:p w:rsidR="009A7F87" w:rsidRDefault="009A7F87" w:rsidP="009A7F87">
            <w:pPr>
              <w:pStyle w:val="TableBodyText"/>
              <w:keepNext w:val="0"/>
              <w:spacing w:before="60" w:after="60"/>
              <w:ind w:left="180"/>
              <w:jc w:val="left"/>
            </w:pPr>
          </w:p>
        </w:tc>
        <w:tc>
          <w:tcPr>
            <w:tcW w:w="577" w:type="pct"/>
            <w:gridSpan w:val="2"/>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w:t>
            </w:r>
            <w:r>
              <w:noBreakHyphen/>
              <w:t>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c>
          <w:tcPr>
            <w:tcW w:w="581" w:type="pct"/>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2012</w:t>
            </w:r>
            <w:r>
              <w:noBreakHyphen/>
              <w:t>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c>
          <w:tcPr>
            <w:tcW w:w="579" w:type="pct"/>
            <w:tcBorders>
              <w:bottom w:val="single" w:sz="4" w:space="0" w:color="808080" w:themeColor="background1" w:themeShade="80"/>
            </w:tcBorders>
            <w:vAlign w:val="center"/>
          </w:tcPr>
          <w:p w:rsidR="009A7F87" w:rsidRDefault="009A7F87" w:rsidP="009A7F87">
            <w:pPr>
              <w:pStyle w:val="TableBodyText"/>
              <w:spacing w:before="60" w:after="60"/>
              <w:ind w:left="2"/>
              <w:jc w:val="center"/>
            </w:pPr>
            <w:r>
              <w:t>2015</w:t>
            </w:r>
            <w:r>
              <w:noBreakHyphen/>
              <w:t>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r>
      <w:tr w:rsidR="009A7F87" w:rsidTr="000E0C9E">
        <w:tblPrEx>
          <w:tblBorders>
            <w:left w:val="single" w:sz="6" w:space="0" w:color="auto"/>
            <w:right w:val="single" w:sz="6" w:space="0" w:color="auto"/>
            <w:insideH w:val="none" w:sz="0" w:space="0" w:color="auto"/>
          </w:tblBorders>
          <w:tblCellMar>
            <w:left w:w="142" w:type="dxa"/>
            <w:right w:w="142" w:type="dxa"/>
          </w:tblCellMar>
        </w:tblPrEx>
        <w:tc>
          <w:tcPr>
            <w:tcW w:w="5000" w:type="pct"/>
            <w:gridSpan w:val="7"/>
            <w:tcBorders>
              <w:top w:val="single" w:sz="4" w:space="0" w:color="808080" w:themeColor="background1" w:themeShade="80"/>
              <w:left w:val="nil"/>
              <w:bottom w:val="nil"/>
              <w:right w:val="nil"/>
            </w:tcBorders>
            <w:shd w:val="clear" w:color="auto" w:fill="auto"/>
          </w:tcPr>
          <w:p w:rsidR="009A7F87" w:rsidRDefault="009A7F87" w:rsidP="009A7F87">
            <w:pPr>
              <w:pStyle w:val="Note"/>
              <w:rPr>
                <w:i/>
              </w:rPr>
            </w:pPr>
            <w:r w:rsidRPr="008E77FE">
              <w:rPr>
                <w:rStyle w:val="NoteLabel"/>
              </w:rPr>
              <w:t>a</w:t>
            </w:r>
            <w:r>
              <w:t xml:space="preserve"> </w:t>
            </w:r>
            <w:r w:rsidRPr="00AF1DC2">
              <w:t>Data are the average of two years of enrolments.</w:t>
            </w:r>
          </w:p>
        </w:tc>
      </w:tr>
      <w:tr w:rsidR="009A7F87" w:rsidRPr="0071369A" w:rsidTr="009A7F87">
        <w:tblPrEx>
          <w:tblBorders>
            <w:top w:val="none" w:sz="0" w:space="0" w:color="auto"/>
            <w:bottom w:val="none" w:sz="0" w:space="0" w:color="auto"/>
            <w:insideH w:val="none" w:sz="0" w:space="0" w:color="auto"/>
          </w:tblBorders>
        </w:tblPrEx>
        <w:tc>
          <w:tcPr>
            <w:tcW w:w="5000" w:type="pct"/>
            <w:gridSpan w:val="7"/>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120072">
      <w:pPr>
        <w:pStyle w:val="BodyText"/>
      </w:pPr>
    </w:p>
    <w:p w:rsidR="009A7F87" w:rsidRDefault="009A7F87" w:rsidP="00120072">
      <w:pPr>
        <w:pStyle w:val="BodyText"/>
      </w:pPr>
    </w:p>
    <w:p w:rsidR="009A7F87" w:rsidRDefault="009A7F87" w:rsidP="00120072">
      <w:pPr>
        <w:pStyle w:val="BodyText"/>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538"/>
        <w:gridCol w:w="3182"/>
        <w:gridCol w:w="1020"/>
        <w:gridCol w:w="595"/>
        <w:gridCol w:w="420"/>
        <w:gridCol w:w="1022"/>
        <w:gridCol w:w="1019"/>
      </w:tblGrid>
      <w:tr w:rsidR="009A7F87" w:rsidRPr="00770229" w:rsidTr="002E2409">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412</w:t>
            </w:r>
            <w:r w:rsidRPr="00770229">
              <w:t xml:space="preserve"> Secondary education</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60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399" w:type="pct"/>
            <w:gridSpan w:val="3"/>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40"/>
              <w:jc w:val="left"/>
            </w:pPr>
            <w:r w:rsidRPr="00770229">
              <w:t>In Australia, State and Territory governments provide, regulate, and administer secondary education provided in government schools and the regulation of non</w:t>
            </w:r>
            <w:r w:rsidRPr="00770229">
              <w:noBreakHyphen/>
              <w:t xml:space="preserve">government schools. </w:t>
            </w:r>
          </w:p>
          <w:p w:rsidR="009A7F87" w:rsidRPr="00770229" w:rsidRDefault="009A7F87" w:rsidP="009A7F87">
            <w:pPr>
              <w:pStyle w:val="TableBodyText"/>
              <w:keepNext w:val="0"/>
              <w:spacing w:before="60" w:after="60"/>
              <w:jc w:val="left"/>
            </w:pPr>
            <w:r w:rsidRPr="00770229">
              <w:t>Expenditure on secondary education in government schools is primarily made through State and Territory governments, through a range of models. Australian Government expenditure on secondary education in government schools is made through specific purpose payments to states and territories.</w:t>
            </w:r>
          </w:p>
          <w:p w:rsidR="009A7F87" w:rsidRPr="00770229" w:rsidRDefault="009A7F87" w:rsidP="009A7F87">
            <w:pPr>
              <w:pStyle w:val="TableBodyText"/>
              <w:keepNext w:val="0"/>
              <w:spacing w:before="60" w:after="60"/>
              <w:jc w:val="left"/>
            </w:pPr>
            <w:r w:rsidRPr="00770229">
              <w:t>Expenditure on secondary education in non</w:t>
            </w:r>
            <w:r w:rsidRPr="00770229">
              <w:noBreakHyphen/>
              <w:t>government schools is primarily made through the Australian Government. State and territory government expenditure on secondary education in non</w:t>
            </w:r>
            <w:r w:rsidRPr="00770229">
              <w:noBreakHyphen/>
              <w:t>government schools generally take the form of grants to schools.</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The key cost drivers of expenditure on secondary education provided in government schools are the number of students and (for State and Territory governments) the location and size of schools.</w:t>
            </w:r>
          </w:p>
          <w:p w:rsidR="009A7F87" w:rsidRPr="00770229" w:rsidRDefault="009A7F87" w:rsidP="009A7F87">
            <w:pPr>
              <w:pStyle w:val="TableBodyText"/>
              <w:keepNext w:val="0"/>
              <w:keepLines w:val="0"/>
              <w:spacing w:before="80" w:after="80"/>
              <w:jc w:val="left"/>
              <w:rPr>
                <w:szCs w:val="26"/>
              </w:rPr>
            </w:pPr>
            <w:r w:rsidRPr="00770229">
              <w:t>The key cost drivers of expenditure on secondary education provided in non</w:t>
            </w:r>
            <w:r w:rsidRPr="00770229">
              <w:noBreakHyphen/>
              <w:t>government schools are the number of students and (for the Australian Government) the location and size of schools and the socio</w:t>
            </w:r>
            <w:r w:rsidRPr="00770229">
              <w:noBreakHyphen/>
              <w:t>economic profile of their students.</w:t>
            </w:r>
          </w:p>
        </w:tc>
      </w:tr>
      <w:tr w:rsidR="009A7F87" w:rsidRPr="00770229" w:rsidTr="00A672D0">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0F469A" w:rsidTr="00A672D0">
        <w:tblPrEx>
          <w:tblBorders>
            <w:top w:val="none" w:sz="0" w:space="0" w:color="auto"/>
            <w:bottom w:val="none" w:sz="0" w:space="0" w:color="auto"/>
            <w:insideH w:val="none" w:sz="0" w:space="0" w:color="auto"/>
          </w:tblBorders>
        </w:tblPrEx>
        <w:tc>
          <w:tcPr>
            <w:tcW w:w="874"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0F469A" w:rsidRDefault="009A7F87" w:rsidP="009A7F87">
            <w:pPr>
              <w:pStyle w:val="TableColumnHeading"/>
              <w:keepNext w:val="0"/>
              <w:jc w:val="left"/>
            </w:pPr>
          </w:p>
        </w:tc>
        <w:tc>
          <w:tcPr>
            <w:tcW w:w="1809" w:type="pct"/>
            <w:tcBorders>
              <w:top w:val="single" w:sz="6" w:space="0" w:color="808080" w:themeColor="background1" w:themeShade="80"/>
              <w:bottom w:val="single" w:sz="6" w:space="0" w:color="808080" w:themeColor="background1" w:themeShade="80"/>
            </w:tcBorders>
            <w:shd w:val="clear" w:color="auto" w:fill="auto"/>
          </w:tcPr>
          <w:p w:rsidR="009A7F87" w:rsidRPr="000F469A" w:rsidRDefault="009A7F87" w:rsidP="009A7F87">
            <w:pPr>
              <w:pStyle w:val="TableColumnHeading"/>
              <w:keepNext w:val="0"/>
              <w:ind w:left="180"/>
              <w:jc w:val="left"/>
            </w:pPr>
          </w:p>
        </w:tc>
        <w:tc>
          <w:tcPr>
            <w:tcW w:w="2317" w:type="pct"/>
            <w:gridSpan w:val="5"/>
            <w:tcBorders>
              <w:top w:val="single" w:sz="6" w:space="0" w:color="808080" w:themeColor="background1" w:themeShade="80"/>
              <w:bottom w:val="single" w:sz="6" w:space="0" w:color="808080" w:themeColor="background1" w:themeShade="80"/>
            </w:tcBorders>
            <w:shd w:val="clear" w:color="auto" w:fill="auto"/>
          </w:tcPr>
          <w:p w:rsidR="009A7F87" w:rsidRPr="000F469A" w:rsidRDefault="009A7F87" w:rsidP="009A7F87">
            <w:pPr>
              <w:pStyle w:val="TableColumnHeading"/>
              <w:keepNext w:val="0"/>
              <w:ind w:left="180"/>
              <w:jc w:val="center"/>
            </w:pPr>
            <w:r w:rsidRPr="000F469A">
              <w:t>Data Years</w:t>
            </w:r>
          </w:p>
        </w:tc>
      </w:tr>
      <w:tr w:rsidR="009A7F87" w:rsidRPr="000F469A" w:rsidTr="00A672D0">
        <w:tblPrEx>
          <w:tblBorders>
            <w:top w:val="none" w:sz="0" w:space="0" w:color="auto"/>
            <w:bottom w:val="none" w:sz="0" w:space="0" w:color="auto"/>
            <w:insideH w:val="none" w:sz="0" w:space="0" w:color="auto"/>
          </w:tblBorders>
        </w:tblPrEx>
        <w:tc>
          <w:tcPr>
            <w:tcW w:w="874"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0F469A" w:rsidRDefault="009A7F87" w:rsidP="009A7F87">
            <w:pPr>
              <w:pStyle w:val="TableBodyText"/>
              <w:keepNext w:val="0"/>
              <w:spacing w:before="60" w:after="60"/>
              <w:ind w:left="0"/>
              <w:jc w:val="both"/>
              <w:rPr>
                <w:i/>
              </w:rPr>
            </w:pPr>
            <w:r w:rsidRPr="000F469A">
              <w:rPr>
                <w:i/>
              </w:rPr>
              <w:br/>
              <w:t>Measure</w:t>
            </w:r>
          </w:p>
        </w:tc>
        <w:tc>
          <w:tcPr>
            <w:tcW w:w="1809" w:type="pct"/>
            <w:tcBorders>
              <w:top w:val="single" w:sz="6" w:space="0" w:color="808080" w:themeColor="background1" w:themeShade="80"/>
              <w:bottom w:val="single" w:sz="6" w:space="0" w:color="808080" w:themeColor="background1" w:themeShade="80"/>
            </w:tcBorders>
            <w:shd w:val="clear" w:color="auto" w:fill="auto"/>
          </w:tcPr>
          <w:p w:rsidR="009A7F87" w:rsidRPr="000F469A" w:rsidRDefault="009A7F87" w:rsidP="009A7F87">
            <w:pPr>
              <w:pStyle w:val="TableBodyText"/>
              <w:keepNext w:val="0"/>
              <w:spacing w:before="60" w:after="60"/>
              <w:ind w:left="180"/>
              <w:jc w:val="left"/>
              <w:rPr>
                <w:i/>
              </w:rPr>
            </w:pPr>
            <w:r w:rsidRPr="000F469A">
              <w:rPr>
                <w:i/>
              </w:rPr>
              <w:br/>
              <w:t>Data source</w:t>
            </w:r>
          </w:p>
        </w:tc>
        <w:tc>
          <w:tcPr>
            <w:tcW w:w="580" w:type="pct"/>
            <w:tcBorders>
              <w:top w:val="single" w:sz="6" w:space="0" w:color="808080" w:themeColor="background1" w:themeShade="80"/>
              <w:bottom w:val="single" w:sz="6" w:space="0" w:color="808080" w:themeColor="background1" w:themeShade="80"/>
            </w:tcBorders>
            <w:shd w:val="clear" w:color="auto" w:fill="auto"/>
          </w:tcPr>
          <w:p w:rsidR="009A7F87" w:rsidRPr="000F469A" w:rsidRDefault="009A7F87" w:rsidP="009A7F87">
            <w:pPr>
              <w:pStyle w:val="TableBodyText"/>
              <w:keepNext w:val="0"/>
              <w:spacing w:before="60" w:after="60"/>
              <w:ind w:left="2"/>
              <w:jc w:val="center"/>
              <w:rPr>
                <w:i/>
              </w:rPr>
            </w:pPr>
            <w:r w:rsidRPr="000F469A">
              <w:rPr>
                <w:i/>
              </w:rPr>
              <w:t>2008</w:t>
            </w:r>
            <w:r w:rsidRPr="000F469A">
              <w:rPr>
                <w:i/>
              </w:rPr>
              <w:noBreakHyphen/>
              <w:t>09 Estimates</w:t>
            </w:r>
          </w:p>
        </w:tc>
        <w:tc>
          <w:tcPr>
            <w:tcW w:w="577" w:type="pct"/>
            <w:gridSpan w:val="2"/>
            <w:tcBorders>
              <w:top w:val="single" w:sz="6" w:space="0" w:color="808080" w:themeColor="background1" w:themeShade="80"/>
              <w:bottom w:val="single" w:sz="6" w:space="0" w:color="808080" w:themeColor="background1" w:themeShade="80"/>
            </w:tcBorders>
            <w:shd w:val="clear" w:color="auto" w:fill="auto"/>
          </w:tcPr>
          <w:p w:rsidR="009A7F87" w:rsidRPr="000F469A" w:rsidRDefault="009A7F87" w:rsidP="009A7F87">
            <w:pPr>
              <w:pStyle w:val="TableBodyText"/>
              <w:keepNext w:val="0"/>
              <w:spacing w:before="60" w:after="60"/>
              <w:ind w:left="2"/>
              <w:jc w:val="center"/>
              <w:rPr>
                <w:i/>
              </w:rPr>
            </w:pPr>
            <w:r w:rsidRPr="000F469A">
              <w:rPr>
                <w:i/>
              </w:rPr>
              <w:t>2010</w:t>
            </w:r>
            <w:r w:rsidRPr="000F469A">
              <w:rPr>
                <w:i/>
              </w:rPr>
              <w:noBreakHyphen/>
              <w:t>11 Estimates</w:t>
            </w:r>
          </w:p>
        </w:tc>
        <w:tc>
          <w:tcPr>
            <w:tcW w:w="581" w:type="pct"/>
            <w:tcBorders>
              <w:top w:val="single" w:sz="6" w:space="0" w:color="808080" w:themeColor="background1" w:themeShade="80"/>
              <w:bottom w:val="single" w:sz="6" w:space="0" w:color="808080" w:themeColor="background1" w:themeShade="80"/>
            </w:tcBorders>
            <w:shd w:val="clear" w:color="auto" w:fill="auto"/>
          </w:tcPr>
          <w:p w:rsidR="009A7F87" w:rsidRPr="000F469A" w:rsidRDefault="009A7F87" w:rsidP="009A7F87">
            <w:pPr>
              <w:pStyle w:val="TableBodyText"/>
              <w:keepNext w:val="0"/>
              <w:spacing w:before="60" w:after="60"/>
              <w:ind w:left="2"/>
              <w:jc w:val="center"/>
              <w:rPr>
                <w:i/>
              </w:rPr>
            </w:pPr>
            <w:r w:rsidRPr="000F469A">
              <w:rPr>
                <w:i/>
              </w:rPr>
              <w:t>2012</w:t>
            </w:r>
            <w:r w:rsidRPr="000F469A">
              <w:rPr>
                <w:i/>
              </w:rPr>
              <w:noBreakHyphen/>
              <w:t>13 Estimates</w:t>
            </w:r>
          </w:p>
        </w:tc>
        <w:tc>
          <w:tcPr>
            <w:tcW w:w="579" w:type="pct"/>
            <w:tcBorders>
              <w:top w:val="single" w:sz="6" w:space="0" w:color="808080" w:themeColor="background1" w:themeShade="80"/>
              <w:bottom w:val="single" w:sz="6" w:space="0" w:color="808080" w:themeColor="background1" w:themeShade="80"/>
            </w:tcBorders>
          </w:tcPr>
          <w:p w:rsidR="009A7F87" w:rsidRPr="000F469A" w:rsidRDefault="009A7F87" w:rsidP="009A7F87">
            <w:pPr>
              <w:pStyle w:val="TableBodyText"/>
              <w:keepNext w:val="0"/>
              <w:spacing w:before="60" w:after="60"/>
              <w:ind w:left="2"/>
              <w:jc w:val="center"/>
              <w:rPr>
                <w:i/>
              </w:rPr>
            </w:pPr>
            <w:r w:rsidRPr="000F469A">
              <w:rPr>
                <w:i/>
              </w:rPr>
              <w:t>2015</w:t>
            </w:r>
            <w:r w:rsidRPr="000F469A">
              <w:rPr>
                <w:i/>
              </w:rPr>
              <w:noBreakHyphen/>
              <w:t>16 Estimates</w:t>
            </w:r>
          </w:p>
        </w:tc>
      </w:tr>
      <w:tr w:rsidR="009A7F87" w:rsidRPr="00770229" w:rsidTr="000E0C9E">
        <w:tblPrEx>
          <w:tblBorders>
            <w:top w:val="none" w:sz="0" w:space="0" w:color="auto"/>
            <w:bottom w:val="none" w:sz="0" w:space="0" w:color="auto"/>
            <w:insideH w:val="none" w:sz="0" w:space="0" w:color="auto"/>
          </w:tblBorders>
        </w:tblPrEx>
        <w:tc>
          <w:tcPr>
            <w:tcW w:w="874"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Students enrolled at government secondary school</w:t>
            </w:r>
            <w:r w:rsidRPr="00770229">
              <w:rPr>
                <w:rStyle w:val="NoteLabel"/>
              </w:rPr>
              <w:t>a</w:t>
            </w:r>
          </w:p>
        </w:tc>
        <w:tc>
          <w:tcPr>
            <w:tcW w:w="1809"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Schools, Australia </w:t>
            </w:r>
            <w:r w:rsidRPr="00770229">
              <w:t>(Cat. no. 4221.0)</w:t>
            </w:r>
          </w:p>
        </w:tc>
        <w:tc>
          <w:tcPr>
            <w:tcW w:w="580"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77"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1"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2012-13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79" w:type="pct"/>
            <w:tcBorders>
              <w:top w:val="single" w:sz="6" w:space="0" w:color="808080" w:themeColor="background1" w:themeShade="80"/>
            </w:tcBorders>
            <w:vAlign w:val="center"/>
          </w:tcPr>
          <w:p w:rsidR="009A7F87" w:rsidRDefault="009A7F87" w:rsidP="009A7F87">
            <w:pPr>
              <w:pStyle w:val="TableBodyText"/>
              <w:spacing w:before="60" w:after="60"/>
              <w:ind w:left="2"/>
              <w:jc w:val="center"/>
            </w:pPr>
            <w:r>
              <w:t>2015-16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0E0C9E">
        <w:tblPrEx>
          <w:tblBorders>
            <w:top w:val="none" w:sz="0" w:space="0" w:color="auto"/>
            <w:bottom w:val="none" w:sz="0" w:space="0" w:color="auto"/>
            <w:insideH w:val="none" w:sz="0" w:space="0" w:color="auto"/>
          </w:tblBorders>
        </w:tblPrEx>
        <w:tc>
          <w:tcPr>
            <w:tcW w:w="874" w:type="pct"/>
            <w:tcBorders>
              <w:bottom w:val="single" w:sz="4" w:space="0" w:color="808080" w:themeColor="background1" w:themeShade="80"/>
            </w:tcBorders>
            <w:shd w:val="clear" w:color="auto" w:fill="auto"/>
            <w:tcMar>
              <w:top w:w="57" w:type="dxa"/>
              <w:left w:w="113" w:type="dxa"/>
            </w:tcMar>
          </w:tcPr>
          <w:p w:rsidR="009A7F87" w:rsidRPr="00EA722E" w:rsidRDefault="009A7F87" w:rsidP="009A7F87">
            <w:pPr>
              <w:pStyle w:val="TableBodyText"/>
              <w:keepNext w:val="0"/>
              <w:spacing w:before="60" w:after="60"/>
              <w:ind w:left="0"/>
              <w:jc w:val="left"/>
              <w:rPr>
                <w:rStyle w:val="NoteLabel"/>
              </w:rPr>
            </w:pPr>
            <w:r>
              <w:t xml:space="preserve">Students enrolled at </w:t>
            </w:r>
            <w:r>
              <w:br/>
              <w:t>non-government secondary school</w:t>
            </w:r>
            <w:r>
              <w:rPr>
                <w:rStyle w:val="NoteLabel"/>
              </w:rPr>
              <w:t>a</w:t>
            </w:r>
          </w:p>
        </w:tc>
        <w:tc>
          <w:tcPr>
            <w:tcW w:w="1809" w:type="pct"/>
            <w:tcBorders>
              <w:bottom w:val="single" w:sz="4" w:space="0" w:color="808080" w:themeColor="background1" w:themeShade="80"/>
            </w:tcBorders>
            <w:shd w:val="clear" w:color="auto" w:fill="auto"/>
          </w:tcPr>
          <w:p w:rsidR="009A7F87" w:rsidRPr="00EA722E" w:rsidRDefault="009A7F87" w:rsidP="009A7F87">
            <w:pPr>
              <w:pStyle w:val="TableBodyText"/>
              <w:keepNext w:val="0"/>
              <w:spacing w:before="60" w:after="60"/>
              <w:ind w:left="180"/>
              <w:jc w:val="left"/>
            </w:pPr>
            <w:r>
              <w:t xml:space="preserve">ABS </w:t>
            </w:r>
            <w:r>
              <w:rPr>
                <w:i/>
              </w:rPr>
              <w:t>Schools, Australia</w:t>
            </w:r>
            <w:r>
              <w:rPr>
                <w:i/>
              </w:rPr>
              <w:br/>
            </w:r>
            <w:r>
              <w:t>(Cat. no. 4221.0)</w:t>
            </w:r>
          </w:p>
        </w:tc>
        <w:tc>
          <w:tcPr>
            <w:tcW w:w="580" w:type="pct"/>
            <w:tcBorders>
              <w:bottom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w:t>
            </w:r>
            <w:r>
              <w:noBreakHyphen/>
              <w:t>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tc>
        <w:tc>
          <w:tcPr>
            <w:tcW w:w="577" w:type="pct"/>
            <w:gridSpan w:val="2"/>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w:t>
            </w:r>
            <w:r>
              <w:noBreakHyphen/>
              <w:t>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c>
          <w:tcPr>
            <w:tcW w:w="581" w:type="pct"/>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2012</w:t>
            </w:r>
            <w:r>
              <w:noBreakHyphen/>
              <w:t>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c>
          <w:tcPr>
            <w:tcW w:w="579" w:type="pct"/>
            <w:tcBorders>
              <w:bottom w:val="single" w:sz="4" w:space="0" w:color="808080" w:themeColor="background1" w:themeShade="80"/>
            </w:tcBorders>
            <w:vAlign w:val="center"/>
          </w:tcPr>
          <w:p w:rsidR="009A7F87" w:rsidRDefault="009A7F87" w:rsidP="009A7F87">
            <w:pPr>
              <w:pStyle w:val="TableBodyText"/>
              <w:spacing w:before="60" w:after="60"/>
              <w:ind w:left="2"/>
              <w:jc w:val="center"/>
            </w:pPr>
            <w:r>
              <w:t>2015</w:t>
            </w:r>
            <w:r>
              <w:noBreakHyphen/>
              <w:t>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r>
      <w:tr w:rsidR="009A7F87" w:rsidTr="000E0C9E">
        <w:tblPrEx>
          <w:tblBorders>
            <w:left w:val="single" w:sz="6" w:space="0" w:color="auto"/>
            <w:right w:val="single" w:sz="6" w:space="0" w:color="auto"/>
            <w:insideH w:val="none" w:sz="0" w:space="0" w:color="auto"/>
          </w:tblBorders>
          <w:tblCellMar>
            <w:left w:w="142" w:type="dxa"/>
            <w:right w:w="142" w:type="dxa"/>
          </w:tblCellMar>
        </w:tblPrEx>
        <w:tc>
          <w:tcPr>
            <w:tcW w:w="4997" w:type="pct"/>
            <w:gridSpan w:val="7"/>
            <w:tcBorders>
              <w:top w:val="single" w:sz="4" w:space="0" w:color="808080" w:themeColor="background1" w:themeShade="80"/>
              <w:left w:val="nil"/>
              <w:bottom w:val="nil"/>
              <w:right w:val="nil"/>
            </w:tcBorders>
            <w:shd w:val="clear" w:color="auto" w:fill="auto"/>
          </w:tcPr>
          <w:p w:rsidR="009A7F87" w:rsidRPr="00AF1DC2" w:rsidRDefault="009A7F87" w:rsidP="009A7F87">
            <w:pPr>
              <w:pStyle w:val="Note"/>
              <w:rPr>
                <w:sz w:val="20"/>
              </w:rPr>
            </w:pPr>
            <w:r w:rsidRPr="009F14B3">
              <w:rPr>
                <w:rStyle w:val="NoteLabel"/>
              </w:rPr>
              <w:t>a</w:t>
            </w:r>
            <w:r>
              <w:t xml:space="preserve"> </w:t>
            </w:r>
            <w:r w:rsidRPr="009F14B3">
              <w:t>Data are the average of two years of enrolments.</w:t>
            </w:r>
          </w:p>
        </w:tc>
      </w:tr>
      <w:tr w:rsidR="009A7F87" w:rsidRPr="0071369A" w:rsidTr="009A7F87">
        <w:tblPrEx>
          <w:tblBorders>
            <w:top w:val="none" w:sz="0" w:space="0" w:color="auto"/>
            <w:bottom w:val="none" w:sz="0" w:space="0" w:color="auto"/>
            <w:insideH w:val="none" w:sz="0" w:space="0" w:color="auto"/>
          </w:tblBorders>
        </w:tblPrEx>
        <w:tc>
          <w:tcPr>
            <w:tcW w:w="5000" w:type="pct"/>
            <w:gridSpan w:val="7"/>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2E2409">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419</w:t>
            </w:r>
            <w:r w:rsidRPr="00770229">
              <w:t xml:space="preserve"> Primary and secondary education </w:t>
            </w:r>
            <w:proofErr w:type="spellStart"/>
            <w:r w:rsidRPr="00770229">
              <w:t>nec</w:t>
            </w:r>
            <w:proofErr w:type="spellEnd"/>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Australian, State and Territory governments provide a range of services that support both primary and secondary education in Australia. School education regulation and support services include:</w:t>
            </w:r>
          </w:p>
          <w:p w:rsidR="009A7F87" w:rsidRPr="00770229" w:rsidRDefault="009A7F87" w:rsidP="009A7F87">
            <w:pPr>
              <w:pStyle w:val="TableBullet"/>
              <w:keepNext w:val="0"/>
              <w:numPr>
                <w:ilvl w:val="0"/>
                <w:numId w:val="24"/>
              </w:numPr>
              <w:spacing w:line="220" w:lineRule="atLeast"/>
            </w:pPr>
            <w:r w:rsidRPr="00770229">
              <w:t>curriculum development and support</w:t>
            </w:r>
          </w:p>
          <w:p w:rsidR="009A7F87" w:rsidRPr="00770229" w:rsidRDefault="009A7F87" w:rsidP="009A7F87">
            <w:pPr>
              <w:pStyle w:val="TableBullet"/>
              <w:keepNext w:val="0"/>
              <w:numPr>
                <w:ilvl w:val="0"/>
                <w:numId w:val="24"/>
              </w:numPr>
              <w:spacing w:line="220" w:lineRule="atLeast"/>
            </w:pPr>
            <w:r w:rsidRPr="00770229">
              <w:t>student assessment, examinations and certification</w:t>
            </w:r>
          </w:p>
          <w:p w:rsidR="009A7F87" w:rsidRPr="00770229" w:rsidRDefault="009A7F87" w:rsidP="009A7F87">
            <w:pPr>
              <w:pStyle w:val="TableBullet"/>
              <w:keepNext w:val="0"/>
              <w:numPr>
                <w:ilvl w:val="0"/>
                <w:numId w:val="24"/>
              </w:numPr>
              <w:spacing w:line="220" w:lineRule="atLeast"/>
            </w:pPr>
            <w:r w:rsidRPr="00770229">
              <w:t xml:space="preserve">school registration and accreditation </w:t>
            </w:r>
          </w:p>
          <w:p w:rsidR="009A7F87" w:rsidRPr="00770229" w:rsidRDefault="009A7F87" w:rsidP="009A7F87">
            <w:pPr>
              <w:pStyle w:val="TableBullet"/>
              <w:keepNext w:val="0"/>
              <w:numPr>
                <w:ilvl w:val="0"/>
                <w:numId w:val="24"/>
              </w:numPr>
              <w:spacing w:line="220" w:lineRule="atLeast"/>
            </w:pPr>
            <w:r w:rsidRPr="00770229">
              <w:t>teacher training and support.</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szCs w:val="26"/>
              </w:rPr>
            </w:pPr>
            <w:r w:rsidRPr="00770229">
              <w:t>The key cost driver of Australian, State and Territory government expenditure in this category is the number of students enrolled at primary and secondary schools.</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8D24E0"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8D24E0"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8D24E0"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8D24E0" w:rsidRDefault="009A7F87" w:rsidP="009A7F87">
            <w:pPr>
              <w:pStyle w:val="TableColumnHeading"/>
              <w:keepNext w:val="0"/>
              <w:ind w:left="180"/>
              <w:jc w:val="center"/>
            </w:pPr>
            <w:r w:rsidRPr="008D24E0">
              <w:t>Data Years</w:t>
            </w:r>
          </w:p>
        </w:tc>
      </w:tr>
      <w:tr w:rsidR="009A7F87" w:rsidRPr="008D24E0"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8D24E0" w:rsidRDefault="009A7F87" w:rsidP="009A7F87">
            <w:pPr>
              <w:pStyle w:val="TableBodyText"/>
              <w:keepNext w:val="0"/>
              <w:spacing w:before="60" w:after="60"/>
              <w:ind w:left="0"/>
              <w:jc w:val="both"/>
              <w:rPr>
                <w:i/>
              </w:rPr>
            </w:pPr>
            <w:r w:rsidRPr="008D24E0">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8D24E0" w:rsidRDefault="009A7F87" w:rsidP="009A7F87">
            <w:pPr>
              <w:pStyle w:val="TableBodyText"/>
              <w:keepNext w:val="0"/>
              <w:spacing w:before="60" w:after="60"/>
              <w:ind w:left="180"/>
              <w:jc w:val="left"/>
              <w:rPr>
                <w:i/>
              </w:rPr>
            </w:pPr>
            <w:r w:rsidRPr="008D24E0">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8D24E0" w:rsidRDefault="009A7F87" w:rsidP="009A7F87">
            <w:pPr>
              <w:pStyle w:val="TableBodyText"/>
              <w:keepNext w:val="0"/>
              <w:spacing w:before="60" w:after="60"/>
              <w:ind w:left="2"/>
              <w:jc w:val="center"/>
              <w:rPr>
                <w:i/>
              </w:rPr>
            </w:pPr>
            <w:r w:rsidRPr="008D24E0">
              <w:rPr>
                <w:i/>
              </w:rPr>
              <w:t>2008</w:t>
            </w:r>
            <w:r w:rsidRPr="008D24E0">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8D24E0" w:rsidRDefault="009A7F87" w:rsidP="009A7F87">
            <w:pPr>
              <w:pStyle w:val="TableBodyText"/>
              <w:keepNext w:val="0"/>
              <w:spacing w:before="60" w:after="60"/>
              <w:ind w:left="2"/>
              <w:jc w:val="center"/>
              <w:rPr>
                <w:i/>
              </w:rPr>
            </w:pPr>
            <w:r w:rsidRPr="008D24E0">
              <w:rPr>
                <w:i/>
              </w:rPr>
              <w:t>2010</w:t>
            </w:r>
            <w:r w:rsidRPr="008D24E0">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8D24E0" w:rsidRDefault="009A7F87" w:rsidP="009A7F87">
            <w:pPr>
              <w:pStyle w:val="TableBodyText"/>
              <w:keepNext w:val="0"/>
              <w:spacing w:before="60" w:after="60"/>
              <w:ind w:left="2"/>
              <w:jc w:val="center"/>
              <w:rPr>
                <w:i/>
              </w:rPr>
            </w:pPr>
            <w:r w:rsidRPr="008D24E0">
              <w:rPr>
                <w:i/>
              </w:rPr>
              <w:t>2012</w:t>
            </w:r>
            <w:r w:rsidRPr="008D24E0">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8D24E0" w:rsidRDefault="009A7F87" w:rsidP="009A7F87">
            <w:pPr>
              <w:pStyle w:val="TableBodyText"/>
              <w:keepNext w:val="0"/>
              <w:spacing w:before="60" w:after="60"/>
              <w:ind w:left="2"/>
              <w:jc w:val="center"/>
              <w:rPr>
                <w:i/>
              </w:rPr>
            </w:pPr>
            <w:r w:rsidRPr="008D24E0">
              <w:rPr>
                <w:i/>
              </w:rPr>
              <w:t>2015</w:t>
            </w:r>
            <w:r w:rsidRPr="008D24E0">
              <w:rPr>
                <w:i/>
              </w:rPr>
              <w:noBreakHyphen/>
              <w:t>16 Estimates</w:t>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Students enrolled at government primary and secondary schools</w:t>
            </w:r>
            <w:r w:rsidRPr="00770229">
              <w:rPr>
                <w:rStyle w:val="NoteLabel"/>
              </w:rPr>
              <w:t>a</w:t>
            </w:r>
          </w:p>
        </w:tc>
        <w:tc>
          <w:tcPr>
            <w:tcW w:w="1814" w:type="pct"/>
            <w:tcBorders>
              <w:top w:val="single" w:sz="6" w:space="0" w:color="808080" w:themeColor="background1" w:themeShade="80"/>
            </w:tcBorders>
            <w:shd w:val="clear" w:color="auto" w:fill="auto"/>
          </w:tcPr>
          <w:p w:rsidR="009A7F87" w:rsidRPr="00235AC7" w:rsidRDefault="009A7F87" w:rsidP="009A7F87">
            <w:pPr>
              <w:pStyle w:val="TableBodyText"/>
              <w:keepNext w:val="0"/>
              <w:spacing w:before="60" w:after="60"/>
              <w:ind w:left="180"/>
              <w:jc w:val="left"/>
              <w:rPr>
                <w:i/>
              </w:rPr>
            </w:pPr>
            <w:r w:rsidRPr="00770229">
              <w:t xml:space="preserve">ABS </w:t>
            </w:r>
            <w:r>
              <w:rPr>
                <w:i/>
              </w:rPr>
              <w:t>Schools, Australia</w:t>
            </w:r>
            <w:r>
              <w:rPr>
                <w:i/>
              </w:rPr>
              <w:br/>
            </w:r>
            <w:r>
              <w:t>(</w:t>
            </w:r>
            <w:r w:rsidRPr="00770229">
              <w:t>Cat. no. 4221.0)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2012-13</w:t>
            </w:r>
          </w:p>
          <w:p w:rsidR="009A7F87" w:rsidRDefault="009A7F87" w:rsidP="009A7F87">
            <w:pPr>
              <w:pStyle w:val="TableBodyText"/>
              <w:spacing w:before="60" w:after="60"/>
              <w:ind w:left="2"/>
              <w:jc w:val="center"/>
            </w:pPr>
            <w:r>
              <w:br/>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gridSpan w:val="2"/>
            <w:tcBorders>
              <w:top w:val="single" w:sz="6" w:space="0" w:color="808080" w:themeColor="background1" w:themeShade="80"/>
            </w:tcBorders>
            <w:vAlign w:val="center"/>
          </w:tcPr>
          <w:p w:rsidR="009A7F87" w:rsidRDefault="009A7F87" w:rsidP="009A7F87">
            <w:pPr>
              <w:pStyle w:val="TableBodyText"/>
              <w:spacing w:after="60"/>
              <w:ind w:left="0"/>
              <w:jc w:val="center"/>
            </w:pPr>
            <w:r>
              <w:t>2015-16</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r>
              <w:br/>
            </w:r>
          </w:p>
        </w:tc>
      </w:tr>
      <w:tr w:rsidR="009A7F87" w:rsidRPr="00770229" w:rsidTr="000E0C9E">
        <w:tblPrEx>
          <w:tblBorders>
            <w:top w:val="none" w:sz="0" w:space="0" w:color="auto"/>
            <w:bottom w:val="none" w:sz="0" w:space="0" w:color="auto"/>
            <w:insideH w:val="none" w:sz="0" w:space="0" w:color="auto"/>
          </w:tblBorders>
        </w:tblPrEx>
        <w:tc>
          <w:tcPr>
            <w:tcW w:w="849" w:type="pct"/>
            <w:shd w:val="clear" w:color="auto" w:fill="auto"/>
            <w:tcMar>
              <w:top w:w="57" w:type="dxa"/>
              <w:left w:w="113" w:type="dxa"/>
            </w:tcMar>
          </w:tcPr>
          <w:p w:rsidR="009A7F87" w:rsidRPr="00235AC7" w:rsidRDefault="009A7F87" w:rsidP="009A7F87">
            <w:pPr>
              <w:pStyle w:val="TableBodyText"/>
              <w:keepNext w:val="0"/>
              <w:spacing w:before="60" w:after="60"/>
              <w:ind w:left="0"/>
              <w:jc w:val="left"/>
              <w:rPr>
                <w:rStyle w:val="NoteLabel"/>
              </w:rPr>
            </w:pPr>
            <w:r>
              <w:t xml:space="preserve">Students enrolled at </w:t>
            </w:r>
            <w:r>
              <w:br/>
              <w:t>non-government primary and secondary schools</w:t>
            </w:r>
            <w:r>
              <w:rPr>
                <w:rStyle w:val="NoteLabel"/>
              </w:rPr>
              <w:t>a</w:t>
            </w:r>
          </w:p>
        </w:tc>
        <w:tc>
          <w:tcPr>
            <w:tcW w:w="1814" w:type="pct"/>
            <w:shd w:val="clear" w:color="auto" w:fill="auto"/>
          </w:tcPr>
          <w:p w:rsidR="009A7F87" w:rsidRPr="00235AC7" w:rsidRDefault="009A7F87" w:rsidP="009A7F87">
            <w:pPr>
              <w:pStyle w:val="TableBodyText"/>
              <w:keepNext w:val="0"/>
              <w:spacing w:before="60" w:after="60"/>
              <w:ind w:left="180"/>
              <w:jc w:val="left"/>
            </w:pPr>
            <w:r>
              <w:t xml:space="preserve">ABS </w:t>
            </w:r>
            <w:r>
              <w:rPr>
                <w:i/>
              </w:rPr>
              <w:t>Schools, Australia</w:t>
            </w:r>
            <w:r>
              <w:rPr>
                <w:i/>
              </w:rPr>
              <w:br/>
            </w:r>
            <w:r>
              <w:t>(Cat. no. 4221.0)</w:t>
            </w:r>
          </w:p>
        </w:tc>
        <w:tc>
          <w:tcPr>
            <w:tcW w:w="584" w:type="pct"/>
            <w:shd w:val="clear" w:color="auto" w:fill="auto"/>
            <w:vAlign w:val="center"/>
          </w:tcPr>
          <w:p w:rsidR="009A7F87" w:rsidRDefault="009A7F87" w:rsidP="009A7F87">
            <w:pPr>
              <w:pStyle w:val="TableBodyText"/>
              <w:spacing w:after="60"/>
              <w:ind w:left="0"/>
              <w:jc w:val="center"/>
            </w:pPr>
            <w:r>
              <w:t>2008</w:t>
            </w:r>
            <w:r>
              <w:noBreakHyphen/>
              <w:t>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tc>
        <w:tc>
          <w:tcPr>
            <w:tcW w:w="585" w:type="pct"/>
            <w:gridSpan w:val="2"/>
            <w:shd w:val="clear" w:color="auto" w:fill="auto"/>
            <w:vAlign w:val="center"/>
          </w:tcPr>
          <w:p w:rsidR="009A7F87" w:rsidRDefault="009A7F87" w:rsidP="009A7F87">
            <w:pPr>
              <w:pStyle w:val="TableBodyText"/>
              <w:spacing w:after="60"/>
              <w:ind w:left="0"/>
              <w:jc w:val="center"/>
            </w:pPr>
            <w:r>
              <w:t>2010</w:t>
            </w:r>
            <w:r>
              <w:noBreakHyphen/>
              <w:t>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c>
          <w:tcPr>
            <w:tcW w:w="585" w:type="pct"/>
            <w:shd w:val="clear" w:color="auto" w:fill="auto"/>
            <w:vAlign w:val="center"/>
          </w:tcPr>
          <w:p w:rsidR="009A7F87" w:rsidRDefault="009A7F87" w:rsidP="009A7F87">
            <w:pPr>
              <w:pStyle w:val="TableBodyText"/>
              <w:spacing w:after="60"/>
              <w:ind w:left="0"/>
              <w:jc w:val="center"/>
            </w:pPr>
            <w:r>
              <w:t>2012</w:t>
            </w:r>
            <w:r>
              <w:noBreakHyphen/>
              <w:t>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c>
          <w:tcPr>
            <w:tcW w:w="583" w:type="pct"/>
            <w:gridSpan w:val="2"/>
            <w:vAlign w:val="center"/>
          </w:tcPr>
          <w:p w:rsidR="009A7F87" w:rsidRDefault="009A7F87" w:rsidP="009A7F87">
            <w:pPr>
              <w:pStyle w:val="TableBodyText"/>
              <w:spacing w:after="60"/>
              <w:ind w:left="0"/>
              <w:jc w:val="center"/>
            </w:pPr>
            <w:r>
              <w:t>2015</w:t>
            </w:r>
            <w:r>
              <w:noBreakHyphen/>
              <w:t>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r>
      <w:tr w:rsidR="009A7F87" w:rsidRPr="00770229" w:rsidTr="000E0C9E">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235AC7" w:rsidRDefault="009A7F87" w:rsidP="009A7F87">
            <w:pPr>
              <w:pStyle w:val="TableBodyText"/>
              <w:keepNext w:val="0"/>
              <w:spacing w:before="60" w:after="60"/>
              <w:ind w:left="0"/>
              <w:jc w:val="left"/>
              <w:rPr>
                <w:rStyle w:val="NoteLabel"/>
              </w:rPr>
            </w:pPr>
            <w:r>
              <w:t>Students enrolled at primary and secondary schools</w:t>
            </w:r>
            <w:r>
              <w:rPr>
                <w:rStyle w:val="NoteLabel"/>
              </w:rPr>
              <w:t>a</w:t>
            </w:r>
          </w:p>
        </w:tc>
        <w:tc>
          <w:tcPr>
            <w:tcW w:w="1814" w:type="pct"/>
            <w:tcBorders>
              <w:bottom w:val="single" w:sz="4" w:space="0" w:color="808080" w:themeColor="background1" w:themeShade="80"/>
            </w:tcBorders>
            <w:shd w:val="clear" w:color="auto" w:fill="auto"/>
          </w:tcPr>
          <w:p w:rsidR="009A7F87" w:rsidRPr="00235AC7" w:rsidRDefault="009A7F87" w:rsidP="009A7F87">
            <w:pPr>
              <w:pStyle w:val="TableBodyText"/>
              <w:keepNext w:val="0"/>
              <w:spacing w:before="60" w:after="60"/>
              <w:ind w:left="180"/>
              <w:jc w:val="left"/>
            </w:pPr>
            <w:r>
              <w:t xml:space="preserve">ABS </w:t>
            </w:r>
            <w:r>
              <w:rPr>
                <w:i/>
              </w:rPr>
              <w:t>Schools, Australia</w:t>
            </w:r>
            <w:r>
              <w:rPr>
                <w:i/>
              </w:rPr>
              <w:br/>
            </w:r>
            <w:r>
              <w:t>(Cat. no. 4221.0)</w:t>
            </w:r>
          </w:p>
        </w:tc>
        <w:tc>
          <w:tcPr>
            <w:tcW w:w="584" w:type="pct"/>
            <w:tcBorders>
              <w:bottom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w:t>
            </w:r>
            <w:r>
              <w:noBreakHyphen/>
              <w:t>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tc>
        <w:tc>
          <w:tcPr>
            <w:tcW w:w="585" w:type="pct"/>
            <w:gridSpan w:val="2"/>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w:t>
            </w:r>
            <w:r>
              <w:noBreakHyphen/>
              <w:t>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c>
          <w:tcPr>
            <w:tcW w:w="585" w:type="pct"/>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2012</w:t>
            </w:r>
            <w:r>
              <w:noBreakHyphen/>
              <w:t>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c>
          <w:tcPr>
            <w:tcW w:w="583" w:type="pct"/>
            <w:gridSpan w:val="2"/>
            <w:tcBorders>
              <w:bottom w:val="single" w:sz="4" w:space="0" w:color="808080" w:themeColor="background1" w:themeShade="80"/>
            </w:tcBorders>
            <w:vAlign w:val="center"/>
          </w:tcPr>
          <w:p w:rsidR="009A7F87" w:rsidRDefault="009A7F87" w:rsidP="009A7F87">
            <w:pPr>
              <w:pStyle w:val="TableBodyText"/>
              <w:spacing w:before="60" w:after="60"/>
              <w:ind w:left="2"/>
              <w:jc w:val="center"/>
            </w:pPr>
            <w:r>
              <w:t>2015</w:t>
            </w:r>
            <w:r>
              <w:noBreakHyphen/>
              <w:t>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r>
      <w:tr w:rsidR="009A7F87" w:rsidTr="000E0C9E">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single" w:sz="4" w:space="0" w:color="808080" w:themeColor="background1" w:themeShade="80"/>
              <w:left w:val="nil"/>
              <w:bottom w:val="nil"/>
              <w:right w:val="nil"/>
            </w:tcBorders>
            <w:shd w:val="clear" w:color="auto" w:fill="auto"/>
          </w:tcPr>
          <w:p w:rsidR="009A7F87" w:rsidRPr="00AF1DC2" w:rsidRDefault="009A7F87" w:rsidP="009A7F87">
            <w:pPr>
              <w:pStyle w:val="Note"/>
              <w:rPr>
                <w:sz w:val="20"/>
              </w:rPr>
            </w:pPr>
            <w:r w:rsidRPr="008E77FE">
              <w:rPr>
                <w:rStyle w:val="NoteLabel"/>
              </w:rPr>
              <w:t>a</w:t>
            </w:r>
            <w:r>
              <w:t xml:space="preserve"> </w:t>
            </w:r>
            <w:r w:rsidRPr="009F14B3">
              <w:t>Data are the average of two years of enrolments</w:t>
            </w:r>
            <w:r w:rsidRPr="00AF1DC2">
              <w:rPr>
                <w:rStyle w:val="NoteLabel"/>
                <w:b w:val="0"/>
              </w:rPr>
              <w:t>.</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538"/>
        <w:gridCol w:w="3182"/>
        <w:gridCol w:w="1020"/>
        <w:gridCol w:w="595"/>
        <w:gridCol w:w="420"/>
        <w:gridCol w:w="1022"/>
        <w:gridCol w:w="1019"/>
      </w:tblGrid>
      <w:tr w:rsidR="009A7F87" w:rsidRPr="00770229" w:rsidTr="002E2409">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421</w:t>
            </w:r>
            <w:r w:rsidRPr="00770229">
              <w:t xml:space="preserve"> University education</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60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399" w:type="pct"/>
            <w:gridSpan w:val="3"/>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sidRPr="00770229">
              <w:t>Australian, State and Territory governments provide expenditure on universities, but they are autonomous institutions with governing bodies responsible for their performance and independence.</w:t>
            </w:r>
          </w:p>
          <w:p w:rsidR="009A7F87" w:rsidRPr="00770229" w:rsidRDefault="009A7F87" w:rsidP="009A7F87">
            <w:pPr>
              <w:pStyle w:val="TableBodyText"/>
              <w:keepNext w:val="0"/>
              <w:spacing w:before="60" w:after="60"/>
              <w:jc w:val="left"/>
            </w:pPr>
            <w:r w:rsidRPr="00770229">
              <w:t>The majority of government expenditure on universities is made by the Australian Government. Australian Government expenditure includes outlays on teaching and learning, research and research training, improving access and participation, and infrastructure.</w:t>
            </w:r>
          </w:p>
          <w:p w:rsidR="009A7F87" w:rsidRPr="00770229" w:rsidRDefault="009A7F87" w:rsidP="009A7F87">
            <w:pPr>
              <w:pStyle w:val="TableBodyText"/>
              <w:keepNext w:val="0"/>
              <w:spacing w:before="60" w:after="60"/>
              <w:jc w:val="left"/>
            </w:pPr>
            <w:r w:rsidRPr="00770229">
              <w:t>State and territory governments expenditure on university education varies in its size and nature. Some jurisdictions invest in joint development projects where the university matches their contribution, whilst other cases include provision of leasehold land and capital funding.</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szCs w:val="26"/>
              </w:rPr>
            </w:pPr>
            <w:r w:rsidRPr="00770229">
              <w:t>The key cost driver of government expenditure on university education is the number of students enrolled at universities.</w:t>
            </w:r>
          </w:p>
        </w:tc>
      </w:tr>
      <w:tr w:rsidR="009A7F87" w:rsidRPr="00770229" w:rsidTr="00A672D0">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B7310D" w:rsidTr="00A672D0">
        <w:tblPrEx>
          <w:tblBorders>
            <w:top w:val="none" w:sz="0" w:space="0" w:color="auto"/>
            <w:bottom w:val="none" w:sz="0" w:space="0" w:color="auto"/>
            <w:insideH w:val="none" w:sz="0" w:space="0" w:color="auto"/>
          </w:tblBorders>
        </w:tblPrEx>
        <w:tc>
          <w:tcPr>
            <w:tcW w:w="874"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B7310D" w:rsidRDefault="009A7F87" w:rsidP="009A7F87">
            <w:pPr>
              <w:pStyle w:val="TableColumnHeading"/>
              <w:keepNext w:val="0"/>
              <w:jc w:val="left"/>
            </w:pPr>
          </w:p>
        </w:tc>
        <w:tc>
          <w:tcPr>
            <w:tcW w:w="1809" w:type="pct"/>
            <w:tcBorders>
              <w:top w:val="single" w:sz="6" w:space="0" w:color="808080" w:themeColor="background1" w:themeShade="80"/>
              <w:bottom w:val="single" w:sz="6" w:space="0" w:color="808080" w:themeColor="background1" w:themeShade="80"/>
            </w:tcBorders>
            <w:shd w:val="clear" w:color="auto" w:fill="auto"/>
          </w:tcPr>
          <w:p w:rsidR="009A7F87" w:rsidRPr="00B7310D" w:rsidRDefault="009A7F87" w:rsidP="009A7F87">
            <w:pPr>
              <w:pStyle w:val="TableColumnHeading"/>
              <w:keepNext w:val="0"/>
              <w:ind w:left="180"/>
              <w:jc w:val="left"/>
            </w:pPr>
          </w:p>
        </w:tc>
        <w:tc>
          <w:tcPr>
            <w:tcW w:w="2317" w:type="pct"/>
            <w:gridSpan w:val="5"/>
            <w:tcBorders>
              <w:top w:val="single" w:sz="6" w:space="0" w:color="808080" w:themeColor="background1" w:themeShade="80"/>
              <w:bottom w:val="single" w:sz="6" w:space="0" w:color="808080" w:themeColor="background1" w:themeShade="80"/>
            </w:tcBorders>
            <w:shd w:val="clear" w:color="auto" w:fill="auto"/>
          </w:tcPr>
          <w:p w:rsidR="009A7F87" w:rsidRPr="00B7310D" w:rsidRDefault="009A7F87" w:rsidP="009A7F87">
            <w:pPr>
              <w:pStyle w:val="TableColumnHeading"/>
              <w:keepNext w:val="0"/>
              <w:ind w:left="180"/>
              <w:jc w:val="center"/>
            </w:pPr>
            <w:r w:rsidRPr="00B7310D">
              <w:t>Data Years</w:t>
            </w:r>
          </w:p>
        </w:tc>
      </w:tr>
      <w:tr w:rsidR="009A7F87" w:rsidRPr="00B7310D" w:rsidTr="00A672D0">
        <w:tblPrEx>
          <w:tblBorders>
            <w:top w:val="none" w:sz="0" w:space="0" w:color="auto"/>
            <w:bottom w:val="none" w:sz="0" w:space="0" w:color="auto"/>
            <w:insideH w:val="none" w:sz="0" w:space="0" w:color="auto"/>
          </w:tblBorders>
        </w:tblPrEx>
        <w:tc>
          <w:tcPr>
            <w:tcW w:w="874"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B7310D" w:rsidRDefault="009A7F87" w:rsidP="009A7F87">
            <w:pPr>
              <w:pStyle w:val="TableBodyText"/>
              <w:keepNext w:val="0"/>
              <w:spacing w:before="60" w:after="60"/>
              <w:ind w:left="0"/>
              <w:jc w:val="both"/>
              <w:rPr>
                <w:i/>
              </w:rPr>
            </w:pPr>
            <w:r w:rsidRPr="00B7310D">
              <w:rPr>
                <w:i/>
              </w:rPr>
              <w:br/>
              <w:t>Measure</w:t>
            </w:r>
          </w:p>
        </w:tc>
        <w:tc>
          <w:tcPr>
            <w:tcW w:w="1809" w:type="pct"/>
            <w:tcBorders>
              <w:top w:val="single" w:sz="6" w:space="0" w:color="808080" w:themeColor="background1" w:themeShade="80"/>
              <w:bottom w:val="single" w:sz="6" w:space="0" w:color="808080" w:themeColor="background1" w:themeShade="80"/>
            </w:tcBorders>
            <w:shd w:val="clear" w:color="auto" w:fill="auto"/>
          </w:tcPr>
          <w:p w:rsidR="009A7F87" w:rsidRPr="00B7310D" w:rsidRDefault="009A7F87" w:rsidP="009A7F87">
            <w:pPr>
              <w:pStyle w:val="TableBodyText"/>
              <w:keepNext w:val="0"/>
              <w:spacing w:before="60" w:after="60"/>
              <w:ind w:left="180"/>
              <w:jc w:val="left"/>
              <w:rPr>
                <w:i/>
              </w:rPr>
            </w:pPr>
            <w:r w:rsidRPr="00B7310D">
              <w:rPr>
                <w:i/>
              </w:rPr>
              <w:br/>
              <w:t>Data source</w:t>
            </w:r>
          </w:p>
        </w:tc>
        <w:tc>
          <w:tcPr>
            <w:tcW w:w="580" w:type="pct"/>
            <w:tcBorders>
              <w:top w:val="single" w:sz="6" w:space="0" w:color="808080" w:themeColor="background1" w:themeShade="80"/>
              <w:bottom w:val="single" w:sz="6" w:space="0" w:color="808080" w:themeColor="background1" w:themeShade="80"/>
            </w:tcBorders>
            <w:shd w:val="clear" w:color="auto" w:fill="auto"/>
          </w:tcPr>
          <w:p w:rsidR="009A7F87" w:rsidRPr="00B7310D" w:rsidRDefault="009A7F87" w:rsidP="009A7F87">
            <w:pPr>
              <w:pStyle w:val="TableBodyText"/>
              <w:keepNext w:val="0"/>
              <w:spacing w:before="60" w:after="60"/>
              <w:ind w:left="2"/>
              <w:jc w:val="center"/>
              <w:rPr>
                <w:i/>
              </w:rPr>
            </w:pPr>
            <w:r w:rsidRPr="00B7310D">
              <w:rPr>
                <w:i/>
              </w:rPr>
              <w:t>2008</w:t>
            </w:r>
            <w:r w:rsidRPr="00B7310D">
              <w:rPr>
                <w:i/>
              </w:rPr>
              <w:noBreakHyphen/>
              <w:t>09 Estimates</w:t>
            </w:r>
          </w:p>
        </w:tc>
        <w:tc>
          <w:tcPr>
            <w:tcW w:w="577" w:type="pct"/>
            <w:gridSpan w:val="2"/>
            <w:tcBorders>
              <w:top w:val="single" w:sz="6" w:space="0" w:color="808080" w:themeColor="background1" w:themeShade="80"/>
              <w:bottom w:val="single" w:sz="6" w:space="0" w:color="808080" w:themeColor="background1" w:themeShade="80"/>
            </w:tcBorders>
            <w:shd w:val="clear" w:color="auto" w:fill="auto"/>
          </w:tcPr>
          <w:p w:rsidR="009A7F87" w:rsidRPr="00B7310D" w:rsidRDefault="009A7F87" w:rsidP="009A7F87">
            <w:pPr>
              <w:pStyle w:val="TableBodyText"/>
              <w:keepNext w:val="0"/>
              <w:spacing w:before="60" w:after="60"/>
              <w:ind w:left="2"/>
              <w:jc w:val="center"/>
              <w:rPr>
                <w:i/>
              </w:rPr>
            </w:pPr>
            <w:r w:rsidRPr="00B7310D">
              <w:rPr>
                <w:i/>
              </w:rPr>
              <w:t>2010</w:t>
            </w:r>
            <w:r w:rsidRPr="00B7310D">
              <w:rPr>
                <w:i/>
              </w:rPr>
              <w:noBreakHyphen/>
              <w:t>11 Estimates</w:t>
            </w:r>
          </w:p>
        </w:tc>
        <w:tc>
          <w:tcPr>
            <w:tcW w:w="581" w:type="pct"/>
            <w:tcBorders>
              <w:top w:val="single" w:sz="6" w:space="0" w:color="808080" w:themeColor="background1" w:themeShade="80"/>
              <w:bottom w:val="single" w:sz="6" w:space="0" w:color="808080" w:themeColor="background1" w:themeShade="80"/>
            </w:tcBorders>
            <w:shd w:val="clear" w:color="auto" w:fill="auto"/>
          </w:tcPr>
          <w:p w:rsidR="009A7F87" w:rsidRPr="00B7310D" w:rsidRDefault="009A7F87" w:rsidP="009A7F87">
            <w:pPr>
              <w:pStyle w:val="TableBodyText"/>
              <w:keepNext w:val="0"/>
              <w:spacing w:before="60" w:after="60"/>
              <w:ind w:left="2"/>
              <w:jc w:val="center"/>
              <w:rPr>
                <w:i/>
              </w:rPr>
            </w:pPr>
            <w:r w:rsidRPr="00B7310D">
              <w:rPr>
                <w:i/>
              </w:rPr>
              <w:t>2012</w:t>
            </w:r>
            <w:r w:rsidRPr="00B7310D">
              <w:rPr>
                <w:i/>
              </w:rPr>
              <w:noBreakHyphen/>
              <w:t>13 Estimates</w:t>
            </w:r>
          </w:p>
        </w:tc>
        <w:tc>
          <w:tcPr>
            <w:tcW w:w="579" w:type="pct"/>
            <w:tcBorders>
              <w:top w:val="single" w:sz="6" w:space="0" w:color="808080" w:themeColor="background1" w:themeShade="80"/>
              <w:bottom w:val="single" w:sz="6" w:space="0" w:color="808080" w:themeColor="background1" w:themeShade="80"/>
            </w:tcBorders>
          </w:tcPr>
          <w:p w:rsidR="009A7F87" w:rsidRPr="00B7310D" w:rsidRDefault="009A7F87" w:rsidP="009A7F87">
            <w:pPr>
              <w:pStyle w:val="TableBodyText"/>
              <w:keepNext w:val="0"/>
              <w:spacing w:before="60" w:after="60"/>
              <w:ind w:left="2"/>
              <w:jc w:val="center"/>
              <w:rPr>
                <w:i/>
              </w:rPr>
            </w:pPr>
            <w:r w:rsidRPr="00B7310D">
              <w:rPr>
                <w:i/>
              </w:rPr>
              <w:t>2015</w:t>
            </w:r>
            <w:r w:rsidRPr="00B7310D">
              <w:rPr>
                <w:i/>
              </w:rPr>
              <w:noBreakHyphen/>
              <w:t>16 Estimates</w:t>
            </w:r>
          </w:p>
        </w:tc>
      </w:tr>
      <w:tr w:rsidR="009A7F87" w:rsidRPr="00770229" w:rsidTr="00A672D0">
        <w:tblPrEx>
          <w:tblBorders>
            <w:top w:val="none" w:sz="0" w:space="0" w:color="auto"/>
            <w:bottom w:val="none" w:sz="0" w:space="0" w:color="auto"/>
            <w:insideH w:val="none" w:sz="0" w:space="0" w:color="auto"/>
          </w:tblBorders>
        </w:tblPrEx>
        <w:tc>
          <w:tcPr>
            <w:tcW w:w="874"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Students enrolled at university</w:t>
            </w:r>
          </w:p>
        </w:tc>
        <w:tc>
          <w:tcPr>
            <w:tcW w:w="1809"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DEEWR Higher Education Statistics Collection</w:t>
            </w:r>
          </w:p>
        </w:tc>
        <w:tc>
          <w:tcPr>
            <w:tcW w:w="580"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Pr="00770229" w:rsidRDefault="009A7F87" w:rsidP="009A7F87">
            <w:pPr>
              <w:pStyle w:val="TableBodyText"/>
              <w:keepNext w:val="0"/>
              <w:spacing w:before="60" w:after="60"/>
              <w:ind w:left="2"/>
              <w:jc w:val="center"/>
            </w:pPr>
            <w:r>
              <w:br/>
            </w:r>
          </w:p>
        </w:tc>
        <w:tc>
          <w:tcPr>
            <w:tcW w:w="577" w:type="pct"/>
            <w:gridSpan w:val="2"/>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p>
          <w:p w:rsidR="009A7F87" w:rsidRPr="00770229" w:rsidRDefault="009A7F87" w:rsidP="009A7F87">
            <w:pPr>
              <w:pStyle w:val="TableBodyText"/>
              <w:spacing w:before="60" w:after="60"/>
              <w:ind w:left="2"/>
              <w:jc w:val="center"/>
            </w:pPr>
            <w:r>
              <w:br/>
            </w:r>
          </w:p>
        </w:tc>
        <w:tc>
          <w:tcPr>
            <w:tcW w:w="581"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2012-13</w:t>
            </w:r>
          </w:p>
          <w:p w:rsidR="009A7F87" w:rsidRPr="00770229" w:rsidRDefault="009A7F87" w:rsidP="009A7F87">
            <w:pPr>
              <w:pStyle w:val="TableBodyText"/>
              <w:spacing w:before="60" w:after="60"/>
              <w:ind w:left="2"/>
              <w:jc w:val="center"/>
            </w:pPr>
            <w:r>
              <w:br/>
            </w:r>
          </w:p>
        </w:tc>
        <w:tc>
          <w:tcPr>
            <w:tcW w:w="579" w:type="pct"/>
            <w:tcBorders>
              <w:top w:val="single" w:sz="6" w:space="0" w:color="808080" w:themeColor="background1" w:themeShade="80"/>
              <w:bottom w:val="single" w:sz="6" w:space="0" w:color="808080" w:themeColor="background1" w:themeShade="80"/>
            </w:tcBorders>
            <w:vAlign w:val="center"/>
          </w:tcPr>
          <w:p w:rsidR="009A7F87" w:rsidRDefault="009A7F87" w:rsidP="009A7F87">
            <w:pPr>
              <w:pStyle w:val="TableBodyText"/>
              <w:spacing w:before="60" w:after="60"/>
              <w:ind w:left="2"/>
              <w:jc w:val="center"/>
            </w:pPr>
            <w:r>
              <w:t>2015-16</w:t>
            </w:r>
          </w:p>
          <w:p w:rsidR="009A7F87" w:rsidRPr="00770229" w:rsidRDefault="009A7F87" w:rsidP="009A7F87">
            <w:pPr>
              <w:pStyle w:val="TableBodyText"/>
              <w:spacing w:before="60" w:after="60"/>
              <w:ind w:left="2"/>
              <w:jc w:val="center"/>
            </w:pPr>
            <w:r>
              <w:br/>
            </w:r>
          </w:p>
        </w:tc>
      </w:tr>
      <w:tr w:rsidR="009A7F87" w:rsidRPr="0071369A" w:rsidTr="00A672D0">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538"/>
        <w:gridCol w:w="3182"/>
        <w:gridCol w:w="1020"/>
        <w:gridCol w:w="595"/>
        <w:gridCol w:w="420"/>
        <w:gridCol w:w="1022"/>
        <w:gridCol w:w="1012"/>
        <w:gridCol w:w="7"/>
      </w:tblGrid>
      <w:tr w:rsidR="009A7F87" w:rsidRPr="00770229" w:rsidTr="002E2409">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422</w:t>
            </w:r>
            <w:r w:rsidRPr="00770229">
              <w:t xml:space="preserve"> Technical and further education</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60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39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40"/>
              <w:jc w:val="left"/>
            </w:pPr>
            <w:r w:rsidRPr="00770229">
              <w:t>Technical and Further Education (TAFE) is provided in institutes that are owned and operated by the government and non</w:t>
            </w:r>
            <w:r w:rsidRPr="00770229">
              <w:noBreakHyphen/>
              <w:t>government sector.</w:t>
            </w:r>
          </w:p>
          <w:p w:rsidR="009A7F87" w:rsidRPr="00770229" w:rsidRDefault="009A7F87" w:rsidP="009A7F87">
            <w:pPr>
              <w:pStyle w:val="TableBodyText"/>
              <w:keepNext w:val="0"/>
              <w:keepLines w:val="0"/>
              <w:spacing w:before="40"/>
              <w:jc w:val="left"/>
            </w:pPr>
            <w:r w:rsidRPr="00770229">
              <w:t>The majority of expenditure on TAFE is made and administered by State and Territory governments. Most Australian Government expenditure on TAFE is administered by states and territories through the National Agreement on Skills and Workforce Development. Australian, State and Territory government expenditure on TAFE in government institutes also occurs through specifically targeted programs, such as the Productivity Places Program, which delivers training places for job</w:t>
            </w:r>
            <w:r w:rsidRPr="00770229">
              <w:noBreakHyphen/>
              <w:t>seekers and workers.</w:t>
            </w:r>
          </w:p>
          <w:p w:rsidR="009A7F87" w:rsidRPr="00770229" w:rsidRDefault="009A7F87" w:rsidP="009A7F87">
            <w:pPr>
              <w:pStyle w:val="TableBullet"/>
              <w:keepNext w:val="0"/>
              <w:numPr>
                <w:ilvl w:val="0"/>
                <w:numId w:val="0"/>
              </w:numPr>
              <w:spacing w:before="40"/>
            </w:pPr>
            <w:r w:rsidRPr="00770229">
              <w:t>Prior to 2009, Australian Government expenditure on TAFE was administered by State and Territory governments through the Commonwealth</w:t>
            </w:r>
            <w:r w:rsidRPr="00770229">
              <w:noBreakHyphen/>
              <w:t>State Agreement for Skilling Australia’s Workforce and other specific purpose payments outside these agreements.</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szCs w:val="26"/>
              </w:rPr>
            </w:pPr>
            <w:r w:rsidRPr="00770229">
              <w:t>The key cost drivers of expenditure on Australian, State and Territory government expenditure on government and non</w:t>
            </w:r>
            <w:r w:rsidRPr="00770229">
              <w:noBreakHyphen/>
              <w:t>government TAFE is the number of students enrolled in each course, the average hours of study per student, and the level of government expenditure for each type of course.</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C40E9E" w:rsidTr="00A672D0">
        <w:tblPrEx>
          <w:tblBorders>
            <w:top w:val="none" w:sz="0" w:space="0" w:color="auto"/>
            <w:bottom w:val="none" w:sz="0" w:space="0" w:color="auto"/>
            <w:insideH w:val="none" w:sz="0" w:space="0" w:color="auto"/>
          </w:tblBorders>
        </w:tblPrEx>
        <w:tc>
          <w:tcPr>
            <w:tcW w:w="874"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C40E9E" w:rsidRDefault="009A7F87" w:rsidP="009A7F87">
            <w:pPr>
              <w:pStyle w:val="TableColumnHeading"/>
              <w:keepNext w:val="0"/>
              <w:jc w:val="left"/>
            </w:pPr>
          </w:p>
        </w:tc>
        <w:tc>
          <w:tcPr>
            <w:tcW w:w="1809" w:type="pct"/>
            <w:tcBorders>
              <w:top w:val="single" w:sz="6" w:space="0" w:color="808080" w:themeColor="background1" w:themeShade="80"/>
              <w:bottom w:val="single" w:sz="6" w:space="0" w:color="808080" w:themeColor="background1" w:themeShade="80"/>
            </w:tcBorders>
            <w:shd w:val="clear" w:color="auto" w:fill="auto"/>
          </w:tcPr>
          <w:p w:rsidR="009A7F87" w:rsidRPr="00C40E9E" w:rsidRDefault="009A7F87" w:rsidP="009A7F87">
            <w:pPr>
              <w:pStyle w:val="TableColumnHeading"/>
              <w:keepNext w:val="0"/>
              <w:ind w:left="180"/>
              <w:jc w:val="left"/>
            </w:pPr>
          </w:p>
        </w:tc>
        <w:tc>
          <w:tcPr>
            <w:tcW w:w="231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C40E9E" w:rsidRDefault="009A7F87" w:rsidP="009A7F87">
            <w:pPr>
              <w:pStyle w:val="TableColumnHeading"/>
              <w:keepNext w:val="0"/>
              <w:ind w:left="180"/>
              <w:jc w:val="center"/>
            </w:pPr>
            <w:r w:rsidRPr="00C40E9E">
              <w:t>Data Years</w:t>
            </w:r>
          </w:p>
        </w:tc>
      </w:tr>
      <w:tr w:rsidR="009A7F87" w:rsidRPr="00C40E9E" w:rsidTr="00A672D0">
        <w:tblPrEx>
          <w:tblBorders>
            <w:top w:val="none" w:sz="0" w:space="0" w:color="auto"/>
            <w:bottom w:val="none" w:sz="0" w:space="0" w:color="auto"/>
            <w:insideH w:val="none" w:sz="0" w:space="0" w:color="auto"/>
          </w:tblBorders>
        </w:tblPrEx>
        <w:tc>
          <w:tcPr>
            <w:tcW w:w="874"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C40E9E" w:rsidRDefault="009A7F87" w:rsidP="009A7F87">
            <w:pPr>
              <w:pStyle w:val="TableBodyText"/>
              <w:keepNext w:val="0"/>
              <w:spacing w:before="60" w:after="60"/>
              <w:ind w:left="0"/>
              <w:jc w:val="both"/>
              <w:rPr>
                <w:i/>
              </w:rPr>
            </w:pPr>
            <w:r w:rsidRPr="00C40E9E">
              <w:rPr>
                <w:i/>
              </w:rPr>
              <w:br/>
              <w:t>Measure</w:t>
            </w:r>
          </w:p>
        </w:tc>
        <w:tc>
          <w:tcPr>
            <w:tcW w:w="1809" w:type="pct"/>
            <w:tcBorders>
              <w:top w:val="single" w:sz="6" w:space="0" w:color="808080" w:themeColor="background1" w:themeShade="80"/>
              <w:bottom w:val="single" w:sz="6" w:space="0" w:color="808080" w:themeColor="background1" w:themeShade="80"/>
            </w:tcBorders>
            <w:shd w:val="clear" w:color="auto" w:fill="auto"/>
          </w:tcPr>
          <w:p w:rsidR="009A7F87" w:rsidRPr="00C40E9E" w:rsidRDefault="009A7F87" w:rsidP="009A7F87">
            <w:pPr>
              <w:pStyle w:val="TableBodyText"/>
              <w:keepNext w:val="0"/>
              <w:spacing w:before="60" w:after="60"/>
              <w:ind w:left="180"/>
              <w:jc w:val="left"/>
              <w:rPr>
                <w:i/>
              </w:rPr>
            </w:pPr>
            <w:r w:rsidRPr="00C40E9E">
              <w:rPr>
                <w:i/>
              </w:rPr>
              <w:br/>
              <w:t>Data source</w:t>
            </w:r>
          </w:p>
        </w:tc>
        <w:tc>
          <w:tcPr>
            <w:tcW w:w="580" w:type="pct"/>
            <w:tcBorders>
              <w:top w:val="single" w:sz="6" w:space="0" w:color="808080" w:themeColor="background1" w:themeShade="80"/>
              <w:bottom w:val="single" w:sz="6" w:space="0" w:color="808080" w:themeColor="background1" w:themeShade="80"/>
            </w:tcBorders>
            <w:shd w:val="clear" w:color="auto" w:fill="auto"/>
          </w:tcPr>
          <w:p w:rsidR="009A7F87" w:rsidRPr="00C40E9E" w:rsidRDefault="009A7F87" w:rsidP="009A7F87">
            <w:pPr>
              <w:pStyle w:val="TableBodyText"/>
              <w:keepNext w:val="0"/>
              <w:spacing w:before="60" w:after="60"/>
              <w:ind w:left="2"/>
              <w:jc w:val="center"/>
              <w:rPr>
                <w:i/>
              </w:rPr>
            </w:pPr>
            <w:r w:rsidRPr="00C40E9E">
              <w:rPr>
                <w:i/>
              </w:rPr>
              <w:t>2008</w:t>
            </w:r>
            <w:r w:rsidRPr="00C40E9E">
              <w:rPr>
                <w:i/>
              </w:rPr>
              <w:noBreakHyphen/>
              <w:t>09 Estimates</w:t>
            </w:r>
          </w:p>
        </w:tc>
        <w:tc>
          <w:tcPr>
            <w:tcW w:w="577" w:type="pct"/>
            <w:gridSpan w:val="2"/>
            <w:tcBorders>
              <w:top w:val="single" w:sz="6" w:space="0" w:color="808080" w:themeColor="background1" w:themeShade="80"/>
              <w:bottom w:val="single" w:sz="6" w:space="0" w:color="808080" w:themeColor="background1" w:themeShade="80"/>
            </w:tcBorders>
            <w:shd w:val="clear" w:color="auto" w:fill="auto"/>
          </w:tcPr>
          <w:p w:rsidR="009A7F87" w:rsidRPr="00C40E9E" w:rsidRDefault="009A7F87" w:rsidP="009A7F87">
            <w:pPr>
              <w:pStyle w:val="TableBodyText"/>
              <w:keepNext w:val="0"/>
              <w:spacing w:before="60" w:after="60"/>
              <w:ind w:left="2"/>
              <w:jc w:val="center"/>
              <w:rPr>
                <w:i/>
              </w:rPr>
            </w:pPr>
            <w:r w:rsidRPr="00C40E9E">
              <w:rPr>
                <w:i/>
              </w:rPr>
              <w:t>2010</w:t>
            </w:r>
            <w:r w:rsidRPr="00C40E9E">
              <w:rPr>
                <w:i/>
              </w:rPr>
              <w:noBreakHyphen/>
              <w:t>11 Estimates</w:t>
            </w:r>
          </w:p>
        </w:tc>
        <w:tc>
          <w:tcPr>
            <w:tcW w:w="581" w:type="pct"/>
            <w:tcBorders>
              <w:top w:val="single" w:sz="6" w:space="0" w:color="808080" w:themeColor="background1" w:themeShade="80"/>
              <w:bottom w:val="single" w:sz="6" w:space="0" w:color="808080" w:themeColor="background1" w:themeShade="80"/>
            </w:tcBorders>
            <w:shd w:val="clear" w:color="auto" w:fill="auto"/>
          </w:tcPr>
          <w:p w:rsidR="009A7F87" w:rsidRPr="00C40E9E" w:rsidRDefault="009A7F87" w:rsidP="009A7F87">
            <w:pPr>
              <w:pStyle w:val="TableBodyText"/>
              <w:keepNext w:val="0"/>
              <w:spacing w:before="60" w:after="60"/>
              <w:ind w:left="2"/>
              <w:jc w:val="center"/>
              <w:rPr>
                <w:i/>
              </w:rPr>
            </w:pPr>
            <w:r w:rsidRPr="00C40E9E">
              <w:rPr>
                <w:i/>
              </w:rPr>
              <w:t>2012</w:t>
            </w:r>
            <w:r w:rsidRPr="00C40E9E">
              <w:rPr>
                <w:i/>
              </w:rPr>
              <w:noBreakHyphen/>
              <w:t>13 Estimates</w:t>
            </w:r>
          </w:p>
        </w:tc>
        <w:tc>
          <w:tcPr>
            <w:tcW w:w="579" w:type="pct"/>
            <w:gridSpan w:val="2"/>
            <w:tcBorders>
              <w:top w:val="single" w:sz="6" w:space="0" w:color="808080" w:themeColor="background1" w:themeShade="80"/>
              <w:bottom w:val="single" w:sz="6" w:space="0" w:color="808080" w:themeColor="background1" w:themeShade="80"/>
            </w:tcBorders>
          </w:tcPr>
          <w:p w:rsidR="009A7F87" w:rsidRPr="00C40E9E" w:rsidRDefault="009A7F87" w:rsidP="009A7F87">
            <w:pPr>
              <w:pStyle w:val="TableBodyText"/>
              <w:keepNext w:val="0"/>
              <w:spacing w:before="60" w:after="60"/>
              <w:ind w:left="2"/>
              <w:jc w:val="center"/>
              <w:rPr>
                <w:i/>
              </w:rPr>
            </w:pPr>
            <w:r w:rsidRPr="00C40E9E">
              <w:rPr>
                <w:i/>
              </w:rPr>
              <w:t>2015</w:t>
            </w:r>
            <w:r w:rsidRPr="00C40E9E">
              <w:rPr>
                <w:i/>
              </w:rPr>
              <w:noBreakHyphen/>
              <w:t>16 Estimates</w:t>
            </w:r>
          </w:p>
        </w:tc>
      </w:tr>
      <w:tr w:rsidR="009A7F87" w:rsidRPr="00770229" w:rsidTr="000E0C9E">
        <w:tblPrEx>
          <w:tblBorders>
            <w:top w:val="none" w:sz="0" w:space="0" w:color="auto"/>
            <w:bottom w:val="none" w:sz="0" w:space="0" w:color="auto"/>
            <w:insideH w:val="none" w:sz="0" w:space="0" w:color="auto"/>
          </w:tblBorders>
        </w:tblPrEx>
        <w:tc>
          <w:tcPr>
            <w:tcW w:w="874"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Hours of TAFE undertaken by students at government institutes</w:t>
            </w:r>
            <w:r w:rsidRPr="00770229">
              <w:rPr>
                <w:rStyle w:val="NoteLabel"/>
              </w:rPr>
              <w:t>a</w:t>
            </w:r>
          </w:p>
        </w:tc>
        <w:tc>
          <w:tcPr>
            <w:tcW w:w="1809"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NCVER Student and courses collection</w:t>
            </w:r>
          </w:p>
        </w:tc>
        <w:tc>
          <w:tcPr>
            <w:tcW w:w="580"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77"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1"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2012-13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79"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2015-16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0E0C9E">
        <w:tblPrEx>
          <w:tblBorders>
            <w:top w:val="none" w:sz="0" w:space="0" w:color="auto"/>
            <w:bottom w:val="none" w:sz="0" w:space="0" w:color="auto"/>
            <w:insideH w:val="none" w:sz="0" w:space="0" w:color="auto"/>
          </w:tblBorders>
        </w:tblPrEx>
        <w:tc>
          <w:tcPr>
            <w:tcW w:w="874" w:type="pct"/>
            <w:tcBorders>
              <w:bottom w:val="single" w:sz="6" w:space="0" w:color="808080" w:themeColor="background1" w:themeShade="80"/>
            </w:tcBorders>
            <w:shd w:val="clear" w:color="auto" w:fill="auto"/>
            <w:tcMar>
              <w:top w:w="57" w:type="dxa"/>
              <w:left w:w="113" w:type="dxa"/>
            </w:tcMar>
          </w:tcPr>
          <w:p w:rsidR="009A7F87" w:rsidRPr="00683B75" w:rsidRDefault="009A7F87" w:rsidP="009A7F87">
            <w:pPr>
              <w:pStyle w:val="TableBodyText"/>
              <w:keepNext w:val="0"/>
              <w:spacing w:before="60" w:after="60"/>
              <w:ind w:left="0"/>
              <w:jc w:val="left"/>
              <w:rPr>
                <w:rStyle w:val="NoteLabel"/>
              </w:rPr>
            </w:pPr>
            <w:r>
              <w:t xml:space="preserve">Hours of TAFE undertaken by students at </w:t>
            </w:r>
            <w:r>
              <w:br/>
              <w:t>non-government institutes</w:t>
            </w:r>
            <w:r>
              <w:rPr>
                <w:rStyle w:val="NoteLabel"/>
              </w:rPr>
              <w:t>a</w:t>
            </w:r>
          </w:p>
        </w:tc>
        <w:tc>
          <w:tcPr>
            <w:tcW w:w="1809" w:type="pct"/>
            <w:tcBorders>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t>NCVER Student and courses collection</w:t>
            </w:r>
          </w:p>
        </w:tc>
        <w:tc>
          <w:tcPr>
            <w:tcW w:w="580"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w:t>
            </w:r>
            <w:r>
              <w:noBreakHyphen/>
              <w:t>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tc>
        <w:tc>
          <w:tcPr>
            <w:tcW w:w="577" w:type="pct"/>
            <w:gridSpan w:val="2"/>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w:t>
            </w:r>
            <w:r>
              <w:noBreakHyphen/>
              <w:t>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c>
          <w:tcPr>
            <w:tcW w:w="581" w:type="pct"/>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2012</w:t>
            </w:r>
            <w:r>
              <w:noBreakHyphen/>
              <w:t>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c>
          <w:tcPr>
            <w:tcW w:w="579" w:type="pct"/>
            <w:gridSpan w:val="2"/>
            <w:tcBorders>
              <w:bottom w:val="single" w:sz="6" w:space="0" w:color="808080" w:themeColor="background1" w:themeShade="80"/>
            </w:tcBorders>
            <w:vAlign w:val="center"/>
          </w:tcPr>
          <w:p w:rsidR="009A7F87" w:rsidRDefault="009A7F87" w:rsidP="009A7F87">
            <w:pPr>
              <w:pStyle w:val="TableBodyText"/>
              <w:spacing w:before="60" w:after="60"/>
              <w:ind w:left="2"/>
              <w:jc w:val="center"/>
            </w:pPr>
            <w:r>
              <w:t>2015</w:t>
            </w:r>
            <w:r>
              <w:noBreakHyphen/>
              <w:t>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single" w:sz="4" w:space="0" w:color="265A9A" w:themeColor="background2"/>
              <w:left w:val="nil"/>
              <w:bottom w:val="nil"/>
              <w:right w:val="nil"/>
            </w:tcBorders>
            <w:shd w:val="clear" w:color="auto" w:fill="auto"/>
          </w:tcPr>
          <w:p w:rsidR="009A7F87" w:rsidRPr="00AF1DC2" w:rsidRDefault="009A7F87" w:rsidP="009A7F87">
            <w:pPr>
              <w:pStyle w:val="Note"/>
              <w:rPr>
                <w:sz w:val="20"/>
              </w:rPr>
            </w:pPr>
            <w:r w:rsidRPr="008E77FE">
              <w:rPr>
                <w:rStyle w:val="NoteLabel"/>
              </w:rPr>
              <w:t>a</w:t>
            </w:r>
            <w:r>
              <w:t xml:space="preserve"> </w:t>
            </w:r>
            <w:r w:rsidRPr="009F14B3">
              <w:t>Data are the average of two years of enrolments</w:t>
            </w:r>
            <w:r w:rsidRPr="00AF1DC2">
              <w:rPr>
                <w:rStyle w:val="NoteLabel"/>
                <w:b w:val="0"/>
              </w:rPr>
              <w:t>.</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538"/>
        <w:gridCol w:w="3182"/>
        <w:gridCol w:w="1020"/>
        <w:gridCol w:w="595"/>
        <w:gridCol w:w="420"/>
        <w:gridCol w:w="1022"/>
        <w:gridCol w:w="1012"/>
        <w:gridCol w:w="7"/>
      </w:tblGrid>
      <w:tr w:rsidR="009A7F87" w:rsidRPr="00770229" w:rsidTr="002E2409">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429</w:t>
            </w:r>
            <w:r w:rsidRPr="00770229">
              <w:t xml:space="preserve"> Tertiary education </w:t>
            </w:r>
            <w:proofErr w:type="spellStart"/>
            <w:r w:rsidRPr="00770229">
              <w:t>nec</w:t>
            </w:r>
            <w:proofErr w:type="spellEnd"/>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60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39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Australian, State and Territory governments may provide services that support tertiary education in Australia that cannot be allocated to university education or Technical and Further Education.</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szCs w:val="26"/>
              </w:rPr>
            </w:pPr>
            <w:r w:rsidRPr="00770229">
              <w:t>The key cost drivers of expenditure on Australian, State and Territory government expenditure on tertiary education not elsewhere classified are the number of students enrolled in university education and the number of students enrolled at Technical and Further Education.</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C74939" w:rsidTr="00A672D0">
        <w:tblPrEx>
          <w:tblBorders>
            <w:top w:val="none" w:sz="0" w:space="0" w:color="auto"/>
            <w:bottom w:val="none" w:sz="0" w:space="0" w:color="auto"/>
            <w:insideH w:val="none" w:sz="0" w:space="0" w:color="auto"/>
          </w:tblBorders>
        </w:tblPrEx>
        <w:tc>
          <w:tcPr>
            <w:tcW w:w="874"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C74939" w:rsidRDefault="009A7F87" w:rsidP="009A7F87">
            <w:pPr>
              <w:pStyle w:val="TableColumnHeading"/>
              <w:keepNext w:val="0"/>
              <w:jc w:val="left"/>
            </w:pPr>
          </w:p>
        </w:tc>
        <w:tc>
          <w:tcPr>
            <w:tcW w:w="1809" w:type="pct"/>
            <w:tcBorders>
              <w:top w:val="single" w:sz="6" w:space="0" w:color="808080" w:themeColor="background1" w:themeShade="80"/>
              <w:bottom w:val="single" w:sz="6" w:space="0" w:color="808080" w:themeColor="background1" w:themeShade="80"/>
            </w:tcBorders>
            <w:shd w:val="clear" w:color="auto" w:fill="auto"/>
          </w:tcPr>
          <w:p w:rsidR="009A7F87" w:rsidRPr="00C74939" w:rsidRDefault="009A7F87" w:rsidP="009A7F87">
            <w:pPr>
              <w:pStyle w:val="TableColumnHeading"/>
              <w:keepNext w:val="0"/>
              <w:ind w:left="180"/>
              <w:jc w:val="left"/>
            </w:pPr>
          </w:p>
        </w:tc>
        <w:tc>
          <w:tcPr>
            <w:tcW w:w="231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C74939" w:rsidRDefault="009A7F87" w:rsidP="009A7F87">
            <w:pPr>
              <w:pStyle w:val="TableColumnHeading"/>
              <w:keepNext w:val="0"/>
              <w:ind w:left="180"/>
              <w:jc w:val="center"/>
            </w:pPr>
            <w:r w:rsidRPr="00C74939">
              <w:t>Data Years</w:t>
            </w:r>
          </w:p>
        </w:tc>
      </w:tr>
      <w:tr w:rsidR="009A7F87" w:rsidRPr="00C74939" w:rsidTr="000E0C9E">
        <w:tblPrEx>
          <w:tblBorders>
            <w:top w:val="none" w:sz="0" w:space="0" w:color="auto"/>
            <w:bottom w:val="none" w:sz="0" w:space="0" w:color="auto"/>
            <w:insideH w:val="none" w:sz="0" w:space="0" w:color="auto"/>
          </w:tblBorders>
        </w:tblPrEx>
        <w:tc>
          <w:tcPr>
            <w:tcW w:w="874"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C74939" w:rsidRDefault="009A7F87" w:rsidP="009A7F87">
            <w:pPr>
              <w:pStyle w:val="TableBodyText"/>
              <w:keepNext w:val="0"/>
              <w:spacing w:before="60" w:after="60"/>
              <w:ind w:left="0"/>
              <w:jc w:val="both"/>
              <w:rPr>
                <w:i/>
              </w:rPr>
            </w:pPr>
            <w:r w:rsidRPr="00C74939">
              <w:rPr>
                <w:i/>
              </w:rPr>
              <w:br/>
              <w:t>Measure</w:t>
            </w:r>
          </w:p>
        </w:tc>
        <w:tc>
          <w:tcPr>
            <w:tcW w:w="1809" w:type="pct"/>
            <w:tcBorders>
              <w:top w:val="single" w:sz="6" w:space="0" w:color="808080" w:themeColor="background1" w:themeShade="80"/>
              <w:bottom w:val="single" w:sz="6" w:space="0" w:color="808080" w:themeColor="background1" w:themeShade="80"/>
            </w:tcBorders>
            <w:shd w:val="clear" w:color="auto" w:fill="auto"/>
          </w:tcPr>
          <w:p w:rsidR="009A7F87" w:rsidRPr="00C74939" w:rsidRDefault="009A7F87" w:rsidP="009A7F87">
            <w:pPr>
              <w:pStyle w:val="TableBodyText"/>
              <w:keepNext w:val="0"/>
              <w:spacing w:before="60" w:after="60"/>
              <w:ind w:left="180"/>
              <w:jc w:val="left"/>
              <w:rPr>
                <w:i/>
              </w:rPr>
            </w:pPr>
            <w:r w:rsidRPr="00C74939">
              <w:rPr>
                <w:i/>
              </w:rPr>
              <w:br/>
              <w:t>Data source</w:t>
            </w:r>
          </w:p>
        </w:tc>
        <w:tc>
          <w:tcPr>
            <w:tcW w:w="580" w:type="pct"/>
            <w:tcBorders>
              <w:top w:val="single" w:sz="6" w:space="0" w:color="808080" w:themeColor="background1" w:themeShade="80"/>
              <w:bottom w:val="single" w:sz="6" w:space="0" w:color="808080" w:themeColor="background1" w:themeShade="80"/>
            </w:tcBorders>
            <w:shd w:val="clear" w:color="auto" w:fill="auto"/>
          </w:tcPr>
          <w:p w:rsidR="009A7F87" w:rsidRPr="00C74939" w:rsidRDefault="009A7F87" w:rsidP="009A7F87">
            <w:pPr>
              <w:pStyle w:val="TableBodyText"/>
              <w:keepNext w:val="0"/>
              <w:spacing w:before="60" w:after="60"/>
              <w:ind w:left="2"/>
              <w:jc w:val="center"/>
              <w:rPr>
                <w:i/>
              </w:rPr>
            </w:pPr>
            <w:r w:rsidRPr="00C74939">
              <w:rPr>
                <w:i/>
              </w:rPr>
              <w:t>2008</w:t>
            </w:r>
            <w:r w:rsidRPr="00C74939">
              <w:rPr>
                <w:i/>
              </w:rPr>
              <w:noBreakHyphen/>
              <w:t>09 Estimates</w:t>
            </w:r>
          </w:p>
        </w:tc>
        <w:tc>
          <w:tcPr>
            <w:tcW w:w="577" w:type="pct"/>
            <w:gridSpan w:val="2"/>
            <w:tcBorders>
              <w:top w:val="single" w:sz="6" w:space="0" w:color="808080" w:themeColor="background1" w:themeShade="80"/>
              <w:bottom w:val="single" w:sz="6" w:space="0" w:color="808080" w:themeColor="background1" w:themeShade="80"/>
            </w:tcBorders>
            <w:shd w:val="clear" w:color="auto" w:fill="auto"/>
          </w:tcPr>
          <w:p w:rsidR="009A7F87" w:rsidRPr="00C74939" w:rsidRDefault="009A7F87" w:rsidP="009A7F87">
            <w:pPr>
              <w:pStyle w:val="TableBodyText"/>
              <w:keepNext w:val="0"/>
              <w:spacing w:before="60" w:after="60"/>
              <w:ind w:left="2"/>
              <w:jc w:val="center"/>
              <w:rPr>
                <w:i/>
              </w:rPr>
            </w:pPr>
            <w:r w:rsidRPr="00C74939">
              <w:rPr>
                <w:i/>
              </w:rPr>
              <w:t>2010</w:t>
            </w:r>
            <w:r w:rsidRPr="00C74939">
              <w:rPr>
                <w:i/>
              </w:rPr>
              <w:noBreakHyphen/>
              <w:t>11 Estimates</w:t>
            </w:r>
          </w:p>
        </w:tc>
        <w:tc>
          <w:tcPr>
            <w:tcW w:w="581" w:type="pct"/>
            <w:tcBorders>
              <w:top w:val="single" w:sz="6" w:space="0" w:color="808080" w:themeColor="background1" w:themeShade="80"/>
              <w:bottom w:val="single" w:sz="6" w:space="0" w:color="808080" w:themeColor="background1" w:themeShade="80"/>
            </w:tcBorders>
            <w:shd w:val="clear" w:color="auto" w:fill="auto"/>
          </w:tcPr>
          <w:p w:rsidR="009A7F87" w:rsidRPr="00C74939" w:rsidRDefault="009A7F87" w:rsidP="009A7F87">
            <w:pPr>
              <w:pStyle w:val="TableBodyText"/>
              <w:keepNext w:val="0"/>
              <w:spacing w:before="60" w:after="60"/>
              <w:ind w:left="2"/>
              <w:jc w:val="center"/>
              <w:rPr>
                <w:i/>
              </w:rPr>
            </w:pPr>
            <w:r w:rsidRPr="00C74939">
              <w:rPr>
                <w:i/>
              </w:rPr>
              <w:t>2012</w:t>
            </w:r>
            <w:r w:rsidRPr="00C74939">
              <w:rPr>
                <w:i/>
              </w:rPr>
              <w:noBreakHyphen/>
              <w:t>13 Estimates</w:t>
            </w:r>
          </w:p>
        </w:tc>
        <w:tc>
          <w:tcPr>
            <w:tcW w:w="579" w:type="pct"/>
            <w:gridSpan w:val="2"/>
            <w:tcBorders>
              <w:top w:val="single" w:sz="6" w:space="0" w:color="808080" w:themeColor="background1" w:themeShade="80"/>
              <w:bottom w:val="single" w:sz="6" w:space="0" w:color="808080" w:themeColor="background1" w:themeShade="80"/>
            </w:tcBorders>
          </w:tcPr>
          <w:p w:rsidR="009A7F87" w:rsidRPr="00C74939" w:rsidRDefault="009A7F87" w:rsidP="009A7F87">
            <w:pPr>
              <w:pStyle w:val="TableBodyText"/>
              <w:keepNext w:val="0"/>
              <w:spacing w:before="60" w:after="60"/>
              <w:ind w:left="2"/>
              <w:jc w:val="center"/>
              <w:rPr>
                <w:i/>
              </w:rPr>
            </w:pPr>
            <w:r w:rsidRPr="00C74939">
              <w:rPr>
                <w:i/>
              </w:rPr>
              <w:t>2015</w:t>
            </w:r>
            <w:r w:rsidRPr="00C74939">
              <w:rPr>
                <w:i/>
              </w:rPr>
              <w:noBreakHyphen/>
              <w:t>16 Estimates</w:t>
            </w:r>
          </w:p>
        </w:tc>
      </w:tr>
      <w:tr w:rsidR="009A7F87" w:rsidRPr="00770229" w:rsidTr="000E0C9E">
        <w:tblPrEx>
          <w:tblBorders>
            <w:top w:val="none" w:sz="0" w:space="0" w:color="auto"/>
            <w:bottom w:val="none" w:sz="0" w:space="0" w:color="auto"/>
            <w:insideH w:val="none" w:sz="0" w:space="0" w:color="auto"/>
          </w:tblBorders>
        </w:tblPrEx>
        <w:trPr>
          <w:trHeight w:val="813"/>
        </w:trPr>
        <w:tc>
          <w:tcPr>
            <w:tcW w:w="874" w:type="pct"/>
            <w:vMerge w:val="restar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 xml:space="preserve">Students enrolled at university </w:t>
            </w:r>
            <w:r w:rsidRPr="00770229">
              <w:rPr>
                <w:b/>
              </w:rPr>
              <w:t>plus</w:t>
            </w:r>
            <w:r w:rsidRPr="00770229">
              <w:t xml:space="preserve"> students enrolled at Technical and Further Education.</w:t>
            </w:r>
          </w:p>
        </w:tc>
        <w:tc>
          <w:tcPr>
            <w:tcW w:w="1809" w:type="pct"/>
            <w:tcBorders>
              <w:top w:val="single" w:sz="6" w:space="0" w:color="808080" w:themeColor="background1" w:themeShade="80"/>
            </w:tcBorders>
            <w:shd w:val="clear" w:color="auto" w:fill="auto"/>
          </w:tcPr>
          <w:p w:rsidR="009A7F87" w:rsidRPr="00770229" w:rsidRDefault="009A7F87" w:rsidP="009A7F87">
            <w:pPr>
              <w:pStyle w:val="TableColumnHeading"/>
              <w:keepNext w:val="0"/>
              <w:ind w:left="180" w:right="181"/>
              <w:jc w:val="left"/>
            </w:pPr>
            <w:r w:rsidRPr="00770229">
              <w:rPr>
                <w:i w:val="0"/>
              </w:rPr>
              <w:t>DEEWR</w:t>
            </w:r>
            <w:r w:rsidRPr="00770229">
              <w:t xml:space="preserve"> Higher Education Statistics Collection </w:t>
            </w:r>
          </w:p>
          <w:p w:rsidR="009A7F87" w:rsidRPr="00770229" w:rsidRDefault="009A7F87" w:rsidP="009A7F87">
            <w:pPr>
              <w:pStyle w:val="TableBodyText"/>
              <w:keepNext w:val="0"/>
              <w:spacing w:before="60" w:after="60"/>
              <w:ind w:left="180"/>
              <w:jc w:val="left"/>
            </w:pPr>
            <w:r>
              <w:br/>
            </w:r>
          </w:p>
        </w:tc>
        <w:tc>
          <w:tcPr>
            <w:tcW w:w="580"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77"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1"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2012-13</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79"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2015-16</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0E0C9E">
        <w:tblPrEx>
          <w:tblBorders>
            <w:top w:val="none" w:sz="0" w:space="0" w:color="auto"/>
            <w:bottom w:val="none" w:sz="0" w:space="0" w:color="auto"/>
            <w:insideH w:val="none" w:sz="0" w:space="0" w:color="auto"/>
          </w:tblBorders>
        </w:tblPrEx>
        <w:trPr>
          <w:trHeight w:val="812"/>
        </w:trPr>
        <w:tc>
          <w:tcPr>
            <w:tcW w:w="874" w:type="pct"/>
            <w:vMerge/>
            <w:tcBorders>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p>
        </w:tc>
        <w:tc>
          <w:tcPr>
            <w:tcW w:w="1809" w:type="pct"/>
            <w:tcBorders>
              <w:bottom w:val="single" w:sz="6" w:space="0" w:color="808080" w:themeColor="background1" w:themeShade="80"/>
            </w:tcBorders>
            <w:shd w:val="clear" w:color="auto" w:fill="auto"/>
          </w:tcPr>
          <w:p w:rsidR="009A7F87" w:rsidRPr="00770229" w:rsidRDefault="009A7F87" w:rsidP="009A7F87">
            <w:pPr>
              <w:pStyle w:val="TableColumnHeading"/>
              <w:keepNext w:val="0"/>
              <w:ind w:left="180" w:right="181"/>
              <w:jc w:val="left"/>
              <w:rPr>
                <w:i w:val="0"/>
              </w:rPr>
            </w:pPr>
            <w:r w:rsidRPr="00770229">
              <w:t>NCVER Student and courses collection</w:t>
            </w:r>
            <w:r w:rsidRPr="00944F69">
              <w:rPr>
                <w:rStyle w:val="NoteLabel"/>
                <w:i w:val="0"/>
              </w:rPr>
              <w:t>a</w:t>
            </w:r>
          </w:p>
        </w:tc>
        <w:tc>
          <w:tcPr>
            <w:tcW w:w="580"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t>2008-09</w:t>
            </w:r>
          </w:p>
          <w:p w:rsidR="009A7F87" w:rsidRDefault="009A7F87" w:rsidP="009A7F87">
            <w:pPr>
              <w:pStyle w:val="TableBodyText"/>
              <w:keepNext w:val="0"/>
              <w:spacing w:before="60" w:after="60"/>
              <w:ind w:left="2"/>
              <w:jc w:val="center"/>
            </w:pPr>
          </w:p>
        </w:tc>
        <w:tc>
          <w:tcPr>
            <w:tcW w:w="577" w:type="pct"/>
            <w:gridSpan w:val="2"/>
            <w:tcBorders>
              <w:bottom w:val="single" w:sz="6"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t>2010-11</w:t>
            </w:r>
          </w:p>
          <w:p w:rsidR="009A7F87" w:rsidRDefault="009A7F87" w:rsidP="009A7F87">
            <w:pPr>
              <w:pStyle w:val="TableBodyText"/>
              <w:spacing w:before="60" w:after="60"/>
              <w:ind w:left="2"/>
              <w:jc w:val="center"/>
            </w:pPr>
          </w:p>
        </w:tc>
        <w:tc>
          <w:tcPr>
            <w:tcW w:w="581"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t>2012-13</w:t>
            </w:r>
          </w:p>
          <w:p w:rsidR="009A7F87" w:rsidRDefault="009A7F87" w:rsidP="009A7F87">
            <w:pPr>
              <w:pStyle w:val="TableBodyText"/>
              <w:spacing w:before="60" w:after="60"/>
              <w:ind w:left="2"/>
              <w:jc w:val="center"/>
            </w:pPr>
          </w:p>
        </w:tc>
        <w:tc>
          <w:tcPr>
            <w:tcW w:w="579" w:type="pct"/>
            <w:gridSpan w:val="2"/>
            <w:tcBorders>
              <w:bottom w:val="single" w:sz="6" w:space="0" w:color="808080" w:themeColor="background1" w:themeShade="80"/>
            </w:tcBorders>
            <w:vAlign w:val="center"/>
          </w:tcPr>
          <w:p w:rsidR="009A7F87" w:rsidRDefault="009A7F87" w:rsidP="009A7F87">
            <w:pPr>
              <w:pStyle w:val="TableBodyText"/>
              <w:keepNext w:val="0"/>
              <w:spacing w:after="60"/>
              <w:ind w:left="0"/>
              <w:jc w:val="center"/>
            </w:pPr>
            <w:r>
              <w:t>2015-16</w:t>
            </w:r>
          </w:p>
          <w:p w:rsidR="009A7F87" w:rsidRDefault="009A7F87" w:rsidP="009A7F87">
            <w:pPr>
              <w:pStyle w:val="TableBodyText"/>
              <w:spacing w:before="60" w:after="60"/>
              <w:ind w:left="2"/>
              <w:jc w:val="center"/>
            </w:pP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single" w:sz="4" w:space="0" w:color="265A9A" w:themeColor="background2"/>
              <w:left w:val="nil"/>
              <w:bottom w:val="nil"/>
              <w:right w:val="nil"/>
            </w:tcBorders>
            <w:shd w:val="clear" w:color="auto" w:fill="auto"/>
          </w:tcPr>
          <w:p w:rsidR="009A7F87" w:rsidRPr="00AF1DC2" w:rsidRDefault="009A7F87" w:rsidP="009A7F87">
            <w:pPr>
              <w:pStyle w:val="Note"/>
              <w:rPr>
                <w:sz w:val="20"/>
              </w:rPr>
            </w:pPr>
            <w:r w:rsidRPr="008E77FE">
              <w:rPr>
                <w:rStyle w:val="NoteLabel"/>
              </w:rPr>
              <w:t>a</w:t>
            </w:r>
            <w:r>
              <w:t xml:space="preserve"> </w:t>
            </w:r>
            <w:r w:rsidRPr="009F14B3">
              <w:t>Data are the average of two years of enrolments.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538"/>
        <w:gridCol w:w="3182"/>
        <w:gridCol w:w="1020"/>
        <w:gridCol w:w="595"/>
        <w:gridCol w:w="420"/>
        <w:gridCol w:w="1022"/>
        <w:gridCol w:w="1019"/>
      </w:tblGrid>
      <w:tr w:rsidR="009A7F87" w:rsidRPr="00770229" w:rsidTr="002E2409">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431</w:t>
            </w:r>
            <w:r w:rsidRPr="00770229">
              <w:t xml:space="preserve"> Preschool education</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601" w:type="pct"/>
            <w:gridSpan w:val="4"/>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399" w:type="pct"/>
            <w:gridSpan w:val="3"/>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40"/>
              <w:jc w:val="left"/>
            </w:pPr>
            <w:r w:rsidRPr="00770229">
              <w:t>Preschool education is designed to bridge the gap between a home and school atmosphere and is generally attended the year before primary school. In Australia, preschools are owned and operated by either the government or non</w:t>
            </w:r>
            <w:r w:rsidRPr="00770229">
              <w:noBreakHyphen/>
              <w:t>government sector. Australian, State and Territory governments provide, regulate and fund government and non</w:t>
            </w:r>
            <w:r w:rsidRPr="00770229">
              <w:noBreakHyphen/>
              <w:t xml:space="preserve">government preschools (through a range of models). </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40"/>
              <w:jc w:val="left"/>
            </w:pPr>
            <w:r w:rsidRPr="00770229">
              <w:t xml:space="preserve">The key cost drivers of expenditure on State and Territory government expenditure on education in government preschools are the number of students enrolled and the location of preschools. </w:t>
            </w:r>
          </w:p>
          <w:p w:rsidR="009A7F87" w:rsidRPr="00770229" w:rsidRDefault="009A7F87" w:rsidP="009A7F87">
            <w:pPr>
              <w:pStyle w:val="TableBodyText"/>
              <w:keepNext w:val="0"/>
              <w:keepLines w:val="0"/>
              <w:spacing w:before="80" w:after="80"/>
              <w:jc w:val="left"/>
              <w:rPr>
                <w:szCs w:val="26"/>
              </w:rPr>
            </w:pPr>
            <w:r w:rsidRPr="00770229">
              <w:t>The key cost driver of Australian Government expenditure on education in both government and non</w:t>
            </w:r>
            <w:r w:rsidRPr="00770229">
              <w:noBreakHyphen/>
              <w:t>government preschools is the number of students.</w:t>
            </w:r>
          </w:p>
        </w:tc>
      </w:tr>
      <w:tr w:rsidR="009A7F87" w:rsidRPr="00770229" w:rsidTr="00A672D0">
        <w:tblPrEx>
          <w:tblBorders>
            <w:top w:val="none" w:sz="0" w:space="0" w:color="auto"/>
            <w:bottom w:val="none" w:sz="0" w:space="0" w:color="auto"/>
            <w:insideH w:val="none" w:sz="0" w:space="0" w:color="auto"/>
          </w:tblBorders>
        </w:tblPrEx>
        <w:tc>
          <w:tcPr>
            <w:tcW w:w="5000" w:type="pct"/>
            <w:gridSpan w:val="7"/>
            <w:tcBorders>
              <w:top w:val="single" w:sz="4" w:space="0" w:color="808080" w:themeColor="background1" w:themeShade="80"/>
              <w:bottom w:val="single" w:sz="4"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C74939" w:rsidTr="00A672D0">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C74939" w:rsidRDefault="009A7F87" w:rsidP="009A7F87">
            <w:pPr>
              <w:pStyle w:val="TableColumnHeading"/>
              <w:keepNext w:val="0"/>
              <w:jc w:val="left"/>
            </w:pPr>
          </w:p>
        </w:tc>
        <w:tc>
          <w:tcPr>
            <w:tcW w:w="1809" w:type="pct"/>
            <w:tcBorders>
              <w:top w:val="single" w:sz="4" w:space="0" w:color="808080" w:themeColor="background1" w:themeShade="80"/>
              <w:bottom w:val="single" w:sz="4" w:space="0" w:color="808080" w:themeColor="background1" w:themeShade="80"/>
            </w:tcBorders>
            <w:shd w:val="clear" w:color="auto" w:fill="auto"/>
          </w:tcPr>
          <w:p w:rsidR="009A7F87" w:rsidRPr="00C74939" w:rsidRDefault="009A7F87" w:rsidP="009A7F87">
            <w:pPr>
              <w:pStyle w:val="TableColumnHeading"/>
              <w:keepNext w:val="0"/>
              <w:ind w:left="180"/>
              <w:jc w:val="left"/>
            </w:pPr>
          </w:p>
        </w:tc>
        <w:tc>
          <w:tcPr>
            <w:tcW w:w="2317" w:type="pct"/>
            <w:gridSpan w:val="5"/>
            <w:tcBorders>
              <w:top w:val="single" w:sz="4" w:space="0" w:color="808080" w:themeColor="background1" w:themeShade="80"/>
              <w:bottom w:val="single" w:sz="4" w:space="0" w:color="808080" w:themeColor="background1" w:themeShade="80"/>
            </w:tcBorders>
            <w:shd w:val="clear" w:color="auto" w:fill="auto"/>
          </w:tcPr>
          <w:p w:rsidR="009A7F87" w:rsidRPr="00C74939" w:rsidRDefault="009A7F87" w:rsidP="009A7F87">
            <w:pPr>
              <w:pStyle w:val="TableColumnHeading"/>
              <w:keepNext w:val="0"/>
              <w:ind w:left="180"/>
              <w:jc w:val="center"/>
            </w:pPr>
            <w:r w:rsidRPr="00C74939">
              <w:t>Data Years</w:t>
            </w:r>
          </w:p>
        </w:tc>
      </w:tr>
      <w:tr w:rsidR="009A7F87" w:rsidRPr="00C74939" w:rsidTr="00A672D0">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C74939" w:rsidRDefault="009A7F87" w:rsidP="009A7F87">
            <w:pPr>
              <w:pStyle w:val="TableBodyText"/>
              <w:keepNext w:val="0"/>
              <w:spacing w:before="60" w:after="60"/>
              <w:ind w:left="0"/>
              <w:jc w:val="both"/>
              <w:rPr>
                <w:i/>
              </w:rPr>
            </w:pPr>
            <w:r w:rsidRPr="00C74939">
              <w:rPr>
                <w:i/>
              </w:rPr>
              <w:br/>
              <w:t>Measure</w:t>
            </w:r>
          </w:p>
        </w:tc>
        <w:tc>
          <w:tcPr>
            <w:tcW w:w="1809" w:type="pct"/>
            <w:tcBorders>
              <w:top w:val="single" w:sz="4" w:space="0" w:color="808080" w:themeColor="background1" w:themeShade="80"/>
              <w:bottom w:val="single" w:sz="4" w:space="0" w:color="808080" w:themeColor="background1" w:themeShade="80"/>
            </w:tcBorders>
            <w:shd w:val="clear" w:color="auto" w:fill="auto"/>
          </w:tcPr>
          <w:p w:rsidR="009A7F87" w:rsidRPr="00C74939" w:rsidRDefault="009A7F87" w:rsidP="009A7F87">
            <w:pPr>
              <w:pStyle w:val="TableBodyText"/>
              <w:keepNext w:val="0"/>
              <w:spacing w:before="60" w:after="60"/>
              <w:ind w:left="180"/>
              <w:jc w:val="left"/>
              <w:rPr>
                <w:i/>
              </w:rPr>
            </w:pPr>
            <w:r w:rsidRPr="00C74939">
              <w:rPr>
                <w:i/>
              </w:rPr>
              <w:br/>
              <w:t>Data source</w:t>
            </w:r>
          </w:p>
        </w:tc>
        <w:tc>
          <w:tcPr>
            <w:tcW w:w="580" w:type="pct"/>
            <w:tcBorders>
              <w:top w:val="single" w:sz="4" w:space="0" w:color="808080" w:themeColor="background1" w:themeShade="80"/>
              <w:bottom w:val="single" w:sz="4" w:space="0" w:color="808080" w:themeColor="background1" w:themeShade="80"/>
            </w:tcBorders>
            <w:shd w:val="clear" w:color="auto" w:fill="auto"/>
          </w:tcPr>
          <w:p w:rsidR="009A7F87" w:rsidRPr="00C74939" w:rsidRDefault="009A7F87" w:rsidP="009A7F87">
            <w:pPr>
              <w:pStyle w:val="TableBodyText"/>
              <w:keepNext w:val="0"/>
              <w:spacing w:before="60" w:after="60"/>
              <w:ind w:left="2"/>
              <w:jc w:val="center"/>
              <w:rPr>
                <w:i/>
              </w:rPr>
            </w:pPr>
            <w:r w:rsidRPr="00C74939">
              <w:rPr>
                <w:i/>
              </w:rPr>
              <w:t>2008</w:t>
            </w:r>
            <w:r w:rsidRPr="00C74939">
              <w:rPr>
                <w:i/>
              </w:rPr>
              <w:noBreakHyphen/>
              <w:t>09 Estimates</w:t>
            </w:r>
          </w:p>
        </w:tc>
        <w:tc>
          <w:tcPr>
            <w:tcW w:w="577" w:type="pct"/>
            <w:gridSpan w:val="2"/>
            <w:tcBorders>
              <w:top w:val="single" w:sz="4" w:space="0" w:color="808080" w:themeColor="background1" w:themeShade="80"/>
              <w:bottom w:val="single" w:sz="4" w:space="0" w:color="808080" w:themeColor="background1" w:themeShade="80"/>
            </w:tcBorders>
            <w:shd w:val="clear" w:color="auto" w:fill="auto"/>
          </w:tcPr>
          <w:p w:rsidR="009A7F87" w:rsidRPr="00C74939" w:rsidRDefault="009A7F87" w:rsidP="009A7F87">
            <w:pPr>
              <w:pStyle w:val="TableBodyText"/>
              <w:keepNext w:val="0"/>
              <w:spacing w:before="60" w:after="60"/>
              <w:ind w:left="2"/>
              <w:jc w:val="center"/>
              <w:rPr>
                <w:i/>
              </w:rPr>
            </w:pPr>
            <w:r w:rsidRPr="00C74939">
              <w:rPr>
                <w:i/>
              </w:rPr>
              <w:t>2010</w:t>
            </w:r>
            <w:r w:rsidRPr="00C74939">
              <w:rPr>
                <w:i/>
              </w:rPr>
              <w:noBreakHyphen/>
              <w:t>11 Estimates</w:t>
            </w:r>
          </w:p>
        </w:tc>
        <w:tc>
          <w:tcPr>
            <w:tcW w:w="581" w:type="pct"/>
            <w:tcBorders>
              <w:top w:val="single" w:sz="4" w:space="0" w:color="808080" w:themeColor="background1" w:themeShade="80"/>
              <w:bottom w:val="single" w:sz="4" w:space="0" w:color="808080" w:themeColor="background1" w:themeShade="80"/>
            </w:tcBorders>
            <w:shd w:val="clear" w:color="auto" w:fill="auto"/>
          </w:tcPr>
          <w:p w:rsidR="009A7F87" w:rsidRPr="00C74939" w:rsidRDefault="009A7F87" w:rsidP="009A7F87">
            <w:pPr>
              <w:pStyle w:val="TableBodyText"/>
              <w:keepNext w:val="0"/>
              <w:spacing w:before="60" w:after="60"/>
              <w:ind w:left="2"/>
              <w:jc w:val="center"/>
              <w:rPr>
                <w:i/>
              </w:rPr>
            </w:pPr>
            <w:r w:rsidRPr="00C74939">
              <w:rPr>
                <w:i/>
              </w:rPr>
              <w:t>2012</w:t>
            </w:r>
            <w:r w:rsidRPr="00C74939">
              <w:rPr>
                <w:i/>
              </w:rPr>
              <w:noBreakHyphen/>
              <w:t>13 Estimates</w:t>
            </w:r>
          </w:p>
        </w:tc>
        <w:tc>
          <w:tcPr>
            <w:tcW w:w="579" w:type="pct"/>
            <w:tcBorders>
              <w:top w:val="single" w:sz="4" w:space="0" w:color="808080" w:themeColor="background1" w:themeShade="80"/>
              <w:bottom w:val="single" w:sz="4" w:space="0" w:color="808080" w:themeColor="background1" w:themeShade="80"/>
            </w:tcBorders>
          </w:tcPr>
          <w:p w:rsidR="009A7F87" w:rsidRPr="00C74939" w:rsidRDefault="009A7F87" w:rsidP="009A7F87">
            <w:pPr>
              <w:pStyle w:val="TableBodyText"/>
              <w:keepNext w:val="0"/>
              <w:spacing w:before="60" w:after="60"/>
              <w:ind w:left="2"/>
              <w:jc w:val="center"/>
              <w:rPr>
                <w:i/>
              </w:rPr>
            </w:pPr>
            <w:r w:rsidRPr="00C74939">
              <w:rPr>
                <w:i/>
              </w:rPr>
              <w:t>2015</w:t>
            </w:r>
            <w:r w:rsidRPr="00C74939">
              <w:rPr>
                <w:i/>
              </w:rPr>
              <w:noBreakHyphen/>
              <w:t>16 Estimates</w:t>
            </w:r>
          </w:p>
        </w:tc>
      </w:tr>
      <w:tr w:rsidR="009A7F87" w:rsidRPr="00770229" w:rsidTr="000E0C9E">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Students enrolled in government preschool education</w:t>
            </w:r>
          </w:p>
        </w:tc>
        <w:tc>
          <w:tcPr>
            <w:tcW w:w="1809" w:type="pct"/>
            <w:tcBorders>
              <w:top w:val="single" w:sz="4" w:space="0" w:color="808080" w:themeColor="background1" w:themeShade="80"/>
            </w:tcBorders>
            <w:shd w:val="clear" w:color="auto" w:fill="auto"/>
          </w:tcPr>
          <w:p w:rsidR="009A7F87" w:rsidRDefault="009A7F87" w:rsidP="009A7F87">
            <w:pPr>
              <w:pStyle w:val="TableBodyText"/>
              <w:keepNext w:val="0"/>
              <w:spacing w:before="60" w:after="60"/>
              <w:ind w:left="180"/>
              <w:jc w:val="left"/>
            </w:pPr>
            <w:r w:rsidRPr="00770229">
              <w:t xml:space="preserve">DEEWR </w:t>
            </w:r>
            <w:r w:rsidRPr="00770229">
              <w:rPr>
                <w:i/>
              </w:rPr>
              <w:t>National Preschool Census</w:t>
            </w:r>
            <w:r w:rsidRPr="00770229">
              <w:t xml:space="preserve"> Technical Report </w:t>
            </w:r>
            <w:r>
              <w:t xml:space="preserve">–earlier years </w:t>
            </w:r>
          </w:p>
          <w:p w:rsidR="009A7F87" w:rsidRPr="00770229" w:rsidRDefault="009A7F87" w:rsidP="009A7F87">
            <w:pPr>
              <w:pStyle w:val="TableBodyText"/>
              <w:keepNext w:val="0"/>
              <w:spacing w:before="60" w:after="60"/>
              <w:ind w:left="180"/>
              <w:jc w:val="left"/>
            </w:pPr>
            <w:r>
              <w:t>ABS</w:t>
            </w:r>
            <w:r>
              <w:rPr>
                <w:i/>
              </w:rPr>
              <w:t xml:space="preserve"> </w:t>
            </w:r>
            <w:r w:rsidRPr="005F7B85">
              <w:rPr>
                <w:i/>
              </w:rPr>
              <w:t>Preschool Education Australia</w:t>
            </w:r>
            <w:r>
              <w:rPr>
                <w:i/>
              </w:rPr>
              <w:t xml:space="preserve">, </w:t>
            </w:r>
            <w:r w:rsidRPr="005F7B85">
              <w:rPr>
                <w:i/>
              </w:rPr>
              <w:t>2016</w:t>
            </w:r>
            <w:r>
              <w:t xml:space="preserve"> (Cat. no. 4240</w:t>
            </w:r>
            <w:r w:rsidRPr="00770229">
              <w:t>.0)</w:t>
            </w:r>
          </w:p>
        </w:tc>
        <w:tc>
          <w:tcPr>
            <w:tcW w:w="580" w:type="pct"/>
            <w:tcBorders>
              <w:top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August 2008</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77" w:type="pct"/>
            <w:gridSpan w:val="2"/>
            <w:tcBorders>
              <w:top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August 2010</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1" w:type="pct"/>
            <w:tcBorders>
              <w:top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August 2012</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79" w:type="pct"/>
            <w:tcBorders>
              <w:top w:val="single" w:sz="4" w:space="0" w:color="808080" w:themeColor="background1" w:themeShade="80"/>
            </w:tcBorders>
            <w:vAlign w:val="center"/>
          </w:tcPr>
          <w:p w:rsidR="009A7F87" w:rsidRDefault="009A7F87" w:rsidP="009A7F87">
            <w:pPr>
              <w:pStyle w:val="TableBodyText"/>
              <w:spacing w:before="60" w:after="60"/>
              <w:ind w:left="2"/>
              <w:jc w:val="center"/>
            </w:pPr>
            <w:r>
              <w:t>August 2016</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70229" w:rsidTr="000E0C9E">
        <w:tblPrEx>
          <w:tblBorders>
            <w:top w:val="none" w:sz="0" w:space="0" w:color="auto"/>
            <w:bottom w:val="none" w:sz="0" w:space="0" w:color="auto"/>
            <w:insideH w:val="none" w:sz="0" w:space="0" w:color="auto"/>
          </w:tblBorders>
        </w:tblPrEx>
        <w:tc>
          <w:tcPr>
            <w:tcW w:w="874" w:type="pct"/>
            <w:tcBorders>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Students enrolled in non</w:t>
            </w:r>
            <w:r w:rsidRPr="00770229">
              <w:noBreakHyphen/>
              <w:t>government preschool education</w:t>
            </w:r>
          </w:p>
        </w:tc>
        <w:tc>
          <w:tcPr>
            <w:tcW w:w="1809" w:type="pct"/>
            <w:tcBorders>
              <w:bottom w:val="single" w:sz="6" w:space="0" w:color="808080" w:themeColor="background1" w:themeShade="80"/>
            </w:tcBorders>
            <w:shd w:val="clear" w:color="auto" w:fill="auto"/>
          </w:tcPr>
          <w:p w:rsidR="009A7F87" w:rsidRDefault="009A7F87" w:rsidP="009A7F87">
            <w:pPr>
              <w:pStyle w:val="TableBodyText"/>
              <w:keepNext w:val="0"/>
              <w:spacing w:before="60" w:after="60"/>
              <w:ind w:left="180"/>
              <w:jc w:val="left"/>
            </w:pPr>
            <w:r w:rsidRPr="00770229">
              <w:t xml:space="preserve">DEEWR </w:t>
            </w:r>
            <w:r w:rsidRPr="00770229">
              <w:rPr>
                <w:i/>
              </w:rPr>
              <w:t>National Preschool Census</w:t>
            </w:r>
            <w:r w:rsidRPr="00770229">
              <w:t xml:space="preserve"> Technical Report</w:t>
            </w:r>
            <w:r>
              <w:t xml:space="preserve"> – earlier years</w:t>
            </w:r>
          </w:p>
          <w:p w:rsidR="009A7F87" w:rsidRPr="00770229" w:rsidRDefault="009A7F87" w:rsidP="009A7F87">
            <w:pPr>
              <w:pStyle w:val="TableBodyText"/>
              <w:keepNext w:val="0"/>
              <w:spacing w:before="60" w:after="60"/>
              <w:ind w:left="180"/>
              <w:jc w:val="left"/>
            </w:pPr>
            <w:r>
              <w:t xml:space="preserve">ABS </w:t>
            </w:r>
            <w:r w:rsidRPr="005F7B85">
              <w:rPr>
                <w:i/>
              </w:rPr>
              <w:t>Preschool Education Australia</w:t>
            </w:r>
            <w:r>
              <w:rPr>
                <w:i/>
              </w:rPr>
              <w:t xml:space="preserve">, </w:t>
            </w:r>
            <w:r w:rsidRPr="005F7B85">
              <w:rPr>
                <w:i/>
              </w:rPr>
              <w:t>2016</w:t>
            </w:r>
            <w:r>
              <w:t xml:space="preserve"> (Cat. no. 4240</w:t>
            </w:r>
            <w:r w:rsidRPr="00770229">
              <w:t>.0)</w:t>
            </w:r>
          </w:p>
        </w:tc>
        <w:tc>
          <w:tcPr>
            <w:tcW w:w="580"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August 2008</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77" w:type="pct"/>
            <w:gridSpan w:val="2"/>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August 2010</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1" w:type="pct"/>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August 2012</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79" w:type="pct"/>
            <w:tcBorders>
              <w:bottom w:val="single" w:sz="6" w:space="0" w:color="808080" w:themeColor="background1" w:themeShade="80"/>
            </w:tcBorders>
            <w:vAlign w:val="center"/>
          </w:tcPr>
          <w:p w:rsidR="009A7F87" w:rsidRDefault="009A7F87" w:rsidP="009A7F87">
            <w:pPr>
              <w:pStyle w:val="TableBodyText"/>
              <w:spacing w:before="60" w:after="60"/>
              <w:ind w:left="2"/>
              <w:jc w:val="center"/>
            </w:pPr>
            <w:r>
              <w:t>August 2016</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1369A" w:rsidTr="000E0C9E">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538"/>
        <w:gridCol w:w="3182"/>
        <w:gridCol w:w="1020"/>
        <w:gridCol w:w="595"/>
        <w:gridCol w:w="420"/>
        <w:gridCol w:w="1022"/>
        <w:gridCol w:w="1019"/>
      </w:tblGrid>
      <w:tr w:rsidR="009A7F87" w:rsidRPr="00770229" w:rsidTr="002E2409">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432</w:t>
            </w:r>
            <w:r w:rsidRPr="00770229">
              <w:t xml:space="preserve"> Special education</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601" w:type="pct"/>
            <w:gridSpan w:val="4"/>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399" w:type="pct"/>
            <w:gridSpan w:val="3"/>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In Australia, State and Territory governments provide, regulate, and administer special education. A school specifically established to provide special education can be owned and operated by the government or the non</w:t>
            </w:r>
            <w:r w:rsidRPr="00770229">
              <w:noBreakHyphen/>
              <w:t>government sector. This category does not include integrated funding support, where students with disability receive support to attend mainstream preschool, primary or secondary school classes.</w:t>
            </w:r>
          </w:p>
          <w:p w:rsidR="009A7F87" w:rsidRPr="00770229" w:rsidRDefault="009A7F87" w:rsidP="009A7F87">
            <w:pPr>
              <w:pStyle w:val="TableBodyText"/>
              <w:keepNext w:val="0"/>
              <w:spacing w:before="60" w:after="60"/>
              <w:jc w:val="left"/>
            </w:pPr>
            <w:r w:rsidRPr="00770229">
              <w:t>State and territory government expenditure on special education occurs through a variety of funding models and some grants are also provided to non</w:t>
            </w:r>
            <w:r w:rsidRPr="00770229">
              <w:noBreakHyphen/>
              <w:t>government special schools.</w:t>
            </w:r>
          </w:p>
          <w:p w:rsidR="009A7F87" w:rsidRPr="00770229" w:rsidRDefault="009A7F87" w:rsidP="009A7F87">
            <w:pPr>
              <w:pStyle w:val="TableBodyText"/>
              <w:keepNext w:val="0"/>
              <w:spacing w:before="60" w:after="60"/>
              <w:jc w:val="left"/>
            </w:pPr>
            <w:r w:rsidRPr="00770229">
              <w:t>Australian Government expenditure on special education is provided to both government and non</w:t>
            </w:r>
            <w:r w:rsidRPr="00770229">
              <w:noBreakHyphen/>
              <w:t>government special schools and occurs through targeted programs. Australian Government expenditure on special education in government special schools, such as schools grants, national projects and non</w:t>
            </w:r>
            <w:r w:rsidRPr="00770229">
              <w:noBreakHyphen/>
              <w:t>government support centres, is administered by the states and territories.</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The key cost drivers of Australian, State and Territory government expenditure on education in government special schools is the number of students enrolled in government special schools and (for State and Territory governments) the location of government special schools.</w:t>
            </w:r>
          </w:p>
          <w:p w:rsidR="009A7F87" w:rsidRPr="00770229" w:rsidRDefault="009A7F87" w:rsidP="009A7F87">
            <w:pPr>
              <w:pStyle w:val="TableBodyText"/>
              <w:keepNext w:val="0"/>
              <w:keepLines w:val="0"/>
              <w:spacing w:before="80" w:after="80"/>
              <w:jc w:val="left"/>
              <w:rPr>
                <w:szCs w:val="26"/>
              </w:rPr>
            </w:pPr>
            <w:r w:rsidRPr="00770229">
              <w:t>The key cost driver of Australian, State and Territory government expenditure on education in non</w:t>
            </w:r>
            <w:r w:rsidRPr="00770229">
              <w:noBreakHyphen/>
              <w:t>government special schools is the number of students enrolled in non</w:t>
            </w:r>
            <w:r w:rsidRPr="00770229">
              <w:noBreakHyphen/>
              <w:t>government special schools.</w:t>
            </w:r>
          </w:p>
        </w:tc>
      </w:tr>
      <w:tr w:rsidR="009A7F87" w:rsidRPr="00770229" w:rsidTr="00A672D0">
        <w:tblPrEx>
          <w:tblBorders>
            <w:top w:val="none" w:sz="0" w:space="0" w:color="auto"/>
            <w:bottom w:val="none" w:sz="0" w:space="0" w:color="auto"/>
            <w:insideH w:val="none" w:sz="0" w:space="0" w:color="auto"/>
          </w:tblBorders>
        </w:tblPrEx>
        <w:tc>
          <w:tcPr>
            <w:tcW w:w="5000" w:type="pct"/>
            <w:gridSpan w:val="7"/>
            <w:tcBorders>
              <w:top w:val="single" w:sz="4" w:space="0" w:color="808080" w:themeColor="background1" w:themeShade="80"/>
              <w:bottom w:val="single" w:sz="4"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C74939" w:rsidTr="00A672D0">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C74939" w:rsidRDefault="009A7F87" w:rsidP="009A7F87">
            <w:pPr>
              <w:pStyle w:val="TableColumnHeading"/>
              <w:keepNext w:val="0"/>
              <w:jc w:val="left"/>
            </w:pPr>
          </w:p>
        </w:tc>
        <w:tc>
          <w:tcPr>
            <w:tcW w:w="1809" w:type="pct"/>
            <w:tcBorders>
              <w:top w:val="single" w:sz="4" w:space="0" w:color="808080" w:themeColor="background1" w:themeShade="80"/>
              <w:bottom w:val="single" w:sz="4" w:space="0" w:color="808080" w:themeColor="background1" w:themeShade="80"/>
            </w:tcBorders>
            <w:shd w:val="clear" w:color="auto" w:fill="auto"/>
          </w:tcPr>
          <w:p w:rsidR="009A7F87" w:rsidRPr="00C74939" w:rsidRDefault="009A7F87" w:rsidP="009A7F87">
            <w:pPr>
              <w:pStyle w:val="TableColumnHeading"/>
              <w:keepNext w:val="0"/>
              <w:ind w:left="180"/>
              <w:jc w:val="left"/>
            </w:pPr>
          </w:p>
        </w:tc>
        <w:tc>
          <w:tcPr>
            <w:tcW w:w="2317" w:type="pct"/>
            <w:gridSpan w:val="5"/>
            <w:tcBorders>
              <w:top w:val="single" w:sz="4" w:space="0" w:color="808080" w:themeColor="background1" w:themeShade="80"/>
              <w:bottom w:val="single" w:sz="4" w:space="0" w:color="808080" w:themeColor="background1" w:themeShade="80"/>
            </w:tcBorders>
            <w:shd w:val="clear" w:color="auto" w:fill="auto"/>
          </w:tcPr>
          <w:p w:rsidR="009A7F87" w:rsidRPr="00C74939" w:rsidRDefault="009A7F87" w:rsidP="009A7F87">
            <w:pPr>
              <w:pStyle w:val="TableColumnHeading"/>
              <w:keepNext w:val="0"/>
              <w:ind w:left="180"/>
              <w:jc w:val="center"/>
            </w:pPr>
            <w:r w:rsidRPr="00C74939">
              <w:t>Data Years</w:t>
            </w:r>
          </w:p>
        </w:tc>
      </w:tr>
      <w:tr w:rsidR="009A7F87" w:rsidRPr="00C74939" w:rsidTr="000E0C9E">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tcBorders>
            <w:shd w:val="clear" w:color="auto" w:fill="auto"/>
            <w:tcMar>
              <w:top w:w="57" w:type="dxa"/>
              <w:left w:w="113" w:type="dxa"/>
            </w:tcMar>
          </w:tcPr>
          <w:p w:rsidR="009A7F87" w:rsidRPr="00C74939" w:rsidRDefault="009A7F87" w:rsidP="009A7F87">
            <w:pPr>
              <w:pStyle w:val="TableBodyText"/>
              <w:keepNext w:val="0"/>
              <w:spacing w:before="60" w:after="60"/>
              <w:ind w:left="0"/>
              <w:jc w:val="both"/>
              <w:rPr>
                <w:i/>
              </w:rPr>
            </w:pPr>
            <w:r w:rsidRPr="00C74939">
              <w:rPr>
                <w:i/>
              </w:rPr>
              <w:br/>
              <w:t>Measure</w:t>
            </w:r>
          </w:p>
        </w:tc>
        <w:tc>
          <w:tcPr>
            <w:tcW w:w="1809" w:type="pct"/>
            <w:tcBorders>
              <w:top w:val="single" w:sz="4" w:space="0" w:color="808080" w:themeColor="background1" w:themeShade="80"/>
            </w:tcBorders>
            <w:shd w:val="clear" w:color="auto" w:fill="auto"/>
          </w:tcPr>
          <w:p w:rsidR="009A7F87" w:rsidRPr="00C74939" w:rsidRDefault="009A7F87" w:rsidP="009A7F87">
            <w:pPr>
              <w:pStyle w:val="TableBodyText"/>
              <w:keepNext w:val="0"/>
              <w:spacing w:before="60" w:after="60"/>
              <w:ind w:left="180"/>
              <w:jc w:val="left"/>
              <w:rPr>
                <w:i/>
              </w:rPr>
            </w:pPr>
            <w:r w:rsidRPr="00C74939">
              <w:rPr>
                <w:i/>
              </w:rPr>
              <w:br/>
              <w:t>Data source</w:t>
            </w:r>
          </w:p>
        </w:tc>
        <w:tc>
          <w:tcPr>
            <w:tcW w:w="580" w:type="pct"/>
            <w:tcBorders>
              <w:top w:val="single" w:sz="4" w:space="0" w:color="808080" w:themeColor="background1" w:themeShade="80"/>
            </w:tcBorders>
            <w:shd w:val="clear" w:color="auto" w:fill="auto"/>
          </w:tcPr>
          <w:p w:rsidR="009A7F87" w:rsidRPr="00C74939" w:rsidRDefault="009A7F87" w:rsidP="009A7F87">
            <w:pPr>
              <w:pStyle w:val="TableBodyText"/>
              <w:keepNext w:val="0"/>
              <w:spacing w:before="60" w:after="60"/>
              <w:ind w:left="2"/>
              <w:jc w:val="center"/>
              <w:rPr>
                <w:i/>
              </w:rPr>
            </w:pPr>
            <w:r w:rsidRPr="00C74939">
              <w:rPr>
                <w:i/>
              </w:rPr>
              <w:t>2008</w:t>
            </w:r>
            <w:r w:rsidRPr="00C74939">
              <w:rPr>
                <w:i/>
              </w:rPr>
              <w:noBreakHyphen/>
              <w:t>09 Estimates</w:t>
            </w:r>
          </w:p>
        </w:tc>
        <w:tc>
          <w:tcPr>
            <w:tcW w:w="577" w:type="pct"/>
            <w:gridSpan w:val="2"/>
            <w:tcBorders>
              <w:top w:val="single" w:sz="4" w:space="0" w:color="808080" w:themeColor="background1" w:themeShade="80"/>
            </w:tcBorders>
            <w:shd w:val="clear" w:color="auto" w:fill="auto"/>
          </w:tcPr>
          <w:p w:rsidR="009A7F87" w:rsidRPr="00C74939" w:rsidRDefault="009A7F87" w:rsidP="009A7F87">
            <w:pPr>
              <w:pStyle w:val="TableBodyText"/>
              <w:keepNext w:val="0"/>
              <w:spacing w:before="60" w:after="60"/>
              <w:ind w:left="2"/>
              <w:jc w:val="center"/>
              <w:rPr>
                <w:i/>
              </w:rPr>
            </w:pPr>
            <w:r w:rsidRPr="00C74939">
              <w:rPr>
                <w:i/>
              </w:rPr>
              <w:t>2010</w:t>
            </w:r>
            <w:r w:rsidRPr="00C74939">
              <w:rPr>
                <w:i/>
              </w:rPr>
              <w:noBreakHyphen/>
              <w:t>11 Estimates</w:t>
            </w:r>
          </w:p>
        </w:tc>
        <w:tc>
          <w:tcPr>
            <w:tcW w:w="581" w:type="pct"/>
            <w:tcBorders>
              <w:top w:val="single" w:sz="4" w:space="0" w:color="808080" w:themeColor="background1" w:themeShade="80"/>
            </w:tcBorders>
            <w:shd w:val="clear" w:color="auto" w:fill="auto"/>
          </w:tcPr>
          <w:p w:rsidR="009A7F87" w:rsidRPr="00C74939" w:rsidRDefault="009A7F87" w:rsidP="009A7F87">
            <w:pPr>
              <w:pStyle w:val="TableBodyText"/>
              <w:keepNext w:val="0"/>
              <w:spacing w:before="60" w:after="60"/>
              <w:ind w:left="2"/>
              <w:jc w:val="center"/>
              <w:rPr>
                <w:i/>
              </w:rPr>
            </w:pPr>
            <w:r w:rsidRPr="00C74939">
              <w:rPr>
                <w:i/>
              </w:rPr>
              <w:t>2012</w:t>
            </w:r>
            <w:r w:rsidRPr="00C74939">
              <w:rPr>
                <w:i/>
              </w:rPr>
              <w:noBreakHyphen/>
              <w:t>13 Estimates</w:t>
            </w:r>
          </w:p>
        </w:tc>
        <w:tc>
          <w:tcPr>
            <w:tcW w:w="579" w:type="pct"/>
            <w:tcBorders>
              <w:top w:val="single" w:sz="4" w:space="0" w:color="808080" w:themeColor="background1" w:themeShade="80"/>
            </w:tcBorders>
          </w:tcPr>
          <w:p w:rsidR="009A7F87" w:rsidRPr="00C74939" w:rsidRDefault="009A7F87" w:rsidP="009A7F87">
            <w:pPr>
              <w:pStyle w:val="TableBodyText"/>
              <w:keepNext w:val="0"/>
              <w:spacing w:before="60" w:after="60"/>
              <w:ind w:left="2"/>
              <w:jc w:val="center"/>
              <w:rPr>
                <w:i/>
              </w:rPr>
            </w:pPr>
            <w:r w:rsidRPr="00C74939">
              <w:rPr>
                <w:i/>
              </w:rPr>
              <w:t>2015</w:t>
            </w:r>
            <w:r w:rsidRPr="00C74939">
              <w:rPr>
                <w:i/>
              </w:rPr>
              <w:noBreakHyphen/>
              <w:t>16 Estimates</w:t>
            </w:r>
          </w:p>
        </w:tc>
      </w:tr>
      <w:tr w:rsidR="009A7F87" w:rsidRPr="00770229" w:rsidTr="000E0C9E">
        <w:tblPrEx>
          <w:tblBorders>
            <w:top w:val="none" w:sz="0" w:space="0" w:color="auto"/>
            <w:bottom w:val="none" w:sz="0" w:space="0" w:color="auto"/>
            <w:insideH w:val="none" w:sz="0" w:space="0" w:color="auto"/>
          </w:tblBorders>
        </w:tblPrEx>
        <w:tc>
          <w:tcPr>
            <w:tcW w:w="874" w:type="pct"/>
            <w:tcBorders>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Special education students</w:t>
            </w:r>
          </w:p>
        </w:tc>
        <w:tc>
          <w:tcPr>
            <w:tcW w:w="1809" w:type="pct"/>
            <w:tcBorders>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Students enrolled at special schools administrative data (unpublished)</w:t>
            </w:r>
          </w:p>
        </w:tc>
        <w:tc>
          <w:tcPr>
            <w:tcW w:w="580" w:type="pct"/>
            <w:tcBorders>
              <w:bottom w:val="single" w:sz="6" w:space="0" w:color="808080" w:themeColor="background1" w:themeShade="80"/>
            </w:tcBorders>
            <w:shd w:val="clear" w:color="auto" w:fill="auto"/>
            <w:vAlign w:val="center"/>
          </w:tcPr>
          <w:p w:rsidR="009A7F87" w:rsidRDefault="009A7F87" w:rsidP="009A7F87">
            <w:pPr>
              <w:pStyle w:val="TableBodyText"/>
              <w:spacing w:after="60"/>
              <w:ind w:left="0"/>
              <w:jc w:val="center"/>
            </w:pPr>
            <w:r>
              <w:t>2008-09</w:t>
            </w:r>
          </w:p>
          <w:p w:rsidR="009A7F87" w:rsidRPr="00770229" w:rsidRDefault="009A7F87" w:rsidP="009A7F87">
            <w:pPr>
              <w:pStyle w:val="TableBodyText"/>
              <w:keepNext w:val="0"/>
              <w:spacing w:before="60" w:after="60"/>
              <w:ind w:left="2"/>
              <w:jc w:val="center"/>
            </w:pPr>
            <w:r>
              <w:br/>
            </w:r>
          </w:p>
        </w:tc>
        <w:tc>
          <w:tcPr>
            <w:tcW w:w="577" w:type="pct"/>
            <w:gridSpan w:val="2"/>
            <w:tcBorders>
              <w:bottom w:val="single" w:sz="6" w:space="0" w:color="808080" w:themeColor="background1" w:themeShade="80"/>
            </w:tcBorders>
            <w:shd w:val="clear" w:color="auto" w:fill="auto"/>
            <w:vAlign w:val="center"/>
          </w:tcPr>
          <w:p w:rsidR="009A7F87" w:rsidRDefault="009A7F87" w:rsidP="009A7F87">
            <w:pPr>
              <w:pStyle w:val="TableBodyText"/>
              <w:spacing w:after="60"/>
              <w:ind w:left="0"/>
              <w:jc w:val="center"/>
            </w:pPr>
            <w:r>
              <w:t>2010-11</w:t>
            </w:r>
          </w:p>
          <w:p w:rsidR="009A7F87" w:rsidRPr="00770229" w:rsidRDefault="009A7F87" w:rsidP="009A7F87">
            <w:pPr>
              <w:pStyle w:val="TableBodyText"/>
              <w:spacing w:before="60" w:after="60"/>
              <w:ind w:left="2"/>
              <w:jc w:val="center"/>
            </w:pPr>
            <w:r>
              <w:br/>
            </w:r>
          </w:p>
        </w:tc>
        <w:tc>
          <w:tcPr>
            <w:tcW w:w="581" w:type="pct"/>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2012-13</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79" w:type="pct"/>
            <w:tcBorders>
              <w:bottom w:val="single" w:sz="6" w:space="0" w:color="808080" w:themeColor="background1" w:themeShade="80"/>
            </w:tcBorders>
            <w:vAlign w:val="center"/>
          </w:tcPr>
          <w:p w:rsidR="009A7F87" w:rsidRDefault="009A7F87" w:rsidP="009A7F87">
            <w:pPr>
              <w:pStyle w:val="TableBodyText"/>
              <w:spacing w:after="60"/>
              <w:ind w:left="0"/>
              <w:jc w:val="center"/>
            </w:pPr>
            <w:r>
              <w:t>2015-16</w:t>
            </w:r>
          </w:p>
          <w:p w:rsidR="009A7F87" w:rsidRPr="00770229" w:rsidRDefault="009A7F87" w:rsidP="009A7F87">
            <w:pPr>
              <w:pStyle w:val="TableBodyText"/>
              <w:spacing w:before="60" w:after="60"/>
              <w:ind w:left="2"/>
              <w:jc w:val="center"/>
            </w:pPr>
            <w:r>
              <w:br/>
            </w:r>
          </w:p>
        </w:tc>
      </w:tr>
      <w:tr w:rsidR="009A7F87" w:rsidRPr="0071369A" w:rsidTr="000E0C9E">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538"/>
        <w:gridCol w:w="3182"/>
        <w:gridCol w:w="1020"/>
        <w:gridCol w:w="595"/>
        <w:gridCol w:w="420"/>
        <w:gridCol w:w="1022"/>
        <w:gridCol w:w="1019"/>
      </w:tblGrid>
      <w:tr w:rsidR="009A7F87" w:rsidRPr="00770229" w:rsidTr="002E2409">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439</w:t>
            </w:r>
            <w:r w:rsidRPr="00770229">
              <w:t xml:space="preserve"> Other education not definable by level</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601" w:type="pct"/>
            <w:gridSpan w:val="4"/>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399" w:type="pct"/>
            <w:gridSpan w:val="3"/>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ullet"/>
              <w:keepNext w:val="0"/>
              <w:numPr>
                <w:ilvl w:val="0"/>
                <w:numId w:val="0"/>
              </w:numPr>
              <w:spacing w:before="40"/>
            </w:pPr>
            <w:r w:rsidRPr="00770229">
              <w:t>Australian, State and Territory governments may have administration, inspection, support, operation of education programs that are not definable by level. For example, adult education courses which are essentially non</w:t>
            </w:r>
            <w:r>
              <w:noBreakHyphen/>
            </w:r>
            <w:r w:rsidRPr="00770229">
              <w:t>vocational and associated with leisure</w:t>
            </w:r>
            <w:r>
              <w:noBreakHyphen/>
            </w:r>
            <w:r w:rsidRPr="00770229">
              <w:t xml:space="preserve">time activities. </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szCs w:val="26"/>
              </w:rPr>
            </w:pPr>
            <w:r w:rsidRPr="00770229">
              <w:t>The cost driver of Australian, State and Territory government expenditure on other education not definable by level is the number of students enrolled in educational programs, which are not definable by level.</w:t>
            </w:r>
          </w:p>
        </w:tc>
      </w:tr>
      <w:tr w:rsidR="009A7F87" w:rsidRPr="00770229" w:rsidTr="00A672D0">
        <w:tblPrEx>
          <w:tblBorders>
            <w:top w:val="none" w:sz="0" w:space="0" w:color="auto"/>
            <w:bottom w:val="none" w:sz="0" w:space="0" w:color="auto"/>
            <w:insideH w:val="none" w:sz="0" w:space="0" w:color="auto"/>
          </w:tblBorders>
        </w:tblPrEx>
        <w:tc>
          <w:tcPr>
            <w:tcW w:w="5000" w:type="pct"/>
            <w:gridSpan w:val="7"/>
            <w:tcBorders>
              <w:top w:val="single" w:sz="4" w:space="0" w:color="808080" w:themeColor="background1" w:themeShade="80"/>
              <w:bottom w:val="single" w:sz="4"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AE5242" w:rsidTr="00A672D0">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AE5242" w:rsidRDefault="009A7F87" w:rsidP="009A7F87">
            <w:pPr>
              <w:pStyle w:val="TableColumnHeading"/>
              <w:keepNext w:val="0"/>
              <w:jc w:val="left"/>
            </w:pPr>
          </w:p>
        </w:tc>
        <w:tc>
          <w:tcPr>
            <w:tcW w:w="1809"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ColumnHeading"/>
              <w:keepNext w:val="0"/>
              <w:ind w:left="180"/>
              <w:jc w:val="left"/>
            </w:pPr>
          </w:p>
        </w:tc>
        <w:tc>
          <w:tcPr>
            <w:tcW w:w="2317" w:type="pct"/>
            <w:gridSpan w:val="5"/>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ColumnHeading"/>
              <w:keepNext w:val="0"/>
              <w:ind w:left="180"/>
              <w:jc w:val="center"/>
            </w:pPr>
            <w:r w:rsidRPr="00AE5242">
              <w:t>Data Years</w:t>
            </w:r>
          </w:p>
        </w:tc>
      </w:tr>
      <w:tr w:rsidR="009A7F87" w:rsidRPr="00AE5242" w:rsidTr="00A672D0">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AE5242" w:rsidRDefault="009A7F87" w:rsidP="009A7F87">
            <w:pPr>
              <w:pStyle w:val="TableBodyText"/>
              <w:keepNext w:val="0"/>
              <w:spacing w:before="60" w:after="60"/>
              <w:ind w:left="0"/>
              <w:jc w:val="both"/>
              <w:rPr>
                <w:i/>
              </w:rPr>
            </w:pPr>
            <w:r w:rsidRPr="00AE5242">
              <w:rPr>
                <w:i/>
              </w:rPr>
              <w:br/>
              <w:t>Measure</w:t>
            </w:r>
          </w:p>
        </w:tc>
        <w:tc>
          <w:tcPr>
            <w:tcW w:w="1809"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180"/>
              <w:jc w:val="left"/>
              <w:rPr>
                <w:i/>
              </w:rPr>
            </w:pPr>
            <w:r w:rsidRPr="00AE5242">
              <w:rPr>
                <w:i/>
              </w:rPr>
              <w:br/>
              <w:t>Data source</w:t>
            </w:r>
          </w:p>
        </w:tc>
        <w:tc>
          <w:tcPr>
            <w:tcW w:w="580"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2"/>
              <w:jc w:val="center"/>
              <w:rPr>
                <w:i/>
              </w:rPr>
            </w:pPr>
            <w:r w:rsidRPr="00AE5242">
              <w:rPr>
                <w:i/>
              </w:rPr>
              <w:t>2008</w:t>
            </w:r>
            <w:r w:rsidRPr="00AE5242">
              <w:rPr>
                <w:i/>
              </w:rPr>
              <w:noBreakHyphen/>
              <w:t>09 Estimates</w:t>
            </w:r>
          </w:p>
        </w:tc>
        <w:tc>
          <w:tcPr>
            <w:tcW w:w="577" w:type="pct"/>
            <w:gridSpan w:val="2"/>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2"/>
              <w:jc w:val="center"/>
              <w:rPr>
                <w:i/>
              </w:rPr>
            </w:pPr>
            <w:r w:rsidRPr="00AE5242">
              <w:rPr>
                <w:i/>
              </w:rPr>
              <w:t>2010</w:t>
            </w:r>
            <w:r w:rsidRPr="00AE5242">
              <w:rPr>
                <w:i/>
              </w:rPr>
              <w:noBreakHyphen/>
              <w:t>11 Estimates</w:t>
            </w:r>
          </w:p>
        </w:tc>
        <w:tc>
          <w:tcPr>
            <w:tcW w:w="581"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2"/>
              <w:jc w:val="center"/>
              <w:rPr>
                <w:i/>
              </w:rPr>
            </w:pPr>
            <w:r w:rsidRPr="00AE5242">
              <w:rPr>
                <w:i/>
              </w:rPr>
              <w:t>2012</w:t>
            </w:r>
            <w:r w:rsidRPr="00AE5242">
              <w:rPr>
                <w:i/>
              </w:rPr>
              <w:noBreakHyphen/>
              <w:t>13 Estimates</w:t>
            </w:r>
          </w:p>
        </w:tc>
        <w:tc>
          <w:tcPr>
            <w:tcW w:w="579" w:type="pct"/>
            <w:tcBorders>
              <w:top w:val="single" w:sz="4" w:space="0" w:color="808080" w:themeColor="background1" w:themeShade="80"/>
              <w:bottom w:val="single" w:sz="4" w:space="0" w:color="808080" w:themeColor="background1" w:themeShade="80"/>
            </w:tcBorders>
          </w:tcPr>
          <w:p w:rsidR="009A7F87" w:rsidRPr="00AE5242" w:rsidRDefault="009A7F87" w:rsidP="009A7F87">
            <w:pPr>
              <w:pStyle w:val="TableBodyText"/>
              <w:keepNext w:val="0"/>
              <w:spacing w:before="60" w:after="60"/>
              <w:ind w:left="2"/>
              <w:jc w:val="center"/>
              <w:rPr>
                <w:i/>
              </w:rPr>
            </w:pPr>
            <w:r w:rsidRPr="00AE5242">
              <w:rPr>
                <w:i/>
              </w:rPr>
              <w:t>2015</w:t>
            </w:r>
            <w:r w:rsidRPr="00AE5242">
              <w:rPr>
                <w:i/>
              </w:rPr>
              <w:noBreakHyphen/>
              <w:t>16 Estimates</w:t>
            </w:r>
          </w:p>
        </w:tc>
      </w:tr>
      <w:tr w:rsidR="009A7F87" w:rsidRPr="00770229" w:rsidTr="000E0C9E">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 aged 0–24</w:t>
            </w:r>
          </w:p>
        </w:tc>
        <w:tc>
          <w:tcPr>
            <w:tcW w:w="1809" w:type="pct"/>
            <w:tcBorders>
              <w:top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Australian Demographic Statistics (Cat. no. 3101.0); ABS </w:t>
            </w:r>
            <w:r w:rsidRPr="00B57BBD">
              <w:t>Estimates and Projections, Aboriginal and Torres Strait Islander Australians, 2001–2026</w:t>
            </w:r>
            <w:r w:rsidRPr="00770229">
              <w:t xml:space="preserve"> (Cat. no. 3238.0)</w:t>
            </w:r>
          </w:p>
        </w:tc>
        <w:tc>
          <w:tcPr>
            <w:tcW w:w="580" w:type="pct"/>
            <w:tcBorders>
              <w:top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77" w:type="pct"/>
            <w:gridSpan w:val="2"/>
            <w:tcBorders>
              <w:top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1" w:type="pct"/>
            <w:tcBorders>
              <w:top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79" w:type="pct"/>
            <w:tcBorders>
              <w:top w:val="single" w:sz="4"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70229" w:rsidTr="000E0C9E">
        <w:tblPrEx>
          <w:tblBorders>
            <w:top w:val="none" w:sz="0" w:space="0" w:color="auto"/>
            <w:bottom w:val="none" w:sz="0" w:space="0" w:color="auto"/>
            <w:insideH w:val="none" w:sz="0" w:space="0" w:color="auto"/>
          </w:tblBorders>
        </w:tblPrEx>
        <w:tc>
          <w:tcPr>
            <w:tcW w:w="874" w:type="pct"/>
            <w:tcBorders>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No. of tertiary students</w:t>
            </w:r>
          </w:p>
        </w:tc>
        <w:tc>
          <w:tcPr>
            <w:tcW w:w="1809" w:type="pct"/>
            <w:tcBorders>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DEEWR Higher Education Statistics Collection</w:t>
            </w:r>
          </w:p>
        </w:tc>
        <w:tc>
          <w:tcPr>
            <w:tcW w:w="580"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r>
              <w:br/>
            </w:r>
          </w:p>
        </w:tc>
        <w:tc>
          <w:tcPr>
            <w:tcW w:w="577" w:type="pct"/>
            <w:gridSpan w:val="2"/>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r>
              <w:br/>
            </w:r>
          </w:p>
        </w:tc>
        <w:tc>
          <w:tcPr>
            <w:tcW w:w="581" w:type="pct"/>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2012-13</w:t>
            </w:r>
            <w:r>
              <w:br/>
            </w:r>
          </w:p>
        </w:tc>
        <w:tc>
          <w:tcPr>
            <w:tcW w:w="579" w:type="pct"/>
            <w:tcBorders>
              <w:bottom w:val="single" w:sz="6" w:space="0" w:color="808080" w:themeColor="background1" w:themeShade="80"/>
            </w:tcBorders>
            <w:vAlign w:val="center"/>
          </w:tcPr>
          <w:p w:rsidR="009A7F87" w:rsidRDefault="009A7F87" w:rsidP="009A7F87">
            <w:pPr>
              <w:pStyle w:val="TableBodyText"/>
              <w:spacing w:before="60" w:after="60"/>
              <w:ind w:left="2"/>
              <w:jc w:val="center"/>
            </w:pPr>
            <w:r>
              <w:t>2015-16</w:t>
            </w:r>
            <w:r>
              <w:br/>
            </w:r>
          </w:p>
        </w:tc>
      </w:tr>
      <w:tr w:rsidR="009A7F87" w:rsidRPr="0071369A" w:rsidTr="000E0C9E">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538"/>
        <w:gridCol w:w="3182"/>
        <w:gridCol w:w="1020"/>
        <w:gridCol w:w="595"/>
        <w:gridCol w:w="420"/>
        <w:gridCol w:w="1022"/>
        <w:gridCol w:w="1019"/>
      </w:tblGrid>
      <w:tr w:rsidR="009A7F87" w:rsidRPr="00770229" w:rsidTr="002E2409">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441</w:t>
            </w:r>
            <w:r w:rsidRPr="00770229">
              <w:t xml:space="preserve"> Transportation of non</w:t>
            </w:r>
            <w:r w:rsidRPr="00770229">
              <w:noBreakHyphen/>
              <w:t>urban school students</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601" w:type="pct"/>
            <w:gridSpan w:val="4"/>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399" w:type="pct"/>
            <w:gridSpan w:val="3"/>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In Australia, State and Territory governments provide transport services, such as contract bus services, and concessions, for school students in rural (non</w:t>
            </w:r>
            <w:r w:rsidRPr="00770229">
              <w:noBreakHyphen/>
              <w:t>urban) areas. In some jurisdictions, transport services (particularly concessions) may be offered by a private provider paid by the government.</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r>
              <w:rPr>
                <w:b/>
              </w:rPr>
              <w:t xml:space="preserve"> </w:t>
            </w:r>
            <w:r w:rsidRPr="00770229">
              <w:rPr>
                <w:b/>
              </w:rPr>
              <w:t xml:space="preserve">Additional information is available in the Frequently Asked Questions addressing </w:t>
            </w:r>
            <w:r w:rsidRPr="00770229">
              <w:rPr>
                <w:b/>
                <w:i/>
              </w:rPr>
              <w:t>Allocating State and Territory Government household concessions</w:t>
            </w:r>
            <w:r w:rsidRPr="00770229">
              <w:rPr>
                <w:b/>
              </w:rPr>
              <w:t>, in chapter</w:t>
            </w:r>
            <w:r>
              <w:rPr>
                <w:b/>
              </w:rPr>
              <w:t> </w:t>
            </w:r>
            <w:r w:rsidRPr="00770229">
              <w:rPr>
                <w:b/>
              </w:rPr>
              <w:t>5 of the Expenditure Data Manual.</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szCs w:val="26"/>
              </w:rPr>
            </w:pPr>
            <w:r w:rsidRPr="00770229">
              <w:t>The key cost drivers of expenditure on transportation of non</w:t>
            </w:r>
            <w:r w:rsidRPr="00770229">
              <w:noBreakHyphen/>
              <w:t>urban school students are the number of school students using government subsidised non</w:t>
            </w:r>
            <w:r w:rsidRPr="00770229">
              <w:noBreakHyphen/>
              <w:t>urban transport and the average subsidy per student.</w:t>
            </w:r>
          </w:p>
        </w:tc>
      </w:tr>
      <w:tr w:rsidR="009A7F87" w:rsidRPr="00770229" w:rsidTr="00A672D0">
        <w:tblPrEx>
          <w:tblBorders>
            <w:top w:val="none" w:sz="0" w:space="0" w:color="auto"/>
            <w:bottom w:val="none" w:sz="0" w:space="0" w:color="auto"/>
            <w:insideH w:val="none" w:sz="0" w:space="0" w:color="auto"/>
          </w:tblBorders>
        </w:tblPrEx>
        <w:tc>
          <w:tcPr>
            <w:tcW w:w="5000" w:type="pct"/>
            <w:gridSpan w:val="7"/>
            <w:tcBorders>
              <w:top w:val="single" w:sz="4" w:space="0" w:color="808080" w:themeColor="background1" w:themeShade="80"/>
              <w:bottom w:val="single" w:sz="4"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AE5242" w:rsidTr="00A672D0">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AE5242" w:rsidRDefault="009A7F87" w:rsidP="009A7F87">
            <w:pPr>
              <w:pStyle w:val="TableColumnHeading"/>
              <w:keepNext w:val="0"/>
              <w:jc w:val="left"/>
            </w:pPr>
          </w:p>
        </w:tc>
        <w:tc>
          <w:tcPr>
            <w:tcW w:w="1809"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ColumnHeading"/>
              <w:keepNext w:val="0"/>
              <w:ind w:left="180"/>
              <w:jc w:val="left"/>
            </w:pPr>
          </w:p>
        </w:tc>
        <w:tc>
          <w:tcPr>
            <w:tcW w:w="2317" w:type="pct"/>
            <w:gridSpan w:val="5"/>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ColumnHeading"/>
              <w:keepNext w:val="0"/>
              <w:ind w:left="180"/>
              <w:jc w:val="center"/>
            </w:pPr>
            <w:r w:rsidRPr="00AE5242">
              <w:t>Data Years</w:t>
            </w:r>
          </w:p>
        </w:tc>
      </w:tr>
      <w:tr w:rsidR="009A7F87" w:rsidRPr="00AE5242" w:rsidTr="00A672D0">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AE5242" w:rsidRDefault="009A7F87" w:rsidP="009A7F87">
            <w:pPr>
              <w:pStyle w:val="TableBodyText"/>
              <w:keepNext w:val="0"/>
              <w:spacing w:before="60" w:after="60"/>
              <w:ind w:left="0"/>
              <w:jc w:val="both"/>
              <w:rPr>
                <w:i/>
              </w:rPr>
            </w:pPr>
            <w:r w:rsidRPr="00AE5242">
              <w:rPr>
                <w:i/>
              </w:rPr>
              <w:br/>
              <w:t>Measure</w:t>
            </w:r>
          </w:p>
        </w:tc>
        <w:tc>
          <w:tcPr>
            <w:tcW w:w="1809"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180"/>
              <w:jc w:val="left"/>
              <w:rPr>
                <w:i/>
              </w:rPr>
            </w:pPr>
            <w:r w:rsidRPr="00AE5242">
              <w:rPr>
                <w:i/>
              </w:rPr>
              <w:br/>
              <w:t>Data source</w:t>
            </w:r>
          </w:p>
        </w:tc>
        <w:tc>
          <w:tcPr>
            <w:tcW w:w="580"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2"/>
              <w:jc w:val="center"/>
              <w:rPr>
                <w:i/>
              </w:rPr>
            </w:pPr>
            <w:r w:rsidRPr="00AE5242">
              <w:rPr>
                <w:i/>
              </w:rPr>
              <w:t>2008</w:t>
            </w:r>
            <w:r w:rsidRPr="00AE5242">
              <w:rPr>
                <w:i/>
              </w:rPr>
              <w:noBreakHyphen/>
              <w:t>09 Estimates</w:t>
            </w:r>
          </w:p>
        </w:tc>
        <w:tc>
          <w:tcPr>
            <w:tcW w:w="577" w:type="pct"/>
            <w:gridSpan w:val="2"/>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2"/>
              <w:jc w:val="center"/>
              <w:rPr>
                <w:i/>
              </w:rPr>
            </w:pPr>
            <w:r w:rsidRPr="00AE5242">
              <w:rPr>
                <w:i/>
              </w:rPr>
              <w:t>2010</w:t>
            </w:r>
            <w:r w:rsidRPr="00AE5242">
              <w:rPr>
                <w:i/>
              </w:rPr>
              <w:noBreakHyphen/>
              <w:t>11 Estimates</w:t>
            </w:r>
          </w:p>
        </w:tc>
        <w:tc>
          <w:tcPr>
            <w:tcW w:w="581"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2"/>
              <w:jc w:val="center"/>
              <w:rPr>
                <w:i/>
              </w:rPr>
            </w:pPr>
            <w:r w:rsidRPr="00AE5242">
              <w:rPr>
                <w:i/>
              </w:rPr>
              <w:t>2012</w:t>
            </w:r>
            <w:r w:rsidRPr="00AE5242">
              <w:rPr>
                <w:i/>
              </w:rPr>
              <w:noBreakHyphen/>
              <w:t>13 Estimates</w:t>
            </w:r>
          </w:p>
        </w:tc>
        <w:tc>
          <w:tcPr>
            <w:tcW w:w="579" w:type="pct"/>
            <w:tcBorders>
              <w:top w:val="single" w:sz="4" w:space="0" w:color="808080" w:themeColor="background1" w:themeShade="80"/>
              <w:bottom w:val="single" w:sz="4" w:space="0" w:color="808080" w:themeColor="background1" w:themeShade="80"/>
            </w:tcBorders>
          </w:tcPr>
          <w:p w:rsidR="009A7F87" w:rsidRPr="00AE5242" w:rsidRDefault="009A7F87" w:rsidP="009A7F87">
            <w:pPr>
              <w:pStyle w:val="TableBodyText"/>
              <w:keepNext w:val="0"/>
              <w:spacing w:before="60" w:after="60"/>
              <w:ind w:left="2"/>
              <w:jc w:val="center"/>
              <w:rPr>
                <w:i/>
              </w:rPr>
            </w:pPr>
            <w:r w:rsidRPr="00AE5242">
              <w:rPr>
                <w:i/>
              </w:rPr>
              <w:t>2015</w:t>
            </w:r>
            <w:r w:rsidRPr="00AE5242">
              <w:rPr>
                <w:i/>
              </w:rPr>
              <w:noBreakHyphen/>
              <w:t>16 Estimates</w:t>
            </w:r>
          </w:p>
        </w:tc>
      </w:tr>
      <w:tr w:rsidR="009A7F87" w:rsidRPr="00AE5242" w:rsidTr="00A672D0">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4E5C32" w:rsidRDefault="009A7F87" w:rsidP="009A7F87">
            <w:pPr>
              <w:pStyle w:val="TableBodyText"/>
              <w:keepNext w:val="0"/>
              <w:spacing w:before="60" w:after="60"/>
              <w:ind w:left="0"/>
              <w:jc w:val="left"/>
            </w:pPr>
            <w:r>
              <w:t xml:space="preserve">Other than ‘major city resident population aged 5–19 (other than ‘inner regional’ for </w:t>
            </w:r>
            <w:proofErr w:type="spellStart"/>
            <w:r>
              <w:t>Tas</w:t>
            </w:r>
            <w:proofErr w:type="spellEnd"/>
            <w:r>
              <w:t xml:space="preserve"> &amp; ‘outer regional’ for NT)</w:t>
            </w:r>
          </w:p>
        </w:tc>
        <w:tc>
          <w:tcPr>
            <w:tcW w:w="1809" w:type="pct"/>
            <w:tcBorders>
              <w:top w:val="single" w:sz="4" w:space="0" w:color="808080" w:themeColor="background1" w:themeShade="80"/>
              <w:bottom w:val="single" w:sz="4" w:space="0" w:color="808080" w:themeColor="background1" w:themeShade="80"/>
            </w:tcBorders>
            <w:shd w:val="clear" w:color="auto" w:fill="auto"/>
          </w:tcPr>
          <w:p w:rsidR="009A7F87" w:rsidRPr="004E5C32" w:rsidRDefault="009A7F87" w:rsidP="009A7F87">
            <w:pPr>
              <w:pStyle w:val="TableBodyText"/>
              <w:keepNext w:val="0"/>
              <w:spacing w:before="60" w:after="60"/>
              <w:ind w:left="180"/>
              <w:jc w:val="left"/>
            </w:pPr>
            <w:r>
              <w:t xml:space="preserve">ABS Estimates and Projections, Aboriginal and Torres Strait Islander Australians, 2001–2026 </w:t>
            </w:r>
            <w:r>
              <w:br/>
              <w:t xml:space="preserve">(Cat. no. 3238.0); ABS Australian Demographic Statistics </w:t>
            </w:r>
            <w:r>
              <w:br/>
              <w:t xml:space="preserve">(Cat. no. 3101.0); Estimates of Aboriginal and Torres Strait Islander Australians, June 2011 </w:t>
            </w:r>
            <w:r>
              <w:br/>
              <w:t xml:space="preserve">(Cat. no. 3238.0.55.001); and ABS Population by Age and Sex, Regions of Australia, 2013 </w:t>
            </w:r>
            <w:r>
              <w:br/>
              <w:t>(Cat. no. 3235.0)</w:t>
            </w:r>
          </w:p>
        </w:tc>
        <w:tc>
          <w:tcPr>
            <w:tcW w:w="580" w:type="pct"/>
            <w:tcBorders>
              <w:top w:val="single" w:sz="4" w:space="0" w:color="808080" w:themeColor="background1" w:themeShade="80"/>
              <w:bottom w:val="single" w:sz="4" w:space="0" w:color="808080" w:themeColor="background1" w:themeShade="80"/>
            </w:tcBorders>
            <w:shd w:val="clear" w:color="auto" w:fill="auto"/>
          </w:tcPr>
          <w:p w:rsidR="009A7F87" w:rsidRPr="004E5C32" w:rsidRDefault="009A7F87" w:rsidP="009A7F87">
            <w:pPr>
              <w:pStyle w:val="TableBodyText"/>
              <w:keepNext w:val="0"/>
              <w:spacing w:before="60" w:after="60"/>
              <w:ind w:left="2"/>
              <w:jc w:val="center"/>
            </w:pPr>
            <w:r>
              <w:t>June 2009</w:t>
            </w:r>
          </w:p>
        </w:tc>
        <w:tc>
          <w:tcPr>
            <w:tcW w:w="577" w:type="pct"/>
            <w:gridSpan w:val="2"/>
            <w:tcBorders>
              <w:top w:val="single" w:sz="4" w:space="0" w:color="808080" w:themeColor="background1" w:themeShade="80"/>
              <w:bottom w:val="single" w:sz="4" w:space="0" w:color="808080" w:themeColor="background1" w:themeShade="80"/>
            </w:tcBorders>
            <w:shd w:val="clear" w:color="auto" w:fill="auto"/>
          </w:tcPr>
          <w:p w:rsidR="009A7F87" w:rsidRPr="004E5C32" w:rsidRDefault="009A7F87" w:rsidP="009A7F87">
            <w:pPr>
              <w:pStyle w:val="TableBodyText"/>
              <w:keepNext w:val="0"/>
              <w:spacing w:before="60" w:after="60"/>
              <w:ind w:left="2"/>
              <w:jc w:val="center"/>
            </w:pPr>
            <w:r>
              <w:t>June 2011</w:t>
            </w:r>
          </w:p>
        </w:tc>
        <w:tc>
          <w:tcPr>
            <w:tcW w:w="581" w:type="pct"/>
            <w:tcBorders>
              <w:top w:val="single" w:sz="4" w:space="0" w:color="808080" w:themeColor="background1" w:themeShade="80"/>
              <w:bottom w:val="single" w:sz="4" w:space="0" w:color="808080" w:themeColor="background1" w:themeShade="80"/>
            </w:tcBorders>
            <w:shd w:val="clear" w:color="auto" w:fill="auto"/>
          </w:tcPr>
          <w:p w:rsidR="009A7F87" w:rsidRPr="004E5C32" w:rsidRDefault="009A7F87" w:rsidP="009A7F87">
            <w:pPr>
              <w:pStyle w:val="TableBodyText"/>
              <w:keepNext w:val="0"/>
              <w:spacing w:before="60" w:after="60"/>
              <w:ind w:left="2"/>
              <w:jc w:val="center"/>
            </w:pPr>
            <w:r>
              <w:t>June 2013</w:t>
            </w:r>
          </w:p>
        </w:tc>
        <w:tc>
          <w:tcPr>
            <w:tcW w:w="579" w:type="pct"/>
            <w:tcBorders>
              <w:top w:val="single" w:sz="4" w:space="0" w:color="808080" w:themeColor="background1" w:themeShade="80"/>
              <w:bottom w:val="single" w:sz="4" w:space="0" w:color="808080" w:themeColor="background1" w:themeShade="80"/>
            </w:tcBorders>
          </w:tcPr>
          <w:p w:rsidR="009A7F87" w:rsidRPr="004E5C32" w:rsidRDefault="009A7F87" w:rsidP="009A7F87">
            <w:pPr>
              <w:pStyle w:val="TableBodyText"/>
              <w:keepNext w:val="0"/>
              <w:spacing w:before="60" w:after="60"/>
              <w:ind w:left="2"/>
              <w:jc w:val="center"/>
            </w:pPr>
            <w:r>
              <w:t>June 2016</w:t>
            </w:r>
          </w:p>
        </w:tc>
      </w:tr>
      <w:tr w:rsidR="009A7F87" w:rsidRPr="0071369A" w:rsidTr="00A672D0">
        <w:tblPrEx>
          <w:tblBorders>
            <w:top w:val="none" w:sz="0" w:space="0" w:color="auto"/>
            <w:bottom w:val="none" w:sz="0" w:space="0" w:color="auto"/>
            <w:insideH w:val="none" w:sz="0" w:space="0" w:color="auto"/>
          </w:tblBorders>
        </w:tblPrEx>
        <w:tc>
          <w:tcPr>
            <w:tcW w:w="5000" w:type="pct"/>
            <w:gridSpan w:val="7"/>
            <w:tcBorders>
              <w:top w:val="single" w:sz="4"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538"/>
        <w:gridCol w:w="3182"/>
        <w:gridCol w:w="1020"/>
        <w:gridCol w:w="595"/>
        <w:gridCol w:w="420"/>
        <w:gridCol w:w="1022"/>
        <w:gridCol w:w="1019"/>
      </w:tblGrid>
      <w:tr w:rsidR="009A7F87" w:rsidRPr="00770229" w:rsidTr="002E2409">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449</w:t>
            </w:r>
            <w:r w:rsidRPr="00770229">
              <w:t xml:space="preserve"> Transportation of other students</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601" w:type="pct"/>
            <w:gridSpan w:val="4"/>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399" w:type="pct"/>
            <w:gridSpan w:val="3"/>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In Australia, State and Territory governments provide transport services, such as contract bus services, and concessions, for school students in urban areas. In some jurisdictions, transport services (particularly concessions) may be offered by a private provider paid by the government.</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r>
              <w:rPr>
                <w:b/>
              </w:rPr>
              <w:t xml:space="preserve"> </w:t>
            </w:r>
            <w:r w:rsidRPr="00770229">
              <w:rPr>
                <w:b/>
              </w:rPr>
              <w:t xml:space="preserve">Additional information is available in the Frequently Asked Questions addressing </w:t>
            </w:r>
            <w:r w:rsidRPr="00770229">
              <w:rPr>
                <w:b/>
                <w:i/>
              </w:rPr>
              <w:t>Allocating State and Territory Government household concessions</w:t>
            </w:r>
            <w:r w:rsidRPr="00770229">
              <w:rPr>
                <w:b/>
              </w:rPr>
              <w:t>, in chapter</w:t>
            </w:r>
            <w:r>
              <w:rPr>
                <w:b/>
              </w:rPr>
              <w:t> </w:t>
            </w:r>
            <w:r w:rsidRPr="00770229">
              <w:rPr>
                <w:b/>
              </w:rPr>
              <w:t>5 of the Expenditure Data Manual.</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szCs w:val="26"/>
              </w:rPr>
            </w:pPr>
            <w:r w:rsidRPr="00770229">
              <w:t>The key cost drivers of expenditure on transportation of other students are the number of students using government subsidised transport and the average subsidy per student.</w:t>
            </w:r>
          </w:p>
        </w:tc>
      </w:tr>
      <w:tr w:rsidR="009A7F87" w:rsidRPr="00770229" w:rsidTr="00A672D0">
        <w:tblPrEx>
          <w:tblBorders>
            <w:top w:val="none" w:sz="0" w:space="0" w:color="auto"/>
            <w:bottom w:val="none" w:sz="0" w:space="0" w:color="auto"/>
            <w:insideH w:val="none" w:sz="0" w:space="0" w:color="auto"/>
          </w:tblBorders>
        </w:tblPrEx>
        <w:tc>
          <w:tcPr>
            <w:tcW w:w="5000" w:type="pct"/>
            <w:gridSpan w:val="7"/>
            <w:tcBorders>
              <w:top w:val="single" w:sz="4" w:space="0" w:color="808080" w:themeColor="background1" w:themeShade="80"/>
              <w:bottom w:val="single" w:sz="4"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AE5242" w:rsidTr="00A672D0">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AE5242" w:rsidRDefault="009A7F87" w:rsidP="009A7F87">
            <w:pPr>
              <w:pStyle w:val="TableColumnHeading"/>
              <w:keepNext w:val="0"/>
              <w:jc w:val="left"/>
            </w:pPr>
          </w:p>
        </w:tc>
        <w:tc>
          <w:tcPr>
            <w:tcW w:w="1809"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ColumnHeading"/>
              <w:keepNext w:val="0"/>
              <w:ind w:left="180"/>
              <w:jc w:val="left"/>
            </w:pPr>
          </w:p>
        </w:tc>
        <w:tc>
          <w:tcPr>
            <w:tcW w:w="2317" w:type="pct"/>
            <w:gridSpan w:val="5"/>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ColumnHeading"/>
              <w:keepNext w:val="0"/>
              <w:ind w:left="180"/>
              <w:jc w:val="center"/>
            </w:pPr>
            <w:r w:rsidRPr="00AE5242">
              <w:t>Data Years</w:t>
            </w:r>
          </w:p>
        </w:tc>
      </w:tr>
      <w:tr w:rsidR="009A7F87" w:rsidRPr="00AE5242" w:rsidTr="00A672D0">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AE5242" w:rsidRDefault="009A7F87" w:rsidP="009A7F87">
            <w:pPr>
              <w:pStyle w:val="TableBodyText"/>
              <w:keepNext w:val="0"/>
              <w:spacing w:before="60" w:after="60"/>
              <w:ind w:left="0"/>
              <w:jc w:val="both"/>
              <w:rPr>
                <w:i/>
              </w:rPr>
            </w:pPr>
            <w:r w:rsidRPr="00AE5242">
              <w:rPr>
                <w:i/>
              </w:rPr>
              <w:br/>
              <w:t>Measure</w:t>
            </w:r>
          </w:p>
        </w:tc>
        <w:tc>
          <w:tcPr>
            <w:tcW w:w="1809"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180"/>
              <w:jc w:val="left"/>
              <w:rPr>
                <w:i/>
              </w:rPr>
            </w:pPr>
            <w:r w:rsidRPr="00AE5242">
              <w:rPr>
                <w:i/>
              </w:rPr>
              <w:br/>
              <w:t>Data source</w:t>
            </w:r>
          </w:p>
        </w:tc>
        <w:tc>
          <w:tcPr>
            <w:tcW w:w="580"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2"/>
              <w:jc w:val="center"/>
              <w:rPr>
                <w:i/>
              </w:rPr>
            </w:pPr>
            <w:r w:rsidRPr="00AE5242">
              <w:rPr>
                <w:i/>
              </w:rPr>
              <w:t>2008</w:t>
            </w:r>
            <w:r w:rsidRPr="00AE5242">
              <w:rPr>
                <w:i/>
              </w:rPr>
              <w:noBreakHyphen/>
              <w:t>09 Estimates</w:t>
            </w:r>
          </w:p>
        </w:tc>
        <w:tc>
          <w:tcPr>
            <w:tcW w:w="577" w:type="pct"/>
            <w:gridSpan w:val="2"/>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2"/>
              <w:jc w:val="center"/>
              <w:rPr>
                <w:i/>
              </w:rPr>
            </w:pPr>
            <w:r w:rsidRPr="00AE5242">
              <w:rPr>
                <w:i/>
              </w:rPr>
              <w:t>2010</w:t>
            </w:r>
            <w:r w:rsidRPr="00AE5242">
              <w:rPr>
                <w:i/>
              </w:rPr>
              <w:noBreakHyphen/>
              <w:t>11 Estimates</w:t>
            </w:r>
          </w:p>
        </w:tc>
        <w:tc>
          <w:tcPr>
            <w:tcW w:w="581"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2"/>
              <w:jc w:val="center"/>
              <w:rPr>
                <w:i/>
              </w:rPr>
            </w:pPr>
            <w:r w:rsidRPr="00AE5242">
              <w:rPr>
                <w:i/>
              </w:rPr>
              <w:t>2012</w:t>
            </w:r>
            <w:r w:rsidRPr="00AE5242">
              <w:rPr>
                <w:i/>
              </w:rPr>
              <w:noBreakHyphen/>
              <w:t>13 Estimates</w:t>
            </w:r>
          </w:p>
        </w:tc>
        <w:tc>
          <w:tcPr>
            <w:tcW w:w="579" w:type="pct"/>
            <w:tcBorders>
              <w:top w:val="single" w:sz="4" w:space="0" w:color="808080" w:themeColor="background1" w:themeShade="80"/>
              <w:bottom w:val="single" w:sz="4" w:space="0" w:color="808080" w:themeColor="background1" w:themeShade="80"/>
            </w:tcBorders>
          </w:tcPr>
          <w:p w:rsidR="009A7F87" w:rsidRPr="00AE5242" w:rsidRDefault="009A7F87" w:rsidP="009A7F87">
            <w:pPr>
              <w:pStyle w:val="TableBodyText"/>
              <w:keepNext w:val="0"/>
              <w:spacing w:before="60" w:after="60"/>
              <w:ind w:left="2"/>
              <w:jc w:val="center"/>
              <w:rPr>
                <w:i/>
              </w:rPr>
            </w:pPr>
            <w:r w:rsidRPr="00AE5242">
              <w:rPr>
                <w:i/>
              </w:rPr>
              <w:t>2015</w:t>
            </w:r>
            <w:r w:rsidRPr="00AE5242">
              <w:rPr>
                <w:i/>
              </w:rPr>
              <w:noBreakHyphen/>
              <w:t>16 Estimates</w:t>
            </w:r>
          </w:p>
        </w:tc>
      </w:tr>
      <w:tr w:rsidR="009A7F87" w:rsidRPr="00770229" w:rsidTr="000E0C9E">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‘Major city’ resident population aged 5–19</w:t>
            </w:r>
            <w:r w:rsidRPr="00770229">
              <w:br/>
              <w:t xml:space="preserve">(‘Inner regional’ for </w:t>
            </w:r>
            <w:proofErr w:type="spellStart"/>
            <w:r w:rsidRPr="00770229">
              <w:t>Tas</w:t>
            </w:r>
            <w:proofErr w:type="spellEnd"/>
            <w:r w:rsidRPr="00770229">
              <w:t>, ‘outer regional’ for NT)</w:t>
            </w:r>
          </w:p>
          <w:p w:rsidR="009A7F87" w:rsidRPr="00770229" w:rsidRDefault="009A7F87" w:rsidP="009A7F87">
            <w:pPr>
              <w:pStyle w:val="TableBodyText"/>
              <w:keepNext w:val="0"/>
              <w:spacing w:before="60" w:after="60"/>
              <w:ind w:left="0"/>
              <w:jc w:val="left"/>
            </w:pPr>
          </w:p>
        </w:tc>
        <w:tc>
          <w:tcPr>
            <w:tcW w:w="1809" w:type="pct"/>
            <w:tcBorders>
              <w:top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Estimates and Projections, </w:t>
            </w:r>
            <w:r w:rsidRPr="00B57BBD">
              <w:t xml:space="preserve">Aboriginal and Torres Strait Islander Australians, 2001–2026 </w:t>
            </w:r>
            <w:r w:rsidRPr="00770229">
              <w:t xml:space="preserve"> </w:t>
            </w:r>
            <w:r>
              <w:br/>
            </w:r>
            <w:r w:rsidRPr="00770229">
              <w:t>(</w:t>
            </w:r>
            <w:r>
              <w:t>C</w:t>
            </w:r>
            <w:r w:rsidRPr="00770229">
              <w:t xml:space="preserve">at. no. 3238.0); ABS Australian Demographic Statistics </w:t>
            </w:r>
            <w:r>
              <w:br/>
            </w:r>
            <w:r w:rsidRPr="00770229">
              <w:t>(</w:t>
            </w:r>
            <w:r>
              <w:t>C</w:t>
            </w:r>
            <w:r w:rsidRPr="00770229">
              <w:t xml:space="preserve">at. 3101.0); ABS Estimates of Aboriginal and Torres Strait Islander Australians, Jun 2011 </w:t>
            </w:r>
            <w:r>
              <w:br/>
            </w:r>
            <w:r w:rsidRPr="00770229">
              <w:t>(</w:t>
            </w:r>
            <w:r>
              <w:t>C</w:t>
            </w:r>
            <w:r w:rsidRPr="00770229">
              <w:t>at. no. 3238.0.55.001); and ABS Population by Age and Sex, Regions of Australia, 2013 </w:t>
            </w:r>
            <w:r>
              <w:br/>
              <w:t>(C</w:t>
            </w:r>
            <w:r w:rsidRPr="00770229">
              <w:t>at. no. 3235</w:t>
            </w:r>
            <w:r>
              <w:t>)</w:t>
            </w:r>
          </w:p>
        </w:tc>
        <w:tc>
          <w:tcPr>
            <w:tcW w:w="580" w:type="pct"/>
            <w:tcBorders>
              <w:top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77" w:type="pct"/>
            <w:gridSpan w:val="2"/>
            <w:tcBorders>
              <w:top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1" w:type="pct"/>
            <w:tcBorders>
              <w:top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79" w:type="pct"/>
            <w:tcBorders>
              <w:top w:val="single" w:sz="4"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70229" w:rsidTr="000E0C9E">
        <w:tblPrEx>
          <w:tblBorders>
            <w:top w:val="none" w:sz="0" w:space="0" w:color="auto"/>
            <w:bottom w:val="none" w:sz="0" w:space="0" w:color="auto"/>
            <w:insideH w:val="none" w:sz="0" w:space="0" w:color="auto"/>
          </w:tblBorders>
        </w:tblPrEx>
        <w:tc>
          <w:tcPr>
            <w:tcW w:w="874" w:type="pct"/>
            <w:tcBorders>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‘Major city’ tertiary students(‘</w:t>
            </w:r>
            <w:r w:rsidRPr="00770229">
              <w:rPr>
                <w:i/>
              </w:rPr>
              <w:t xml:space="preserve">Inner regional’ for </w:t>
            </w:r>
            <w:proofErr w:type="spellStart"/>
            <w:r w:rsidRPr="00770229">
              <w:rPr>
                <w:i/>
              </w:rPr>
              <w:t>Tas</w:t>
            </w:r>
            <w:proofErr w:type="spellEnd"/>
            <w:r w:rsidRPr="00770229">
              <w:rPr>
                <w:i/>
              </w:rPr>
              <w:t>, ‘outer regional’ for NT)</w:t>
            </w:r>
          </w:p>
        </w:tc>
        <w:tc>
          <w:tcPr>
            <w:tcW w:w="1809" w:type="pct"/>
            <w:tcBorders>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DEEWR Higher Education Statistics Collection</w:t>
            </w:r>
            <w:r>
              <w:t xml:space="preserve">; </w:t>
            </w:r>
            <w:r w:rsidRPr="00770229">
              <w:t>NCVER Student and courses collection</w:t>
            </w:r>
          </w:p>
        </w:tc>
        <w:tc>
          <w:tcPr>
            <w:tcW w:w="580"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r>
              <w:br/>
            </w:r>
          </w:p>
        </w:tc>
        <w:tc>
          <w:tcPr>
            <w:tcW w:w="577" w:type="pct"/>
            <w:gridSpan w:val="2"/>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c>
          <w:tcPr>
            <w:tcW w:w="581" w:type="pct"/>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2012-13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c>
          <w:tcPr>
            <w:tcW w:w="579" w:type="pct"/>
            <w:tcBorders>
              <w:bottom w:val="single" w:sz="6" w:space="0" w:color="808080" w:themeColor="background1" w:themeShade="80"/>
            </w:tcBorders>
            <w:vAlign w:val="center"/>
          </w:tcPr>
          <w:p w:rsidR="009A7F87" w:rsidRDefault="009A7F87" w:rsidP="009A7F87">
            <w:pPr>
              <w:pStyle w:val="TableBodyText"/>
              <w:spacing w:before="60" w:after="60"/>
              <w:ind w:left="2"/>
              <w:jc w:val="center"/>
            </w:pPr>
            <w:r>
              <w:t>2015-16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r>
      <w:tr w:rsidR="009A7F87" w:rsidRPr="0071369A" w:rsidTr="000E0C9E">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538"/>
        <w:gridCol w:w="3182"/>
        <w:gridCol w:w="1020"/>
        <w:gridCol w:w="595"/>
        <w:gridCol w:w="420"/>
        <w:gridCol w:w="1022"/>
        <w:gridCol w:w="1019"/>
      </w:tblGrid>
      <w:tr w:rsidR="009A7F87" w:rsidRPr="00770229" w:rsidTr="002E2409">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449.1</w:t>
            </w:r>
            <w:r w:rsidRPr="00770229">
              <w:t xml:space="preserve"> Other transportation for school students</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601" w:type="pct"/>
            <w:gridSpan w:val="4"/>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399" w:type="pct"/>
            <w:gridSpan w:val="3"/>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In Australia, State and Territory governments provide transport services, such as contract bus services, and concessions, for school students in urban areas. In some jurisdictions, transport services (particularly concessions) may be offered by a private provider paid by the government.</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r>
              <w:rPr>
                <w:b/>
              </w:rPr>
              <w:t xml:space="preserve"> </w:t>
            </w:r>
            <w:r w:rsidRPr="00770229">
              <w:rPr>
                <w:b/>
              </w:rPr>
              <w:t xml:space="preserve">Additional information is available in the Frequently Asked Questions addressing </w:t>
            </w:r>
            <w:r w:rsidRPr="00770229">
              <w:rPr>
                <w:b/>
                <w:i/>
              </w:rPr>
              <w:t>Allocating State and Territory Government household concessions</w:t>
            </w:r>
            <w:r w:rsidRPr="00770229">
              <w:rPr>
                <w:b/>
              </w:rPr>
              <w:t>, in chapter</w:t>
            </w:r>
            <w:r>
              <w:rPr>
                <w:b/>
              </w:rPr>
              <w:t> </w:t>
            </w:r>
            <w:r w:rsidRPr="00770229">
              <w:rPr>
                <w:b/>
              </w:rPr>
              <w:t>5 of the Expenditure Data Manual.</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szCs w:val="26"/>
              </w:rPr>
            </w:pPr>
            <w:r w:rsidRPr="00770229">
              <w:t xml:space="preserve">The cost driver of expenditure related to </w:t>
            </w:r>
            <w:r w:rsidRPr="00770229">
              <w:rPr>
                <w:i/>
              </w:rPr>
              <w:t>transportation of other students</w:t>
            </w:r>
            <w:r w:rsidRPr="00770229">
              <w:t xml:space="preserve"> (GPC 0449) are the number of students using government subsidised transport and t</w:t>
            </w:r>
            <w:r>
              <w:t>he average subsidy per student.</w:t>
            </w:r>
          </w:p>
        </w:tc>
      </w:tr>
      <w:tr w:rsidR="009A7F87" w:rsidRPr="00770229" w:rsidTr="00A672D0">
        <w:tblPrEx>
          <w:tblBorders>
            <w:top w:val="none" w:sz="0" w:space="0" w:color="auto"/>
            <w:bottom w:val="none" w:sz="0" w:space="0" w:color="auto"/>
            <w:insideH w:val="none" w:sz="0" w:space="0" w:color="auto"/>
          </w:tblBorders>
        </w:tblPrEx>
        <w:tc>
          <w:tcPr>
            <w:tcW w:w="5000" w:type="pct"/>
            <w:gridSpan w:val="7"/>
            <w:tcBorders>
              <w:top w:val="single" w:sz="4" w:space="0" w:color="808080" w:themeColor="background1" w:themeShade="80"/>
              <w:bottom w:val="single" w:sz="4"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AE5242" w:rsidTr="00A672D0">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AE5242" w:rsidRDefault="009A7F87" w:rsidP="009A7F87">
            <w:pPr>
              <w:pStyle w:val="TableColumnHeading"/>
              <w:keepNext w:val="0"/>
              <w:jc w:val="left"/>
            </w:pPr>
          </w:p>
        </w:tc>
        <w:tc>
          <w:tcPr>
            <w:tcW w:w="1809"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ColumnHeading"/>
              <w:keepNext w:val="0"/>
              <w:ind w:left="180"/>
              <w:jc w:val="left"/>
            </w:pPr>
          </w:p>
        </w:tc>
        <w:tc>
          <w:tcPr>
            <w:tcW w:w="2317" w:type="pct"/>
            <w:gridSpan w:val="5"/>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ColumnHeading"/>
              <w:keepNext w:val="0"/>
              <w:ind w:left="180"/>
              <w:jc w:val="center"/>
            </w:pPr>
            <w:r w:rsidRPr="00AE5242">
              <w:t>Data Years</w:t>
            </w:r>
          </w:p>
        </w:tc>
      </w:tr>
      <w:tr w:rsidR="009A7F87" w:rsidRPr="00AE5242" w:rsidTr="00A672D0">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AE5242" w:rsidRDefault="009A7F87" w:rsidP="009A7F87">
            <w:pPr>
              <w:pStyle w:val="TableBodyText"/>
              <w:keepNext w:val="0"/>
              <w:spacing w:before="60" w:after="60"/>
              <w:ind w:left="0"/>
              <w:jc w:val="both"/>
              <w:rPr>
                <w:i/>
              </w:rPr>
            </w:pPr>
            <w:r w:rsidRPr="00AE5242">
              <w:rPr>
                <w:i/>
              </w:rPr>
              <w:br/>
              <w:t>Measure</w:t>
            </w:r>
          </w:p>
        </w:tc>
        <w:tc>
          <w:tcPr>
            <w:tcW w:w="1809"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180"/>
              <w:jc w:val="left"/>
              <w:rPr>
                <w:i/>
              </w:rPr>
            </w:pPr>
            <w:r w:rsidRPr="00AE5242">
              <w:rPr>
                <w:i/>
              </w:rPr>
              <w:br/>
              <w:t>Data source</w:t>
            </w:r>
          </w:p>
        </w:tc>
        <w:tc>
          <w:tcPr>
            <w:tcW w:w="580"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2"/>
              <w:jc w:val="center"/>
              <w:rPr>
                <w:i/>
              </w:rPr>
            </w:pPr>
            <w:r w:rsidRPr="00AE5242">
              <w:rPr>
                <w:i/>
              </w:rPr>
              <w:t>2008</w:t>
            </w:r>
            <w:r w:rsidRPr="00AE5242">
              <w:rPr>
                <w:i/>
              </w:rPr>
              <w:noBreakHyphen/>
              <w:t>09 Estimates</w:t>
            </w:r>
          </w:p>
        </w:tc>
        <w:tc>
          <w:tcPr>
            <w:tcW w:w="577" w:type="pct"/>
            <w:gridSpan w:val="2"/>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2"/>
              <w:jc w:val="center"/>
              <w:rPr>
                <w:i/>
              </w:rPr>
            </w:pPr>
            <w:r w:rsidRPr="00AE5242">
              <w:rPr>
                <w:i/>
              </w:rPr>
              <w:t>2010</w:t>
            </w:r>
            <w:r w:rsidRPr="00AE5242">
              <w:rPr>
                <w:i/>
              </w:rPr>
              <w:noBreakHyphen/>
              <w:t>11 Estimates</w:t>
            </w:r>
          </w:p>
        </w:tc>
        <w:tc>
          <w:tcPr>
            <w:tcW w:w="581"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2"/>
              <w:jc w:val="center"/>
              <w:rPr>
                <w:i/>
              </w:rPr>
            </w:pPr>
            <w:r w:rsidRPr="00AE5242">
              <w:rPr>
                <w:i/>
              </w:rPr>
              <w:t>2012</w:t>
            </w:r>
            <w:r w:rsidRPr="00AE5242">
              <w:rPr>
                <w:i/>
              </w:rPr>
              <w:noBreakHyphen/>
              <w:t>13 Estimates</w:t>
            </w:r>
          </w:p>
        </w:tc>
        <w:tc>
          <w:tcPr>
            <w:tcW w:w="579" w:type="pct"/>
            <w:tcBorders>
              <w:top w:val="single" w:sz="4" w:space="0" w:color="808080" w:themeColor="background1" w:themeShade="80"/>
              <w:bottom w:val="single" w:sz="4" w:space="0" w:color="808080" w:themeColor="background1" w:themeShade="80"/>
            </w:tcBorders>
          </w:tcPr>
          <w:p w:rsidR="009A7F87" w:rsidRPr="00AE5242" w:rsidRDefault="009A7F87" w:rsidP="009A7F87">
            <w:pPr>
              <w:pStyle w:val="TableBodyText"/>
              <w:keepNext w:val="0"/>
              <w:spacing w:before="60" w:after="60"/>
              <w:ind w:left="2"/>
              <w:jc w:val="center"/>
              <w:rPr>
                <w:i/>
              </w:rPr>
            </w:pPr>
            <w:r w:rsidRPr="00AE5242">
              <w:rPr>
                <w:i/>
              </w:rPr>
              <w:t>2015</w:t>
            </w:r>
            <w:r w:rsidRPr="00AE5242">
              <w:rPr>
                <w:i/>
              </w:rPr>
              <w:noBreakHyphen/>
              <w:t>16 Estimates</w:t>
            </w:r>
          </w:p>
        </w:tc>
      </w:tr>
      <w:tr w:rsidR="009A7F87" w:rsidRPr="00770229" w:rsidTr="00A672D0">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‘Major city’ resident population aged 5–19</w:t>
            </w:r>
            <w:r w:rsidRPr="00770229">
              <w:br/>
              <w:t xml:space="preserve">(‘Inner regional’ for </w:t>
            </w:r>
            <w:proofErr w:type="spellStart"/>
            <w:r w:rsidRPr="00770229">
              <w:t>Tas</w:t>
            </w:r>
            <w:proofErr w:type="spellEnd"/>
            <w:r w:rsidRPr="00770229">
              <w:t>, ‘outer regional’ for NT)</w:t>
            </w:r>
          </w:p>
          <w:p w:rsidR="009A7F87" w:rsidRPr="00770229" w:rsidRDefault="009A7F87" w:rsidP="009A7F87">
            <w:pPr>
              <w:pStyle w:val="TableBodyText"/>
              <w:keepNext w:val="0"/>
              <w:spacing w:before="60" w:after="60"/>
              <w:ind w:left="0"/>
              <w:jc w:val="left"/>
            </w:pPr>
          </w:p>
        </w:tc>
        <w:tc>
          <w:tcPr>
            <w:tcW w:w="1809" w:type="pct"/>
            <w:tcBorders>
              <w:top w:val="single" w:sz="4" w:space="0" w:color="808080" w:themeColor="background1" w:themeShade="80"/>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Estimates and Projections, </w:t>
            </w:r>
            <w:r w:rsidRPr="00B57BBD">
              <w:t xml:space="preserve">Aboriginal and Torres Strait Islander Australians, 2001–2026 </w:t>
            </w:r>
            <w:r w:rsidRPr="00770229">
              <w:t xml:space="preserve"> </w:t>
            </w:r>
            <w:r>
              <w:br/>
            </w:r>
            <w:r w:rsidRPr="00770229">
              <w:t>(</w:t>
            </w:r>
            <w:r>
              <w:t>C</w:t>
            </w:r>
            <w:r w:rsidRPr="00770229">
              <w:t xml:space="preserve">at. no. 3238.0); ABS Australian Demographic Statistics </w:t>
            </w:r>
            <w:r>
              <w:br/>
            </w:r>
            <w:r w:rsidRPr="00770229">
              <w:t>(</w:t>
            </w:r>
            <w:r>
              <w:t>C</w:t>
            </w:r>
            <w:r w:rsidRPr="00770229">
              <w:t>at. 3101.0); ABS Estimates of Aboriginal and Torres Strait I</w:t>
            </w:r>
            <w:r>
              <w:t xml:space="preserve">slander Australians, Jun 2011 </w:t>
            </w:r>
            <w:r>
              <w:br/>
              <w:t>(C</w:t>
            </w:r>
            <w:r w:rsidRPr="00770229">
              <w:t>at. no. 3238.0.55.001); and ABS Population by Age and Sex, Regions of Australia, 2013 </w:t>
            </w:r>
            <w:r>
              <w:t>(Cat. no. 3235)</w:t>
            </w:r>
          </w:p>
        </w:tc>
        <w:tc>
          <w:tcPr>
            <w:tcW w:w="580" w:type="pct"/>
            <w:tcBorders>
              <w:top w:val="single" w:sz="4" w:space="0" w:color="808080" w:themeColor="background1" w:themeShade="80"/>
              <w:bottom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77" w:type="pct"/>
            <w:gridSpan w:val="2"/>
            <w:tcBorders>
              <w:top w:val="single" w:sz="4" w:space="0" w:color="808080" w:themeColor="background1" w:themeShade="80"/>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1" w:type="pct"/>
            <w:tcBorders>
              <w:top w:val="single" w:sz="4" w:space="0" w:color="808080" w:themeColor="background1" w:themeShade="80"/>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79" w:type="pct"/>
            <w:tcBorders>
              <w:top w:val="single" w:sz="4" w:space="0" w:color="808080" w:themeColor="background1" w:themeShade="80"/>
              <w:bottom w:val="single" w:sz="4"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1369A" w:rsidTr="00A672D0">
        <w:tblPrEx>
          <w:tblBorders>
            <w:top w:val="none" w:sz="0" w:space="0" w:color="auto"/>
            <w:bottom w:val="none" w:sz="0" w:space="0" w:color="auto"/>
            <w:insideH w:val="none" w:sz="0" w:space="0" w:color="auto"/>
          </w:tblBorders>
        </w:tblPrEx>
        <w:tc>
          <w:tcPr>
            <w:tcW w:w="5000" w:type="pct"/>
            <w:gridSpan w:val="7"/>
            <w:tcBorders>
              <w:top w:val="single" w:sz="4"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538"/>
        <w:gridCol w:w="3182"/>
        <w:gridCol w:w="1020"/>
        <w:gridCol w:w="595"/>
        <w:gridCol w:w="420"/>
        <w:gridCol w:w="1022"/>
        <w:gridCol w:w="1019"/>
      </w:tblGrid>
      <w:tr w:rsidR="009A7F87" w:rsidRPr="00770229" w:rsidTr="002E2409">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449.2</w:t>
            </w:r>
            <w:r w:rsidRPr="00770229">
              <w:t xml:space="preserve"> Transportation of tertiary students</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601" w:type="pct"/>
            <w:gridSpan w:val="4"/>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399" w:type="pct"/>
            <w:gridSpan w:val="3"/>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In Australia, State and Territory governments provide transport services, such as contract bus services, and concessions, for those undertaking university education or technical and further education in urban areas. In some jurisdictions, transport services (particularly concessions) may be offered by a private provider paid by the government.</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r>
              <w:rPr>
                <w:b/>
              </w:rPr>
              <w:t xml:space="preserve"> </w:t>
            </w:r>
            <w:r w:rsidRPr="00770229">
              <w:rPr>
                <w:b/>
              </w:rPr>
              <w:t xml:space="preserve">Additional information is available in the Frequently Asked Questions addressing </w:t>
            </w:r>
            <w:r w:rsidRPr="00770229">
              <w:rPr>
                <w:b/>
                <w:i/>
              </w:rPr>
              <w:t>Allocating State and Territory Government household concessions</w:t>
            </w:r>
            <w:r w:rsidRPr="00770229">
              <w:rPr>
                <w:b/>
              </w:rPr>
              <w:t>, in chapter</w:t>
            </w:r>
            <w:r>
              <w:rPr>
                <w:b/>
              </w:rPr>
              <w:t> </w:t>
            </w:r>
            <w:r w:rsidRPr="00770229">
              <w:rPr>
                <w:b/>
              </w:rPr>
              <w:t>5 of the Expenditure Data Manual.</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szCs w:val="26"/>
              </w:rPr>
            </w:pPr>
            <w:r w:rsidRPr="00770229">
              <w:t xml:space="preserve">The cost driver of expenditure related to </w:t>
            </w:r>
            <w:r w:rsidRPr="00770229">
              <w:rPr>
                <w:i/>
              </w:rPr>
              <w:t>transportation of other students</w:t>
            </w:r>
            <w:r w:rsidRPr="00770229">
              <w:t xml:space="preserve"> (GPC 0449) are the number of students using government subsidised transport and the average subsidy per stud</w:t>
            </w:r>
            <w:r>
              <w:t>ent.</w:t>
            </w:r>
          </w:p>
        </w:tc>
      </w:tr>
      <w:tr w:rsidR="009A7F87" w:rsidRPr="00770229" w:rsidTr="00A672D0">
        <w:tblPrEx>
          <w:tblBorders>
            <w:top w:val="none" w:sz="0" w:space="0" w:color="auto"/>
            <w:bottom w:val="none" w:sz="0" w:space="0" w:color="auto"/>
            <w:insideH w:val="none" w:sz="0" w:space="0" w:color="auto"/>
          </w:tblBorders>
        </w:tblPrEx>
        <w:tc>
          <w:tcPr>
            <w:tcW w:w="5000" w:type="pct"/>
            <w:gridSpan w:val="7"/>
            <w:tcBorders>
              <w:top w:val="single" w:sz="4" w:space="0" w:color="808080" w:themeColor="background1" w:themeShade="80"/>
              <w:bottom w:val="single" w:sz="4"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AE5242" w:rsidTr="00A672D0">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AE5242" w:rsidRDefault="009A7F87" w:rsidP="009A7F87">
            <w:pPr>
              <w:pStyle w:val="TableColumnHeading"/>
              <w:keepNext w:val="0"/>
              <w:jc w:val="left"/>
            </w:pPr>
          </w:p>
        </w:tc>
        <w:tc>
          <w:tcPr>
            <w:tcW w:w="1809"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ColumnHeading"/>
              <w:keepNext w:val="0"/>
              <w:ind w:left="180"/>
              <w:jc w:val="left"/>
            </w:pPr>
          </w:p>
        </w:tc>
        <w:tc>
          <w:tcPr>
            <w:tcW w:w="2317" w:type="pct"/>
            <w:gridSpan w:val="5"/>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ColumnHeading"/>
              <w:keepNext w:val="0"/>
              <w:ind w:left="180"/>
              <w:jc w:val="center"/>
            </w:pPr>
            <w:r w:rsidRPr="00AE5242">
              <w:t>Data Years</w:t>
            </w:r>
          </w:p>
        </w:tc>
      </w:tr>
      <w:tr w:rsidR="009A7F87" w:rsidRPr="00AE5242" w:rsidTr="00A672D0">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AE5242" w:rsidRDefault="009A7F87" w:rsidP="009A7F87">
            <w:pPr>
              <w:pStyle w:val="TableBodyText"/>
              <w:keepNext w:val="0"/>
              <w:spacing w:before="60" w:after="60"/>
              <w:ind w:left="0"/>
              <w:jc w:val="both"/>
              <w:rPr>
                <w:i/>
              </w:rPr>
            </w:pPr>
            <w:r w:rsidRPr="00AE5242">
              <w:rPr>
                <w:i/>
              </w:rPr>
              <w:br/>
              <w:t>Measure</w:t>
            </w:r>
          </w:p>
        </w:tc>
        <w:tc>
          <w:tcPr>
            <w:tcW w:w="1809"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180"/>
              <w:jc w:val="left"/>
              <w:rPr>
                <w:i/>
              </w:rPr>
            </w:pPr>
            <w:r w:rsidRPr="00AE5242">
              <w:rPr>
                <w:i/>
              </w:rPr>
              <w:br/>
              <w:t>Data source</w:t>
            </w:r>
          </w:p>
        </w:tc>
        <w:tc>
          <w:tcPr>
            <w:tcW w:w="580"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2"/>
              <w:jc w:val="center"/>
              <w:rPr>
                <w:i/>
              </w:rPr>
            </w:pPr>
            <w:r w:rsidRPr="00AE5242">
              <w:rPr>
                <w:i/>
              </w:rPr>
              <w:t>2008</w:t>
            </w:r>
            <w:r w:rsidRPr="00AE5242">
              <w:rPr>
                <w:i/>
              </w:rPr>
              <w:noBreakHyphen/>
              <w:t>09 Estimates</w:t>
            </w:r>
          </w:p>
        </w:tc>
        <w:tc>
          <w:tcPr>
            <w:tcW w:w="577" w:type="pct"/>
            <w:gridSpan w:val="2"/>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2"/>
              <w:jc w:val="center"/>
              <w:rPr>
                <w:i/>
              </w:rPr>
            </w:pPr>
            <w:r w:rsidRPr="00AE5242">
              <w:rPr>
                <w:i/>
              </w:rPr>
              <w:t>2010</w:t>
            </w:r>
            <w:r w:rsidRPr="00AE5242">
              <w:rPr>
                <w:i/>
              </w:rPr>
              <w:noBreakHyphen/>
              <w:t>11 Estimates</w:t>
            </w:r>
          </w:p>
        </w:tc>
        <w:tc>
          <w:tcPr>
            <w:tcW w:w="581"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2"/>
              <w:jc w:val="center"/>
              <w:rPr>
                <w:i/>
              </w:rPr>
            </w:pPr>
            <w:r w:rsidRPr="00AE5242">
              <w:rPr>
                <w:i/>
              </w:rPr>
              <w:t>2012</w:t>
            </w:r>
            <w:r w:rsidRPr="00AE5242">
              <w:rPr>
                <w:i/>
              </w:rPr>
              <w:noBreakHyphen/>
              <w:t>13 Estimates</w:t>
            </w:r>
          </w:p>
        </w:tc>
        <w:tc>
          <w:tcPr>
            <w:tcW w:w="579" w:type="pct"/>
            <w:tcBorders>
              <w:top w:val="single" w:sz="4" w:space="0" w:color="808080" w:themeColor="background1" w:themeShade="80"/>
              <w:bottom w:val="single" w:sz="4" w:space="0" w:color="808080" w:themeColor="background1" w:themeShade="80"/>
            </w:tcBorders>
          </w:tcPr>
          <w:p w:rsidR="009A7F87" w:rsidRPr="00AE5242" w:rsidRDefault="009A7F87" w:rsidP="009A7F87">
            <w:pPr>
              <w:pStyle w:val="TableBodyText"/>
              <w:keepNext w:val="0"/>
              <w:spacing w:before="60" w:after="60"/>
              <w:ind w:left="2"/>
              <w:jc w:val="center"/>
              <w:rPr>
                <w:i/>
              </w:rPr>
            </w:pPr>
            <w:r w:rsidRPr="00AE5242">
              <w:rPr>
                <w:i/>
              </w:rPr>
              <w:t>2015</w:t>
            </w:r>
            <w:r w:rsidRPr="00AE5242">
              <w:rPr>
                <w:i/>
              </w:rPr>
              <w:noBreakHyphen/>
              <w:t>16 Estimates</w:t>
            </w:r>
          </w:p>
        </w:tc>
      </w:tr>
      <w:tr w:rsidR="009A7F87" w:rsidRPr="00770229" w:rsidTr="000E0C9E">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‘Major city’ resident population aged 5–19</w:t>
            </w:r>
            <w:r w:rsidRPr="00770229">
              <w:br/>
              <w:t xml:space="preserve">(‘Inner regional’ for </w:t>
            </w:r>
            <w:proofErr w:type="spellStart"/>
            <w:r w:rsidRPr="00770229">
              <w:t>Tas</w:t>
            </w:r>
            <w:proofErr w:type="spellEnd"/>
            <w:r w:rsidRPr="00770229">
              <w:t>, ‘outer regional’ for NT)</w:t>
            </w:r>
          </w:p>
          <w:p w:rsidR="009A7F87" w:rsidRPr="00770229" w:rsidRDefault="009A7F87" w:rsidP="009A7F87">
            <w:pPr>
              <w:pStyle w:val="TableBodyText"/>
              <w:keepNext w:val="0"/>
              <w:spacing w:before="60" w:after="60"/>
              <w:ind w:left="0"/>
              <w:jc w:val="left"/>
            </w:pPr>
          </w:p>
        </w:tc>
        <w:tc>
          <w:tcPr>
            <w:tcW w:w="1809" w:type="pct"/>
            <w:tcBorders>
              <w:top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Estimates and Projections, </w:t>
            </w:r>
            <w:r w:rsidRPr="00B57BBD">
              <w:t>Aboriginal and Torres Strait Islander Australians, 2001–2026</w:t>
            </w:r>
            <w:r w:rsidRPr="00770229" w:rsidDel="00B57BBD">
              <w:t xml:space="preserve"> </w:t>
            </w:r>
            <w:r>
              <w:br/>
            </w:r>
            <w:r w:rsidRPr="00770229">
              <w:t>(</w:t>
            </w:r>
            <w:r>
              <w:t>C</w:t>
            </w:r>
            <w:r w:rsidRPr="00770229">
              <w:t xml:space="preserve">at. no. 3238.0); ABS Australian Demographic Statistics </w:t>
            </w:r>
            <w:r>
              <w:br/>
            </w:r>
            <w:r w:rsidRPr="00770229">
              <w:t>(</w:t>
            </w:r>
            <w:r>
              <w:t>C</w:t>
            </w:r>
            <w:r w:rsidRPr="00770229">
              <w:t xml:space="preserve">at. 3101.0); ABS Estimates of Aboriginal and Torres Strait Islander Australians, Jun 2011 </w:t>
            </w:r>
            <w:r>
              <w:br/>
            </w:r>
            <w:r w:rsidRPr="00770229">
              <w:t>(</w:t>
            </w:r>
            <w:r>
              <w:t>C</w:t>
            </w:r>
            <w:r w:rsidRPr="00770229">
              <w:t>at. no. 3238.0.55.001); and ABS Population by Age and S</w:t>
            </w:r>
            <w:r>
              <w:t>ex, Regions of Australia, 2013 (C</w:t>
            </w:r>
            <w:r w:rsidRPr="00770229">
              <w:t>at. no. 3235</w:t>
            </w:r>
            <w:r>
              <w:t>)</w:t>
            </w:r>
          </w:p>
        </w:tc>
        <w:tc>
          <w:tcPr>
            <w:tcW w:w="580" w:type="pct"/>
            <w:tcBorders>
              <w:top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77" w:type="pct"/>
            <w:gridSpan w:val="2"/>
            <w:tcBorders>
              <w:top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1" w:type="pct"/>
            <w:tcBorders>
              <w:top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79" w:type="pct"/>
            <w:tcBorders>
              <w:top w:val="single" w:sz="4"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70229" w:rsidTr="000E0C9E">
        <w:tblPrEx>
          <w:tblBorders>
            <w:top w:val="none" w:sz="0" w:space="0" w:color="auto"/>
            <w:bottom w:val="none" w:sz="0" w:space="0" w:color="auto"/>
            <w:insideH w:val="none" w:sz="0" w:space="0" w:color="auto"/>
          </w:tblBorders>
        </w:tblPrEx>
        <w:tc>
          <w:tcPr>
            <w:tcW w:w="874" w:type="pct"/>
            <w:tcBorders>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‘Major city’ tertiary students(‘</w:t>
            </w:r>
            <w:r w:rsidRPr="00770229">
              <w:rPr>
                <w:i/>
              </w:rPr>
              <w:t xml:space="preserve">Inner regional’ for </w:t>
            </w:r>
            <w:proofErr w:type="spellStart"/>
            <w:r w:rsidRPr="00770229">
              <w:rPr>
                <w:i/>
              </w:rPr>
              <w:t>Tas</w:t>
            </w:r>
            <w:proofErr w:type="spellEnd"/>
            <w:r w:rsidRPr="00770229">
              <w:rPr>
                <w:i/>
              </w:rPr>
              <w:t>, ‘outer regional’ for NT)</w:t>
            </w:r>
          </w:p>
        </w:tc>
        <w:tc>
          <w:tcPr>
            <w:tcW w:w="1809" w:type="pct"/>
            <w:tcBorders>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DEEWR Higher Education Statistics Collection</w:t>
            </w:r>
            <w:r>
              <w:t xml:space="preserve">; </w:t>
            </w:r>
            <w:r w:rsidRPr="00770229">
              <w:t>NCVER Student and courses collection</w:t>
            </w:r>
          </w:p>
        </w:tc>
        <w:tc>
          <w:tcPr>
            <w:tcW w:w="580"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r>
              <w:br/>
            </w:r>
          </w:p>
        </w:tc>
        <w:tc>
          <w:tcPr>
            <w:tcW w:w="577" w:type="pct"/>
            <w:gridSpan w:val="2"/>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c>
          <w:tcPr>
            <w:tcW w:w="581" w:type="pct"/>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c>
          <w:tcPr>
            <w:tcW w:w="579" w:type="pct"/>
            <w:tcBorders>
              <w:bottom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r>
      <w:tr w:rsidR="009A7F87" w:rsidRPr="0071369A" w:rsidTr="000E0C9E">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538"/>
        <w:gridCol w:w="3182"/>
        <w:gridCol w:w="1020"/>
        <w:gridCol w:w="595"/>
        <w:gridCol w:w="420"/>
        <w:gridCol w:w="1022"/>
        <w:gridCol w:w="1012"/>
        <w:gridCol w:w="7"/>
      </w:tblGrid>
      <w:tr w:rsidR="009A7F87" w:rsidRPr="00770229" w:rsidTr="002E2409">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r>
            <w:r>
              <w:t>0490</w:t>
            </w:r>
            <w:r w:rsidRPr="00770229">
              <w:t xml:space="preserve"> Education </w:t>
            </w:r>
            <w:proofErr w:type="spellStart"/>
            <w:r w:rsidRPr="00770229">
              <w:t>nec</w:t>
            </w:r>
            <w:proofErr w:type="spellEnd"/>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601" w:type="pct"/>
            <w:gridSpan w:val="4"/>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399" w:type="pct"/>
            <w:gridSpan w:val="4"/>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8"/>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8"/>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Australian, State and Territory governments may provide services that support education in Australia that cannot be classified elsewhere.</w:t>
            </w:r>
          </w:p>
          <w:p w:rsidR="009A7F87" w:rsidRPr="00770229" w:rsidRDefault="009A7F87" w:rsidP="009A7F87">
            <w:pPr>
              <w:pStyle w:val="TableBodyText"/>
              <w:keepNext w:val="0"/>
              <w:keepLines w:val="0"/>
              <w:spacing w:before="80" w:after="80"/>
              <w:jc w:val="left"/>
            </w:pPr>
            <w:r w:rsidRPr="00770229">
              <w:t xml:space="preserve">This category includes Australian government financial assistance — such as income support payments to students (for example </w:t>
            </w:r>
            <w:proofErr w:type="spellStart"/>
            <w:r w:rsidRPr="00770229">
              <w:t>Austudy</w:t>
            </w:r>
            <w:proofErr w:type="spellEnd"/>
            <w:r w:rsidRPr="00770229">
              <w:t xml:space="preserve"> and ABSTUDY).</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8"/>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8"/>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sidRPr="00770229">
              <w:t>The cost driver of student financial assistance expenditure in this category is the number of students receiving student assistance and average level of that assistance.</w:t>
            </w:r>
          </w:p>
          <w:p w:rsidR="009A7F87" w:rsidRPr="00770229" w:rsidRDefault="009A7F87" w:rsidP="009A7F87">
            <w:pPr>
              <w:pStyle w:val="TableBodyText"/>
              <w:keepNext w:val="0"/>
              <w:keepLines w:val="0"/>
              <w:spacing w:before="80" w:after="80"/>
              <w:jc w:val="left"/>
              <w:rPr>
                <w:szCs w:val="26"/>
              </w:rPr>
            </w:pPr>
            <w:r w:rsidRPr="00770229">
              <w:t xml:space="preserve">The cost driver of all other education </w:t>
            </w:r>
            <w:proofErr w:type="spellStart"/>
            <w:r w:rsidRPr="00770229">
              <w:t>nec</w:t>
            </w:r>
            <w:proofErr w:type="spellEnd"/>
            <w:r w:rsidRPr="00770229">
              <w:t xml:space="preserve"> expenditure is the number of students using education services that cannot be allocated elsewhere.</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4" w:space="0" w:color="808080" w:themeColor="background1" w:themeShade="80"/>
              <w:bottom w:val="single" w:sz="4"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AE5242" w:rsidTr="00A672D0">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AE5242" w:rsidRDefault="009A7F87" w:rsidP="009A7F87">
            <w:pPr>
              <w:pStyle w:val="TableColumnHeading"/>
              <w:keepNext w:val="0"/>
              <w:jc w:val="left"/>
            </w:pPr>
          </w:p>
        </w:tc>
        <w:tc>
          <w:tcPr>
            <w:tcW w:w="1809"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ColumnHeading"/>
              <w:keepNext w:val="0"/>
              <w:ind w:left="180"/>
              <w:jc w:val="left"/>
            </w:pPr>
          </w:p>
        </w:tc>
        <w:tc>
          <w:tcPr>
            <w:tcW w:w="2317" w:type="pct"/>
            <w:gridSpan w:val="6"/>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ColumnHeading"/>
              <w:keepNext w:val="0"/>
              <w:ind w:left="180"/>
              <w:jc w:val="center"/>
            </w:pPr>
            <w:r w:rsidRPr="00AE5242">
              <w:t>Data Years</w:t>
            </w:r>
          </w:p>
        </w:tc>
      </w:tr>
      <w:tr w:rsidR="009A7F87" w:rsidRPr="00AE5242" w:rsidTr="00A672D0">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AE5242" w:rsidRDefault="009A7F87" w:rsidP="009A7F87">
            <w:pPr>
              <w:pStyle w:val="TableBodyText"/>
              <w:keepNext w:val="0"/>
              <w:spacing w:before="60" w:after="60"/>
              <w:ind w:left="0"/>
              <w:jc w:val="both"/>
              <w:rPr>
                <w:i/>
              </w:rPr>
            </w:pPr>
            <w:r w:rsidRPr="00AE5242">
              <w:rPr>
                <w:i/>
              </w:rPr>
              <w:br/>
              <w:t>Measure</w:t>
            </w:r>
          </w:p>
        </w:tc>
        <w:tc>
          <w:tcPr>
            <w:tcW w:w="1809"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180"/>
              <w:jc w:val="left"/>
              <w:rPr>
                <w:i/>
              </w:rPr>
            </w:pPr>
            <w:r w:rsidRPr="00AE5242">
              <w:rPr>
                <w:i/>
              </w:rPr>
              <w:br/>
              <w:t>Data source</w:t>
            </w:r>
          </w:p>
        </w:tc>
        <w:tc>
          <w:tcPr>
            <w:tcW w:w="580"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2"/>
              <w:jc w:val="center"/>
              <w:rPr>
                <w:i/>
              </w:rPr>
            </w:pPr>
            <w:r w:rsidRPr="00AE5242">
              <w:rPr>
                <w:i/>
              </w:rPr>
              <w:t>2008</w:t>
            </w:r>
            <w:r w:rsidRPr="00AE5242">
              <w:rPr>
                <w:i/>
              </w:rPr>
              <w:noBreakHyphen/>
              <w:t>09 Estimates</w:t>
            </w:r>
          </w:p>
        </w:tc>
        <w:tc>
          <w:tcPr>
            <w:tcW w:w="577" w:type="pct"/>
            <w:gridSpan w:val="2"/>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2"/>
              <w:jc w:val="center"/>
              <w:rPr>
                <w:i/>
              </w:rPr>
            </w:pPr>
            <w:r w:rsidRPr="00AE5242">
              <w:rPr>
                <w:i/>
              </w:rPr>
              <w:t>2010</w:t>
            </w:r>
            <w:r w:rsidRPr="00AE5242">
              <w:rPr>
                <w:i/>
              </w:rPr>
              <w:noBreakHyphen/>
              <w:t>11 Estimates</w:t>
            </w:r>
          </w:p>
        </w:tc>
        <w:tc>
          <w:tcPr>
            <w:tcW w:w="581"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2"/>
              <w:jc w:val="center"/>
              <w:rPr>
                <w:i/>
              </w:rPr>
            </w:pPr>
            <w:r w:rsidRPr="00AE5242">
              <w:rPr>
                <w:i/>
              </w:rPr>
              <w:t>2012</w:t>
            </w:r>
            <w:r w:rsidRPr="00AE5242">
              <w:rPr>
                <w:i/>
              </w:rPr>
              <w:noBreakHyphen/>
              <w:t>13 Estimates</w:t>
            </w:r>
          </w:p>
        </w:tc>
        <w:tc>
          <w:tcPr>
            <w:tcW w:w="579" w:type="pct"/>
            <w:gridSpan w:val="2"/>
            <w:tcBorders>
              <w:top w:val="single" w:sz="4" w:space="0" w:color="808080" w:themeColor="background1" w:themeShade="80"/>
              <w:bottom w:val="single" w:sz="4" w:space="0" w:color="808080" w:themeColor="background1" w:themeShade="80"/>
            </w:tcBorders>
          </w:tcPr>
          <w:p w:rsidR="009A7F87" w:rsidRPr="00AE5242" w:rsidRDefault="009A7F87" w:rsidP="009A7F87">
            <w:pPr>
              <w:pStyle w:val="TableBodyText"/>
              <w:keepNext w:val="0"/>
              <w:spacing w:before="60" w:after="60"/>
              <w:ind w:left="2"/>
              <w:jc w:val="center"/>
              <w:rPr>
                <w:i/>
              </w:rPr>
            </w:pPr>
            <w:r w:rsidRPr="00AE5242">
              <w:rPr>
                <w:i/>
              </w:rPr>
              <w:t>2015</w:t>
            </w:r>
            <w:r w:rsidRPr="00AE5242">
              <w:rPr>
                <w:i/>
              </w:rPr>
              <w:noBreakHyphen/>
              <w:t>16 Estimates</w:t>
            </w:r>
          </w:p>
        </w:tc>
      </w:tr>
      <w:tr w:rsidR="009A7F87" w:rsidRPr="00770229" w:rsidTr="000E0C9E">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 xml:space="preserve">Students receiving financial assistance </w:t>
            </w:r>
          </w:p>
        </w:tc>
        <w:tc>
          <w:tcPr>
            <w:tcW w:w="1809" w:type="pct"/>
            <w:tcBorders>
              <w:top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Australian Government Students receiving financial assistance administrative data</w:t>
            </w:r>
          </w:p>
        </w:tc>
        <w:tc>
          <w:tcPr>
            <w:tcW w:w="580" w:type="pct"/>
            <w:tcBorders>
              <w:top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77" w:type="pct"/>
            <w:gridSpan w:val="2"/>
            <w:tcBorders>
              <w:top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1" w:type="pct"/>
            <w:tcBorders>
              <w:top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2012-13</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79" w:type="pct"/>
            <w:gridSpan w:val="2"/>
            <w:tcBorders>
              <w:top w:val="single" w:sz="4" w:space="0" w:color="808080" w:themeColor="background1" w:themeShade="80"/>
            </w:tcBorders>
            <w:vAlign w:val="center"/>
          </w:tcPr>
          <w:p w:rsidR="009A7F87" w:rsidRDefault="009A7F87" w:rsidP="009A7F87">
            <w:pPr>
              <w:pStyle w:val="TableBodyText"/>
              <w:spacing w:before="60" w:after="60"/>
              <w:ind w:left="2"/>
              <w:jc w:val="center"/>
            </w:pPr>
            <w:r>
              <w:t>2015-16</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0E0C9E">
        <w:tblPrEx>
          <w:tblBorders>
            <w:top w:val="none" w:sz="0" w:space="0" w:color="auto"/>
            <w:bottom w:val="none" w:sz="0" w:space="0" w:color="auto"/>
            <w:insideH w:val="none" w:sz="0" w:space="0" w:color="auto"/>
          </w:tblBorders>
        </w:tblPrEx>
        <w:tc>
          <w:tcPr>
            <w:tcW w:w="874" w:type="pct"/>
            <w:tcBorders>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 aged 0</w:t>
            </w:r>
            <w:r w:rsidRPr="00770229">
              <w:noBreakHyphen/>
              <w:t>24</w:t>
            </w:r>
            <w:r w:rsidRPr="00770229">
              <w:rPr>
                <w:rStyle w:val="NoteLabel"/>
              </w:rPr>
              <w:t>a</w:t>
            </w:r>
          </w:p>
        </w:tc>
        <w:tc>
          <w:tcPr>
            <w:tcW w:w="1809" w:type="pct"/>
            <w:tcBorders>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ABS Australian Demographic Statistics (Cat. no. 3101.0); ABS Estimates and Projections, Aboriginal and Torres Strait Islander Australians, 2001</w:t>
            </w:r>
            <w:r>
              <w:t>–</w:t>
            </w:r>
            <w:r w:rsidRPr="00770229">
              <w:t xml:space="preserve">2026 </w:t>
            </w:r>
            <w:r>
              <w:br/>
            </w:r>
            <w:r w:rsidRPr="00770229">
              <w:t>(Cat. no. 3238.0)</w:t>
            </w:r>
          </w:p>
        </w:tc>
        <w:tc>
          <w:tcPr>
            <w:tcW w:w="580"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r>
              <w:br/>
            </w:r>
          </w:p>
        </w:tc>
        <w:tc>
          <w:tcPr>
            <w:tcW w:w="577" w:type="pct"/>
            <w:gridSpan w:val="2"/>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c>
          <w:tcPr>
            <w:tcW w:w="581" w:type="pct"/>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c>
          <w:tcPr>
            <w:tcW w:w="579" w:type="pct"/>
            <w:gridSpan w:val="2"/>
            <w:tcBorders>
              <w:bottom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AF1DC2" w:rsidRDefault="009A7F87" w:rsidP="009A7F87">
            <w:pPr>
              <w:pStyle w:val="Note"/>
              <w:rPr>
                <w:sz w:val="20"/>
              </w:rPr>
            </w:pPr>
            <w:r w:rsidRPr="008E77FE">
              <w:rPr>
                <w:rStyle w:val="NoteLabel"/>
              </w:rPr>
              <w:t>a</w:t>
            </w:r>
            <w:r>
              <w:t xml:space="preserve"> </w:t>
            </w:r>
            <w:r w:rsidRPr="00135E24">
              <w:t>For all other education not elsewhere classified.</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538"/>
        <w:gridCol w:w="3182"/>
        <w:gridCol w:w="1020"/>
        <w:gridCol w:w="595"/>
        <w:gridCol w:w="420"/>
        <w:gridCol w:w="1022"/>
        <w:gridCol w:w="1012"/>
        <w:gridCol w:w="7"/>
      </w:tblGrid>
      <w:tr w:rsidR="009A7F87" w:rsidRPr="00770229" w:rsidTr="002E2409">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r>
            <w:r>
              <w:t>0490.1</w:t>
            </w:r>
            <w:r w:rsidRPr="00770229">
              <w:t xml:space="preserve"> Assistance for school education</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601" w:type="pct"/>
            <w:gridSpan w:val="4"/>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399" w:type="pct"/>
            <w:gridSpan w:val="4"/>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8"/>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8"/>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Australian, State and Territory governments may provide services that support education in Australia that cannot be classified elsewhere.</w:t>
            </w:r>
          </w:p>
          <w:p w:rsidR="009A7F87" w:rsidRPr="00770229" w:rsidRDefault="009A7F87" w:rsidP="009A7F87">
            <w:pPr>
              <w:pStyle w:val="TableBodyText"/>
              <w:keepNext w:val="0"/>
              <w:keepLines w:val="0"/>
              <w:spacing w:before="80" w:after="80"/>
              <w:jc w:val="left"/>
            </w:pPr>
            <w:r w:rsidRPr="00770229">
              <w:t xml:space="preserve">This category includes Australian government financial assistance — such as income support payments to students (for example </w:t>
            </w:r>
            <w:proofErr w:type="spellStart"/>
            <w:r w:rsidRPr="00770229">
              <w:t>Austudy</w:t>
            </w:r>
            <w:proofErr w:type="spellEnd"/>
            <w:r w:rsidRPr="00770229">
              <w:t xml:space="preserve"> and ABSTUDY).</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8"/>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8"/>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ullet2"/>
              <w:numPr>
                <w:ilvl w:val="0"/>
                <w:numId w:val="0"/>
              </w:numPr>
              <w:spacing w:before="60" w:after="60"/>
              <w:ind w:left="31"/>
            </w:pPr>
            <w:r w:rsidRPr="00770229">
              <w:t xml:space="preserve">The cost drivers of expenditure related to education </w:t>
            </w:r>
            <w:proofErr w:type="spellStart"/>
            <w:r w:rsidRPr="00770229">
              <w:t>nec</w:t>
            </w:r>
            <w:proofErr w:type="spellEnd"/>
            <w:r w:rsidRPr="00770229">
              <w:t xml:space="preserve"> (GPC 0490) were:</w:t>
            </w:r>
          </w:p>
          <w:p w:rsidR="009A7F87" w:rsidRPr="00770229" w:rsidRDefault="009A7F87" w:rsidP="009A7F87">
            <w:pPr>
              <w:pStyle w:val="TableBullet"/>
            </w:pPr>
            <w:r w:rsidRPr="00770229">
              <w:rPr>
                <w:i/>
              </w:rPr>
              <w:t>student financial assistance</w:t>
            </w:r>
            <w:r w:rsidRPr="00770229">
              <w:t xml:space="preserve"> — the number of students receiving student assistance and average level of that assistance, and</w:t>
            </w:r>
          </w:p>
          <w:p w:rsidR="009A7F87" w:rsidRPr="00770229" w:rsidRDefault="009A7F87" w:rsidP="009A7F87">
            <w:pPr>
              <w:pStyle w:val="TableBullet"/>
              <w:rPr>
                <w:szCs w:val="26"/>
              </w:rPr>
            </w:pPr>
            <w:r w:rsidRPr="00770229">
              <w:rPr>
                <w:i/>
              </w:rPr>
              <w:t>other assistance</w:t>
            </w:r>
            <w:r w:rsidRPr="00770229">
              <w:t xml:space="preserve"> — resident population aged 0–24.</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4" w:space="0" w:color="808080" w:themeColor="background1" w:themeShade="80"/>
              <w:bottom w:val="single" w:sz="4"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AE5242" w:rsidTr="00A672D0">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AE5242" w:rsidRDefault="009A7F87" w:rsidP="009A7F87">
            <w:pPr>
              <w:pStyle w:val="TableColumnHeading"/>
              <w:keepNext w:val="0"/>
              <w:jc w:val="left"/>
            </w:pPr>
          </w:p>
        </w:tc>
        <w:tc>
          <w:tcPr>
            <w:tcW w:w="1809"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ColumnHeading"/>
              <w:keepNext w:val="0"/>
              <w:ind w:left="180"/>
              <w:jc w:val="left"/>
            </w:pPr>
          </w:p>
        </w:tc>
        <w:tc>
          <w:tcPr>
            <w:tcW w:w="2317" w:type="pct"/>
            <w:gridSpan w:val="6"/>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ColumnHeading"/>
              <w:keepNext w:val="0"/>
              <w:ind w:left="180"/>
              <w:jc w:val="center"/>
            </w:pPr>
            <w:r w:rsidRPr="00AE5242">
              <w:t>Data Years</w:t>
            </w:r>
          </w:p>
        </w:tc>
      </w:tr>
      <w:tr w:rsidR="009A7F87" w:rsidRPr="00AE5242" w:rsidTr="00A672D0">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AE5242" w:rsidRDefault="009A7F87" w:rsidP="009A7F87">
            <w:pPr>
              <w:pStyle w:val="TableBodyText"/>
              <w:keepNext w:val="0"/>
              <w:spacing w:before="60" w:after="60"/>
              <w:ind w:left="0"/>
              <w:jc w:val="both"/>
              <w:rPr>
                <w:i/>
              </w:rPr>
            </w:pPr>
            <w:r w:rsidRPr="00AE5242">
              <w:rPr>
                <w:i/>
              </w:rPr>
              <w:br/>
              <w:t>Measure</w:t>
            </w:r>
          </w:p>
        </w:tc>
        <w:tc>
          <w:tcPr>
            <w:tcW w:w="1809"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180"/>
              <w:jc w:val="left"/>
              <w:rPr>
                <w:i/>
              </w:rPr>
            </w:pPr>
            <w:r w:rsidRPr="00AE5242">
              <w:rPr>
                <w:i/>
              </w:rPr>
              <w:br/>
              <w:t>Data source</w:t>
            </w:r>
          </w:p>
        </w:tc>
        <w:tc>
          <w:tcPr>
            <w:tcW w:w="580"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2"/>
              <w:jc w:val="center"/>
              <w:rPr>
                <w:i/>
              </w:rPr>
            </w:pPr>
            <w:r w:rsidRPr="00AE5242">
              <w:rPr>
                <w:i/>
              </w:rPr>
              <w:t>2008</w:t>
            </w:r>
            <w:r w:rsidRPr="00AE5242">
              <w:rPr>
                <w:i/>
              </w:rPr>
              <w:noBreakHyphen/>
              <w:t>09 Estimates</w:t>
            </w:r>
          </w:p>
        </w:tc>
        <w:tc>
          <w:tcPr>
            <w:tcW w:w="577" w:type="pct"/>
            <w:gridSpan w:val="2"/>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2"/>
              <w:jc w:val="center"/>
              <w:rPr>
                <w:i/>
              </w:rPr>
            </w:pPr>
            <w:r w:rsidRPr="00AE5242">
              <w:rPr>
                <w:i/>
              </w:rPr>
              <w:t>2010</w:t>
            </w:r>
            <w:r w:rsidRPr="00AE5242">
              <w:rPr>
                <w:i/>
              </w:rPr>
              <w:noBreakHyphen/>
              <w:t>11 Estimates</w:t>
            </w:r>
          </w:p>
        </w:tc>
        <w:tc>
          <w:tcPr>
            <w:tcW w:w="581"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2"/>
              <w:jc w:val="center"/>
              <w:rPr>
                <w:i/>
              </w:rPr>
            </w:pPr>
            <w:r w:rsidRPr="00AE5242">
              <w:rPr>
                <w:i/>
              </w:rPr>
              <w:t>2012</w:t>
            </w:r>
            <w:r w:rsidRPr="00AE5242">
              <w:rPr>
                <w:i/>
              </w:rPr>
              <w:noBreakHyphen/>
              <w:t>13 Estimates</w:t>
            </w:r>
          </w:p>
        </w:tc>
        <w:tc>
          <w:tcPr>
            <w:tcW w:w="579" w:type="pct"/>
            <w:gridSpan w:val="2"/>
            <w:tcBorders>
              <w:top w:val="single" w:sz="4" w:space="0" w:color="808080" w:themeColor="background1" w:themeShade="80"/>
              <w:bottom w:val="single" w:sz="4" w:space="0" w:color="808080" w:themeColor="background1" w:themeShade="80"/>
            </w:tcBorders>
          </w:tcPr>
          <w:p w:rsidR="009A7F87" w:rsidRPr="00AE5242" w:rsidRDefault="009A7F87" w:rsidP="009A7F87">
            <w:pPr>
              <w:pStyle w:val="TableBodyText"/>
              <w:keepNext w:val="0"/>
              <w:spacing w:before="60" w:after="60"/>
              <w:ind w:left="2"/>
              <w:jc w:val="center"/>
              <w:rPr>
                <w:i/>
              </w:rPr>
            </w:pPr>
            <w:r w:rsidRPr="00AE5242">
              <w:rPr>
                <w:i/>
              </w:rPr>
              <w:t>2015</w:t>
            </w:r>
            <w:r w:rsidRPr="00AE5242">
              <w:rPr>
                <w:i/>
              </w:rPr>
              <w:noBreakHyphen/>
              <w:t>16 Estimates</w:t>
            </w:r>
          </w:p>
        </w:tc>
      </w:tr>
      <w:tr w:rsidR="009A7F87" w:rsidRPr="00770229" w:rsidTr="000E0C9E">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School students receiving financial assistance</w:t>
            </w:r>
            <w:r w:rsidRPr="00770229">
              <w:rPr>
                <w:rStyle w:val="NoteLabel"/>
              </w:rPr>
              <w:t xml:space="preserve"> a</w:t>
            </w:r>
          </w:p>
        </w:tc>
        <w:tc>
          <w:tcPr>
            <w:tcW w:w="1809" w:type="pct"/>
            <w:tcBorders>
              <w:top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Australian Government Students receiving financial assistance administrative data</w:t>
            </w:r>
          </w:p>
        </w:tc>
        <w:tc>
          <w:tcPr>
            <w:tcW w:w="580" w:type="pct"/>
            <w:tcBorders>
              <w:top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77" w:type="pct"/>
            <w:gridSpan w:val="2"/>
            <w:tcBorders>
              <w:top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1" w:type="pct"/>
            <w:tcBorders>
              <w:top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2012-13</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79" w:type="pct"/>
            <w:gridSpan w:val="2"/>
            <w:tcBorders>
              <w:top w:val="single" w:sz="4" w:space="0" w:color="808080" w:themeColor="background1" w:themeShade="80"/>
            </w:tcBorders>
            <w:vAlign w:val="center"/>
          </w:tcPr>
          <w:p w:rsidR="009A7F87" w:rsidRDefault="009A7F87" w:rsidP="009A7F87">
            <w:pPr>
              <w:pStyle w:val="TableBodyText"/>
              <w:spacing w:before="60" w:after="60"/>
              <w:ind w:left="2"/>
              <w:jc w:val="center"/>
            </w:pPr>
            <w:r>
              <w:t>2015-16</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70229" w:rsidTr="000E0C9E">
        <w:tblPrEx>
          <w:tblBorders>
            <w:top w:val="none" w:sz="0" w:space="0" w:color="auto"/>
            <w:bottom w:val="none" w:sz="0" w:space="0" w:color="auto"/>
            <w:insideH w:val="none" w:sz="0" w:space="0" w:color="auto"/>
          </w:tblBorders>
        </w:tblPrEx>
        <w:tc>
          <w:tcPr>
            <w:tcW w:w="874" w:type="pct"/>
            <w:tcBorders>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 aged 0</w:t>
            </w:r>
            <w:r w:rsidRPr="00770229">
              <w:noBreakHyphen/>
              <w:t>24</w:t>
            </w:r>
            <w:r w:rsidRPr="00770229">
              <w:rPr>
                <w:rStyle w:val="NoteLabel"/>
              </w:rPr>
              <w:t>b</w:t>
            </w:r>
          </w:p>
        </w:tc>
        <w:tc>
          <w:tcPr>
            <w:tcW w:w="1809" w:type="pct"/>
            <w:tcBorders>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ABS Australian Demographic Statistics (Cat. no. 3101.0); ABS Population estimates and projections, Aboriginal and Torres Strait Islander Australians, 2001</w:t>
            </w:r>
            <w:r>
              <w:noBreakHyphen/>
            </w:r>
            <w:r w:rsidRPr="00770229">
              <w:t>2026 (Cat. no. 3238.0)</w:t>
            </w:r>
          </w:p>
        </w:tc>
        <w:tc>
          <w:tcPr>
            <w:tcW w:w="580"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r>
              <w:br/>
            </w:r>
          </w:p>
        </w:tc>
        <w:tc>
          <w:tcPr>
            <w:tcW w:w="577" w:type="pct"/>
            <w:gridSpan w:val="2"/>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c>
          <w:tcPr>
            <w:tcW w:w="581" w:type="pct"/>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c>
          <w:tcPr>
            <w:tcW w:w="579" w:type="pct"/>
            <w:gridSpan w:val="2"/>
            <w:tcBorders>
              <w:bottom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AF1DC2" w:rsidRDefault="009A7F87" w:rsidP="009A7F87">
            <w:pPr>
              <w:pStyle w:val="Note"/>
              <w:rPr>
                <w:sz w:val="20"/>
              </w:rPr>
            </w:pPr>
            <w:r w:rsidRPr="008E77FE">
              <w:rPr>
                <w:rStyle w:val="NoteLabel"/>
              </w:rPr>
              <w:t>a</w:t>
            </w:r>
            <w:r>
              <w:t xml:space="preserve"> For student financial assistance. </w:t>
            </w:r>
            <w:r w:rsidRPr="00770229">
              <w:rPr>
                <w:rStyle w:val="NoteLabel"/>
              </w:rPr>
              <w:t>b</w:t>
            </w:r>
            <w:r w:rsidRPr="00135E24">
              <w:t xml:space="preserve"> For all other education not elsewhere classified.</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538"/>
        <w:gridCol w:w="3182"/>
        <w:gridCol w:w="1020"/>
        <w:gridCol w:w="595"/>
        <w:gridCol w:w="420"/>
        <w:gridCol w:w="1022"/>
        <w:gridCol w:w="1012"/>
        <w:gridCol w:w="7"/>
      </w:tblGrid>
      <w:tr w:rsidR="009A7F87" w:rsidRPr="00770229" w:rsidTr="002E2409">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r>
            <w:r>
              <w:t>0490.2</w:t>
            </w:r>
            <w:r w:rsidRPr="00770229">
              <w:t xml:space="preserve"> Assistance for tertiary education</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601" w:type="pct"/>
            <w:gridSpan w:val="4"/>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399" w:type="pct"/>
            <w:gridSpan w:val="4"/>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8"/>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8"/>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Australian, State and Territory governments may provide services that support education in Australia that cannot be classified elsewhere.</w:t>
            </w:r>
          </w:p>
          <w:p w:rsidR="009A7F87" w:rsidRPr="00770229" w:rsidRDefault="009A7F87" w:rsidP="009A7F87">
            <w:pPr>
              <w:pStyle w:val="TableBodyText"/>
              <w:keepNext w:val="0"/>
              <w:keepLines w:val="0"/>
              <w:spacing w:before="80" w:after="80"/>
              <w:jc w:val="left"/>
            </w:pPr>
            <w:r w:rsidRPr="00770229">
              <w:t xml:space="preserve">This category includes Australian government financial assistance — such as income support payments to students (for example </w:t>
            </w:r>
            <w:proofErr w:type="spellStart"/>
            <w:r w:rsidRPr="00770229">
              <w:t>Austudy</w:t>
            </w:r>
            <w:proofErr w:type="spellEnd"/>
            <w:r w:rsidRPr="00770229">
              <w:t xml:space="preserve"> and ABSTUDY).</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8"/>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8"/>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ullet2"/>
              <w:numPr>
                <w:ilvl w:val="0"/>
                <w:numId w:val="0"/>
              </w:numPr>
              <w:spacing w:before="60" w:after="60"/>
              <w:ind w:left="31"/>
            </w:pPr>
            <w:r w:rsidRPr="00770229">
              <w:t xml:space="preserve">The cost driver of expenditure related to education </w:t>
            </w:r>
            <w:proofErr w:type="spellStart"/>
            <w:r w:rsidRPr="00770229">
              <w:t>nec</w:t>
            </w:r>
            <w:proofErr w:type="spellEnd"/>
            <w:r w:rsidRPr="00770229">
              <w:t xml:space="preserve"> (GPC 0490) were:</w:t>
            </w:r>
          </w:p>
          <w:p w:rsidR="009A7F87" w:rsidRPr="00770229" w:rsidRDefault="009A7F87" w:rsidP="009A7F87">
            <w:pPr>
              <w:pStyle w:val="TableBullet"/>
            </w:pPr>
            <w:r w:rsidRPr="00770229">
              <w:rPr>
                <w:i/>
              </w:rPr>
              <w:t>student financial assistance</w:t>
            </w:r>
            <w:r w:rsidRPr="00770229">
              <w:t xml:space="preserve"> — the number of students receiving student assistance and average level of that assistance, and</w:t>
            </w:r>
          </w:p>
          <w:p w:rsidR="009A7F87" w:rsidRPr="00770229" w:rsidRDefault="009A7F87" w:rsidP="009A7F87">
            <w:pPr>
              <w:pStyle w:val="TableBullet"/>
              <w:rPr>
                <w:szCs w:val="26"/>
              </w:rPr>
            </w:pPr>
            <w:r w:rsidRPr="00770229">
              <w:rPr>
                <w:i/>
              </w:rPr>
              <w:t>other assistance</w:t>
            </w:r>
            <w:r w:rsidRPr="00770229">
              <w:t xml:space="preserve"> — re</w:t>
            </w:r>
            <w:r>
              <w:t>sident population aged 0–24.</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4" w:space="0" w:color="808080" w:themeColor="background1" w:themeShade="80"/>
              <w:bottom w:val="single" w:sz="4"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AE5242" w:rsidTr="00A672D0">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AE5242" w:rsidRDefault="009A7F87" w:rsidP="009A7F87">
            <w:pPr>
              <w:pStyle w:val="TableColumnHeading"/>
              <w:keepNext w:val="0"/>
              <w:jc w:val="left"/>
            </w:pPr>
          </w:p>
        </w:tc>
        <w:tc>
          <w:tcPr>
            <w:tcW w:w="1809"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ColumnHeading"/>
              <w:keepNext w:val="0"/>
              <w:ind w:left="180"/>
              <w:jc w:val="left"/>
            </w:pPr>
          </w:p>
        </w:tc>
        <w:tc>
          <w:tcPr>
            <w:tcW w:w="2317" w:type="pct"/>
            <w:gridSpan w:val="6"/>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ColumnHeading"/>
              <w:keepNext w:val="0"/>
              <w:ind w:left="180"/>
              <w:jc w:val="center"/>
            </w:pPr>
            <w:r w:rsidRPr="00AE5242">
              <w:t>Data Years</w:t>
            </w:r>
          </w:p>
        </w:tc>
      </w:tr>
      <w:tr w:rsidR="009A7F87" w:rsidRPr="00AE5242" w:rsidTr="00A672D0">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AE5242" w:rsidRDefault="009A7F87" w:rsidP="009A7F87">
            <w:pPr>
              <w:pStyle w:val="TableBodyText"/>
              <w:keepNext w:val="0"/>
              <w:spacing w:before="60" w:after="60"/>
              <w:ind w:left="0"/>
              <w:jc w:val="both"/>
              <w:rPr>
                <w:i/>
              </w:rPr>
            </w:pPr>
            <w:r w:rsidRPr="00AE5242">
              <w:rPr>
                <w:i/>
              </w:rPr>
              <w:br/>
              <w:t>Measure</w:t>
            </w:r>
          </w:p>
        </w:tc>
        <w:tc>
          <w:tcPr>
            <w:tcW w:w="1809"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180"/>
              <w:jc w:val="left"/>
              <w:rPr>
                <w:i/>
              </w:rPr>
            </w:pPr>
            <w:r w:rsidRPr="00AE5242">
              <w:rPr>
                <w:i/>
              </w:rPr>
              <w:br/>
              <w:t>Data source</w:t>
            </w:r>
          </w:p>
        </w:tc>
        <w:tc>
          <w:tcPr>
            <w:tcW w:w="580"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2"/>
              <w:jc w:val="center"/>
              <w:rPr>
                <w:i/>
              </w:rPr>
            </w:pPr>
            <w:r w:rsidRPr="00AE5242">
              <w:rPr>
                <w:i/>
              </w:rPr>
              <w:t>2008</w:t>
            </w:r>
            <w:r w:rsidRPr="00AE5242">
              <w:rPr>
                <w:i/>
              </w:rPr>
              <w:noBreakHyphen/>
              <w:t>09 Estimates</w:t>
            </w:r>
          </w:p>
        </w:tc>
        <w:tc>
          <w:tcPr>
            <w:tcW w:w="577" w:type="pct"/>
            <w:gridSpan w:val="2"/>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2"/>
              <w:jc w:val="center"/>
              <w:rPr>
                <w:i/>
              </w:rPr>
            </w:pPr>
            <w:r w:rsidRPr="00AE5242">
              <w:rPr>
                <w:i/>
              </w:rPr>
              <w:t>2010</w:t>
            </w:r>
            <w:r w:rsidRPr="00AE5242">
              <w:rPr>
                <w:i/>
              </w:rPr>
              <w:noBreakHyphen/>
              <w:t>11 Estimates</w:t>
            </w:r>
          </w:p>
        </w:tc>
        <w:tc>
          <w:tcPr>
            <w:tcW w:w="581" w:type="pct"/>
            <w:tcBorders>
              <w:top w:val="single" w:sz="4" w:space="0" w:color="808080" w:themeColor="background1" w:themeShade="80"/>
              <w:bottom w:val="single" w:sz="4" w:space="0" w:color="808080" w:themeColor="background1" w:themeShade="80"/>
            </w:tcBorders>
            <w:shd w:val="clear" w:color="auto" w:fill="auto"/>
          </w:tcPr>
          <w:p w:rsidR="009A7F87" w:rsidRPr="00AE5242" w:rsidRDefault="009A7F87" w:rsidP="009A7F87">
            <w:pPr>
              <w:pStyle w:val="TableBodyText"/>
              <w:keepNext w:val="0"/>
              <w:spacing w:before="60" w:after="60"/>
              <w:ind w:left="2"/>
              <w:jc w:val="center"/>
              <w:rPr>
                <w:i/>
              </w:rPr>
            </w:pPr>
            <w:r w:rsidRPr="00AE5242">
              <w:rPr>
                <w:i/>
              </w:rPr>
              <w:t>2012</w:t>
            </w:r>
            <w:r w:rsidRPr="00AE5242">
              <w:rPr>
                <w:i/>
              </w:rPr>
              <w:noBreakHyphen/>
              <w:t>13 Estimates</w:t>
            </w:r>
          </w:p>
        </w:tc>
        <w:tc>
          <w:tcPr>
            <w:tcW w:w="579" w:type="pct"/>
            <w:gridSpan w:val="2"/>
            <w:tcBorders>
              <w:top w:val="single" w:sz="4" w:space="0" w:color="808080" w:themeColor="background1" w:themeShade="80"/>
              <w:bottom w:val="single" w:sz="4" w:space="0" w:color="808080" w:themeColor="background1" w:themeShade="80"/>
            </w:tcBorders>
          </w:tcPr>
          <w:p w:rsidR="009A7F87" w:rsidRPr="00AE5242" w:rsidRDefault="009A7F87" w:rsidP="009A7F87">
            <w:pPr>
              <w:pStyle w:val="TableBodyText"/>
              <w:keepNext w:val="0"/>
              <w:spacing w:before="60" w:after="60"/>
              <w:ind w:left="2"/>
              <w:jc w:val="center"/>
              <w:rPr>
                <w:i/>
              </w:rPr>
            </w:pPr>
            <w:r w:rsidRPr="00AE5242">
              <w:rPr>
                <w:i/>
              </w:rPr>
              <w:t>2015</w:t>
            </w:r>
            <w:r w:rsidRPr="00AE5242">
              <w:rPr>
                <w:i/>
              </w:rPr>
              <w:noBreakHyphen/>
              <w:t>16 Estimates</w:t>
            </w:r>
          </w:p>
        </w:tc>
      </w:tr>
      <w:tr w:rsidR="009A7F87" w:rsidRPr="00770229" w:rsidTr="000E0C9E">
        <w:tblPrEx>
          <w:tblBorders>
            <w:top w:val="none" w:sz="0" w:space="0" w:color="auto"/>
            <w:bottom w:val="none" w:sz="0" w:space="0" w:color="auto"/>
            <w:insideH w:val="none" w:sz="0" w:space="0" w:color="auto"/>
          </w:tblBorders>
        </w:tblPrEx>
        <w:tc>
          <w:tcPr>
            <w:tcW w:w="874" w:type="pct"/>
            <w:tcBorders>
              <w:top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Tertiary students receiving financial assistance</w:t>
            </w:r>
            <w:r w:rsidRPr="00770229">
              <w:rPr>
                <w:rStyle w:val="NoteLabel"/>
              </w:rPr>
              <w:t xml:space="preserve"> a</w:t>
            </w:r>
          </w:p>
        </w:tc>
        <w:tc>
          <w:tcPr>
            <w:tcW w:w="1809" w:type="pct"/>
            <w:tcBorders>
              <w:top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Australian Government Students receiving financial assistance administrative data</w:t>
            </w:r>
          </w:p>
        </w:tc>
        <w:tc>
          <w:tcPr>
            <w:tcW w:w="580" w:type="pct"/>
            <w:tcBorders>
              <w:top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77" w:type="pct"/>
            <w:gridSpan w:val="2"/>
            <w:tcBorders>
              <w:top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1" w:type="pct"/>
            <w:tcBorders>
              <w:top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2012-13</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79" w:type="pct"/>
            <w:gridSpan w:val="2"/>
            <w:tcBorders>
              <w:top w:val="single" w:sz="4" w:space="0" w:color="808080" w:themeColor="background1" w:themeShade="80"/>
            </w:tcBorders>
            <w:vAlign w:val="center"/>
          </w:tcPr>
          <w:p w:rsidR="009A7F87" w:rsidRDefault="009A7F87" w:rsidP="009A7F87">
            <w:pPr>
              <w:pStyle w:val="TableBodyText"/>
              <w:spacing w:before="60" w:after="60"/>
              <w:ind w:left="2"/>
              <w:jc w:val="center"/>
            </w:pPr>
            <w:r>
              <w:t>2015-16</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70229" w:rsidTr="000E0C9E">
        <w:tblPrEx>
          <w:tblBorders>
            <w:top w:val="none" w:sz="0" w:space="0" w:color="auto"/>
            <w:bottom w:val="none" w:sz="0" w:space="0" w:color="auto"/>
            <w:insideH w:val="none" w:sz="0" w:space="0" w:color="auto"/>
          </w:tblBorders>
        </w:tblPrEx>
        <w:tc>
          <w:tcPr>
            <w:tcW w:w="874" w:type="pct"/>
            <w:tcBorders>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No. of tertiary students</w:t>
            </w:r>
          </w:p>
        </w:tc>
        <w:tc>
          <w:tcPr>
            <w:tcW w:w="1809" w:type="pct"/>
            <w:tcBorders>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DEEWR Higher Education Statistics Collection</w:t>
            </w:r>
            <w:r w:rsidRPr="00415D46">
              <w:t xml:space="preserve"> </w:t>
            </w:r>
            <w:r w:rsidRPr="00770229">
              <w:t>(unpublished)</w:t>
            </w:r>
            <w:r>
              <w:t xml:space="preserve">; </w:t>
            </w:r>
            <w:r w:rsidRPr="00770229">
              <w:t>NCVER Student and courses collection</w:t>
            </w:r>
            <w:r>
              <w:t>.</w:t>
            </w:r>
          </w:p>
        </w:tc>
        <w:tc>
          <w:tcPr>
            <w:tcW w:w="580"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r>
              <w:br/>
            </w:r>
          </w:p>
        </w:tc>
        <w:tc>
          <w:tcPr>
            <w:tcW w:w="577" w:type="pct"/>
            <w:gridSpan w:val="2"/>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r>
              <w:br/>
            </w:r>
          </w:p>
        </w:tc>
        <w:tc>
          <w:tcPr>
            <w:tcW w:w="581" w:type="pct"/>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2012-13</w:t>
            </w:r>
          </w:p>
          <w:p w:rsidR="009A7F87" w:rsidRDefault="009A7F87" w:rsidP="009A7F87">
            <w:pPr>
              <w:pStyle w:val="TableBodyText"/>
              <w:spacing w:before="60" w:after="60"/>
              <w:ind w:left="2"/>
              <w:jc w:val="center"/>
            </w:pPr>
            <w:r>
              <w:br/>
            </w:r>
          </w:p>
        </w:tc>
        <w:tc>
          <w:tcPr>
            <w:tcW w:w="579" w:type="pct"/>
            <w:gridSpan w:val="2"/>
            <w:tcBorders>
              <w:bottom w:val="single" w:sz="6" w:space="0" w:color="808080" w:themeColor="background1" w:themeShade="80"/>
            </w:tcBorders>
            <w:vAlign w:val="center"/>
          </w:tcPr>
          <w:p w:rsidR="009A7F87" w:rsidRDefault="009A7F87" w:rsidP="009A7F87">
            <w:pPr>
              <w:pStyle w:val="TableBodyText"/>
              <w:spacing w:before="60" w:after="60"/>
              <w:ind w:left="2"/>
              <w:jc w:val="center"/>
            </w:pPr>
            <w:r>
              <w:t>2015-16</w:t>
            </w:r>
          </w:p>
          <w:p w:rsidR="009A7F87" w:rsidRDefault="009A7F87" w:rsidP="009A7F87">
            <w:pPr>
              <w:pStyle w:val="TableBodyText"/>
              <w:spacing w:before="60" w:after="60"/>
              <w:ind w:left="2"/>
              <w:jc w:val="center"/>
            </w:pP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AF1DC2" w:rsidRDefault="009A7F87" w:rsidP="009A7F87">
            <w:pPr>
              <w:pStyle w:val="Note"/>
              <w:rPr>
                <w:sz w:val="20"/>
              </w:rPr>
            </w:pPr>
            <w:r w:rsidRPr="008E77FE">
              <w:rPr>
                <w:rStyle w:val="NoteLabel"/>
              </w:rPr>
              <w:t>a</w:t>
            </w:r>
            <w:r>
              <w:t xml:space="preserve"> For student financial assistance. </w:t>
            </w:r>
            <w:r w:rsidRPr="00770229">
              <w:rPr>
                <w:rStyle w:val="NoteLabel"/>
              </w:rPr>
              <w:t>b</w:t>
            </w:r>
            <w:r w:rsidRPr="00135E24">
              <w:t xml:space="preserve"> For all other education not elsewhere classified.</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sectPr w:rsidR="009A7F87" w:rsidSect="009A7F87">
          <w:headerReference w:type="even" r:id="rId99"/>
          <w:headerReference w:type="default" r:id="rId100"/>
          <w:footerReference w:type="even" r:id="rId101"/>
          <w:footerReference w:type="default" r:id="rId102"/>
          <w:footnotePr>
            <w:numRestart w:val="eachSect"/>
          </w:footnotePr>
          <w:type w:val="oddPage"/>
          <w:pgSz w:w="11907" w:h="16840" w:code="9"/>
          <w:pgMar w:top="1985" w:right="1304" w:bottom="1247" w:left="1814" w:header="1701" w:footer="397" w:gutter="0"/>
          <w:pgNumType w:chapSep="period"/>
          <w:cols w:space="720"/>
          <w:docGrid w:linePitch="326"/>
        </w:sectPr>
      </w:pPr>
    </w:p>
    <w:p w:rsidR="009A7F87" w:rsidRDefault="009A7F87">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9A7F87">
        <w:tc>
          <w:tcPr>
            <w:tcW w:w="6634" w:type="dxa"/>
            <w:tcBorders>
              <w:top w:val="single" w:sz="6" w:space="0" w:color="auto"/>
            </w:tcBorders>
          </w:tcPr>
          <w:p w:rsidR="009A7F87" w:rsidRDefault="009A7F87">
            <w:pPr>
              <w:pStyle w:val="PartDivider"/>
            </w:pPr>
          </w:p>
        </w:tc>
        <w:tc>
          <w:tcPr>
            <w:tcW w:w="2155" w:type="dxa"/>
            <w:tcBorders>
              <w:top w:val="single" w:sz="24" w:space="0" w:color="auto"/>
            </w:tcBorders>
          </w:tcPr>
          <w:p w:rsidR="009A7F87" w:rsidRDefault="009A7F87">
            <w:pPr>
              <w:pStyle w:val="PartDivider"/>
            </w:pPr>
          </w:p>
        </w:tc>
      </w:tr>
    </w:tbl>
    <w:p w:rsidR="009A7F87" w:rsidRDefault="009A7F87">
      <w:pPr>
        <w:pStyle w:val="PartDivider"/>
      </w:pPr>
    </w:p>
    <w:p w:rsidR="009A7F87" w:rsidRDefault="009A7F87" w:rsidP="009A7F87">
      <w:pPr>
        <w:pStyle w:val="PartTitle"/>
        <w:spacing w:after="240"/>
      </w:pPr>
      <w:r>
        <w:t>GPC 05</w:t>
      </w:r>
    </w:p>
    <w:p w:rsidR="009A7F87" w:rsidRDefault="009A7F87" w:rsidP="009A7F87">
      <w:pPr>
        <w:pStyle w:val="PartTitle"/>
        <w:spacing w:after="240"/>
      </w:pPr>
      <w:r>
        <w:t>health</w:t>
      </w:r>
    </w:p>
    <w:p w:rsidR="009A7F87" w:rsidRDefault="009A7F87" w:rsidP="009A7F87">
      <w:pPr>
        <w:pStyle w:val="BodyText"/>
        <w:rPr>
          <w:sz w:val="52"/>
        </w:rPr>
      </w:pPr>
      <w:r>
        <w:br w:type="page"/>
      </w:r>
    </w:p>
    <w:p w:rsidR="009A7F87" w:rsidRPr="003755C6" w:rsidRDefault="009A7F87" w:rsidP="009A7F87">
      <w:pPr>
        <w:rPr>
          <w:szCs w:val="20"/>
        </w:rPr>
      </w:pPr>
    </w:p>
    <w:p w:rsidR="009A7F87" w:rsidRDefault="009A7F87" w:rsidP="009A7F87">
      <w:pPr>
        <w:sectPr w:rsidR="009A7F87" w:rsidSect="009A7F87">
          <w:headerReference w:type="even" r:id="rId103"/>
          <w:headerReference w:type="default" r:id="rId104"/>
          <w:footerReference w:type="even" r:id="rId105"/>
          <w:footerReference w:type="default" r:id="rId106"/>
          <w:footnotePr>
            <w:numRestart w:val="eachSect"/>
          </w:footnotePr>
          <w:type w:val="oddPage"/>
          <w:pgSz w:w="11907" w:h="16840" w:code="9"/>
          <w:pgMar w:top="1985" w:right="1304" w:bottom="1247" w:left="1814" w:header="1701" w:footer="397" w:gutter="0"/>
          <w:pgNumType w:chapSep="period"/>
          <w:cols w:space="720"/>
          <w:docGrid w:linePitch="326"/>
        </w:sectPr>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2E2409">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t>0</w:t>
            </w:r>
            <w:r>
              <w:t>5</w:t>
            </w:r>
            <w:r w:rsidRPr="00770229">
              <w:t>11 Admitted patient services in acute care institutions</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8"/>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8"/>
            <w:tcBorders>
              <w:top w:val="single" w:sz="4" w:space="0" w:color="808080" w:themeColor="background1" w:themeShade="80"/>
              <w:bottom w:val="single" w:sz="4" w:space="0" w:color="808080" w:themeColor="background1" w:themeShade="80"/>
            </w:tcBorders>
            <w:tcMar>
              <w:top w:w="57" w:type="dxa"/>
              <w:left w:w="113" w:type="dxa"/>
            </w:tcMar>
          </w:tcPr>
          <w:p w:rsidR="009A7F87" w:rsidRPr="00674C7A" w:rsidRDefault="009A7F87" w:rsidP="009A7F87">
            <w:pPr>
              <w:pStyle w:val="TableBodyText"/>
              <w:jc w:val="left"/>
            </w:pPr>
            <w:r w:rsidRPr="00674C7A">
              <w:t>All people eligible for Medicare are entitled to a choice of free accommodation, medical, nursing, and other care as admitted patients in either State/Territory</w:t>
            </w:r>
            <w:r w:rsidRPr="00674C7A">
              <w:noBreakHyphen/>
              <w:t>owned hospitals, designated non</w:t>
            </w:r>
            <w:r w:rsidRPr="00674C7A">
              <w:noBreakHyphen/>
              <w:t xml:space="preserve">government religious and charitable hospitals, or in private hospitals that have made arrangements with governments to care for public patients. It is also possible to access treatment as a private patient in public or private hospitals with some assistance from government. </w:t>
            </w:r>
          </w:p>
          <w:p w:rsidR="009A7F87" w:rsidRPr="00674C7A" w:rsidRDefault="009A7F87" w:rsidP="009A7F87">
            <w:pPr>
              <w:pStyle w:val="TableBodyText"/>
              <w:jc w:val="left"/>
            </w:pPr>
            <w:r w:rsidRPr="00674C7A">
              <w:t xml:space="preserve">Australian, State and Territory government expenditure for this component of Medicare is administered under the National Healthcare Agreement and National Health Reform Agreement and relates to services provided by: </w:t>
            </w:r>
          </w:p>
          <w:p w:rsidR="009A7F87" w:rsidRPr="00674C7A" w:rsidRDefault="009A7F87" w:rsidP="009A7F87">
            <w:pPr>
              <w:pStyle w:val="TableBullet"/>
            </w:pPr>
            <w:r w:rsidRPr="00674C7A">
              <w:t xml:space="preserve">hospitals, including psychiatric units in general hospitals </w:t>
            </w:r>
          </w:p>
          <w:p w:rsidR="009A7F87" w:rsidRPr="00674C7A" w:rsidRDefault="009A7F87" w:rsidP="009A7F87">
            <w:pPr>
              <w:pStyle w:val="TableBullet"/>
            </w:pPr>
            <w:r w:rsidRPr="00674C7A">
              <w:t>drug and alcohol treatment facilities</w:t>
            </w:r>
          </w:p>
          <w:p w:rsidR="009A7F87" w:rsidRPr="00674C7A" w:rsidRDefault="009A7F87" w:rsidP="009A7F87">
            <w:pPr>
              <w:pStyle w:val="TableBullet"/>
            </w:pPr>
            <w:r w:rsidRPr="00674C7A">
              <w:t xml:space="preserve">dental hospitals offering acute care </w:t>
            </w:r>
          </w:p>
          <w:p w:rsidR="009A7F87" w:rsidRPr="00674C7A" w:rsidRDefault="009A7F87" w:rsidP="009A7F87">
            <w:pPr>
              <w:pStyle w:val="TableBullet"/>
            </w:pPr>
            <w:r w:rsidRPr="00674C7A">
              <w:t xml:space="preserve">free standing hospices offering palliative care to children and adults suffering from terminal illnesses </w:t>
            </w:r>
          </w:p>
          <w:p w:rsidR="009A7F87" w:rsidRPr="00674C7A" w:rsidRDefault="009A7F87" w:rsidP="009A7F87">
            <w:pPr>
              <w:pStyle w:val="TableBullet"/>
            </w:pPr>
            <w:r w:rsidRPr="00674C7A">
              <w:t>free standing or same day clinics.</w:t>
            </w:r>
          </w:p>
          <w:p w:rsidR="009A7F87" w:rsidRPr="00770229" w:rsidRDefault="009A7F87" w:rsidP="009A7F87">
            <w:pPr>
              <w:pStyle w:val="TableBodyText"/>
              <w:keepNext w:val="0"/>
              <w:keepLines w:val="0"/>
              <w:spacing w:before="60" w:after="60"/>
              <w:jc w:val="left"/>
              <w:rPr>
                <w:i/>
              </w:rPr>
            </w:pPr>
            <w:r w:rsidRPr="00770229">
              <w:rPr>
                <w:i/>
              </w:rPr>
              <w:t>The AIHW maps this GPC category to NMDS codes 101, 102 and 199.</w:t>
            </w:r>
          </w:p>
          <w:p w:rsidR="009A7F87" w:rsidRPr="00770229" w:rsidRDefault="009A7F87" w:rsidP="009A7F87">
            <w:pPr>
              <w:pStyle w:val="TableBodyText"/>
              <w:keepNext w:val="0"/>
              <w:keepLines w:val="0"/>
              <w:spacing w:before="60" w:after="60"/>
              <w:jc w:val="left"/>
              <w:rPr>
                <w:b/>
              </w:rPr>
            </w:pPr>
            <w:r w:rsidRPr="00770229">
              <w:t xml:space="preserve">An overview of how the AIHW method has been adapted for the Indigenous Expenditure Report, and the service use measures, </w:t>
            </w:r>
            <w:r w:rsidRPr="00DA3D60">
              <w:t>Indigenous</w:t>
            </w:r>
            <w:r w:rsidRPr="00317BFD">
              <w:rPr>
                <w:sz w:val="24"/>
                <w:szCs w:val="24"/>
              </w:rPr>
              <w:t xml:space="preserve"> </w:t>
            </w:r>
            <w:r w:rsidRPr="00770229">
              <w:t>under</w:t>
            </w:r>
            <w:r w:rsidRPr="00770229">
              <w:noBreakHyphen/>
              <w:t xml:space="preserve">identification, and cost differential factors provided by the AIHW for the </w:t>
            </w:r>
            <w:r>
              <w:t>2017 Report</w:t>
            </w:r>
            <w:r w:rsidRPr="00770229">
              <w:t xml:space="preserve"> is presented in </w:t>
            </w:r>
            <w:r>
              <w:t>section 5.1</w:t>
            </w:r>
            <w:r w:rsidRPr="00770229">
              <w:t>.</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8"/>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8"/>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jc w:val="left"/>
            </w:pPr>
            <w:r w:rsidRPr="00770229">
              <w:t xml:space="preserve">The key cost drivers of expenditure on admitted patient services </w:t>
            </w:r>
            <w:r w:rsidRPr="00674C7A">
              <w:t>in</w:t>
            </w:r>
            <w:r w:rsidRPr="00770229">
              <w:t xml:space="preserve"> acute care institutions are:</w:t>
            </w:r>
          </w:p>
          <w:p w:rsidR="009A7F87" w:rsidRPr="00674C7A" w:rsidRDefault="009A7F87" w:rsidP="009A7F87">
            <w:pPr>
              <w:pStyle w:val="TableBullet"/>
            </w:pPr>
            <w:r w:rsidRPr="00674C7A">
              <w:t xml:space="preserve">the number of admitted patients receiving services </w:t>
            </w:r>
          </w:p>
          <w:p w:rsidR="009A7F87" w:rsidRPr="00674C7A" w:rsidRDefault="009A7F87" w:rsidP="009A7F87">
            <w:pPr>
              <w:pStyle w:val="TableBullet"/>
            </w:pPr>
            <w:r w:rsidRPr="00674C7A">
              <w:t>the nature of the treatment received</w:t>
            </w:r>
          </w:p>
          <w:p w:rsidR="009A7F87" w:rsidRPr="00674C7A" w:rsidRDefault="009A7F87" w:rsidP="009A7F87">
            <w:pPr>
              <w:pStyle w:val="TableBullet"/>
            </w:pPr>
            <w:r w:rsidRPr="00674C7A">
              <w:t>the complexity of the underlying medical condition(s) on presentation (and possibly the extent of co</w:t>
            </w:r>
            <w:r w:rsidRPr="00674C7A">
              <w:noBreakHyphen/>
              <w:t>morbidity of the patient, if co</w:t>
            </w:r>
            <w:r w:rsidRPr="00674C7A">
              <w:noBreakHyphen/>
              <w:t>morbidity exists).</w:t>
            </w:r>
          </w:p>
          <w:p w:rsidR="009A7F87" w:rsidRPr="00674C7A" w:rsidRDefault="009A7F87" w:rsidP="009A7F87">
            <w:pPr>
              <w:pStyle w:val="TableBodyText"/>
              <w:jc w:val="left"/>
            </w:pPr>
            <w:r w:rsidRPr="00674C7A">
              <w:t>These cost drivers are based on development and research undertaken by the AIHW for the Expenditure on Health for Aboriginal and Torres Strait Islander People reports.</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4" w:space="0" w:color="808080" w:themeColor="background1" w:themeShade="80"/>
              <w:bottom w:val="single" w:sz="4"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EF1A03" w:rsidRDefault="009A7F87" w:rsidP="009A7F87">
            <w:pPr>
              <w:pStyle w:val="TableColumnHeading"/>
              <w:keepNext w:val="0"/>
              <w:jc w:val="left"/>
            </w:pPr>
          </w:p>
        </w:tc>
        <w:tc>
          <w:tcPr>
            <w:tcW w:w="1814" w:type="pct"/>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ColumnHeading"/>
              <w:keepNext w:val="0"/>
              <w:ind w:left="180"/>
              <w:jc w:val="left"/>
            </w:pPr>
          </w:p>
        </w:tc>
        <w:tc>
          <w:tcPr>
            <w:tcW w:w="2337" w:type="pct"/>
            <w:gridSpan w:val="6"/>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ColumnHeading"/>
              <w:keepNext w:val="0"/>
              <w:ind w:left="180"/>
              <w:jc w:val="center"/>
            </w:pPr>
            <w:r w:rsidRPr="00EF1A03">
              <w:t>Data Years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EF1A03" w:rsidRDefault="009A7F87" w:rsidP="009A7F87">
            <w:pPr>
              <w:pStyle w:val="TableBodyText"/>
              <w:keepNext w:val="0"/>
              <w:spacing w:before="60" w:after="60"/>
              <w:ind w:left="0"/>
              <w:jc w:val="both"/>
              <w:rPr>
                <w:i/>
              </w:rPr>
            </w:pPr>
            <w:r w:rsidRPr="00EF1A03">
              <w:rPr>
                <w:i/>
              </w:rPr>
              <w:br/>
              <w:t>Measure</w:t>
            </w:r>
          </w:p>
        </w:tc>
        <w:tc>
          <w:tcPr>
            <w:tcW w:w="1814" w:type="pct"/>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BodyText"/>
              <w:keepNext w:val="0"/>
              <w:spacing w:before="60" w:after="60"/>
              <w:ind w:left="180"/>
              <w:jc w:val="left"/>
              <w:rPr>
                <w:i/>
              </w:rPr>
            </w:pPr>
            <w:r w:rsidRPr="00EF1A03">
              <w:rPr>
                <w:i/>
              </w:rPr>
              <w:br/>
              <w:t>Data source</w:t>
            </w:r>
          </w:p>
        </w:tc>
        <w:tc>
          <w:tcPr>
            <w:tcW w:w="584" w:type="pct"/>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2008</w:t>
            </w:r>
            <w:r w:rsidRPr="00EF1A03">
              <w:rPr>
                <w:i/>
              </w:rPr>
              <w:noBreakHyphen/>
              <w:t>09 Estimates</w:t>
            </w:r>
          </w:p>
        </w:tc>
        <w:tc>
          <w:tcPr>
            <w:tcW w:w="585" w:type="pct"/>
            <w:gridSpan w:val="2"/>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2010</w:t>
            </w:r>
            <w:r w:rsidRPr="00EF1A03">
              <w:rPr>
                <w:i/>
              </w:rPr>
              <w:noBreakHyphen/>
              <w:t>11 Estimates</w:t>
            </w:r>
          </w:p>
        </w:tc>
        <w:tc>
          <w:tcPr>
            <w:tcW w:w="585" w:type="pct"/>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2012</w:t>
            </w:r>
            <w:r w:rsidRPr="00EF1A03">
              <w:rPr>
                <w:i/>
              </w:rPr>
              <w:noBreakHyphen/>
              <w:t>13 Estimates</w:t>
            </w:r>
          </w:p>
        </w:tc>
        <w:tc>
          <w:tcPr>
            <w:tcW w:w="583" w:type="pct"/>
            <w:gridSpan w:val="2"/>
            <w:tcBorders>
              <w:top w:val="single" w:sz="4" w:space="0" w:color="808080" w:themeColor="background1" w:themeShade="80"/>
              <w:bottom w:val="single" w:sz="4" w:space="0" w:color="808080" w:themeColor="background1" w:themeShade="80"/>
            </w:tcBorders>
          </w:tcPr>
          <w:p w:rsidR="009A7F87" w:rsidRPr="00EF1A03" w:rsidRDefault="009A7F87" w:rsidP="009A7F87">
            <w:pPr>
              <w:pStyle w:val="TableBodyText"/>
              <w:keepNext w:val="0"/>
              <w:spacing w:before="60" w:after="60"/>
              <w:ind w:left="2"/>
              <w:jc w:val="center"/>
              <w:rPr>
                <w:i/>
              </w:rPr>
            </w:pPr>
            <w:r w:rsidRPr="00EF1A03">
              <w:rPr>
                <w:i/>
              </w:rPr>
              <w:t>2015</w:t>
            </w:r>
            <w:r w:rsidRPr="00EF1A03">
              <w:rPr>
                <w:i/>
              </w:rPr>
              <w:noBreakHyphen/>
              <w:t>16 Estimates</w:t>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share of expenditure provided by jurisdictions</w:t>
            </w:r>
          </w:p>
        </w:tc>
        <w:tc>
          <w:tcPr>
            <w:tcW w:w="1814" w:type="pct"/>
            <w:tcBorders>
              <w:top w:val="single" w:sz="4" w:space="0" w:color="808080" w:themeColor="background1" w:themeShade="80"/>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Unpublished AIHW estimates based on </w:t>
            </w:r>
            <w:r w:rsidRPr="00633D8F">
              <w:rPr>
                <w:i/>
              </w:rPr>
              <w:t>AIHW Expenditure on Health for Aboriginal and Torres Strait Islander People</w:t>
            </w:r>
          </w:p>
        </w:tc>
        <w:tc>
          <w:tcPr>
            <w:tcW w:w="584" w:type="pct"/>
            <w:tcBorders>
              <w:top w:val="single" w:sz="4" w:space="0" w:color="808080" w:themeColor="background1" w:themeShade="80"/>
              <w:bottom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top w:val="single" w:sz="4" w:space="0" w:color="808080" w:themeColor="background1" w:themeShade="80"/>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rsidRPr="00DB3652">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4" w:space="0" w:color="808080" w:themeColor="background1" w:themeShade="80"/>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gridSpan w:val="2"/>
            <w:tcBorders>
              <w:top w:val="single" w:sz="4" w:space="0" w:color="808080" w:themeColor="background1" w:themeShade="80"/>
              <w:bottom w:val="single" w:sz="4" w:space="0" w:color="808080" w:themeColor="background1" w:themeShade="80"/>
            </w:tcBorders>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863029" w:rsidRDefault="009A7F87" w:rsidP="009A7F87">
            <w:pPr>
              <w:pStyle w:val="Note"/>
              <w:jc w:val="right"/>
            </w:pPr>
            <w:r>
              <w:t>(continued next page)</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120072">
      <w:pPr>
        <w:pStyle w:val="BodyText"/>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2268"/>
        <w:gridCol w:w="6528"/>
      </w:tblGrid>
      <w:tr w:rsidR="009A7F87" w:rsidRPr="00770229" w:rsidTr="002E2409">
        <w:tc>
          <w:tcPr>
            <w:tcW w:w="5000" w:type="pct"/>
            <w:gridSpan w:val="2"/>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C05C71" w:rsidRDefault="009A7F87" w:rsidP="009A7F87">
            <w:pPr>
              <w:pStyle w:val="Heading3"/>
              <w:rPr>
                <w:sz w:val="18"/>
                <w:szCs w:val="18"/>
              </w:rPr>
            </w:pPr>
            <w:r w:rsidRPr="00C05C71">
              <w:rPr>
                <w:sz w:val="18"/>
                <w:szCs w:val="18"/>
              </w:rPr>
              <w:t>(continued)</w:t>
            </w:r>
          </w:p>
        </w:tc>
      </w:tr>
      <w:tr w:rsidR="009A7F87" w:rsidRPr="00770229" w:rsidTr="002E2409">
        <w:tc>
          <w:tcPr>
            <w:tcW w:w="5000" w:type="pct"/>
            <w:gridSpan w:val="2"/>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Pr>
                <w:b/>
                <w:sz w:val="24"/>
              </w:rPr>
              <w:t>AIHW method</w:t>
            </w:r>
          </w:p>
        </w:tc>
      </w:tr>
      <w:tr w:rsidR="009A7F87" w:rsidRPr="00770229" w:rsidTr="00A672D0">
        <w:tc>
          <w:tcPr>
            <w:tcW w:w="1289" w:type="pct"/>
            <w:tcBorders>
              <w:top w:val="single" w:sz="4" w:space="0" w:color="808080" w:themeColor="background1" w:themeShade="80"/>
              <w:bottom w:val="nil"/>
            </w:tcBorders>
            <w:tcMar>
              <w:top w:w="57" w:type="dxa"/>
              <w:left w:w="113" w:type="dxa"/>
            </w:tcMar>
          </w:tcPr>
          <w:p w:rsidR="009A7F87" w:rsidRPr="00770229" w:rsidRDefault="009A7F87" w:rsidP="009A7F87">
            <w:pPr>
              <w:pStyle w:val="TableBodyText"/>
              <w:jc w:val="left"/>
              <w:rPr>
                <w:b/>
                <w:sz w:val="24"/>
              </w:rPr>
            </w:pPr>
            <w:r w:rsidRPr="00770229">
              <w:rPr>
                <w:i/>
              </w:rPr>
              <w:t>Service use measures:</w:t>
            </w:r>
          </w:p>
        </w:tc>
        <w:tc>
          <w:tcPr>
            <w:tcW w:w="3711" w:type="pct"/>
            <w:tcBorders>
              <w:top w:val="single" w:sz="4" w:space="0" w:color="808080" w:themeColor="background1" w:themeShade="80"/>
              <w:bottom w:val="nil"/>
            </w:tcBorders>
          </w:tcPr>
          <w:p w:rsidR="009A7F87" w:rsidRPr="00770229" w:rsidRDefault="009A7F87" w:rsidP="009A7F87">
            <w:pPr>
              <w:pStyle w:val="TableBodyText"/>
              <w:jc w:val="left"/>
              <w:rPr>
                <w:rFonts w:cs="Arial"/>
                <w:bCs/>
              </w:rPr>
            </w:pPr>
            <w:r w:rsidRPr="00770229">
              <w:t>The service use measure used by the AIHW as a proxy for the cost driver of expenditure on admitted patient services in acute care institutions</w:t>
            </w:r>
            <w:r w:rsidRPr="00770229">
              <w:rPr>
                <w:rFonts w:cs="Arial"/>
                <w:bCs/>
              </w:rPr>
              <w:t xml:space="preserve"> is:</w:t>
            </w:r>
          </w:p>
          <w:p w:rsidR="009A7F87" w:rsidRPr="00770229" w:rsidRDefault="009A7F87" w:rsidP="009A7F87">
            <w:pPr>
              <w:pStyle w:val="TableBullet"/>
              <w:rPr>
                <w:b/>
                <w:sz w:val="24"/>
              </w:rPr>
            </w:pPr>
            <w:r w:rsidRPr="00863029">
              <w:rPr>
                <w:rStyle w:val="TableBulletChar"/>
              </w:rPr>
              <w:t>d</w:t>
            </w:r>
            <w:r w:rsidRPr="00770229">
              <w:t>ata on hospital separations by Diagnosis Related Group.</w:t>
            </w:r>
          </w:p>
        </w:tc>
      </w:tr>
      <w:tr w:rsidR="009A7F87" w:rsidRPr="00770229" w:rsidTr="0044346B">
        <w:tc>
          <w:tcPr>
            <w:tcW w:w="1289" w:type="pct"/>
            <w:tcBorders>
              <w:top w:val="nil"/>
              <w:bottom w:val="nil"/>
            </w:tcBorders>
            <w:tcMar>
              <w:top w:w="57" w:type="dxa"/>
              <w:left w:w="113" w:type="dxa"/>
            </w:tcMar>
          </w:tcPr>
          <w:p w:rsidR="009A7F87" w:rsidRPr="00770229" w:rsidRDefault="009A7F87" w:rsidP="009A7F87">
            <w:pPr>
              <w:pStyle w:val="TableBodyText"/>
              <w:jc w:val="left"/>
              <w:rPr>
                <w:b/>
                <w:sz w:val="24"/>
              </w:rPr>
            </w:pPr>
            <w:r w:rsidRPr="00770229">
              <w:rPr>
                <w:i/>
              </w:rPr>
              <w:t xml:space="preserve">Indigenous status </w:t>
            </w:r>
            <w:r w:rsidRPr="00770229">
              <w:rPr>
                <w:i/>
              </w:rPr>
              <w:br/>
              <w:t>under</w:t>
            </w:r>
            <w:r w:rsidRPr="00770229">
              <w:rPr>
                <w:i/>
              </w:rPr>
              <w:noBreakHyphen/>
              <w:t>identification:</w:t>
            </w:r>
          </w:p>
        </w:tc>
        <w:tc>
          <w:tcPr>
            <w:tcW w:w="3711" w:type="pct"/>
            <w:tcBorders>
              <w:top w:val="nil"/>
              <w:bottom w:val="nil"/>
            </w:tcBorders>
          </w:tcPr>
          <w:p w:rsidR="009A7F87" w:rsidRPr="00770229" w:rsidRDefault="009A7F87" w:rsidP="009A7F87">
            <w:pPr>
              <w:pStyle w:val="TableBullet"/>
              <w:numPr>
                <w:ilvl w:val="0"/>
                <w:numId w:val="0"/>
              </w:numPr>
            </w:pPr>
            <w:r w:rsidRPr="00770229">
              <w:t xml:space="preserve">The AIHW completed an assessment of the level of </w:t>
            </w:r>
            <w:r>
              <w:t>Indigenous under-identification</w:t>
            </w:r>
            <w:r w:rsidRPr="00770229">
              <w:t xml:space="preserve"> in admitted patient separations data in all states and territories by comparing hospital records with results from patient interviews (the hospital audit study).</w:t>
            </w:r>
          </w:p>
          <w:p w:rsidR="009A7F87" w:rsidRPr="00863029" w:rsidRDefault="009A7F87" w:rsidP="009A7F87">
            <w:pPr>
              <w:pStyle w:val="TableBullet"/>
              <w:numPr>
                <w:ilvl w:val="0"/>
                <w:numId w:val="0"/>
              </w:numPr>
            </w:pPr>
            <w:r w:rsidRPr="00770229">
              <w:t>The audit of Indigenous identification levels in hospital admission records was undertaken by interviewing a sample of admitted patients in public hospitals about their Indigenous status and comparing it with the Indigenous status information recorded on the hospital’s admission records. The audit is used to derive under</w:t>
            </w:r>
            <w:r w:rsidRPr="00770229">
              <w:noBreakHyphen/>
              <w:t>identification factors, which are then used in the compilation of admitted patient expenditure estimates in public hospitals.</w:t>
            </w:r>
          </w:p>
        </w:tc>
      </w:tr>
      <w:tr w:rsidR="009A7F87" w:rsidRPr="00770229" w:rsidTr="0044346B">
        <w:tc>
          <w:tcPr>
            <w:tcW w:w="1289" w:type="pct"/>
            <w:tcBorders>
              <w:top w:val="nil"/>
              <w:bottom w:val="single" w:sz="6" w:space="0" w:color="808080" w:themeColor="background1" w:themeShade="80"/>
            </w:tcBorders>
            <w:tcMar>
              <w:top w:w="57" w:type="dxa"/>
              <w:left w:w="113" w:type="dxa"/>
            </w:tcMar>
          </w:tcPr>
          <w:p w:rsidR="009A7F87" w:rsidRPr="00770229" w:rsidRDefault="009A7F87" w:rsidP="009A7F87">
            <w:pPr>
              <w:pStyle w:val="TableBodyText"/>
              <w:jc w:val="left"/>
              <w:rPr>
                <w:b/>
                <w:sz w:val="24"/>
              </w:rPr>
            </w:pPr>
            <w:r w:rsidRPr="00770229">
              <w:rPr>
                <w:i/>
              </w:rPr>
              <w:t>Service delivery cost differential:</w:t>
            </w:r>
          </w:p>
        </w:tc>
        <w:tc>
          <w:tcPr>
            <w:tcW w:w="3711" w:type="pct"/>
            <w:tcBorders>
              <w:top w:val="nil"/>
              <w:bottom w:val="single" w:sz="6" w:space="0" w:color="808080" w:themeColor="background1" w:themeShade="80"/>
            </w:tcBorders>
          </w:tcPr>
          <w:p w:rsidR="009A7F87" w:rsidRPr="00770229" w:rsidRDefault="009A7F87" w:rsidP="009A7F87">
            <w:pPr>
              <w:pStyle w:val="TableBodyText"/>
              <w:jc w:val="left"/>
              <w:rPr>
                <w:b/>
                <w:sz w:val="24"/>
              </w:rPr>
            </w:pPr>
            <w:r w:rsidRPr="00770229">
              <w:t>The AIHW calculates the cost differential using the Hospital Morbidity Costing Model, which applies Diagnosis Related Group weights and length of stay adjustment to both Aboriginal and Torres Strait Islander and non</w:t>
            </w:r>
            <w:r w:rsidRPr="00770229">
              <w:noBreakHyphen/>
              <w:t>Indigenous cases at the hospital levels. Therefore, the Hospital Morbidity Costing Model takes into account case</w:t>
            </w:r>
            <w:r w:rsidRPr="00770229">
              <w:noBreakHyphen/>
              <w:t>mix differences and the differences in the cost of providing treatment in different hospital types and in different regions.</w:t>
            </w:r>
          </w:p>
        </w:tc>
      </w:tr>
      <w:tr w:rsidR="009A7F87" w:rsidRPr="0071369A" w:rsidTr="0044346B">
        <w:tblPrEx>
          <w:tblBorders>
            <w:top w:val="none" w:sz="0" w:space="0" w:color="auto"/>
            <w:bottom w:val="none" w:sz="0" w:space="0" w:color="auto"/>
            <w:insideH w:val="none" w:sz="0" w:space="0" w:color="auto"/>
          </w:tblBorders>
        </w:tblPrEx>
        <w:tc>
          <w:tcPr>
            <w:tcW w:w="5000" w:type="pct"/>
            <w:gridSpan w:val="2"/>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2E2409">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t>0</w:t>
            </w:r>
            <w:r>
              <w:t>512</w:t>
            </w:r>
            <w:r w:rsidRPr="00770229">
              <w:t xml:space="preserve"> Non</w:t>
            </w:r>
            <w:r w:rsidRPr="00770229">
              <w:noBreakHyphen/>
              <w:t>admitted patient services in acute care institutions</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8"/>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8"/>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60"/>
              <w:jc w:val="left"/>
            </w:pPr>
            <w:r w:rsidRPr="00770229">
              <w:t>Government provides expenditure on non</w:t>
            </w:r>
            <w:r>
              <w:noBreakHyphen/>
            </w:r>
            <w:r w:rsidRPr="00770229">
              <w:t>admitted patient services in acute care institutions for a range of purposes, including:</w:t>
            </w:r>
          </w:p>
          <w:p w:rsidR="009A7F87" w:rsidRPr="00770229" w:rsidRDefault="009A7F87" w:rsidP="009A7F87">
            <w:pPr>
              <w:pStyle w:val="TableBullet"/>
              <w:numPr>
                <w:ilvl w:val="0"/>
                <w:numId w:val="24"/>
              </w:numPr>
              <w:spacing w:line="220" w:lineRule="atLeast"/>
            </w:pPr>
            <w:r w:rsidRPr="00770229">
              <w:rPr>
                <w:i/>
              </w:rPr>
              <w:t>accident and emergency services</w:t>
            </w:r>
            <w:r w:rsidRPr="00770229">
              <w:t xml:space="preserve"> — non</w:t>
            </w:r>
            <w:r w:rsidRPr="00770229">
              <w:noBreakHyphen/>
              <w:t>admitted patients accessing accident and emergency services generally do so through a hospital emergency department, but who are not relocated to a hospital ward and are not admitted</w:t>
            </w:r>
          </w:p>
          <w:p w:rsidR="009A7F87" w:rsidRPr="00770229" w:rsidRDefault="009A7F87" w:rsidP="009A7F87">
            <w:pPr>
              <w:pStyle w:val="TableBullet"/>
              <w:numPr>
                <w:ilvl w:val="0"/>
                <w:numId w:val="24"/>
              </w:numPr>
              <w:spacing w:line="220" w:lineRule="atLeast"/>
            </w:pPr>
            <w:r w:rsidRPr="00770229">
              <w:rPr>
                <w:i/>
              </w:rPr>
              <w:t>outpatient clinics</w:t>
            </w:r>
            <w:r w:rsidRPr="00770229">
              <w:t xml:space="preserve"> —</w:t>
            </w:r>
            <w:r>
              <w:t xml:space="preserve"> </w:t>
            </w:r>
            <w:r w:rsidRPr="00770229">
              <w:t>specialist outpatient clinics are provided free of charge to all public patients who are eligible for Medicare</w:t>
            </w:r>
          </w:p>
          <w:p w:rsidR="009A7F87" w:rsidRPr="00770229" w:rsidRDefault="009A7F87" w:rsidP="009A7F87">
            <w:pPr>
              <w:pStyle w:val="TableBullet"/>
              <w:numPr>
                <w:ilvl w:val="0"/>
                <w:numId w:val="24"/>
              </w:numPr>
              <w:spacing w:line="220" w:lineRule="atLeast"/>
            </w:pPr>
            <w:r w:rsidRPr="00770229">
              <w:rPr>
                <w:i/>
              </w:rPr>
              <w:t>outreach services</w:t>
            </w:r>
            <w:r w:rsidRPr="00770229">
              <w:t xml:space="preserve"> —</w:t>
            </w:r>
            <w:r>
              <w:t xml:space="preserve"> </w:t>
            </w:r>
            <w:r w:rsidRPr="00770229">
              <w:t>outpatient assessment and treatment as well as home visits to acute care patients who cannot attend hospital clinics</w:t>
            </w:r>
          </w:p>
          <w:p w:rsidR="009A7F87" w:rsidRPr="00770229" w:rsidRDefault="009A7F87" w:rsidP="009A7F87">
            <w:pPr>
              <w:pStyle w:val="TableBullet"/>
              <w:numPr>
                <w:ilvl w:val="0"/>
                <w:numId w:val="24"/>
              </w:numPr>
              <w:spacing w:line="220" w:lineRule="atLeast"/>
            </w:pPr>
            <w:r w:rsidRPr="00770229">
              <w:rPr>
                <w:i/>
              </w:rPr>
              <w:t>other services</w:t>
            </w:r>
            <w:r w:rsidRPr="00770229">
              <w:t xml:space="preserve"> — community health services that are provided to non</w:t>
            </w:r>
            <w:r w:rsidRPr="00770229">
              <w:noBreakHyphen/>
              <w:t>admitted patients in the setting of an acute care institution, including community nursing services, public dental clinics, and alcohol and drug treatment services.</w:t>
            </w:r>
          </w:p>
          <w:p w:rsidR="009A7F87" w:rsidRPr="00770229" w:rsidRDefault="009A7F87" w:rsidP="009A7F87">
            <w:pPr>
              <w:pStyle w:val="TableBodyText"/>
              <w:keepNext w:val="0"/>
              <w:keepLines w:val="0"/>
              <w:spacing w:before="60"/>
              <w:jc w:val="left"/>
              <w:rPr>
                <w:i/>
              </w:rPr>
            </w:pPr>
            <w:r w:rsidRPr="00770229">
              <w:rPr>
                <w:i/>
              </w:rPr>
              <w:t>The AIHW maps services in this category to NMDS codes 302, 303, 304, 305, 306, 307, 308 309, 388 and 399.</w:t>
            </w:r>
          </w:p>
          <w:p w:rsidR="009A7F87" w:rsidRPr="00770229" w:rsidRDefault="009A7F87" w:rsidP="009A7F87">
            <w:pPr>
              <w:pStyle w:val="TableBodyText"/>
              <w:keepNext w:val="0"/>
              <w:keepLines w:val="0"/>
              <w:spacing w:before="60"/>
              <w:jc w:val="left"/>
            </w:pPr>
            <w:r w:rsidRPr="00770229">
              <w:t xml:space="preserve">An overview of how the AIHW method has been adapted for the Indigenous Expenditure Report, and the service use measures, </w:t>
            </w:r>
            <w:r w:rsidRPr="00DA3D60">
              <w:t>Indigenous</w:t>
            </w:r>
            <w:r w:rsidRPr="00317BFD">
              <w:rPr>
                <w:sz w:val="24"/>
                <w:szCs w:val="24"/>
              </w:rPr>
              <w:t xml:space="preserve"> </w:t>
            </w:r>
            <w:r w:rsidRPr="00770229">
              <w:t>under</w:t>
            </w:r>
            <w:r w:rsidRPr="00770229">
              <w:noBreakHyphen/>
              <w:t xml:space="preserve">identification, and cost differential factors provided by the AIHW for the </w:t>
            </w:r>
            <w:r>
              <w:t>2017 Report</w:t>
            </w:r>
            <w:r w:rsidRPr="00770229">
              <w:t xml:space="preserve"> is presented in </w:t>
            </w:r>
            <w:r>
              <w:t>section 5.1</w:t>
            </w:r>
            <w:r w:rsidRPr="00770229">
              <w:t>.</w:t>
            </w:r>
          </w:p>
          <w:p w:rsidR="009A7F87" w:rsidRPr="00770229" w:rsidRDefault="009A7F87" w:rsidP="009A7F87">
            <w:pPr>
              <w:pStyle w:val="TableBodyText"/>
              <w:keepNext w:val="0"/>
              <w:keepLines w:val="0"/>
              <w:spacing w:before="60" w:after="60"/>
              <w:jc w:val="left"/>
              <w:rPr>
                <w:b/>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8"/>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8"/>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sidRPr="00770229">
              <w:t>The cost drivers of expenditure on non</w:t>
            </w:r>
            <w:r w:rsidRPr="00770229">
              <w:noBreakHyphen/>
              <w:t>admitted patient services in acute care institutions are:</w:t>
            </w:r>
          </w:p>
          <w:p w:rsidR="009A7F87" w:rsidRPr="00770229" w:rsidRDefault="009A7F87" w:rsidP="009A7F87">
            <w:pPr>
              <w:pStyle w:val="TableBullet"/>
              <w:numPr>
                <w:ilvl w:val="0"/>
                <w:numId w:val="24"/>
              </w:numPr>
              <w:spacing w:line="220" w:lineRule="atLeast"/>
            </w:pPr>
            <w:r w:rsidRPr="00770229">
              <w:t>the number of non</w:t>
            </w:r>
            <w:r w:rsidRPr="00770229">
              <w:noBreakHyphen/>
              <w:t xml:space="preserve">admitted patients receiving services </w:t>
            </w:r>
          </w:p>
          <w:p w:rsidR="009A7F87" w:rsidRPr="00770229" w:rsidRDefault="009A7F87" w:rsidP="009A7F87">
            <w:pPr>
              <w:pStyle w:val="TableBullet"/>
              <w:numPr>
                <w:ilvl w:val="0"/>
                <w:numId w:val="24"/>
              </w:numPr>
              <w:spacing w:line="220" w:lineRule="atLeast"/>
            </w:pPr>
            <w:r w:rsidRPr="00770229">
              <w:t>the nature of the treatment received</w:t>
            </w:r>
          </w:p>
          <w:p w:rsidR="009A7F87" w:rsidRPr="00770229" w:rsidRDefault="009A7F87" w:rsidP="009A7F87">
            <w:pPr>
              <w:pStyle w:val="TableBullet"/>
              <w:numPr>
                <w:ilvl w:val="0"/>
                <w:numId w:val="24"/>
              </w:numPr>
              <w:spacing w:line="220" w:lineRule="atLeast"/>
            </w:pPr>
            <w:r w:rsidRPr="00770229">
              <w:t>the complexity of the underlying medical condition(s) on presentation (and possibly the extent of co</w:t>
            </w:r>
            <w:r w:rsidRPr="00770229">
              <w:noBreakHyphen/>
              <w:t>morbidity of the patient, if co</w:t>
            </w:r>
            <w:r w:rsidRPr="00770229">
              <w:noBreakHyphen/>
              <w:t>morbidity exists).</w:t>
            </w:r>
            <w:r w:rsidRPr="00770229">
              <w:rPr>
                <w:szCs w:val="26"/>
              </w:rPr>
              <w:t xml:space="preserve"> </w:t>
            </w:r>
          </w:p>
          <w:p w:rsidR="009A7F87" w:rsidRPr="00770229" w:rsidRDefault="009A7F87" w:rsidP="009A7F87">
            <w:pPr>
              <w:pStyle w:val="TableBodyText"/>
              <w:keepNext w:val="0"/>
              <w:spacing w:before="60" w:after="60"/>
              <w:jc w:val="left"/>
              <w:rPr>
                <w:szCs w:val="26"/>
              </w:rPr>
            </w:pPr>
            <w:r w:rsidRPr="00770229">
              <w:t>These cost drivers are based on development and research undertaken by the AIHW for the Expenditure on Health for Aboriginal and Torres Strait Islander People reports.</w:t>
            </w:r>
            <w:r w:rsidRPr="00770229">
              <w:rPr>
                <w:szCs w:val="26"/>
              </w:rPr>
              <w:t xml:space="preserve"> </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4" w:space="0" w:color="808080" w:themeColor="background1" w:themeShade="80"/>
              <w:bottom w:val="single" w:sz="4"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EF1A03" w:rsidRDefault="009A7F87" w:rsidP="009A7F87">
            <w:pPr>
              <w:pStyle w:val="TableColumnHeading"/>
              <w:keepNext w:val="0"/>
              <w:jc w:val="left"/>
            </w:pPr>
          </w:p>
        </w:tc>
        <w:tc>
          <w:tcPr>
            <w:tcW w:w="1814" w:type="pct"/>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ColumnHeading"/>
              <w:keepNext w:val="0"/>
              <w:ind w:left="180"/>
              <w:jc w:val="left"/>
            </w:pPr>
          </w:p>
        </w:tc>
        <w:tc>
          <w:tcPr>
            <w:tcW w:w="2337" w:type="pct"/>
            <w:gridSpan w:val="6"/>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ColumnHeading"/>
              <w:keepNext w:val="0"/>
              <w:ind w:left="180"/>
              <w:jc w:val="center"/>
            </w:pPr>
            <w:r w:rsidRPr="00EF1A03">
              <w:t>Data Years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EF1A03" w:rsidRDefault="009A7F87" w:rsidP="009A7F87">
            <w:pPr>
              <w:pStyle w:val="TableBodyText"/>
              <w:keepNext w:val="0"/>
              <w:spacing w:before="60" w:after="60"/>
              <w:ind w:left="0"/>
              <w:jc w:val="both"/>
              <w:rPr>
                <w:i/>
              </w:rPr>
            </w:pPr>
            <w:r w:rsidRPr="00EF1A03">
              <w:rPr>
                <w:i/>
              </w:rPr>
              <w:br/>
              <w:t>Measure</w:t>
            </w:r>
          </w:p>
        </w:tc>
        <w:tc>
          <w:tcPr>
            <w:tcW w:w="1814" w:type="pct"/>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BodyText"/>
              <w:keepNext w:val="0"/>
              <w:spacing w:before="60" w:after="60"/>
              <w:ind w:left="180"/>
              <w:jc w:val="left"/>
              <w:rPr>
                <w:i/>
              </w:rPr>
            </w:pPr>
            <w:r w:rsidRPr="00EF1A03">
              <w:rPr>
                <w:i/>
              </w:rPr>
              <w:br/>
              <w:t>Data source</w:t>
            </w:r>
          </w:p>
        </w:tc>
        <w:tc>
          <w:tcPr>
            <w:tcW w:w="584" w:type="pct"/>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2008</w:t>
            </w:r>
            <w:r w:rsidRPr="00EF1A03">
              <w:rPr>
                <w:i/>
              </w:rPr>
              <w:noBreakHyphen/>
              <w:t>09 Estimates</w:t>
            </w:r>
          </w:p>
        </w:tc>
        <w:tc>
          <w:tcPr>
            <w:tcW w:w="585" w:type="pct"/>
            <w:gridSpan w:val="2"/>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2010</w:t>
            </w:r>
            <w:r w:rsidRPr="00EF1A03">
              <w:rPr>
                <w:i/>
              </w:rPr>
              <w:noBreakHyphen/>
              <w:t>11 Estimates</w:t>
            </w:r>
          </w:p>
        </w:tc>
        <w:tc>
          <w:tcPr>
            <w:tcW w:w="585" w:type="pct"/>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2012</w:t>
            </w:r>
            <w:r w:rsidRPr="00EF1A03">
              <w:rPr>
                <w:i/>
              </w:rPr>
              <w:noBreakHyphen/>
              <w:t>13 Estimates</w:t>
            </w:r>
          </w:p>
        </w:tc>
        <w:tc>
          <w:tcPr>
            <w:tcW w:w="583" w:type="pct"/>
            <w:gridSpan w:val="2"/>
            <w:tcBorders>
              <w:top w:val="single" w:sz="4" w:space="0" w:color="808080" w:themeColor="background1" w:themeShade="80"/>
              <w:bottom w:val="single" w:sz="4" w:space="0" w:color="808080" w:themeColor="background1" w:themeShade="80"/>
            </w:tcBorders>
          </w:tcPr>
          <w:p w:rsidR="009A7F87" w:rsidRPr="00EF1A03" w:rsidRDefault="009A7F87" w:rsidP="009A7F87">
            <w:pPr>
              <w:pStyle w:val="TableBodyText"/>
              <w:keepNext w:val="0"/>
              <w:spacing w:before="60" w:after="60"/>
              <w:ind w:left="2"/>
              <w:jc w:val="center"/>
              <w:rPr>
                <w:i/>
              </w:rPr>
            </w:pPr>
            <w:r w:rsidRPr="00EF1A03">
              <w:rPr>
                <w:i/>
              </w:rPr>
              <w:t>2015</w:t>
            </w:r>
            <w:r w:rsidRPr="00EF1A03">
              <w:rPr>
                <w:i/>
              </w:rPr>
              <w:noBreakHyphen/>
              <w:t>16 Estimates</w:t>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share of expenditure provided by jurisdictions</w:t>
            </w:r>
          </w:p>
        </w:tc>
        <w:tc>
          <w:tcPr>
            <w:tcW w:w="1814" w:type="pct"/>
            <w:tcBorders>
              <w:top w:val="single" w:sz="4" w:space="0" w:color="808080" w:themeColor="background1" w:themeShade="80"/>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Unpublished AIHW estimates based on </w:t>
            </w:r>
            <w:r w:rsidRPr="00633D8F">
              <w:rPr>
                <w:i/>
              </w:rPr>
              <w:t>AIHW Expenditure on Health for Aboriginal and Torres Strait Islander People</w:t>
            </w:r>
          </w:p>
        </w:tc>
        <w:tc>
          <w:tcPr>
            <w:tcW w:w="584" w:type="pct"/>
            <w:tcBorders>
              <w:top w:val="single" w:sz="4" w:space="0" w:color="808080" w:themeColor="background1" w:themeShade="80"/>
              <w:bottom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4" w:space="0" w:color="808080" w:themeColor="background1" w:themeShade="80"/>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rsidRPr="00DB3652">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4" w:space="0" w:color="808080" w:themeColor="background1" w:themeShade="80"/>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gridSpan w:val="2"/>
            <w:tcBorders>
              <w:top w:val="single" w:sz="4" w:space="0" w:color="808080" w:themeColor="background1" w:themeShade="80"/>
              <w:bottom w:val="single" w:sz="4" w:space="0" w:color="808080" w:themeColor="background1" w:themeShade="80"/>
            </w:tcBorders>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863029" w:rsidRDefault="009A7F87" w:rsidP="009A7F87">
            <w:pPr>
              <w:pStyle w:val="Note"/>
              <w:jc w:val="right"/>
            </w:pPr>
            <w:r>
              <w:t>(continued next page)</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2268"/>
        <w:gridCol w:w="6528"/>
      </w:tblGrid>
      <w:tr w:rsidR="009A7F87" w:rsidRPr="00770229" w:rsidTr="002E2409">
        <w:tc>
          <w:tcPr>
            <w:tcW w:w="5000" w:type="pct"/>
            <w:gridSpan w:val="2"/>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C05C71" w:rsidRDefault="009A7F87" w:rsidP="009A7F87">
            <w:pPr>
              <w:pStyle w:val="Heading3"/>
              <w:rPr>
                <w:sz w:val="18"/>
                <w:szCs w:val="18"/>
              </w:rPr>
            </w:pPr>
            <w:r w:rsidRPr="00C05C71">
              <w:rPr>
                <w:sz w:val="18"/>
                <w:szCs w:val="18"/>
              </w:rPr>
              <w:t>(continued)</w:t>
            </w:r>
          </w:p>
        </w:tc>
      </w:tr>
      <w:tr w:rsidR="009A7F87" w:rsidRPr="00770229" w:rsidTr="002E2409">
        <w:tc>
          <w:tcPr>
            <w:tcW w:w="5000" w:type="pct"/>
            <w:gridSpan w:val="2"/>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Pr>
                <w:b/>
                <w:sz w:val="24"/>
              </w:rPr>
              <w:t>AIHW method</w:t>
            </w:r>
          </w:p>
        </w:tc>
      </w:tr>
      <w:tr w:rsidR="009A7F87" w:rsidRPr="00770229" w:rsidTr="00A672D0">
        <w:tc>
          <w:tcPr>
            <w:tcW w:w="1289" w:type="pct"/>
            <w:tcBorders>
              <w:top w:val="single" w:sz="4" w:space="0" w:color="808080" w:themeColor="background1" w:themeShade="80"/>
              <w:bottom w:val="nil"/>
            </w:tcBorders>
            <w:tcMar>
              <w:top w:w="57" w:type="dxa"/>
              <w:left w:w="113" w:type="dxa"/>
            </w:tcMar>
          </w:tcPr>
          <w:p w:rsidR="009A7F87" w:rsidRPr="00770229" w:rsidRDefault="009A7F87" w:rsidP="009A7F87">
            <w:pPr>
              <w:pStyle w:val="TableBodyText"/>
              <w:jc w:val="left"/>
              <w:rPr>
                <w:b/>
                <w:sz w:val="24"/>
              </w:rPr>
            </w:pPr>
            <w:r w:rsidRPr="00770229">
              <w:rPr>
                <w:i/>
              </w:rPr>
              <w:t>Service use measures:</w:t>
            </w:r>
          </w:p>
        </w:tc>
        <w:tc>
          <w:tcPr>
            <w:tcW w:w="3711" w:type="pct"/>
            <w:tcBorders>
              <w:top w:val="single" w:sz="4" w:space="0" w:color="808080" w:themeColor="background1" w:themeShade="80"/>
              <w:bottom w:val="nil"/>
            </w:tcBorders>
          </w:tcPr>
          <w:p w:rsidR="009A7F87" w:rsidRPr="00770229" w:rsidRDefault="009A7F87" w:rsidP="009A7F87">
            <w:pPr>
              <w:pStyle w:val="TableBullet"/>
              <w:numPr>
                <w:ilvl w:val="0"/>
                <w:numId w:val="0"/>
              </w:numPr>
            </w:pPr>
            <w:r w:rsidRPr="00770229">
              <w:t>The service use measures that are used by the AIHW as proxies for the cost drivers of expenditure on non</w:t>
            </w:r>
            <w:r>
              <w:noBreakHyphen/>
            </w:r>
            <w:r w:rsidRPr="00770229">
              <w:t>admitted patients in acute care institutions are:</w:t>
            </w:r>
          </w:p>
          <w:p w:rsidR="009A7F87" w:rsidRPr="00770229" w:rsidRDefault="009A7F87" w:rsidP="009A7F87">
            <w:pPr>
              <w:pStyle w:val="TableBullet"/>
            </w:pPr>
            <w:r w:rsidRPr="00770229">
              <w:rPr>
                <w:i/>
              </w:rPr>
              <w:t xml:space="preserve">NSW, Qld, SA, </w:t>
            </w:r>
            <w:proofErr w:type="spellStart"/>
            <w:r w:rsidRPr="00770229">
              <w:rPr>
                <w:i/>
              </w:rPr>
              <w:t>Tas</w:t>
            </w:r>
            <w:proofErr w:type="spellEnd"/>
            <w:r w:rsidRPr="00770229">
              <w:rPr>
                <w:i/>
              </w:rPr>
              <w:t xml:space="preserve"> and ACT</w:t>
            </w:r>
            <w:r w:rsidRPr="00770229">
              <w:t xml:space="preserve"> — hospital separations by Diagnosis Related Group (using a 10 per cent scale</w:t>
            </w:r>
            <w:r>
              <w:noBreakHyphen/>
            </w:r>
            <w:r w:rsidRPr="00770229">
              <w:t>up factor)</w:t>
            </w:r>
          </w:p>
          <w:p w:rsidR="009A7F87" w:rsidRPr="00770229" w:rsidRDefault="009A7F87" w:rsidP="009A7F87">
            <w:pPr>
              <w:pStyle w:val="TableBullet"/>
            </w:pPr>
            <w:r w:rsidRPr="00770229">
              <w:rPr>
                <w:i/>
              </w:rPr>
              <w:t>Vic and WA</w:t>
            </w:r>
            <w:r w:rsidRPr="00770229">
              <w:t xml:space="preserve"> — emergency department presentations</w:t>
            </w:r>
          </w:p>
          <w:p w:rsidR="009A7F87" w:rsidRPr="00770229" w:rsidRDefault="009A7F87" w:rsidP="009A7F87">
            <w:pPr>
              <w:pStyle w:val="TableBullet"/>
            </w:pPr>
            <w:r w:rsidRPr="00770229">
              <w:rPr>
                <w:i/>
              </w:rPr>
              <w:t>NT</w:t>
            </w:r>
            <w:r w:rsidRPr="00770229">
              <w:t xml:space="preserve"> — hospital separations by Diagnosis Related Group (using their own Aboriginal and Torres Strait Islander non</w:t>
            </w:r>
            <w:r w:rsidRPr="00770229">
              <w:noBreakHyphen/>
              <w:t>admitted patient proportion).</w:t>
            </w:r>
          </w:p>
          <w:p w:rsidR="009A7F87" w:rsidRPr="00770229" w:rsidRDefault="009A7F87" w:rsidP="009A7F87">
            <w:pPr>
              <w:pStyle w:val="TableBullet"/>
              <w:numPr>
                <w:ilvl w:val="0"/>
                <w:numId w:val="0"/>
              </w:numPr>
            </w:pPr>
            <w:r w:rsidRPr="00770229">
              <w:t>The AIHW derives Aboriginal and Torres Strait Islander non</w:t>
            </w:r>
            <w:r w:rsidRPr="00770229">
              <w:noBreakHyphen/>
              <w:t>admitted patient expenditure estimates using data provided from the states and territories and other information contained in the AIHW’s health expenditure database.</w:t>
            </w:r>
          </w:p>
          <w:p w:rsidR="009A7F87" w:rsidRPr="00770229" w:rsidRDefault="009A7F87" w:rsidP="009A7F87">
            <w:pPr>
              <w:pStyle w:val="TableBullet"/>
              <w:numPr>
                <w:ilvl w:val="0"/>
                <w:numId w:val="0"/>
              </w:numPr>
            </w:pPr>
            <w:r w:rsidRPr="00770229">
              <w:t>From analyses conducted by the AIHW it was found that, in general  excluding the NT, non</w:t>
            </w:r>
            <w:r w:rsidRPr="00770229">
              <w:noBreakHyphen/>
              <w:t>admitted patient data shows a higher Aboriginal and Torres Strait Islander proportion compared to the Aboriginal and Torres Strait Islander proportion of admitted patient expenditure. In the NT, which is the jurisdiction with the most accurate information, it is consistently shown that there is a lower proportion of non</w:t>
            </w:r>
            <w:r w:rsidRPr="00770229">
              <w:noBreakHyphen/>
              <w:t>admitted patient services for Aboriginal and Torres Strait Islander Australians compared to the Aboriginal and Torres Strait Islander proportion of admitted patient costs.</w:t>
            </w:r>
          </w:p>
          <w:p w:rsidR="009A7F87" w:rsidRPr="00770229" w:rsidRDefault="009A7F87" w:rsidP="009A7F87">
            <w:pPr>
              <w:pStyle w:val="TableBullet"/>
              <w:numPr>
                <w:ilvl w:val="0"/>
                <w:numId w:val="0"/>
              </w:numPr>
            </w:pPr>
            <w:r w:rsidRPr="00770229">
              <w:t>The Indigenous expenditure estimates for non</w:t>
            </w:r>
            <w:r w:rsidRPr="00770229">
              <w:noBreakHyphen/>
              <w:t>admitted patients in NSW, Qld, SA, Tasmania and the ACT were derived through the application of a 10 per cent scale</w:t>
            </w:r>
            <w:r w:rsidRPr="00770229">
              <w:noBreakHyphen/>
              <w:t xml:space="preserve">up factor to the admitted patient expenditure data from the AIHW’s Hospital Morbidity Cost Model. </w:t>
            </w:r>
          </w:p>
          <w:p w:rsidR="009A7F87" w:rsidRPr="00770229" w:rsidRDefault="009A7F87" w:rsidP="009A7F87">
            <w:pPr>
              <w:pStyle w:val="TableBullet"/>
              <w:numPr>
                <w:ilvl w:val="0"/>
                <w:numId w:val="0"/>
              </w:numPr>
            </w:pPr>
            <w:r w:rsidRPr="00770229">
              <w:t>The NT provided additional information which was then applied to derive a non</w:t>
            </w:r>
            <w:r w:rsidRPr="00770229">
              <w:noBreakHyphen/>
              <w:t>admitted patient estimate for the NT.</w:t>
            </w:r>
          </w:p>
          <w:p w:rsidR="009A7F87" w:rsidRPr="00770229" w:rsidRDefault="009A7F87" w:rsidP="009A7F87">
            <w:pPr>
              <w:pStyle w:val="TableBodyText"/>
              <w:jc w:val="left"/>
            </w:pPr>
            <w:r w:rsidRPr="00770229">
              <w:t>For Victoria and WA, the non</w:t>
            </w:r>
            <w:r w:rsidRPr="00770229">
              <w:noBreakHyphen/>
              <w:t>admitted Indigenous expenditure estimate was derived using the emergency department presentation data from each jurisdiction to produce non</w:t>
            </w:r>
            <w:r w:rsidRPr="00770229">
              <w:noBreakHyphen/>
              <w:t>admitted patient expenditure estimates.</w:t>
            </w:r>
          </w:p>
        </w:tc>
      </w:tr>
      <w:tr w:rsidR="009A7F87" w:rsidRPr="00770229" w:rsidTr="0044346B">
        <w:tc>
          <w:tcPr>
            <w:tcW w:w="1289" w:type="pct"/>
            <w:tcBorders>
              <w:top w:val="nil"/>
              <w:bottom w:val="nil"/>
            </w:tcBorders>
            <w:tcMar>
              <w:top w:w="57" w:type="dxa"/>
              <w:left w:w="113" w:type="dxa"/>
            </w:tcMar>
          </w:tcPr>
          <w:p w:rsidR="009A7F87" w:rsidRPr="00770229" w:rsidRDefault="009A7F87" w:rsidP="009A7F87">
            <w:pPr>
              <w:pStyle w:val="TableBodyText"/>
              <w:jc w:val="left"/>
              <w:rPr>
                <w:b/>
                <w:sz w:val="24"/>
              </w:rPr>
            </w:pPr>
            <w:r w:rsidRPr="00770229">
              <w:rPr>
                <w:i/>
              </w:rPr>
              <w:t xml:space="preserve">Indigenous status </w:t>
            </w:r>
            <w:r w:rsidRPr="00770229">
              <w:rPr>
                <w:i/>
              </w:rPr>
              <w:br/>
              <w:t>under</w:t>
            </w:r>
            <w:r w:rsidRPr="00770229">
              <w:rPr>
                <w:i/>
              </w:rPr>
              <w:noBreakHyphen/>
              <w:t>identification:</w:t>
            </w:r>
          </w:p>
        </w:tc>
        <w:tc>
          <w:tcPr>
            <w:tcW w:w="3711" w:type="pct"/>
            <w:tcBorders>
              <w:top w:val="nil"/>
              <w:bottom w:val="nil"/>
            </w:tcBorders>
          </w:tcPr>
          <w:p w:rsidR="009A7F87" w:rsidRPr="00770229" w:rsidRDefault="009A7F87" w:rsidP="009A7F87">
            <w:pPr>
              <w:pStyle w:val="TableBodyText"/>
              <w:keepNext w:val="0"/>
              <w:spacing w:before="60" w:after="60"/>
              <w:jc w:val="left"/>
            </w:pPr>
            <w:r w:rsidRPr="00770229">
              <w:t>The AIHW completed an assessment of the level of Indigenous under</w:t>
            </w:r>
            <w:r w:rsidRPr="00770229">
              <w:noBreakHyphen/>
              <w:t xml:space="preserve">identification in admitted patient separations data in all states and territories by comparing hospital records with results from patient interviews (the hospital audit study). </w:t>
            </w:r>
          </w:p>
          <w:p w:rsidR="009A7F87" w:rsidRPr="00770229" w:rsidRDefault="009A7F87" w:rsidP="009A7F87">
            <w:pPr>
              <w:pStyle w:val="TableBodyText"/>
              <w:keepNext w:val="0"/>
              <w:spacing w:before="60" w:after="60"/>
              <w:jc w:val="left"/>
              <w:rPr>
                <w:i/>
              </w:rPr>
            </w:pPr>
            <w:r w:rsidRPr="00770229">
              <w:rPr>
                <w:i/>
              </w:rPr>
              <w:t>Note: the under</w:t>
            </w:r>
            <w:r w:rsidRPr="00770229">
              <w:rPr>
                <w:i/>
              </w:rPr>
              <w:noBreakHyphen/>
              <w:t>identification factors for non</w:t>
            </w:r>
            <w:r w:rsidRPr="00770229">
              <w:rPr>
                <w:i/>
              </w:rPr>
              <w:noBreakHyphen/>
              <w:t>admitted patients in acute</w:t>
            </w:r>
            <w:r w:rsidRPr="00770229">
              <w:rPr>
                <w:i/>
              </w:rPr>
              <w:noBreakHyphen/>
              <w:t>care institutions are assumed to be the same as the factors for admitted patients in acute care institutions.</w:t>
            </w:r>
          </w:p>
          <w:p w:rsidR="009A7F87" w:rsidRPr="00863029" w:rsidRDefault="009A7F87" w:rsidP="009A7F87">
            <w:pPr>
              <w:pStyle w:val="TableBullet"/>
              <w:numPr>
                <w:ilvl w:val="0"/>
                <w:numId w:val="0"/>
              </w:numPr>
            </w:pPr>
            <w:r w:rsidRPr="00770229">
              <w:t xml:space="preserve">The audit of Indigenous identification levels in hospital admission records was undertaken by interviewing a sample of admitted patients in public hospitals about their Indigenous status and comparing it with the Indigenous status information recorded on the hospital’s admission records. The audit is used to derive </w:t>
            </w:r>
            <w:r w:rsidRPr="00DA3D60">
              <w:t>Indigenous</w:t>
            </w:r>
            <w:r w:rsidRPr="00317BFD">
              <w:rPr>
                <w:sz w:val="24"/>
                <w:szCs w:val="24"/>
              </w:rPr>
              <w:t xml:space="preserve"> </w:t>
            </w:r>
            <w:r w:rsidRPr="00770229">
              <w:t>under</w:t>
            </w:r>
            <w:r w:rsidRPr="00770229">
              <w:noBreakHyphen/>
              <w:t>identification factors, which are then used in the compilation of admitted patient expenditure estimates in public hospitals.</w:t>
            </w:r>
          </w:p>
        </w:tc>
      </w:tr>
      <w:tr w:rsidR="009A7F87" w:rsidRPr="00770229" w:rsidTr="0044346B">
        <w:tc>
          <w:tcPr>
            <w:tcW w:w="1289" w:type="pct"/>
            <w:tcBorders>
              <w:top w:val="nil"/>
              <w:bottom w:val="single" w:sz="6" w:space="0" w:color="808080" w:themeColor="background1" w:themeShade="80"/>
            </w:tcBorders>
            <w:tcMar>
              <w:top w:w="57" w:type="dxa"/>
              <w:left w:w="113" w:type="dxa"/>
            </w:tcMar>
          </w:tcPr>
          <w:p w:rsidR="009A7F87" w:rsidRPr="00770229" w:rsidRDefault="009A7F87" w:rsidP="009A7F87">
            <w:pPr>
              <w:pStyle w:val="TableBodyText"/>
              <w:jc w:val="left"/>
              <w:rPr>
                <w:b/>
                <w:sz w:val="24"/>
              </w:rPr>
            </w:pPr>
            <w:r w:rsidRPr="00770229">
              <w:rPr>
                <w:i/>
              </w:rPr>
              <w:t>Service delivery cost differential:</w:t>
            </w:r>
          </w:p>
        </w:tc>
        <w:tc>
          <w:tcPr>
            <w:tcW w:w="3711" w:type="pct"/>
            <w:tcBorders>
              <w:top w:val="nil"/>
              <w:bottom w:val="single" w:sz="6" w:space="0" w:color="808080" w:themeColor="background1" w:themeShade="80"/>
            </w:tcBorders>
          </w:tcPr>
          <w:p w:rsidR="009A7F87" w:rsidRPr="00770229" w:rsidRDefault="009A7F87" w:rsidP="009A7F87">
            <w:pPr>
              <w:pStyle w:val="TableBullet"/>
              <w:numPr>
                <w:ilvl w:val="0"/>
                <w:numId w:val="0"/>
              </w:numPr>
            </w:pPr>
            <w:r w:rsidRPr="00770229">
              <w:t>The AIHW calculates the cost differential using estimates from the Hospital Morbidity Costing Model</w:t>
            </w:r>
            <w:r w:rsidRPr="00770229">
              <w:rPr>
                <w:i/>
              </w:rPr>
              <w:t xml:space="preserve">, </w:t>
            </w:r>
            <w:r w:rsidRPr="00770229">
              <w:t>which applies Diagnosis Related Group weights and length of stay adjustments to both Aboriginal and Torres Strait Islander and non</w:t>
            </w:r>
            <w:r w:rsidRPr="00770229">
              <w:noBreakHyphen/>
              <w:t>Indigenous cases at the individual hospital level.</w:t>
            </w:r>
          </w:p>
          <w:p w:rsidR="009A7F87" w:rsidRPr="00770229" w:rsidRDefault="009A7F87" w:rsidP="009A7F87">
            <w:pPr>
              <w:pStyle w:val="TableBodyText"/>
              <w:jc w:val="left"/>
              <w:rPr>
                <w:b/>
                <w:sz w:val="24"/>
              </w:rPr>
            </w:pPr>
            <w:r w:rsidRPr="00770229">
              <w:t>This approach takes into account differences in case</w:t>
            </w:r>
            <w:r w:rsidRPr="00770229">
              <w:noBreakHyphen/>
              <w:t>mix and also the cost of providing treatment in different types of hospitals in different regions.</w:t>
            </w:r>
          </w:p>
        </w:tc>
      </w:tr>
      <w:tr w:rsidR="009A7F87" w:rsidRPr="0071369A" w:rsidTr="0044346B">
        <w:tblPrEx>
          <w:tblBorders>
            <w:top w:val="none" w:sz="0" w:space="0" w:color="auto"/>
            <w:bottom w:val="none" w:sz="0" w:space="0" w:color="auto"/>
            <w:insideH w:val="none" w:sz="0" w:space="0" w:color="auto"/>
          </w:tblBorders>
        </w:tblPrEx>
        <w:tc>
          <w:tcPr>
            <w:tcW w:w="5000" w:type="pct"/>
            <w:gridSpan w:val="2"/>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2E2409">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t>0</w:t>
            </w:r>
            <w:r>
              <w:t>520</w:t>
            </w:r>
            <w:r w:rsidRPr="00770229">
              <w:t xml:space="preserve"> Mental health institutions</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8"/>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8"/>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In Australia, State and Territory governments have primary responsibility for:</w:t>
            </w:r>
          </w:p>
          <w:p w:rsidR="009A7F87" w:rsidRPr="00770229" w:rsidRDefault="009A7F87" w:rsidP="009A7F87">
            <w:pPr>
              <w:pStyle w:val="TableBullet"/>
              <w:numPr>
                <w:ilvl w:val="0"/>
                <w:numId w:val="24"/>
              </w:numPr>
              <w:spacing w:line="220" w:lineRule="atLeast"/>
            </w:pPr>
            <w:r w:rsidRPr="00770229">
              <w:rPr>
                <w:i/>
              </w:rPr>
              <w:t>psychiatric hospitals</w:t>
            </w:r>
            <w:r w:rsidRPr="00770229">
              <w:t xml:space="preserve"> — about 20 specialised psychiatric hospitals are operating nationwide. Public psychiatric facilities are provided by State and Territory health departments</w:t>
            </w:r>
          </w:p>
          <w:p w:rsidR="009A7F87" w:rsidRPr="00770229" w:rsidRDefault="009A7F87" w:rsidP="009A7F87">
            <w:pPr>
              <w:pStyle w:val="TableBullet"/>
              <w:numPr>
                <w:ilvl w:val="0"/>
                <w:numId w:val="24"/>
              </w:numPr>
              <w:spacing w:line="220" w:lineRule="atLeast"/>
            </w:pPr>
            <w:r w:rsidRPr="00770229">
              <w:rPr>
                <w:i/>
              </w:rPr>
              <w:t>psycho</w:t>
            </w:r>
            <w:r w:rsidRPr="00770229">
              <w:rPr>
                <w:i/>
              </w:rPr>
              <w:noBreakHyphen/>
              <w:t>geriatric nursing homes</w:t>
            </w:r>
            <w:r w:rsidRPr="00770229">
              <w:t xml:space="preserve"> — State and Territory health departments have expenditure on government</w:t>
            </w:r>
            <w:r w:rsidRPr="00770229">
              <w:noBreakHyphen/>
              <w:t>run psycho</w:t>
            </w:r>
            <w:r w:rsidRPr="00770229">
              <w:noBreakHyphen/>
              <w:t>geriatric nursing homes, with part of this funding coming from Commonwealth grants for general nursing home care.</w:t>
            </w:r>
          </w:p>
          <w:p w:rsidR="009A7F87" w:rsidRPr="00770229" w:rsidRDefault="009A7F87" w:rsidP="009A7F87">
            <w:pPr>
              <w:pStyle w:val="TableBodyText"/>
              <w:keepNext w:val="0"/>
              <w:spacing w:before="60" w:after="60"/>
              <w:jc w:val="left"/>
              <w:rPr>
                <w:i/>
              </w:rPr>
            </w:pPr>
            <w:r w:rsidRPr="00770229">
              <w:rPr>
                <w:i/>
              </w:rPr>
              <w:t>The AIHW maps services in this category to NMDS codes 101 and 104.</w:t>
            </w:r>
          </w:p>
          <w:p w:rsidR="009A7F87" w:rsidRPr="00770229" w:rsidRDefault="009A7F87" w:rsidP="009A7F87">
            <w:pPr>
              <w:pStyle w:val="TableBodyText"/>
              <w:keepNext w:val="0"/>
              <w:spacing w:before="60" w:after="60"/>
              <w:jc w:val="left"/>
            </w:pPr>
            <w:r w:rsidRPr="00770229">
              <w:t xml:space="preserve">An overview of how the AIHW method has been adapted for the Indigenous Expenditure Report, and the service use measures, </w:t>
            </w:r>
            <w:r w:rsidRPr="00DA3D60">
              <w:t>Indigenous</w:t>
            </w:r>
            <w:r w:rsidRPr="00317BFD">
              <w:rPr>
                <w:sz w:val="24"/>
                <w:szCs w:val="24"/>
              </w:rPr>
              <w:t xml:space="preserve"> </w:t>
            </w:r>
            <w:r w:rsidRPr="00770229">
              <w:t>under</w:t>
            </w:r>
            <w:r w:rsidRPr="00770229">
              <w:noBreakHyphen/>
              <w:t xml:space="preserve">identification, and cost differential factors provided by the AIHW for the </w:t>
            </w:r>
            <w:r>
              <w:t>2017 Report</w:t>
            </w:r>
            <w:r w:rsidRPr="00770229">
              <w:t xml:space="preserve"> is presented in </w:t>
            </w:r>
            <w:r>
              <w:t>section 5.1</w:t>
            </w:r>
            <w:r w:rsidRPr="00770229">
              <w:t>.</w:t>
            </w:r>
          </w:p>
          <w:p w:rsidR="009A7F87" w:rsidRPr="00770229" w:rsidRDefault="009A7F87" w:rsidP="009A7F87">
            <w:pPr>
              <w:pStyle w:val="TableBodyText"/>
              <w:keepNext w:val="0"/>
              <w:keepLines w:val="0"/>
              <w:spacing w:before="60" w:after="60"/>
              <w:jc w:val="left"/>
              <w:rPr>
                <w:b/>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8"/>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8"/>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sidRPr="00770229">
              <w:t>The key cost drivers for mental health institutions are:</w:t>
            </w:r>
          </w:p>
          <w:p w:rsidR="009A7F87" w:rsidRPr="00770229" w:rsidRDefault="009A7F87" w:rsidP="009A7F87">
            <w:pPr>
              <w:pStyle w:val="TableBullet"/>
              <w:numPr>
                <w:ilvl w:val="0"/>
                <w:numId w:val="24"/>
              </w:numPr>
              <w:spacing w:line="220" w:lineRule="atLeast"/>
            </w:pPr>
            <w:r w:rsidRPr="00770229">
              <w:t>the number of patients receiving treatment in mental health institutions</w:t>
            </w:r>
          </w:p>
          <w:p w:rsidR="009A7F87" w:rsidRPr="00770229" w:rsidRDefault="009A7F87" w:rsidP="009A7F87">
            <w:pPr>
              <w:pStyle w:val="TableBullet"/>
              <w:numPr>
                <w:ilvl w:val="0"/>
                <w:numId w:val="24"/>
              </w:numPr>
              <w:spacing w:line="220" w:lineRule="atLeast"/>
            </w:pPr>
            <w:r w:rsidRPr="00770229">
              <w:t xml:space="preserve">the extent of their needs and length of care. </w:t>
            </w:r>
          </w:p>
          <w:p w:rsidR="009A7F87" w:rsidRPr="00770229" w:rsidRDefault="009A7F87" w:rsidP="009A7F87">
            <w:pPr>
              <w:pStyle w:val="TableBodyText"/>
              <w:keepNext w:val="0"/>
              <w:spacing w:before="60" w:after="60"/>
              <w:jc w:val="left"/>
            </w:pPr>
            <w:r w:rsidRPr="00770229">
              <w:t>The costs are assumed to be proportional to the number of patients in hospital (weighted by the nature of their treatment).</w:t>
            </w:r>
          </w:p>
          <w:p w:rsidR="009A7F87" w:rsidRPr="00770229" w:rsidRDefault="009A7F87" w:rsidP="009A7F87">
            <w:pPr>
              <w:pStyle w:val="TableBodyText"/>
              <w:keepNext w:val="0"/>
              <w:spacing w:before="60" w:after="60"/>
              <w:jc w:val="left"/>
              <w:rPr>
                <w:szCs w:val="26"/>
              </w:rPr>
            </w:pPr>
            <w:r w:rsidRPr="00770229">
              <w:t>These cost drivers are based on development and research undertaken by the AIHW for the Expenditure on Health for Aboriginal and Torres Strait Islander People reports.</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4" w:space="0" w:color="808080" w:themeColor="background1" w:themeShade="80"/>
              <w:bottom w:val="single" w:sz="4"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EF1A03" w:rsidRDefault="009A7F87" w:rsidP="009A7F87">
            <w:pPr>
              <w:pStyle w:val="TableColumnHeading"/>
              <w:keepNext w:val="0"/>
              <w:jc w:val="left"/>
            </w:pPr>
          </w:p>
        </w:tc>
        <w:tc>
          <w:tcPr>
            <w:tcW w:w="1814" w:type="pct"/>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ColumnHeading"/>
              <w:keepNext w:val="0"/>
              <w:ind w:left="180"/>
              <w:jc w:val="left"/>
            </w:pPr>
          </w:p>
        </w:tc>
        <w:tc>
          <w:tcPr>
            <w:tcW w:w="2337" w:type="pct"/>
            <w:gridSpan w:val="6"/>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ColumnHeading"/>
              <w:keepNext w:val="0"/>
              <w:ind w:left="180"/>
              <w:jc w:val="center"/>
            </w:pPr>
            <w:r w:rsidRPr="00EF1A03">
              <w:t>Data Years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EF1A03" w:rsidRDefault="009A7F87" w:rsidP="009A7F87">
            <w:pPr>
              <w:pStyle w:val="TableBodyText"/>
              <w:keepNext w:val="0"/>
              <w:spacing w:before="60" w:after="60"/>
              <w:ind w:left="0"/>
              <w:jc w:val="both"/>
              <w:rPr>
                <w:i/>
              </w:rPr>
            </w:pPr>
            <w:r w:rsidRPr="00EF1A03">
              <w:rPr>
                <w:i/>
              </w:rPr>
              <w:br/>
              <w:t>Measure</w:t>
            </w:r>
          </w:p>
        </w:tc>
        <w:tc>
          <w:tcPr>
            <w:tcW w:w="1814" w:type="pct"/>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BodyText"/>
              <w:keepNext w:val="0"/>
              <w:spacing w:before="60" w:after="60"/>
              <w:ind w:left="180"/>
              <w:jc w:val="left"/>
              <w:rPr>
                <w:i/>
              </w:rPr>
            </w:pPr>
            <w:r w:rsidRPr="00EF1A03">
              <w:rPr>
                <w:i/>
              </w:rPr>
              <w:br/>
              <w:t>Data source</w:t>
            </w:r>
          </w:p>
        </w:tc>
        <w:tc>
          <w:tcPr>
            <w:tcW w:w="584" w:type="pct"/>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2008</w:t>
            </w:r>
            <w:r w:rsidRPr="00EF1A03">
              <w:rPr>
                <w:i/>
              </w:rPr>
              <w:noBreakHyphen/>
              <w:t>09 Estimates</w:t>
            </w:r>
          </w:p>
        </w:tc>
        <w:tc>
          <w:tcPr>
            <w:tcW w:w="585" w:type="pct"/>
            <w:gridSpan w:val="2"/>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2010</w:t>
            </w:r>
            <w:r w:rsidRPr="00EF1A03">
              <w:rPr>
                <w:i/>
              </w:rPr>
              <w:noBreakHyphen/>
              <w:t>11 Estimates</w:t>
            </w:r>
          </w:p>
        </w:tc>
        <w:tc>
          <w:tcPr>
            <w:tcW w:w="585" w:type="pct"/>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2012</w:t>
            </w:r>
            <w:r w:rsidRPr="00EF1A03">
              <w:rPr>
                <w:i/>
              </w:rPr>
              <w:noBreakHyphen/>
              <w:t>13 Estimates</w:t>
            </w:r>
          </w:p>
        </w:tc>
        <w:tc>
          <w:tcPr>
            <w:tcW w:w="583" w:type="pct"/>
            <w:gridSpan w:val="2"/>
            <w:tcBorders>
              <w:top w:val="single" w:sz="4" w:space="0" w:color="808080" w:themeColor="background1" w:themeShade="80"/>
              <w:bottom w:val="single" w:sz="4" w:space="0" w:color="808080" w:themeColor="background1" w:themeShade="80"/>
            </w:tcBorders>
          </w:tcPr>
          <w:p w:rsidR="009A7F87" w:rsidRPr="00EF1A03" w:rsidRDefault="009A7F87" w:rsidP="009A7F87">
            <w:pPr>
              <w:pStyle w:val="TableBodyText"/>
              <w:keepNext w:val="0"/>
              <w:spacing w:before="60" w:after="60"/>
              <w:ind w:left="2"/>
              <w:jc w:val="center"/>
              <w:rPr>
                <w:i/>
              </w:rPr>
            </w:pPr>
            <w:r w:rsidRPr="00EF1A03">
              <w:rPr>
                <w:i/>
              </w:rPr>
              <w:t>2015</w:t>
            </w:r>
            <w:r w:rsidRPr="00EF1A03">
              <w:rPr>
                <w:i/>
              </w:rPr>
              <w:noBreakHyphen/>
              <w:t>16 Estimates</w:t>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Default="009A7F87" w:rsidP="009A7F87">
            <w:pPr>
              <w:pStyle w:val="TableBullet"/>
            </w:pPr>
            <w:r>
              <w:t>the number of patients receiving treatment in mental health institutions</w:t>
            </w:r>
          </w:p>
          <w:p w:rsidR="009A7F87" w:rsidRPr="00770229" w:rsidRDefault="009A7F87" w:rsidP="009A7F87">
            <w:pPr>
              <w:pStyle w:val="TableBullet"/>
            </w:pPr>
            <w:r>
              <w:t>the extent of their needs and length of care</w:t>
            </w:r>
          </w:p>
        </w:tc>
        <w:tc>
          <w:tcPr>
            <w:tcW w:w="1814" w:type="pct"/>
            <w:tcBorders>
              <w:top w:val="single" w:sz="4" w:space="0" w:color="808080" w:themeColor="background1" w:themeShade="80"/>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Unpublished AIHW estimates based on </w:t>
            </w:r>
            <w:r w:rsidRPr="00633D8F">
              <w:rPr>
                <w:i/>
              </w:rPr>
              <w:t>AIHW Expenditure on Health for Aboriginal and Torres Strait Islander People</w:t>
            </w:r>
          </w:p>
        </w:tc>
        <w:tc>
          <w:tcPr>
            <w:tcW w:w="584" w:type="pct"/>
            <w:tcBorders>
              <w:top w:val="single" w:sz="4" w:space="0" w:color="808080" w:themeColor="background1" w:themeShade="80"/>
              <w:bottom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top w:val="single" w:sz="4" w:space="0" w:color="808080" w:themeColor="background1" w:themeShade="80"/>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rsidRPr="00DB3652">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4" w:space="0" w:color="808080" w:themeColor="background1" w:themeShade="80"/>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gridSpan w:val="2"/>
            <w:tcBorders>
              <w:top w:val="single" w:sz="4" w:space="0" w:color="808080" w:themeColor="background1" w:themeShade="80"/>
              <w:bottom w:val="single" w:sz="4" w:space="0" w:color="808080" w:themeColor="background1" w:themeShade="80"/>
            </w:tcBorders>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863029" w:rsidRDefault="009A7F87" w:rsidP="009A7F87">
            <w:pPr>
              <w:pStyle w:val="Note"/>
              <w:jc w:val="right"/>
            </w:pPr>
            <w:r>
              <w:t>(continued next page)</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2268"/>
        <w:gridCol w:w="6528"/>
      </w:tblGrid>
      <w:tr w:rsidR="009A7F87" w:rsidRPr="00770229" w:rsidTr="002E2409">
        <w:tc>
          <w:tcPr>
            <w:tcW w:w="5000" w:type="pct"/>
            <w:gridSpan w:val="2"/>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C05C71" w:rsidRDefault="009A7F87" w:rsidP="009A7F87">
            <w:pPr>
              <w:pStyle w:val="Heading3"/>
              <w:rPr>
                <w:sz w:val="18"/>
                <w:szCs w:val="18"/>
              </w:rPr>
            </w:pPr>
            <w:r w:rsidRPr="00C05C71">
              <w:rPr>
                <w:sz w:val="18"/>
                <w:szCs w:val="18"/>
              </w:rPr>
              <w:t>(continued)</w:t>
            </w:r>
          </w:p>
        </w:tc>
      </w:tr>
      <w:tr w:rsidR="009A7F87" w:rsidRPr="00770229" w:rsidTr="002E2409">
        <w:tc>
          <w:tcPr>
            <w:tcW w:w="5000" w:type="pct"/>
            <w:gridSpan w:val="2"/>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Pr>
                <w:b/>
                <w:sz w:val="24"/>
              </w:rPr>
              <w:t>AIHW method</w:t>
            </w:r>
          </w:p>
        </w:tc>
      </w:tr>
      <w:tr w:rsidR="009A7F87" w:rsidRPr="00770229" w:rsidTr="00A672D0">
        <w:tc>
          <w:tcPr>
            <w:tcW w:w="1289" w:type="pct"/>
            <w:tcBorders>
              <w:top w:val="single" w:sz="4" w:space="0" w:color="808080" w:themeColor="background1" w:themeShade="80"/>
              <w:bottom w:val="nil"/>
            </w:tcBorders>
            <w:tcMar>
              <w:top w:w="57" w:type="dxa"/>
              <w:left w:w="113" w:type="dxa"/>
            </w:tcMar>
          </w:tcPr>
          <w:p w:rsidR="009A7F87" w:rsidRPr="00770229" w:rsidRDefault="009A7F87" w:rsidP="009A7F87">
            <w:pPr>
              <w:pStyle w:val="TableBodyText"/>
              <w:jc w:val="left"/>
              <w:rPr>
                <w:b/>
                <w:sz w:val="24"/>
              </w:rPr>
            </w:pPr>
            <w:r w:rsidRPr="00770229">
              <w:rPr>
                <w:i/>
              </w:rPr>
              <w:t>Service use measures:</w:t>
            </w:r>
          </w:p>
        </w:tc>
        <w:tc>
          <w:tcPr>
            <w:tcW w:w="3711" w:type="pct"/>
            <w:tcBorders>
              <w:top w:val="single" w:sz="4" w:space="0" w:color="808080" w:themeColor="background1" w:themeShade="80"/>
              <w:bottom w:val="nil"/>
            </w:tcBorders>
          </w:tcPr>
          <w:p w:rsidR="009A7F87" w:rsidRPr="00770229" w:rsidRDefault="009A7F87" w:rsidP="009A7F87">
            <w:pPr>
              <w:pStyle w:val="TableBodyText"/>
              <w:jc w:val="left"/>
            </w:pPr>
            <w:r w:rsidRPr="00770229">
              <w:t>The service use measures that are used by the AIHW as proxies for the cost drivers of expenditure on mental health institutions are:</w:t>
            </w:r>
          </w:p>
          <w:p w:rsidR="009A7F87" w:rsidRPr="00770229" w:rsidRDefault="009A7F87" w:rsidP="009A7F87">
            <w:pPr>
              <w:pStyle w:val="TableBullet"/>
            </w:pPr>
            <w:r w:rsidRPr="00770229">
              <w:t>the number of patients receiving treatment in mental health institutions</w:t>
            </w:r>
          </w:p>
          <w:p w:rsidR="009A7F87" w:rsidRPr="00770229" w:rsidRDefault="009A7F87" w:rsidP="009A7F87">
            <w:pPr>
              <w:pStyle w:val="TableBullet"/>
            </w:pPr>
            <w:r w:rsidRPr="00770229">
              <w:t>the extent of their needs and length of care.</w:t>
            </w:r>
          </w:p>
        </w:tc>
      </w:tr>
      <w:tr w:rsidR="009A7F87" w:rsidRPr="00770229" w:rsidTr="0044346B">
        <w:tc>
          <w:tcPr>
            <w:tcW w:w="1289" w:type="pct"/>
            <w:tcBorders>
              <w:top w:val="nil"/>
              <w:bottom w:val="nil"/>
            </w:tcBorders>
            <w:tcMar>
              <w:top w:w="57" w:type="dxa"/>
              <w:left w:w="113" w:type="dxa"/>
            </w:tcMar>
          </w:tcPr>
          <w:p w:rsidR="009A7F87" w:rsidRPr="00770229" w:rsidRDefault="009A7F87" w:rsidP="009A7F87">
            <w:pPr>
              <w:pStyle w:val="TableBodyText"/>
              <w:jc w:val="left"/>
              <w:rPr>
                <w:b/>
                <w:sz w:val="24"/>
              </w:rPr>
            </w:pPr>
            <w:r w:rsidRPr="00770229">
              <w:rPr>
                <w:i/>
              </w:rPr>
              <w:t xml:space="preserve">Indigenous status </w:t>
            </w:r>
            <w:r w:rsidRPr="00770229">
              <w:rPr>
                <w:i/>
              </w:rPr>
              <w:br/>
              <w:t>under</w:t>
            </w:r>
            <w:r w:rsidRPr="00770229">
              <w:rPr>
                <w:i/>
              </w:rPr>
              <w:noBreakHyphen/>
              <w:t>identification:</w:t>
            </w:r>
          </w:p>
        </w:tc>
        <w:tc>
          <w:tcPr>
            <w:tcW w:w="3711" w:type="pct"/>
            <w:tcBorders>
              <w:top w:val="nil"/>
              <w:bottom w:val="nil"/>
            </w:tcBorders>
          </w:tcPr>
          <w:p w:rsidR="009A7F87" w:rsidRPr="00770229" w:rsidRDefault="009A7F87" w:rsidP="009A7F87">
            <w:pPr>
              <w:pStyle w:val="TableBodyText"/>
              <w:jc w:val="left"/>
            </w:pPr>
            <w:r w:rsidRPr="00770229">
              <w:t xml:space="preserve">The AIHW completed an assessment of the level of </w:t>
            </w:r>
            <w:r>
              <w:t>Indigenous under</w:t>
            </w:r>
            <w:r>
              <w:noBreakHyphen/>
              <w:t>identification</w:t>
            </w:r>
            <w:r w:rsidRPr="00770229">
              <w:t xml:space="preserve"> in admitted patient separations data in all states and territories by comparing hospital records with results from patient interviews (the hospital audit study). </w:t>
            </w:r>
          </w:p>
          <w:p w:rsidR="009A7F87" w:rsidRPr="00863029" w:rsidRDefault="009A7F87" w:rsidP="009A7F87">
            <w:pPr>
              <w:pStyle w:val="TableBodyText"/>
              <w:jc w:val="left"/>
            </w:pPr>
            <w:r w:rsidRPr="00770229">
              <w:t xml:space="preserve">The audit of Indigenous identification levels in hospital admission records was undertaken by interviewing a sample of admitted patients in public hospitals about their Indigenous status and comparing it with the Indigenous status information recorded on the hospital’s admission records. The audit is used to derive </w:t>
            </w:r>
            <w:r w:rsidRPr="00DA3D60">
              <w:t>Indigenous</w:t>
            </w:r>
            <w:r w:rsidRPr="00317BFD">
              <w:rPr>
                <w:sz w:val="24"/>
                <w:szCs w:val="24"/>
              </w:rPr>
              <w:t xml:space="preserve"> </w:t>
            </w:r>
            <w:r w:rsidRPr="00770229">
              <w:t>under</w:t>
            </w:r>
            <w:r w:rsidRPr="00770229">
              <w:noBreakHyphen/>
              <w:t>identification factors, which are then used in the compilation of admitted patient expenditure estimates in public hospitals.</w:t>
            </w:r>
          </w:p>
        </w:tc>
      </w:tr>
      <w:tr w:rsidR="009A7F87" w:rsidRPr="00770229" w:rsidTr="0044346B">
        <w:tc>
          <w:tcPr>
            <w:tcW w:w="1289" w:type="pct"/>
            <w:tcBorders>
              <w:top w:val="nil"/>
              <w:bottom w:val="single" w:sz="6" w:space="0" w:color="808080" w:themeColor="background1" w:themeShade="80"/>
            </w:tcBorders>
            <w:tcMar>
              <w:top w:w="57" w:type="dxa"/>
              <w:left w:w="113" w:type="dxa"/>
            </w:tcMar>
          </w:tcPr>
          <w:p w:rsidR="009A7F87" w:rsidRPr="00770229" w:rsidRDefault="009A7F87" w:rsidP="009A7F87">
            <w:pPr>
              <w:pStyle w:val="TableBodyText"/>
              <w:jc w:val="left"/>
              <w:rPr>
                <w:b/>
                <w:sz w:val="24"/>
              </w:rPr>
            </w:pPr>
            <w:r w:rsidRPr="00770229">
              <w:rPr>
                <w:i/>
              </w:rPr>
              <w:t>Service delivery cost differential:</w:t>
            </w:r>
          </w:p>
        </w:tc>
        <w:tc>
          <w:tcPr>
            <w:tcW w:w="3711" w:type="pct"/>
            <w:tcBorders>
              <w:top w:val="nil"/>
              <w:bottom w:val="single" w:sz="6" w:space="0" w:color="808080" w:themeColor="background1" w:themeShade="80"/>
            </w:tcBorders>
          </w:tcPr>
          <w:p w:rsidR="009A7F87" w:rsidRPr="00770229" w:rsidRDefault="009A7F87" w:rsidP="009A7F87">
            <w:pPr>
              <w:pStyle w:val="TableBodyText"/>
              <w:jc w:val="left"/>
            </w:pPr>
            <w:r w:rsidRPr="00770229">
              <w:t>The AIHW calculates the cost differential using estimates from the AIHW Hospital Morbidity Costing Model</w:t>
            </w:r>
            <w:r w:rsidRPr="00770229">
              <w:rPr>
                <w:i/>
              </w:rPr>
              <w:t xml:space="preserve">, </w:t>
            </w:r>
            <w:r w:rsidRPr="00770229">
              <w:t>which applies Diagnosis Related Group weights and length of stay adjustments to both Aboriginal and Torres Strait Islander and non</w:t>
            </w:r>
            <w:r w:rsidRPr="00770229">
              <w:noBreakHyphen/>
              <w:t>Indigenous cases at the individual hospital level.</w:t>
            </w:r>
          </w:p>
          <w:p w:rsidR="009A7F87" w:rsidRPr="00770229" w:rsidRDefault="009A7F87" w:rsidP="009A7F87">
            <w:pPr>
              <w:pStyle w:val="TableBodyText"/>
              <w:jc w:val="left"/>
              <w:rPr>
                <w:b/>
                <w:sz w:val="24"/>
              </w:rPr>
            </w:pPr>
            <w:r w:rsidRPr="00770229">
              <w:t>This approach takes into account differences in case</w:t>
            </w:r>
            <w:r w:rsidRPr="00770229">
              <w:noBreakHyphen/>
              <w:t>mix and also the cost of providing treatment in different types of hospitals in different regions.</w:t>
            </w:r>
          </w:p>
        </w:tc>
      </w:tr>
      <w:tr w:rsidR="009A7F87" w:rsidRPr="0071369A" w:rsidTr="0044346B">
        <w:tblPrEx>
          <w:tblBorders>
            <w:top w:val="none" w:sz="0" w:space="0" w:color="auto"/>
            <w:bottom w:val="none" w:sz="0" w:space="0" w:color="auto"/>
            <w:insideH w:val="none" w:sz="0" w:space="0" w:color="auto"/>
          </w:tblBorders>
        </w:tblPrEx>
        <w:tc>
          <w:tcPr>
            <w:tcW w:w="5000" w:type="pct"/>
            <w:gridSpan w:val="2"/>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26"/>
      </w:tblGrid>
      <w:tr w:rsidR="009A7F87" w:rsidRPr="00770229" w:rsidTr="002E2409">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t>0</w:t>
            </w:r>
            <w:r>
              <w:t>530</w:t>
            </w:r>
            <w:r w:rsidRPr="00770229">
              <w:t xml:space="preserve"> Nursing homes for the aged</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3"/>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spacing w:before="60" w:after="60"/>
              <w:jc w:val="left"/>
            </w:pPr>
            <w:r w:rsidRPr="00770229">
              <w:t xml:space="preserve">Activities of State and Territory owned and operated residential aged care facilities — that are predominantly for high care needs. Note that all other activities related to the provision of residential aged care, including Australian Government subsidies, are allocated to </w:t>
            </w:r>
            <w:r w:rsidRPr="00770229">
              <w:rPr>
                <w:i/>
              </w:rPr>
              <w:t>welfare services for the aged</w:t>
            </w:r>
            <w:r w:rsidRPr="00770229">
              <w:t xml:space="preserve"> (GPC 0622).</w:t>
            </w:r>
          </w:p>
          <w:p w:rsidR="009A7F87" w:rsidRPr="00770229" w:rsidRDefault="009A7F87" w:rsidP="009A7F87">
            <w:pPr>
              <w:pStyle w:val="TableBodyText"/>
              <w:keepNext w:val="0"/>
              <w:keepLines w:val="0"/>
              <w:spacing w:before="60" w:after="60"/>
              <w:jc w:val="left"/>
              <w:rPr>
                <w:b/>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7"/>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jc w:val="left"/>
            </w:pPr>
            <w:r w:rsidRPr="00770229">
              <w:t xml:space="preserve">The costs of nursing homes for the aged are driven by the number of people receiving </w:t>
            </w:r>
            <w:r w:rsidRPr="00770229">
              <w:rPr>
                <w:szCs w:val="26"/>
              </w:rPr>
              <w:t>the respective service; the service mix provided to each recipient (that is, the specific level of each service component that makes up the total service package); and the</w:t>
            </w:r>
            <w:r w:rsidRPr="00770229">
              <w:t xml:space="preserve"> average cost to government for these services. Average costs are determined by:</w:t>
            </w:r>
          </w:p>
          <w:p w:rsidR="009A7F87" w:rsidRPr="00770229" w:rsidRDefault="009A7F87" w:rsidP="009A7F87">
            <w:pPr>
              <w:pStyle w:val="TableBullet"/>
              <w:keepNext w:val="0"/>
              <w:numPr>
                <w:ilvl w:val="0"/>
                <w:numId w:val="24"/>
              </w:numPr>
              <w:spacing w:line="220" w:lineRule="atLeast"/>
            </w:pPr>
            <w:r w:rsidRPr="00770229">
              <w:t>the level of care required/provided</w:t>
            </w:r>
          </w:p>
          <w:p w:rsidR="009A7F87" w:rsidRPr="003E0E68" w:rsidRDefault="009A7F87" w:rsidP="009A7F87">
            <w:pPr>
              <w:pStyle w:val="TableBullet"/>
              <w:keepNext w:val="0"/>
              <w:numPr>
                <w:ilvl w:val="0"/>
                <w:numId w:val="24"/>
              </w:numPr>
              <w:spacing w:line="220" w:lineRule="atLeast"/>
              <w:rPr>
                <w:rStyle w:val="Emphasis"/>
                <w:b/>
                <w:bCs/>
                <w:i w:val="0"/>
              </w:rPr>
            </w:pPr>
            <w:r w:rsidRPr="003E0E68">
              <w:rPr>
                <w:rStyle w:val="Emphasis"/>
                <w:rFonts w:cs="Arial"/>
                <w:i w:val="0"/>
              </w:rPr>
              <w:t>the provision of culturally</w:t>
            </w:r>
            <w:r w:rsidRPr="003E0E68">
              <w:rPr>
                <w:rFonts w:cs="Arial"/>
                <w:b/>
                <w:i/>
              </w:rPr>
              <w:t xml:space="preserve"> </w:t>
            </w:r>
            <w:r w:rsidRPr="003E0E68">
              <w:rPr>
                <w:rFonts w:cs="Arial"/>
              </w:rPr>
              <w:t>appropriate</w:t>
            </w:r>
            <w:r w:rsidRPr="003E0E68">
              <w:rPr>
                <w:rFonts w:cs="Arial"/>
                <w:b/>
                <w:i/>
              </w:rPr>
              <w:t xml:space="preserve"> </w:t>
            </w:r>
            <w:r w:rsidRPr="003E0E68">
              <w:rPr>
                <w:rStyle w:val="Emphasis"/>
                <w:rFonts w:cs="Arial"/>
                <w:i w:val="0"/>
              </w:rPr>
              <w:t>care</w:t>
            </w:r>
          </w:p>
          <w:p w:rsidR="009A7F87" w:rsidRPr="00770229" w:rsidRDefault="009A7F87" w:rsidP="009A7F87">
            <w:pPr>
              <w:pStyle w:val="TableBullet"/>
              <w:keepNext w:val="0"/>
              <w:numPr>
                <w:ilvl w:val="0"/>
                <w:numId w:val="24"/>
              </w:numPr>
              <w:spacing w:line="220" w:lineRule="atLeast"/>
            </w:pPr>
            <w:r w:rsidRPr="00770229">
              <w:t>the capacity of each recipient to pay for their own care</w:t>
            </w:r>
          </w:p>
          <w:p w:rsidR="009A7F87" w:rsidRPr="00770229" w:rsidRDefault="009A7F87" w:rsidP="009A7F87">
            <w:pPr>
              <w:pStyle w:val="TableBullet"/>
              <w:rPr>
                <w:szCs w:val="26"/>
              </w:rPr>
            </w:pPr>
            <w:r w:rsidRPr="00770229">
              <w:t>the geographic and physical location of services.</w:t>
            </w:r>
          </w:p>
        </w:tc>
      </w:tr>
      <w:tr w:rsidR="009A7F87" w:rsidRPr="00770229" w:rsidTr="00A672D0">
        <w:tblPrEx>
          <w:tblBorders>
            <w:top w:val="none" w:sz="0" w:space="0" w:color="auto"/>
            <w:bottom w:val="none" w:sz="0" w:space="0" w:color="auto"/>
            <w:insideH w:val="none" w:sz="0" w:space="0" w:color="auto"/>
          </w:tblBorders>
        </w:tblPrEx>
        <w:tc>
          <w:tcPr>
            <w:tcW w:w="5000" w:type="pct"/>
            <w:gridSpan w:val="7"/>
            <w:tcBorders>
              <w:top w:val="single" w:sz="4" w:space="0" w:color="808080" w:themeColor="background1" w:themeShade="80"/>
              <w:bottom w:val="single" w:sz="4"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EF1A03" w:rsidRDefault="009A7F87" w:rsidP="009A7F87">
            <w:pPr>
              <w:pStyle w:val="TableColumnHeading"/>
              <w:keepNext w:val="0"/>
              <w:jc w:val="left"/>
            </w:pPr>
          </w:p>
        </w:tc>
        <w:tc>
          <w:tcPr>
            <w:tcW w:w="1814" w:type="pct"/>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ColumnHeading"/>
              <w:keepNext w:val="0"/>
              <w:ind w:left="180"/>
              <w:jc w:val="left"/>
            </w:pPr>
          </w:p>
        </w:tc>
        <w:tc>
          <w:tcPr>
            <w:tcW w:w="2337" w:type="pct"/>
            <w:gridSpan w:val="5"/>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ColumnHeading"/>
              <w:keepNext w:val="0"/>
              <w:ind w:left="180"/>
              <w:jc w:val="center"/>
            </w:pPr>
            <w:r w:rsidRPr="00EF1A03">
              <w:t>Data Years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EF1A03" w:rsidRDefault="009A7F87" w:rsidP="009A7F87">
            <w:pPr>
              <w:pStyle w:val="TableBodyText"/>
              <w:keepNext w:val="0"/>
              <w:spacing w:before="60" w:after="60"/>
              <w:ind w:left="0"/>
              <w:jc w:val="both"/>
              <w:rPr>
                <w:i/>
              </w:rPr>
            </w:pPr>
            <w:r w:rsidRPr="00EF1A03">
              <w:rPr>
                <w:i/>
              </w:rPr>
              <w:br/>
              <w:t>Measure</w:t>
            </w:r>
          </w:p>
        </w:tc>
        <w:tc>
          <w:tcPr>
            <w:tcW w:w="1814" w:type="pct"/>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BodyText"/>
              <w:keepNext w:val="0"/>
              <w:spacing w:before="60" w:after="60"/>
              <w:ind w:left="180"/>
              <w:jc w:val="left"/>
              <w:rPr>
                <w:i/>
              </w:rPr>
            </w:pPr>
            <w:r w:rsidRPr="00EF1A03">
              <w:rPr>
                <w:i/>
              </w:rPr>
              <w:br/>
              <w:t>Data source</w:t>
            </w:r>
          </w:p>
        </w:tc>
        <w:tc>
          <w:tcPr>
            <w:tcW w:w="584" w:type="pct"/>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2008</w:t>
            </w:r>
            <w:r w:rsidRPr="00EF1A03">
              <w:rPr>
                <w:i/>
              </w:rPr>
              <w:noBreakHyphen/>
              <w:t>09 Estimates</w:t>
            </w:r>
          </w:p>
        </w:tc>
        <w:tc>
          <w:tcPr>
            <w:tcW w:w="585" w:type="pct"/>
            <w:gridSpan w:val="2"/>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2010</w:t>
            </w:r>
            <w:r w:rsidRPr="00EF1A03">
              <w:rPr>
                <w:i/>
              </w:rPr>
              <w:noBreakHyphen/>
              <w:t>11 Estimates</w:t>
            </w:r>
          </w:p>
        </w:tc>
        <w:tc>
          <w:tcPr>
            <w:tcW w:w="585" w:type="pct"/>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2012</w:t>
            </w:r>
            <w:r w:rsidRPr="00EF1A03">
              <w:rPr>
                <w:i/>
              </w:rPr>
              <w:noBreakHyphen/>
              <w:t>13 Estimates</w:t>
            </w:r>
          </w:p>
        </w:tc>
        <w:tc>
          <w:tcPr>
            <w:tcW w:w="583" w:type="pct"/>
            <w:tcBorders>
              <w:top w:val="single" w:sz="4" w:space="0" w:color="808080" w:themeColor="background1" w:themeShade="80"/>
              <w:bottom w:val="single" w:sz="4" w:space="0" w:color="808080" w:themeColor="background1" w:themeShade="80"/>
            </w:tcBorders>
          </w:tcPr>
          <w:p w:rsidR="009A7F87" w:rsidRPr="00EF1A03" w:rsidRDefault="009A7F87" w:rsidP="009A7F87">
            <w:pPr>
              <w:pStyle w:val="TableBodyText"/>
              <w:keepNext w:val="0"/>
              <w:spacing w:before="60" w:after="60"/>
              <w:ind w:left="2"/>
              <w:jc w:val="center"/>
              <w:rPr>
                <w:i/>
              </w:rPr>
            </w:pPr>
            <w:r w:rsidRPr="00EF1A03">
              <w:rPr>
                <w:i/>
              </w:rPr>
              <w:t>2015</w:t>
            </w:r>
            <w:r w:rsidRPr="00EF1A03">
              <w:rPr>
                <w:i/>
              </w:rPr>
              <w:noBreakHyphen/>
              <w:t>16 Estimates</w:t>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jc w:val="left"/>
            </w:pPr>
            <w:r w:rsidRPr="00770229">
              <w:t>People receiving residential aged care services — permanent residents</w:t>
            </w:r>
          </w:p>
        </w:tc>
        <w:tc>
          <w:tcPr>
            <w:tcW w:w="1814" w:type="pct"/>
            <w:tcBorders>
              <w:top w:val="single" w:sz="4" w:space="0" w:color="808080" w:themeColor="background1" w:themeShade="80"/>
              <w:bottom w:val="single" w:sz="4" w:space="0" w:color="808080" w:themeColor="background1" w:themeShade="80"/>
            </w:tcBorders>
            <w:shd w:val="clear" w:color="auto" w:fill="auto"/>
          </w:tcPr>
          <w:p w:rsidR="009A7F87" w:rsidRDefault="009A7F87" w:rsidP="009A7F87">
            <w:pPr>
              <w:pStyle w:val="TableColumnHeading"/>
              <w:ind w:left="180"/>
              <w:jc w:val="left"/>
              <w:rPr>
                <w:i w:val="0"/>
              </w:rPr>
            </w:pPr>
            <w:r w:rsidRPr="00770229">
              <w:rPr>
                <w:i w:val="0"/>
              </w:rPr>
              <w:t>AIHW</w:t>
            </w:r>
            <w:r w:rsidRPr="00770229">
              <w:t xml:space="preserve"> Residential Aged Care in Australia </w:t>
            </w:r>
            <w:r w:rsidRPr="00770229">
              <w:rPr>
                <w:i w:val="0"/>
              </w:rPr>
              <w:t>(Cat. no. AGE 56)</w:t>
            </w:r>
          </w:p>
          <w:p w:rsidR="009A7F87" w:rsidRDefault="009A7F87" w:rsidP="009A7F87">
            <w:pPr>
              <w:pStyle w:val="TableColumnHeading"/>
              <w:ind w:left="180"/>
              <w:jc w:val="left"/>
              <w:rPr>
                <w:i w:val="0"/>
              </w:rPr>
            </w:pPr>
            <w:r w:rsidRPr="00770229">
              <w:rPr>
                <w:i w:val="0"/>
              </w:rPr>
              <w:t>Australian Government administrative data for aged care (unpublished) (for data years 2010</w:t>
            </w:r>
            <w:r w:rsidRPr="00770229">
              <w:rPr>
                <w:i w:val="0"/>
              </w:rPr>
              <w:noBreakHyphen/>
              <w:t>11</w:t>
            </w:r>
            <w:r>
              <w:rPr>
                <w:i w:val="0"/>
              </w:rPr>
              <w:t xml:space="preserve"> and</w:t>
            </w:r>
            <w:r w:rsidRPr="00770229">
              <w:rPr>
                <w:i w:val="0"/>
              </w:rPr>
              <w:t xml:space="preserve"> 2012</w:t>
            </w:r>
            <w:r>
              <w:rPr>
                <w:i w:val="0"/>
              </w:rPr>
              <w:noBreakHyphen/>
            </w:r>
            <w:r w:rsidRPr="00770229">
              <w:rPr>
                <w:i w:val="0"/>
              </w:rPr>
              <w:t xml:space="preserve">13) </w:t>
            </w:r>
          </w:p>
          <w:p w:rsidR="009A7F87" w:rsidRPr="00770229" w:rsidRDefault="009A7F87" w:rsidP="009A7F87">
            <w:pPr>
              <w:pStyle w:val="TableBodyText"/>
              <w:keepNext w:val="0"/>
              <w:spacing w:before="60" w:after="60"/>
              <w:ind w:left="180"/>
              <w:jc w:val="left"/>
            </w:pPr>
            <w:r>
              <w:t xml:space="preserve">SCRGSP (2017) </w:t>
            </w:r>
            <w:r w:rsidRPr="0020030F">
              <w:t>Report on Government Services 2017</w:t>
            </w:r>
            <w:r>
              <w:t xml:space="preserve"> </w:t>
            </w:r>
            <w:r w:rsidRPr="0020030F">
              <w:t>Department of Health (unpublished); Victorian and WA governments (unpublished)</w:t>
            </w:r>
            <w:r>
              <w:t xml:space="preserve"> (for 2015-16)</w:t>
            </w:r>
          </w:p>
        </w:tc>
        <w:tc>
          <w:tcPr>
            <w:tcW w:w="584" w:type="pct"/>
            <w:tcBorders>
              <w:top w:val="single" w:sz="4" w:space="0" w:color="808080" w:themeColor="background1" w:themeShade="80"/>
              <w:bottom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30 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top w:val="single" w:sz="4" w:space="0" w:color="808080" w:themeColor="background1" w:themeShade="80"/>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30 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4" w:space="0" w:color="808080" w:themeColor="background1" w:themeShade="80"/>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30 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tcBorders>
              <w:top w:val="single" w:sz="4" w:space="0" w:color="808080" w:themeColor="background1" w:themeShade="80"/>
              <w:bottom w:val="single" w:sz="4" w:space="0" w:color="808080" w:themeColor="background1" w:themeShade="80"/>
            </w:tcBorders>
            <w:vAlign w:val="center"/>
          </w:tcPr>
          <w:p w:rsidR="009A7F87" w:rsidRDefault="009A7F87" w:rsidP="009A7F87">
            <w:pPr>
              <w:pStyle w:val="TableBodyText"/>
              <w:spacing w:before="60" w:after="60"/>
              <w:ind w:left="2"/>
              <w:jc w:val="center"/>
            </w:pPr>
            <w:r>
              <w:t>30 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1369A" w:rsidTr="00A672D0">
        <w:tblPrEx>
          <w:tblBorders>
            <w:top w:val="none" w:sz="0" w:space="0" w:color="auto"/>
            <w:bottom w:val="none" w:sz="0" w:space="0" w:color="auto"/>
            <w:insideH w:val="none" w:sz="0" w:space="0" w:color="auto"/>
          </w:tblBorders>
        </w:tblPrEx>
        <w:tc>
          <w:tcPr>
            <w:tcW w:w="5000" w:type="pct"/>
            <w:gridSpan w:val="7"/>
            <w:tcBorders>
              <w:top w:val="single" w:sz="4"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2E2409">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t>0</w:t>
            </w:r>
            <w:r>
              <w:t>541</w:t>
            </w:r>
            <w:r w:rsidRPr="00770229">
              <w:t xml:space="preserve"> Community mental health services</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8"/>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8"/>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jc w:val="left"/>
            </w:pPr>
            <w:r w:rsidRPr="00770229">
              <w:t>For community mental health services in Australia, government has primary responsibility for:</w:t>
            </w:r>
          </w:p>
          <w:p w:rsidR="009A7F87" w:rsidRPr="00770229" w:rsidRDefault="009A7F87" w:rsidP="009A7F87">
            <w:pPr>
              <w:pStyle w:val="TableBullet"/>
              <w:numPr>
                <w:ilvl w:val="0"/>
                <w:numId w:val="24"/>
              </w:numPr>
              <w:spacing w:line="220" w:lineRule="atLeast"/>
            </w:pPr>
            <w:r w:rsidRPr="00770229">
              <w:rPr>
                <w:i/>
              </w:rPr>
              <w:t>mobile acute assessment services</w:t>
            </w:r>
            <w:r w:rsidRPr="00770229">
              <w:t xml:space="preserve"> — involving the coordination, monitoring and review of patients in the community mental health system, as well as mobile crisis treatment</w:t>
            </w:r>
          </w:p>
          <w:p w:rsidR="009A7F87" w:rsidRPr="00770229" w:rsidRDefault="009A7F87" w:rsidP="009A7F87">
            <w:pPr>
              <w:pStyle w:val="TableBullet"/>
              <w:numPr>
                <w:ilvl w:val="0"/>
                <w:numId w:val="24"/>
              </w:numPr>
              <w:spacing w:line="220" w:lineRule="atLeast"/>
            </w:pPr>
            <w:r w:rsidRPr="00770229">
              <w:rPr>
                <w:i/>
              </w:rPr>
              <w:t>treatment and case management services</w:t>
            </w:r>
            <w:r w:rsidRPr="00770229">
              <w:t xml:space="preserve"> — aim to organise appropriate treatment plans for patients — according to their specific needs — through a special case manager (such as social worker, psychiatric nurse, consultant psychiatrist, occupational therapist, medical officer or psychologist)</w:t>
            </w:r>
          </w:p>
          <w:p w:rsidR="009A7F87" w:rsidRPr="00770229" w:rsidRDefault="009A7F87" w:rsidP="009A7F87">
            <w:pPr>
              <w:pStyle w:val="TableBullet"/>
              <w:numPr>
                <w:ilvl w:val="0"/>
                <w:numId w:val="24"/>
              </w:numPr>
              <w:spacing w:line="220" w:lineRule="atLeast"/>
            </w:pPr>
            <w:r w:rsidRPr="00770229">
              <w:rPr>
                <w:i/>
              </w:rPr>
              <w:t>outreach programs</w:t>
            </w:r>
            <w:r w:rsidRPr="00770229">
              <w:t xml:space="preserve"> — community mental health outreach programs are identified separately from other health</w:t>
            </w:r>
            <w:r w:rsidRPr="00770229">
              <w:noBreakHyphen/>
              <w:t>related outreach services, which are categorised under non</w:t>
            </w:r>
            <w:r w:rsidRPr="00770229">
              <w:noBreakHyphen/>
              <w:t>admitted patient services in acute care institutions (GPC 0512)</w:t>
            </w:r>
          </w:p>
          <w:p w:rsidR="009A7F87" w:rsidRPr="00770229" w:rsidRDefault="009A7F87" w:rsidP="009A7F87">
            <w:pPr>
              <w:pStyle w:val="TableBullet"/>
              <w:numPr>
                <w:ilvl w:val="0"/>
                <w:numId w:val="24"/>
              </w:numPr>
              <w:spacing w:line="220" w:lineRule="atLeast"/>
            </w:pPr>
            <w:r w:rsidRPr="00770229">
              <w:rPr>
                <w:i/>
              </w:rPr>
              <w:t>community based residential services</w:t>
            </w:r>
            <w:r w:rsidRPr="00770229">
              <w:t xml:space="preserve"> —</w:t>
            </w:r>
            <w:r>
              <w:t xml:space="preserve"> </w:t>
            </w:r>
            <w:r w:rsidRPr="00770229">
              <w:t>patients residing in 24</w:t>
            </w:r>
            <w:r w:rsidRPr="00770229">
              <w:noBreakHyphen/>
              <w:t>hour staffed mental health residential facilities are considered under this category. One example of this is Grow, a nationwide, independent community mental health organisation offering a live in rehabilitation program for those suffering mental illness. It relies heavily on community donations to fund its operation. Another example is Chiron, a community based residential facility run through the Victorian Department of Human Services for those living with psychiatric disability.</w:t>
            </w:r>
          </w:p>
          <w:p w:rsidR="009A7F87" w:rsidRPr="00D43E1F" w:rsidRDefault="009A7F87" w:rsidP="009A7F87">
            <w:pPr>
              <w:pStyle w:val="TableBodyText"/>
              <w:jc w:val="left"/>
              <w:rPr>
                <w:i/>
              </w:rPr>
            </w:pPr>
            <w:r w:rsidRPr="00D43E1F">
              <w:rPr>
                <w:i/>
              </w:rPr>
              <w:t>The AIHW maps services in this category to NMDS codes 201 and 301.</w:t>
            </w:r>
          </w:p>
          <w:p w:rsidR="009A7F87" w:rsidRPr="00770229" w:rsidRDefault="009A7F87" w:rsidP="009A7F87">
            <w:pPr>
              <w:pStyle w:val="TableBodyText"/>
              <w:jc w:val="left"/>
            </w:pPr>
            <w:r w:rsidRPr="00770229">
              <w:t xml:space="preserve">An overview of how the AIHW method has been adapted for the Indigenous Expenditure Report, and the service use measures, </w:t>
            </w:r>
            <w:r w:rsidRPr="00DA3D60">
              <w:t>Indigenous</w:t>
            </w:r>
            <w:r w:rsidRPr="00317BFD">
              <w:rPr>
                <w:sz w:val="24"/>
                <w:szCs w:val="24"/>
              </w:rPr>
              <w:t xml:space="preserve"> </w:t>
            </w:r>
            <w:r w:rsidRPr="00770229">
              <w:t>under</w:t>
            </w:r>
            <w:r w:rsidRPr="00770229">
              <w:noBreakHyphen/>
              <w:t xml:space="preserve">identification, and cost differential factors provided by the AIHW for the </w:t>
            </w:r>
            <w:r>
              <w:t>2017 Report</w:t>
            </w:r>
            <w:r w:rsidRPr="00770229">
              <w:t xml:space="preserve"> is presented in </w:t>
            </w:r>
            <w:r>
              <w:t>section 5.1</w:t>
            </w:r>
            <w:r w:rsidRPr="00770229">
              <w:t>.</w:t>
            </w:r>
          </w:p>
          <w:p w:rsidR="009A7F87" w:rsidRPr="00770229" w:rsidRDefault="009A7F87" w:rsidP="009A7F87">
            <w:pPr>
              <w:pStyle w:val="TableBodyText"/>
              <w:jc w:val="left"/>
              <w:rPr>
                <w:b/>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8"/>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8"/>
            <w:tcBorders>
              <w:top w:val="single" w:sz="4" w:space="0" w:color="808080" w:themeColor="background1" w:themeShade="80"/>
              <w:bottom w:val="single" w:sz="4"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sidRPr="00770229">
              <w:t>The key cost drivers for community mental health services are:</w:t>
            </w:r>
          </w:p>
          <w:p w:rsidR="009A7F87" w:rsidRPr="00770229" w:rsidRDefault="009A7F87" w:rsidP="009A7F87">
            <w:pPr>
              <w:pStyle w:val="TableBullet"/>
              <w:numPr>
                <w:ilvl w:val="0"/>
                <w:numId w:val="24"/>
              </w:numPr>
              <w:spacing w:line="220" w:lineRule="atLeast"/>
            </w:pPr>
            <w:r w:rsidRPr="00770229">
              <w:t>the number of patients receiving community mental health treatment</w:t>
            </w:r>
          </w:p>
          <w:p w:rsidR="009A7F87" w:rsidRPr="00770229" w:rsidRDefault="009A7F87" w:rsidP="009A7F87">
            <w:pPr>
              <w:pStyle w:val="TableBullet"/>
              <w:numPr>
                <w:ilvl w:val="0"/>
                <w:numId w:val="24"/>
              </w:numPr>
              <w:spacing w:line="220" w:lineRule="atLeast"/>
            </w:pPr>
            <w:r w:rsidRPr="00770229">
              <w:t>the location where community mental health treatment is delivered. For example, whether in capital cities, remote or very remote locations</w:t>
            </w:r>
          </w:p>
          <w:p w:rsidR="009A7F87" w:rsidRPr="00770229" w:rsidRDefault="009A7F87" w:rsidP="009A7F87">
            <w:pPr>
              <w:pStyle w:val="TableBullet"/>
              <w:numPr>
                <w:ilvl w:val="0"/>
                <w:numId w:val="24"/>
              </w:numPr>
              <w:spacing w:line="220" w:lineRule="atLeast"/>
              <w:rPr>
                <w:rFonts w:cs="Arial"/>
              </w:rPr>
            </w:pPr>
            <w:r w:rsidRPr="00770229">
              <w:t>the extent of patients’ needs and length of care.</w:t>
            </w:r>
          </w:p>
          <w:p w:rsidR="009A7F87" w:rsidRPr="00770229" w:rsidRDefault="009A7F87" w:rsidP="009A7F87">
            <w:pPr>
              <w:pStyle w:val="TableBodyText"/>
              <w:keepNext w:val="0"/>
              <w:spacing w:before="60" w:after="60"/>
              <w:jc w:val="left"/>
              <w:rPr>
                <w:szCs w:val="26"/>
              </w:rPr>
            </w:pPr>
            <w:r w:rsidRPr="00770229">
              <w:t>These cost drivers are based on development and research undertaken by the AIHW for the Expenditure on Health for Aboriginal and Torres Strait Islander Peoples reports.</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4" w:space="0" w:color="808080" w:themeColor="background1" w:themeShade="80"/>
              <w:bottom w:val="single" w:sz="4"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EF1A03" w:rsidRDefault="009A7F87" w:rsidP="009A7F87">
            <w:pPr>
              <w:pStyle w:val="TableColumnHeading"/>
              <w:keepNext w:val="0"/>
              <w:jc w:val="left"/>
            </w:pPr>
          </w:p>
        </w:tc>
        <w:tc>
          <w:tcPr>
            <w:tcW w:w="1814" w:type="pct"/>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ColumnHeading"/>
              <w:keepNext w:val="0"/>
              <w:ind w:left="180"/>
              <w:jc w:val="left"/>
            </w:pPr>
          </w:p>
        </w:tc>
        <w:tc>
          <w:tcPr>
            <w:tcW w:w="2337" w:type="pct"/>
            <w:gridSpan w:val="6"/>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ColumnHeading"/>
              <w:keepNext w:val="0"/>
              <w:ind w:left="180"/>
              <w:jc w:val="center"/>
            </w:pPr>
            <w:r w:rsidRPr="00EF1A03">
              <w:t>Data Years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EF1A03" w:rsidRDefault="009A7F87" w:rsidP="009A7F87">
            <w:pPr>
              <w:pStyle w:val="TableBodyText"/>
              <w:keepNext w:val="0"/>
              <w:spacing w:before="60" w:after="60"/>
              <w:ind w:left="0"/>
              <w:jc w:val="both"/>
              <w:rPr>
                <w:i/>
              </w:rPr>
            </w:pPr>
            <w:r w:rsidRPr="00EF1A03">
              <w:rPr>
                <w:i/>
              </w:rPr>
              <w:br/>
              <w:t>Measure</w:t>
            </w:r>
          </w:p>
        </w:tc>
        <w:tc>
          <w:tcPr>
            <w:tcW w:w="1814" w:type="pct"/>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BodyText"/>
              <w:keepNext w:val="0"/>
              <w:spacing w:before="60" w:after="60"/>
              <w:ind w:left="180"/>
              <w:jc w:val="left"/>
              <w:rPr>
                <w:i/>
              </w:rPr>
            </w:pPr>
            <w:r w:rsidRPr="00EF1A03">
              <w:rPr>
                <w:i/>
              </w:rPr>
              <w:br/>
              <w:t>Data source</w:t>
            </w:r>
          </w:p>
        </w:tc>
        <w:tc>
          <w:tcPr>
            <w:tcW w:w="584" w:type="pct"/>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2008</w:t>
            </w:r>
            <w:r w:rsidRPr="00EF1A03">
              <w:rPr>
                <w:i/>
              </w:rPr>
              <w:noBreakHyphen/>
              <w:t>09 Estimates</w:t>
            </w:r>
          </w:p>
        </w:tc>
        <w:tc>
          <w:tcPr>
            <w:tcW w:w="585" w:type="pct"/>
            <w:gridSpan w:val="2"/>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2010</w:t>
            </w:r>
            <w:r w:rsidRPr="00EF1A03">
              <w:rPr>
                <w:i/>
              </w:rPr>
              <w:noBreakHyphen/>
              <w:t>11 Estimates</w:t>
            </w:r>
          </w:p>
        </w:tc>
        <w:tc>
          <w:tcPr>
            <w:tcW w:w="585" w:type="pct"/>
            <w:tcBorders>
              <w:top w:val="single" w:sz="4" w:space="0" w:color="808080" w:themeColor="background1" w:themeShade="80"/>
              <w:bottom w:val="single" w:sz="4"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2012</w:t>
            </w:r>
            <w:r w:rsidRPr="00EF1A03">
              <w:rPr>
                <w:i/>
              </w:rPr>
              <w:noBreakHyphen/>
              <w:t>13 Estimates</w:t>
            </w:r>
          </w:p>
        </w:tc>
        <w:tc>
          <w:tcPr>
            <w:tcW w:w="583" w:type="pct"/>
            <w:gridSpan w:val="2"/>
            <w:tcBorders>
              <w:top w:val="single" w:sz="4" w:space="0" w:color="808080" w:themeColor="background1" w:themeShade="80"/>
              <w:bottom w:val="single" w:sz="4" w:space="0" w:color="808080" w:themeColor="background1" w:themeShade="80"/>
            </w:tcBorders>
          </w:tcPr>
          <w:p w:rsidR="009A7F87" w:rsidRPr="00EF1A03" w:rsidRDefault="009A7F87" w:rsidP="009A7F87">
            <w:pPr>
              <w:pStyle w:val="TableBodyText"/>
              <w:keepNext w:val="0"/>
              <w:spacing w:before="60" w:after="60"/>
              <w:ind w:left="2"/>
              <w:jc w:val="center"/>
              <w:rPr>
                <w:i/>
              </w:rPr>
            </w:pPr>
            <w:r w:rsidRPr="00EF1A03">
              <w:rPr>
                <w:i/>
              </w:rPr>
              <w:t>2015</w:t>
            </w:r>
            <w:r w:rsidRPr="00EF1A03">
              <w:rPr>
                <w:i/>
              </w:rPr>
              <w:noBreakHyphen/>
              <w:t>16 Estimates</w:t>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4" w:space="0" w:color="808080" w:themeColor="background1" w:themeShade="80"/>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jc w:val="left"/>
            </w:pPr>
            <w:r w:rsidRPr="00770229">
              <w:t>Aboriginal and Torres Strait Islander share of expenditure provided by jurisdictions</w:t>
            </w:r>
          </w:p>
        </w:tc>
        <w:tc>
          <w:tcPr>
            <w:tcW w:w="1814" w:type="pct"/>
            <w:tcBorders>
              <w:top w:val="single" w:sz="4" w:space="0" w:color="808080" w:themeColor="background1" w:themeShade="80"/>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Unpublished AIHW estimates based on </w:t>
            </w:r>
            <w:r w:rsidRPr="00633D8F">
              <w:rPr>
                <w:i/>
              </w:rPr>
              <w:t>AIHW Expenditure on Health for Aboriginal and Torres Strait Islander People</w:t>
            </w:r>
          </w:p>
        </w:tc>
        <w:tc>
          <w:tcPr>
            <w:tcW w:w="584" w:type="pct"/>
            <w:tcBorders>
              <w:top w:val="single" w:sz="4" w:space="0" w:color="808080" w:themeColor="background1" w:themeShade="80"/>
              <w:bottom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top w:val="single" w:sz="4" w:space="0" w:color="808080" w:themeColor="background1" w:themeShade="80"/>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rsidRPr="00DB3652">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4" w:space="0" w:color="808080" w:themeColor="background1" w:themeShade="80"/>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gridSpan w:val="2"/>
            <w:tcBorders>
              <w:top w:val="single" w:sz="4" w:space="0" w:color="808080" w:themeColor="background1" w:themeShade="80"/>
              <w:bottom w:val="single" w:sz="4" w:space="0" w:color="808080" w:themeColor="background1" w:themeShade="80"/>
            </w:tcBorders>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863029" w:rsidRDefault="009A7F87" w:rsidP="009A7F87">
            <w:pPr>
              <w:pStyle w:val="Note"/>
              <w:jc w:val="right"/>
            </w:pPr>
            <w:r>
              <w:t>(continued next page)</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2268"/>
        <w:gridCol w:w="6528"/>
      </w:tblGrid>
      <w:tr w:rsidR="009A7F87" w:rsidRPr="00770229" w:rsidTr="002E2409">
        <w:tc>
          <w:tcPr>
            <w:tcW w:w="5000" w:type="pct"/>
            <w:gridSpan w:val="2"/>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C05C71" w:rsidRDefault="009A7F87" w:rsidP="009A7F87">
            <w:pPr>
              <w:pStyle w:val="Heading3"/>
              <w:rPr>
                <w:sz w:val="18"/>
                <w:szCs w:val="18"/>
              </w:rPr>
            </w:pPr>
            <w:r>
              <w:br w:type="page"/>
            </w:r>
            <w:r w:rsidRPr="00C05C71">
              <w:rPr>
                <w:sz w:val="18"/>
                <w:szCs w:val="18"/>
              </w:rPr>
              <w:t>(continued)</w:t>
            </w:r>
          </w:p>
        </w:tc>
      </w:tr>
      <w:tr w:rsidR="009A7F87" w:rsidRPr="00770229" w:rsidTr="002E2409">
        <w:tc>
          <w:tcPr>
            <w:tcW w:w="5000" w:type="pct"/>
            <w:gridSpan w:val="2"/>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Pr>
                <w:b/>
                <w:sz w:val="24"/>
              </w:rPr>
              <w:t>AIHW method</w:t>
            </w:r>
          </w:p>
        </w:tc>
      </w:tr>
      <w:tr w:rsidR="009A7F87" w:rsidRPr="00770229" w:rsidTr="00A672D0">
        <w:tc>
          <w:tcPr>
            <w:tcW w:w="1289" w:type="pct"/>
            <w:tcBorders>
              <w:top w:val="single" w:sz="6" w:space="0" w:color="808080" w:themeColor="background1" w:themeShade="80"/>
              <w:bottom w:val="nil"/>
            </w:tcBorders>
            <w:tcMar>
              <w:top w:w="57" w:type="dxa"/>
              <w:left w:w="113" w:type="dxa"/>
            </w:tcMar>
          </w:tcPr>
          <w:p w:rsidR="009A7F87" w:rsidRPr="00770229" w:rsidRDefault="009A7F87" w:rsidP="009A7F87">
            <w:pPr>
              <w:pStyle w:val="TableBodyText"/>
              <w:jc w:val="left"/>
              <w:rPr>
                <w:b/>
                <w:sz w:val="24"/>
              </w:rPr>
            </w:pPr>
            <w:r w:rsidRPr="00770229">
              <w:rPr>
                <w:i/>
              </w:rPr>
              <w:t>Service use measures:</w:t>
            </w:r>
          </w:p>
        </w:tc>
        <w:tc>
          <w:tcPr>
            <w:tcW w:w="3711" w:type="pct"/>
            <w:tcBorders>
              <w:top w:val="single" w:sz="6" w:space="0" w:color="808080" w:themeColor="background1" w:themeShade="80"/>
              <w:bottom w:val="nil"/>
            </w:tcBorders>
          </w:tcPr>
          <w:p w:rsidR="009A7F87" w:rsidRPr="00770229" w:rsidRDefault="009A7F87" w:rsidP="009A7F87">
            <w:pPr>
              <w:pStyle w:val="TableBodyText"/>
              <w:jc w:val="left"/>
            </w:pPr>
            <w:r w:rsidRPr="00770229">
              <w:t xml:space="preserve">The service use measure used by AIHW for community mental health services is </w:t>
            </w:r>
            <w:r w:rsidRPr="007D7D08">
              <w:rPr>
                <w:i/>
              </w:rPr>
              <w:t>Aboriginal and Torres Strait Islander share of expenditure provided by jurisdictions</w:t>
            </w:r>
            <w:r w:rsidRPr="00770229">
              <w:t xml:space="preserve">. </w:t>
            </w:r>
          </w:p>
          <w:p w:rsidR="009A7F87" w:rsidRPr="00770229" w:rsidRDefault="009A7F87" w:rsidP="009A7F87">
            <w:pPr>
              <w:pStyle w:val="TableBodyText"/>
              <w:jc w:val="left"/>
            </w:pPr>
            <w:r w:rsidRPr="00770229">
              <w:t>Estimation methods vary, but included identified Indigenous specific programs and grants and an estimation of the Aboriginal and Torres Strait Islander share of mainstream services based on service use.</w:t>
            </w:r>
          </w:p>
          <w:p w:rsidR="009A7F87" w:rsidRPr="00770229" w:rsidRDefault="009A7F87" w:rsidP="009A7F87">
            <w:pPr>
              <w:pStyle w:val="TableBodyText"/>
              <w:jc w:val="left"/>
            </w:pPr>
            <w:r w:rsidRPr="00770229">
              <w:t xml:space="preserve">The AIHW does not explicitly publish expenditure estimates for Aboriginal and Torres Strait Islander community mental health services in its </w:t>
            </w:r>
            <w:r w:rsidRPr="007D7D08">
              <w:rPr>
                <w:i/>
              </w:rPr>
              <w:t>Expenditure on Health for Aboriginal and Torres Strait Islander People</w:t>
            </w:r>
            <w:r w:rsidRPr="00770229">
              <w:t xml:space="preserve"> reports.</w:t>
            </w:r>
          </w:p>
          <w:p w:rsidR="009A7F87" w:rsidRPr="00770229" w:rsidRDefault="009A7F87" w:rsidP="009A7F87">
            <w:pPr>
              <w:pStyle w:val="TableBodyText"/>
              <w:jc w:val="left"/>
            </w:pPr>
            <w:r w:rsidRPr="00770229">
              <w:t>However, information is provided by the states and territories which identifies expenditure on community mental health programs. It is relatively straightforward to estimate expenditure on community health services funded through Australian Government programs — as grants to Aboriginal Community Controlled Health Organisations (ACCHOs) fund the majority of them. However, funding to ACCHOs is also received from states and territories and medical services provided in ACCHOs are billed to Medicare. It is also assumed that around 12 per cent of all client contacts in ACCHOs are non</w:t>
            </w:r>
            <w:r w:rsidRPr="00770229">
              <w:noBreakHyphen/>
              <w:t>Indigenous Australians, which must be taken account when developing expenditure estimates.</w:t>
            </w:r>
          </w:p>
          <w:p w:rsidR="009A7F87" w:rsidRPr="00770229" w:rsidRDefault="009A7F87" w:rsidP="009A7F87">
            <w:pPr>
              <w:pStyle w:val="TableBodyText"/>
              <w:jc w:val="left"/>
            </w:pPr>
            <w:r w:rsidRPr="00770229">
              <w:t>Data provided by the states and territories depends on the accuracy of information collected in administering community mental health programs and providing services to Aboriginal and Torres Strait Islander patients. The quality of this information varies across states and territories.</w:t>
            </w:r>
          </w:p>
        </w:tc>
      </w:tr>
      <w:tr w:rsidR="009A7F87" w:rsidRPr="00770229" w:rsidTr="0044346B">
        <w:tc>
          <w:tcPr>
            <w:tcW w:w="1289" w:type="pct"/>
            <w:tcBorders>
              <w:top w:val="nil"/>
              <w:bottom w:val="nil"/>
            </w:tcBorders>
            <w:tcMar>
              <w:top w:w="57" w:type="dxa"/>
              <w:left w:w="113" w:type="dxa"/>
            </w:tcMar>
          </w:tcPr>
          <w:p w:rsidR="009A7F87" w:rsidRPr="00770229" w:rsidRDefault="009A7F87" w:rsidP="009A7F87">
            <w:pPr>
              <w:pStyle w:val="TableBodyText"/>
              <w:jc w:val="left"/>
              <w:rPr>
                <w:b/>
                <w:sz w:val="24"/>
              </w:rPr>
            </w:pPr>
            <w:r w:rsidRPr="00770229">
              <w:rPr>
                <w:i/>
              </w:rPr>
              <w:t xml:space="preserve">Indigenous status </w:t>
            </w:r>
            <w:r w:rsidRPr="00770229">
              <w:rPr>
                <w:i/>
              </w:rPr>
              <w:br/>
              <w:t>under</w:t>
            </w:r>
            <w:r w:rsidRPr="00770229">
              <w:rPr>
                <w:i/>
              </w:rPr>
              <w:noBreakHyphen/>
              <w:t>identification:</w:t>
            </w:r>
          </w:p>
        </w:tc>
        <w:tc>
          <w:tcPr>
            <w:tcW w:w="3711" w:type="pct"/>
            <w:tcBorders>
              <w:top w:val="nil"/>
              <w:bottom w:val="nil"/>
            </w:tcBorders>
          </w:tcPr>
          <w:p w:rsidR="009A7F87" w:rsidRPr="00863029" w:rsidRDefault="009A7F87" w:rsidP="009A7F87">
            <w:pPr>
              <w:pStyle w:val="TableBodyText"/>
              <w:jc w:val="left"/>
            </w:pPr>
            <w:r w:rsidRPr="00770229">
              <w:t xml:space="preserve">It is assumed that there is no </w:t>
            </w:r>
            <w:r>
              <w:t>Indigenous under-identification</w:t>
            </w:r>
            <w:r w:rsidRPr="00770229">
              <w:t xml:space="preserve"> for this GPC category.</w:t>
            </w:r>
          </w:p>
        </w:tc>
      </w:tr>
      <w:tr w:rsidR="009A7F87" w:rsidRPr="00770229" w:rsidTr="0044346B">
        <w:tc>
          <w:tcPr>
            <w:tcW w:w="1289" w:type="pct"/>
            <w:tcBorders>
              <w:top w:val="nil"/>
              <w:bottom w:val="single" w:sz="6" w:space="0" w:color="808080" w:themeColor="background1" w:themeShade="80"/>
            </w:tcBorders>
            <w:tcMar>
              <w:top w:w="57" w:type="dxa"/>
              <w:left w:w="113" w:type="dxa"/>
            </w:tcMar>
          </w:tcPr>
          <w:p w:rsidR="009A7F87" w:rsidRPr="00770229" w:rsidRDefault="009A7F87" w:rsidP="009A7F87">
            <w:pPr>
              <w:pStyle w:val="TableBodyText"/>
              <w:jc w:val="left"/>
              <w:rPr>
                <w:b/>
                <w:sz w:val="24"/>
              </w:rPr>
            </w:pPr>
            <w:r w:rsidRPr="00770229">
              <w:rPr>
                <w:i/>
              </w:rPr>
              <w:t>Service delivery cost differential:</w:t>
            </w:r>
          </w:p>
        </w:tc>
        <w:tc>
          <w:tcPr>
            <w:tcW w:w="3711" w:type="pct"/>
            <w:tcBorders>
              <w:top w:val="nil"/>
              <w:bottom w:val="single" w:sz="6" w:space="0" w:color="808080" w:themeColor="background1" w:themeShade="80"/>
            </w:tcBorders>
          </w:tcPr>
          <w:p w:rsidR="009A7F87" w:rsidRPr="00770229" w:rsidRDefault="009A7F87" w:rsidP="009A7F87">
            <w:pPr>
              <w:pStyle w:val="TableBodyText"/>
              <w:jc w:val="left"/>
              <w:rPr>
                <w:b/>
                <w:sz w:val="24"/>
              </w:rPr>
            </w:pPr>
            <w:r w:rsidRPr="00770229">
              <w:t>It is assumed that there is no cost differential for this GPC category.</w:t>
            </w:r>
          </w:p>
        </w:tc>
      </w:tr>
      <w:tr w:rsidR="009A7F87" w:rsidRPr="0071369A" w:rsidTr="0044346B">
        <w:tblPrEx>
          <w:tblBorders>
            <w:top w:val="none" w:sz="0" w:space="0" w:color="auto"/>
            <w:bottom w:val="none" w:sz="0" w:space="0" w:color="auto"/>
            <w:insideH w:val="none" w:sz="0" w:space="0" w:color="auto"/>
          </w:tblBorders>
        </w:tblPrEx>
        <w:tc>
          <w:tcPr>
            <w:tcW w:w="5000" w:type="pct"/>
            <w:gridSpan w:val="2"/>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2E2409">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t>0</w:t>
            </w:r>
            <w:r>
              <w:t>542</w:t>
            </w:r>
            <w:r w:rsidRPr="00770229">
              <w:t xml:space="preserve"> Patient transport</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jc w:val="left"/>
            </w:pPr>
            <w:r w:rsidRPr="00770229">
              <w:t>Emergency transport in Australia is largely provided through State and Territory expenditure on patient transport via ambulance. However, people receiving ambulance care are obligated to pay a fee for the service, unless they are in receipt of selected welfare benefits or eligible for government subsidised transport. Governments may also allocate expenditure to not</w:t>
            </w:r>
            <w:r w:rsidRPr="00770229">
              <w:noBreakHyphen/>
              <w:t>for</w:t>
            </w:r>
            <w:r w:rsidRPr="00770229">
              <w:noBreakHyphen/>
              <w:t xml:space="preserve">profit organisations that provide patient transport services to the community. </w:t>
            </w:r>
          </w:p>
          <w:p w:rsidR="009A7F87" w:rsidRPr="00770229" w:rsidRDefault="009A7F87" w:rsidP="009A7F87">
            <w:pPr>
              <w:pStyle w:val="TableBodyText"/>
              <w:jc w:val="left"/>
            </w:pPr>
            <w:r w:rsidRPr="00770229">
              <w:t>Non</w:t>
            </w:r>
            <w:r w:rsidRPr="00770229">
              <w:noBreakHyphen/>
              <w:t>emergency patient transport services may include carrying patients on stretchers or in wheelchairs, road or air transport to medical treatment and standby services at public and sporting events. The cost of ambulance services present at events is met privately by the event organisers.</w:t>
            </w:r>
          </w:p>
          <w:p w:rsidR="009A7F87" w:rsidRPr="00770229" w:rsidRDefault="009A7F87" w:rsidP="009A7F87">
            <w:pPr>
              <w:pStyle w:val="TableBodyText"/>
              <w:jc w:val="left"/>
            </w:pPr>
            <w:r w:rsidRPr="00770229">
              <w:t>The non</w:t>
            </w:r>
            <w:r w:rsidRPr="00770229">
              <w:noBreakHyphen/>
              <w:t>emergency patient transport industry is managed by human services departments in each jurisdiction, where private patient transport providers are regulated to ensure operators are licensed and accredited. Private providers may also operate under contract with State ambulance services, international air ambulance and patient transport services, and the Department of Veterans’ Affairs.</w:t>
            </w:r>
          </w:p>
          <w:p w:rsidR="009A7F87" w:rsidRPr="00770229" w:rsidRDefault="009A7F87" w:rsidP="009A7F87">
            <w:pPr>
              <w:pStyle w:val="TableBodyText"/>
              <w:jc w:val="left"/>
              <w:rPr>
                <w:i/>
              </w:rPr>
            </w:pPr>
            <w:r w:rsidRPr="00770229">
              <w:rPr>
                <w:i/>
              </w:rPr>
              <w:t>The AIHW maps services in this category to NMDS codes 501 and 502.</w:t>
            </w:r>
          </w:p>
          <w:p w:rsidR="009A7F87" w:rsidRPr="00770229" w:rsidRDefault="009A7F87" w:rsidP="009A7F87">
            <w:pPr>
              <w:pStyle w:val="TableBodyText"/>
              <w:jc w:val="left"/>
            </w:pPr>
            <w:r w:rsidRPr="00770229">
              <w:t xml:space="preserve">An overview of how the AIHW method has been adapted for the Indigenous Expenditure Report, and the service use measures, </w:t>
            </w:r>
            <w:r w:rsidRPr="00DA3D60">
              <w:t>Indigenous</w:t>
            </w:r>
            <w:r w:rsidRPr="00317BFD">
              <w:rPr>
                <w:sz w:val="24"/>
                <w:szCs w:val="24"/>
              </w:rPr>
              <w:t xml:space="preserve"> </w:t>
            </w:r>
            <w:r w:rsidRPr="00770229">
              <w:t>under</w:t>
            </w:r>
            <w:r w:rsidRPr="00770229">
              <w:noBreakHyphen/>
              <w:t xml:space="preserve">identification, and cost differential factors provided by the AIHW for the </w:t>
            </w:r>
            <w:r>
              <w:t>2017 Report</w:t>
            </w:r>
            <w:r w:rsidRPr="00770229">
              <w:t xml:space="preserve"> is presented in </w:t>
            </w:r>
            <w:r>
              <w:t>section 5.1</w:t>
            </w:r>
            <w:r w:rsidRPr="00770229">
              <w:t>.</w:t>
            </w:r>
          </w:p>
          <w:p w:rsidR="009A7F87" w:rsidRPr="00770229" w:rsidRDefault="009A7F87" w:rsidP="009A7F87">
            <w:pPr>
              <w:pStyle w:val="TableBodyText"/>
              <w:jc w:val="left"/>
              <w:rPr>
                <w:b/>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sidRPr="00770229">
              <w:t xml:space="preserve">The key cost drivers of expenditure on patient transport are: </w:t>
            </w:r>
          </w:p>
          <w:p w:rsidR="009A7F87" w:rsidRPr="00770229" w:rsidRDefault="009A7F87" w:rsidP="009A7F87">
            <w:pPr>
              <w:pStyle w:val="TableBullet"/>
              <w:numPr>
                <w:ilvl w:val="0"/>
                <w:numId w:val="24"/>
              </w:numPr>
              <w:spacing w:line="220" w:lineRule="atLeast"/>
            </w:pPr>
            <w:r w:rsidRPr="00770229">
              <w:t>the number of patients requiring patient transport services</w:t>
            </w:r>
          </w:p>
          <w:p w:rsidR="009A7F87" w:rsidRPr="00770229" w:rsidRDefault="009A7F87" w:rsidP="009A7F87">
            <w:pPr>
              <w:pStyle w:val="TableBullet"/>
              <w:numPr>
                <w:ilvl w:val="0"/>
                <w:numId w:val="24"/>
              </w:numPr>
              <w:spacing w:line="220" w:lineRule="atLeast"/>
            </w:pPr>
            <w:r w:rsidRPr="00770229">
              <w:t>the type of services provided during transportation (chronic conditions or simple conditions)</w:t>
            </w:r>
          </w:p>
          <w:p w:rsidR="009A7F87" w:rsidRPr="00770229" w:rsidRDefault="009A7F87" w:rsidP="009A7F87">
            <w:pPr>
              <w:pStyle w:val="TableBullet"/>
              <w:numPr>
                <w:ilvl w:val="0"/>
                <w:numId w:val="24"/>
              </w:numPr>
              <w:spacing w:line="220" w:lineRule="atLeast"/>
            </w:pPr>
            <w:r w:rsidRPr="00770229">
              <w:t>the type of transport required</w:t>
            </w:r>
          </w:p>
          <w:p w:rsidR="009A7F87" w:rsidRPr="00770229" w:rsidRDefault="009A7F87" w:rsidP="009A7F87">
            <w:pPr>
              <w:pStyle w:val="TableBullet"/>
              <w:numPr>
                <w:ilvl w:val="0"/>
                <w:numId w:val="24"/>
              </w:numPr>
              <w:spacing w:line="220" w:lineRule="atLeast"/>
              <w:rPr>
                <w:rFonts w:cs="Arial"/>
              </w:rPr>
            </w:pPr>
            <w:r w:rsidRPr="00770229">
              <w:t>the location where the transport is provided and distance to hospital.</w:t>
            </w:r>
          </w:p>
          <w:p w:rsidR="009A7F87" w:rsidRPr="00770229" w:rsidRDefault="009A7F87" w:rsidP="009A7F87">
            <w:pPr>
              <w:pStyle w:val="TableBodyText"/>
              <w:keepNext w:val="0"/>
              <w:spacing w:before="60" w:after="60"/>
              <w:jc w:val="left"/>
              <w:rPr>
                <w:szCs w:val="26"/>
              </w:rPr>
            </w:pPr>
            <w:r w:rsidRPr="00770229">
              <w:t>These cost drivers are based on development and research undertaken by the AIHW for the Expenditure on Health for Aboriginal and Torres Strait Islander People reports.</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EF1A03"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ColumnHeading"/>
              <w:keepNext w:val="0"/>
              <w:ind w:left="180"/>
              <w:jc w:val="center"/>
            </w:pPr>
            <w:r w:rsidRPr="00EF1A03">
              <w:t>Data Years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EF1A03" w:rsidRDefault="009A7F87" w:rsidP="009A7F87">
            <w:pPr>
              <w:pStyle w:val="TableBodyText"/>
              <w:keepNext w:val="0"/>
              <w:spacing w:before="60" w:after="60"/>
              <w:ind w:left="0"/>
              <w:jc w:val="both"/>
              <w:rPr>
                <w:i/>
              </w:rPr>
            </w:pPr>
            <w:r w:rsidRPr="00EF1A03">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180"/>
              <w:jc w:val="left"/>
              <w:rPr>
                <w:i/>
              </w:rPr>
            </w:pPr>
            <w:r w:rsidRPr="00EF1A03">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2008</w:t>
            </w:r>
            <w:r w:rsidRPr="00EF1A03">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2010</w:t>
            </w:r>
            <w:r w:rsidRPr="00EF1A03">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2012</w:t>
            </w:r>
            <w:r w:rsidRPr="00EF1A03">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EF1A03" w:rsidRDefault="009A7F87" w:rsidP="009A7F87">
            <w:pPr>
              <w:pStyle w:val="TableBodyText"/>
              <w:keepNext w:val="0"/>
              <w:spacing w:before="60" w:after="60"/>
              <w:ind w:left="2"/>
              <w:jc w:val="center"/>
              <w:rPr>
                <w:i/>
              </w:rPr>
            </w:pPr>
            <w:r w:rsidRPr="00EF1A03">
              <w:rPr>
                <w:i/>
              </w:rPr>
              <w:t>2015</w:t>
            </w:r>
            <w:r w:rsidRPr="00EF1A03">
              <w:rPr>
                <w:i/>
              </w:rPr>
              <w:noBreakHyphen/>
              <w:t>16 Estimates</w:t>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jc w:val="left"/>
            </w:pPr>
            <w:r w:rsidRPr="00770229">
              <w:t>Aboriginal and Torres Strait Islander share of expenditure provided by jurisdictions</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Unpublished AIHW estimates based on </w:t>
            </w:r>
            <w:r w:rsidRPr="00633D8F">
              <w:rPr>
                <w:i/>
              </w:rPr>
              <w:t>AIHW Expenditure on Health for Aboriginal and Torres Strait Islander People</w:t>
            </w:r>
          </w:p>
        </w:tc>
        <w:tc>
          <w:tcPr>
            <w:tcW w:w="584"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rsidRPr="00DB3652">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gridSpan w:val="2"/>
            <w:tcBorders>
              <w:top w:val="single" w:sz="6" w:space="0" w:color="808080" w:themeColor="background1" w:themeShade="80"/>
              <w:bottom w:val="single" w:sz="6" w:space="0" w:color="808080" w:themeColor="background1" w:themeShade="80"/>
            </w:tcBorders>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863029" w:rsidRDefault="009A7F87" w:rsidP="009A7F87">
            <w:pPr>
              <w:pStyle w:val="Note"/>
              <w:jc w:val="right"/>
            </w:pPr>
            <w:r>
              <w:t>(continued next page)</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2268"/>
        <w:gridCol w:w="6528"/>
      </w:tblGrid>
      <w:tr w:rsidR="009A7F87" w:rsidRPr="00770229" w:rsidTr="002E2409">
        <w:tc>
          <w:tcPr>
            <w:tcW w:w="5000" w:type="pct"/>
            <w:gridSpan w:val="2"/>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C05C71" w:rsidRDefault="009A7F87" w:rsidP="009A7F87">
            <w:pPr>
              <w:pStyle w:val="Heading3"/>
              <w:rPr>
                <w:sz w:val="18"/>
                <w:szCs w:val="18"/>
              </w:rPr>
            </w:pPr>
            <w:r>
              <w:br w:type="page"/>
            </w:r>
            <w:r w:rsidRPr="00C05C71">
              <w:rPr>
                <w:sz w:val="18"/>
                <w:szCs w:val="18"/>
              </w:rPr>
              <w:t>(continued)</w:t>
            </w:r>
          </w:p>
        </w:tc>
      </w:tr>
      <w:tr w:rsidR="009A7F87" w:rsidRPr="00770229" w:rsidTr="002E2409">
        <w:tc>
          <w:tcPr>
            <w:tcW w:w="5000" w:type="pct"/>
            <w:gridSpan w:val="2"/>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Pr>
                <w:b/>
                <w:sz w:val="24"/>
              </w:rPr>
              <w:t>AIHW method</w:t>
            </w:r>
          </w:p>
        </w:tc>
      </w:tr>
      <w:tr w:rsidR="009A7F87" w:rsidRPr="00770229" w:rsidTr="00A672D0">
        <w:tc>
          <w:tcPr>
            <w:tcW w:w="1289" w:type="pct"/>
            <w:tcBorders>
              <w:top w:val="single" w:sz="6" w:space="0" w:color="808080" w:themeColor="background1" w:themeShade="80"/>
              <w:bottom w:val="nil"/>
            </w:tcBorders>
            <w:tcMar>
              <w:top w:w="57" w:type="dxa"/>
              <w:left w:w="113" w:type="dxa"/>
            </w:tcMar>
          </w:tcPr>
          <w:p w:rsidR="009A7F87" w:rsidRPr="00770229" w:rsidRDefault="009A7F87" w:rsidP="009A7F87">
            <w:pPr>
              <w:pStyle w:val="TableBodyText"/>
              <w:jc w:val="left"/>
              <w:rPr>
                <w:b/>
                <w:sz w:val="24"/>
              </w:rPr>
            </w:pPr>
            <w:r w:rsidRPr="00770229">
              <w:rPr>
                <w:i/>
              </w:rPr>
              <w:t>Service use measures:</w:t>
            </w:r>
          </w:p>
        </w:tc>
        <w:tc>
          <w:tcPr>
            <w:tcW w:w="3711" w:type="pct"/>
            <w:tcBorders>
              <w:top w:val="single" w:sz="6" w:space="0" w:color="808080" w:themeColor="background1" w:themeShade="80"/>
              <w:bottom w:val="nil"/>
            </w:tcBorders>
          </w:tcPr>
          <w:p w:rsidR="009A7F87" w:rsidRPr="00770229" w:rsidRDefault="009A7F87" w:rsidP="009A7F87">
            <w:pPr>
              <w:pStyle w:val="TableBodyText"/>
              <w:jc w:val="left"/>
            </w:pPr>
            <w:r w:rsidRPr="00770229">
              <w:t xml:space="preserve">The service use measure for patient transport is the </w:t>
            </w:r>
            <w:r w:rsidRPr="002F4ED7">
              <w:rPr>
                <w:i/>
              </w:rPr>
              <w:t>Aboriginal and Torres Strait Islander share of expenditure provided by jurisdictions</w:t>
            </w:r>
            <w:r w:rsidRPr="00770229">
              <w:t>.</w:t>
            </w:r>
          </w:p>
          <w:p w:rsidR="009A7F87" w:rsidRPr="00770229" w:rsidRDefault="009A7F87" w:rsidP="009A7F87">
            <w:pPr>
              <w:pStyle w:val="TableBodyText"/>
              <w:jc w:val="left"/>
            </w:pPr>
            <w:r w:rsidRPr="00770229">
              <w:t>Patient transport (or ambulance) services associated with out</w:t>
            </w:r>
            <w:r w:rsidRPr="00770229">
              <w:noBreakHyphen/>
              <w:t>patient or residential episodes to and from, health care facilities are provided by public or registered non</w:t>
            </w:r>
            <w:r w:rsidRPr="00770229">
              <w:noBreakHyphen/>
              <w:t>profit organisations.</w:t>
            </w:r>
          </w:p>
          <w:p w:rsidR="009A7F87" w:rsidRPr="00770229" w:rsidRDefault="009A7F87" w:rsidP="009A7F87">
            <w:pPr>
              <w:pStyle w:val="TableBodyText"/>
              <w:jc w:val="left"/>
            </w:pPr>
            <w:r w:rsidRPr="00770229">
              <w:t>The AIHW obtains information about patient transport expenditure from the following sources:</w:t>
            </w:r>
          </w:p>
          <w:p w:rsidR="009A7F87" w:rsidRPr="00770229" w:rsidRDefault="009A7F87" w:rsidP="009A7F87">
            <w:pPr>
              <w:pStyle w:val="TableBullet"/>
            </w:pPr>
            <w:r w:rsidRPr="00770229">
              <w:t>at the Commonwealth level, data are provided by the Department of Health and Ageing and from the Department of Veterans’ Affairs</w:t>
            </w:r>
          </w:p>
          <w:p w:rsidR="009A7F87" w:rsidRPr="00770229" w:rsidRDefault="009A7F87" w:rsidP="009A7F87">
            <w:pPr>
              <w:pStyle w:val="TableBullet"/>
            </w:pPr>
            <w:r w:rsidRPr="00770229">
              <w:t>at the state/territory level, data are provided by the jurisdictions</w:t>
            </w:r>
          </w:p>
          <w:p w:rsidR="009A7F87" w:rsidRPr="00770229" w:rsidRDefault="009A7F87" w:rsidP="009A7F87">
            <w:pPr>
              <w:pStyle w:val="TableBullet"/>
            </w:pPr>
            <w:r w:rsidRPr="00770229">
              <w:t>non</w:t>
            </w:r>
            <w:r w:rsidRPr="00770229">
              <w:noBreakHyphen/>
              <w:t>government expenditure on patient transport services undertaken by households, insurance funds (30 per cent rebate) and non</w:t>
            </w:r>
            <w:r w:rsidRPr="00770229">
              <w:noBreakHyphen/>
              <w:t>profit organisations.</w:t>
            </w:r>
          </w:p>
          <w:p w:rsidR="009A7F87" w:rsidRPr="00770229" w:rsidRDefault="009A7F87" w:rsidP="009A7F87">
            <w:pPr>
              <w:pStyle w:val="TableBodyText"/>
              <w:jc w:val="left"/>
            </w:pPr>
            <w:r w:rsidRPr="00770229">
              <w:t>The AIHW allocates patient transport for Aboriginal and Torres Strait Islander patients on a 50:50 split between primary care expenditure and secondary/tertiary expenditure. For non</w:t>
            </w:r>
            <w:r w:rsidRPr="00770229">
              <w:noBreakHyphen/>
              <w:t>Indigenous patients, a significant proportion of public expenditure on patient transport is spent on transport to, or between, hospitals or special units. That is, around 80 per cent falls into the tertiary care sector.</w:t>
            </w:r>
          </w:p>
        </w:tc>
      </w:tr>
      <w:tr w:rsidR="009A7F87" w:rsidRPr="00770229" w:rsidTr="0044346B">
        <w:tc>
          <w:tcPr>
            <w:tcW w:w="1289" w:type="pct"/>
            <w:tcBorders>
              <w:top w:val="nil"/>
              <w:bottom w:val="nil"/>
            </w:tcBorders>
            <w:tcMar>
              <w:top w:w="57" w:type="dxa"/>
              <w:left w:w="113" w:type="dxa"/>
            </w:tcMar>
          </w:tcPr>
          <w:p w:rsidR="009A7F87" w:rsidRPr="00770229" w:rsidRDefault="009A7F87" w:rsidP="009A7F87">
            <w:pPr>
              <w:pStyle w:val="TableBodyText"/>
              <w:jc w:val="left"/>
              <w:rPr>
                <w:b/>
                <w:sz w:val="24"/>
              </w:rPr>
            </w:pPr>
            <w:r w:rsidRPr="00770229">
              <w:rPr>
                <w:i/>
              </w:rPr>
              <w:t xml:space="preserve">Indigenous status </w:t>
            </w:r>
            <w:r w:rsidRPr="00770229">
              <w:rPr>
                <w:i/>
              </w:rPr>
              <w:br/>
              <w:t>under</w:t>
            </w:r>
            <w:r w:rsidRPr="00770229">
              <w:rPr>
                <w:i/>
              </w:rPr>
              <w:noBreakHyphen/>
              <w:t>identification:</w:t>
            </w:r>
          </w:p>
        </w:tc>
        <w:tc>
          <w:tcPr>
            <w:tcW w:w="3711" w:type="pct"/>
            <w:tcBorders>
              <w:top w:val="nil"/>
              <w:bottom w:val="nil"/>
            </w:tcBorders>
          </w:tcPr>
          <w:p w:rsidR="009A7F87" w:rsidRPr="00863029" w:rsidRDefault="009A7F87" w:rsidP="009A7F87">
            <w:pPr>
              <w:pStyle w:val="TableBodyText"/>
              <w:jc w:val="left"/>
            </w:pPr>
            <w:r w:rsidRPr="00770229">
              <w:t xml:space="preserve">It is assumed that there is no </w:t>
            </w:r>
            <w:r>
              <w:t>Indigenous under-identification</w:t>
            </w:r>
            <w:r w:rsidRPr="00770229">
              <w:t xml:space="preserve"> for this GPC category.</w:t>
            </w:r>
          </w:p>
        </w:tc>
      </w:tr>
      <w:tr w:rsidR="009A7F87" w:rsidRPr="00770229" w:rsidTr="0044346B">
        <w:tc>
          <w:tcPr>
            <w:tcW w:w="1289" w:type="pct"/>
            <w:tcBorders>
              <w:top w:val="nil"/>
              <w:bottom w:val="single" w:sz="6" w:space="0" w:color="808080" w:themeColor="background1" w:themeShade="80"/>
            </w:tcBorders>
            <w:tcMar>
              <w:top w:w="57" w:type="dxa"/>
              <w:left w:w="113" w:type="dxa"/>
            </w:tcMar>
          </w:tcPr>
          <w:p w:rsidR="009A7F87" w:rsidRPr="00770229" w:rsidRDefault="009A7F87" w:rsidP="009A7F87">
            <w:pPr>
              <w:pStyle w:val="TableBodyText"/>
              <w:jc w:val="left"/>
              <w:rPr>
                <w:b/>
                <w:sz w:val="24"/>
              </w:rPr>
            </w:pPr>
            <w:r w:rsidRPr="00770229">
              <w:rPr>
                <w:i/>
              </w:rPr>
              <w:t>Service delivery cost differential:</w:t>
            </w:r>
          </w:p>
        </w:tc>
        <w:tc>
          <w:tcPr>
            <w:tcW w:w="3711" w:type="pct"/>
            <w:tcBorders>
              <w:top w:val="nil"/>
              <w:bottom w:val="single" w:sz="6" w:space="0" w:color="808080" w:themeColor="background1" w:themeShade="80"/>
            </w:tcBorders>
          </w:tcPr>
          <w:p w:rsidR="009A7F87" w:rsidRPr="00770229" w:rsidRDefault="009A7F87" w:rsidP="009A7F87">
            <w:pPr>
              <w:pStyle w:val="TableBodyText"/>
              <w:jc w:val="left"/>
              <w:rPr>
                <w:b/>
                <w:sz w:val="24"/>
              </w:rPr>
            </w:pPr>
            <w:r w:rsidRPr="00770229">
              <w:t>It is assumed that there is no cost differential for this GPC category.</w:t>
            </w:r>
          </w:p>
        </w:tc>
      </w:tr>
      <w:tr w:rsidR="009A7F87" w:rsidRPr="0071369A" w:rsidTr="0044346B">
        <w:tblPrEx>
          <w:tblBorders>
            <w:top w:val="none" w:sz="0" w:space="0" w:color="auto"/>
            <w:bottom w:val="none" w:sz="0" w:space="0" w:color="auto"/>
            <w:insideH w:val="none" w:sz="0" w:space="0" w:color="auto"/>
          </w:tblBorders>
        </w:tblPrEx>
        <w:tc>
          <w:tcPr>
            <w:tcW w:w="5000" w:type="pct"/>
            <w:gridSpan w:val="2"/>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2E2409">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t>0</w:t>
            </w:r>
            <w:r>
              <w:t>549.1</w:t>
            </w:r>
            <w:r w:rsidRPr="00770229">
              <w:t xml:space="preserve"> Other community health services — medical services </w:t>
            </w:r>
            <w:r>
              <w:br/>
              <w:t xml:space="preserve">            </w:t>
            </w:r>
            <w:r w:rsidRPr="00770229">
              <w:t>subsidies</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jc w:val="left"/>
            </w:pPr>
            <w:r w:rsidRPr="00770229">
              <w:t>In Australia, expenditure on community health services (0549) may include:</w:t>
            </w:r>
          </w:p>
          <w:p w:rsidR="009A7F87" w:rsidRPr="00770229" w:rsidRDefault="009A7F87" w:rsidP="009A7F87">
            <w:pPr>
              <w:pStyle w:val="TableBullet"/>
              <w:keepNext w:val="0"/>
              <w:keepLines w:val="0"/>
              <w:numPr>
                <w:ilvl w:val="0"/>
                <w:numId w:val="24"/>
              </w:numPr>
              <w:spacing w:line="220" w:lineRule="atLeast"/>
            </w:pPr>
            <w:r w:rsidRPr="00770229">
              <w:rPr>
                <w:i/>
              </w:rPr>
              <w:t>domiciliary nursing services</w:t>
            </w:r>
            <w:r w:rsidRPr="00770229">
              <w:t xml:space="preserve"> </w:t>
            </w:r>
          </w:p>
          <w:p w:rsidR="009A7F87" w:rsidRPr="00770229" w:rsidRDefault="009A7F87" w:rsidP="009A7F87">
            <w:pPr>
              <w:pStyle w:val="TableBullet"/>
              <w:keepNext w:val="0"/>
              <w:keepLines w:val="0"/>
              <w:numPr>
                <w:ilvl w:val="0"/>
                <w:numId w:val="24"/>
              </w:numPr>
              <w:spacing w:line="220" w:lineRule="atLeast"/>
            </w:pPr>
            <w:r w:rsidRPr="00770229">
              <w:rPr>
                <w:i/>
              </w:rPr>
              <w:t>well baby clinics</w:t>
            </w:r>
            <w:r w:rsidRPr="00770229">
              <w:t xml:space="preserve"> </w:t>
            </w:r>
          </w:p>
          <w:p w:rsidR="009A7F87" w:rsidRPr="00770229" w:rsidRDefault="009A7F87" w:rsidP="009A7F87">
            <w:pPr>
              <w:pStyle w:val="TableBullet"/>
              <w:keepNext w:val="0"/>
              <w:keepLines w:val="0"/>
              <w:numPr>
                <w:ilvl w:val="0"/>
                <w:numId w:val="24"/>
              </w:numPr>
              <w:spacing w:line="220" w:lineRule="atLeast"/>
            </w:pPr>
            <w:r w:rsidRPr="00770229">
              <w:rPr>
                <w:i/>
              </w:rPr>
              <w:t>family planning services</w:t>
            </w:r>
            <w:r w:rsidRPr="00770229">
              <w:t xml:space="preserve"> </w:t>
            </w:r>
          </w:p>
          <w:p w:rsidR="009A7F87" w:rsidRPr="00770229" w:rsidRDefault="009A7F87" w:rsidP="009A7F87">
            <w:pPr>
              <w:pStyle w:val="TableBullet"/>
              <w:keepNext w:val="0"/>
              <w:keepLines w:val="0"/>
              <w:numPr>
                <w:ilvl w:val="0"/>
                <w:numId w:val="24"/>
              </w:numPr>
              <w:spacing w:line="220" w:lineRule="atLeast"/>
            </w:pPr>
            <w:r w:rsidRPr="00770229">
              <w:rPr>
                <w:i/>
              </w:rPr>
              <w:t>alcohol and drug treatment programs</w:t>
            </w:r>
            <w:r w:rsidRPr="00770229">
              <w:t xml:space="preserve"> </w:t>
            </w:r>
          </w:p>
          <w:p w:rsidR="009A7F87" w:rsidRPr="00770229" w:rsidRDefault="009A7F87" w:rsidP="009A7F87">
            <w:pPr>
              <w:pStyle w:val="TableBullet"/>
              <w:numPr>
                <w:ilvl w:val="0"/>
                <w:numId w:val="24"/>
              </w:numPr>
              <w:spacing w:line="220" w:lineRule="atLeast"/>
            </w:pPr>
            <w:r w:rsidRPr="00770229">
              <w:rPr>
                <w:i/>
              </w:rPr>
              <w:t>federal subsidies for private medical and dental practitioners, optometrists, psychologists and other allied health practitioners</w:t>
            </w:r>
            <w:r w:rsidRPr="00770229">
              <w:t xml:space="preserve"> (GPC 0549.1)</w:t>
            </w:r>
            <w:r>
              <w:t xml:space="preserve"> </w:t>
            </w:r>
            <w:r w:rsidRPr="00770229">
              <w:t>— Medicare subsidies are available through the Australian Government for a range of private medical, dental and allied health services.</w:t>
            </w:r>
          </w:p>
          <w:p w:rsidR="009A7F87" w:rsidRPr="00770229" w:rsidRDefault="009A7F87" w:rsidP="009A7F87">
            <w:pPr>
              <w:pStyle w:val="TableBodyText"/>
              <w:keepNext w:val="0"/>
              <w:keepLines w:val="0"/>
              <w:spacing w:before="60" w:after="60"/>
              <w:jc w:val="left"/>
            </w:pPr>
            <w:r w:rsidRPr="00770229">
              <w:t>Other community health services — medical services subsidies (GPC+ 0549.1) is a sub</w:t>
            </w:r>
            <w:r w:rsidRPr="00770229">
              <w:noBreakHyphen/>
              <w:t xml:space="preserve">category of other community health services (GPC 0549). </w:t>
            </w:r>
          </w:p>
          <w:p w:rsidR="009A7F87" w:rsidRPr="00F712BB" w:rsidRDefault="009A7F87" w:rsidP="009A7F87">
            <w:pPr>
              <w:pStyle w:val="TableBodyText"/>
              <w:jc w:val="left"/>
              <w:rPr>
                <w:i/>
              </w:rPr>
            </w:pPr>
            <w:r w:rsidRPr="00F712BB">
              <w:rPr>
                <w:i/>
              </w:rPr>
              <w:t>The AIHW map services in this category to NMDS codes 303 and 304.</w:t>
            </w:r>
          </w:p>
          <w:p w:rsidR="009A7F87" w:rsidRPr="00770229" w:rsidRDefault="009A7F87" w:rsidP="009A7F87">
            <w:pPr>
              <w:pStyle w:val="TableBodyText"/>
              <w:keepNext w:val="0"/>
              <w:keepLines w:val="0"/>
              <w:spacing w:before="60" w:after="60"/>
              <w:jc w:val="left"/>
            </w:pPr>
            <w:r w:rsidRPr="00770229">
              <w:t xml:space="preserve">An overview of how the AIHW method has been adapted for the Indigenous Expenditure Report, and the service use measures, </w:t>
            </w:r>
            <w:r w:rsidRPr="00DA3D60">
              <w:t>Indigenous</w:t>
            </w:r>
            <w:r w:rsidRPr="00317BFD">
              <w:rPr>
                <w:sz w:val="24"/>
                <w:szCs w:val="24"/>
              </w:rPr>
              <w:t xml:space="preserve"> </w:t>
            </w:r>
            <w:r w:rsidRPr="00770229">
              <w:t>under</w:t>
            </w:r>
            <w:r w:rsidRPr="00770229">
              <w:noBreakHyphen/>
              <w:t xml:space="preserve">identification, and cost differential factors provided by the AIHW for the </w:t>
            </w:r>
            <w:r>
              <w:t>2017 Report</w:t>
            </w:r>
            <w:r w:rsidRPr="00770229">
              <w:t xml:space="preserve"> is presented in </w:t>
            </w:r>
            <w:r>
              <w:t>section 5.1</w:t>
            </w:r>
            <w:r w:rsidRPr="00770229">
              <w:t>.</w:t>
            </w:r>
          </w:p>
          <w:p w:rsidR="009A7F87" w:rsidRPr="00770229" w:rsidRDefault="009A7F87" w:rsidP="009A7F87">
            <w:pPr>
              <w:pStyle w:val="TableBodyText"/>
              <w:jc w:val="left"/>
              <w:rPr>
                <w:b/>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sidRPr="00770229">
              <w:t>The key cost drivers for medical services are:</w:t>
            </w:r>
          </w:p>
          <w:p w:rsidR="009A7F87" w:rsidRPr="00770229" w:rsidRDefault="009A7F87" w:rsidP="009A7F87">
            <w:pPr>
              <w:pStyle w:val="TableBullet"/>
              <w:numPr>
                <w:ilvl w:val="0"/>
                <w:numId w:val="24"/>
              </w:numPr>
              <w:spacing w:line="220" w:lineRule="atLeast"/>
            </w:pPr>
            <w:r w:rsidRPr="00770229">
              <w:t>the number of patients receiving medical services</w:t>
            </w:r>
          </w:p>
          <w:p w:rsidR="009A7F87" w:rsidRPr="00770229" w:rsidRDefault="009A7F87" w:rsidP="009A7F87">
            <w:pPr>
              <w:pStyle w:val="TableBullet"/>
              <w:numPr>
                <w:ilvl w:val="0"/>
                <w:numId w:val="24"/>
              </w:numPr>
              <w:spacing w:line="220" w:lineRule="atLeast"/>
            </w:pPr>
            <w:r w:rsidRPr="00770229">
              <w:t>the extent of their needs and length of care</w:t>
            </w:r>
          </w:p>
          <w:p w:rsidR="009A7F87" w:rsidRPr="00770229" w:rsidRDefault="009A7F87" w:rsidP="009A7F87">
            <w:pPr>
              <w:pStyle w:val="TableBullet"/>
              <w:numPr>
                <w:ilvl w:val="0"/>
                <w:numId w:val="24"/>
              </w:numPr>
              <w:spacing w:line="220" w:lineRule="atLeast"/>
              <w:rPr>
                <w:rFonts w:cs="Arial"/>
              </w:rPr>
            </w:pPr>
            <w:r w:rsidRPr="00770229">
              <w:t>the extent of co</w:t>
            </w:r>
            <w:r w:rsidRPr="00770229">
              <w:noBreakHyphen/>
              <w:t>morbidity (if present).</w:t>
            </w:r>
          </w:p>
          <w:p w:rsidR="009A7F87" w:rsidRPr="00770229" w:rsidRDefault="009A7F87" w:rsidP="009A7F87">
            <w:pPr>
              <w:pStyle w:val="TableBodyText"/>
              <w:keepNext w:val="0"/>
              <w:spacing w:before="60" w:after="60"/>
              <w:jc w:val="left"/>
              <w:rPr>
                <w:szCs w:val="26"/>
              </w:rPr>
            </w:pPr>
            <w:r w:rsidRPr="00770229">
              <w:rPr>
                <w:szCs w:val="26"/>
              </w:rPr>
              <w:t>These</w:t>
            </w:r>
            <w:r w:rsidRPr="00770229">
              <w:t xml:space="preserve"> cost drivers are based on development and research undertaken by the AIHW for the Expenditure on Health for Aboriginal and Torres Strait Islander People reports.</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EF1A03"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ColumnHeading"/>
              <w:keepNext w:val="0"/>
              <w:ind w:left="180"/>
              <w:jc w:val="center"/>
            </w:pPr>
            <w:r w:rsidRPr="00EF1A03">
              <w:t>Data Years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EF1A03" w:rsidRDefault="009A7F87" w:rsidP="009A7F87">
            <w:pPr>
              <w:pStyle w:val="TableBodyText"/>
              <w:keepNext w:val="0"/>
              <w:spacing w:before="60" w:after="60"/>
              <w:ind w:left="0"/>
              <w:jc w:val="both"/>
              <w:rPr>
                <w:i/>
              </w:rPr>
            </w:pPr>
            <w:r w:rsidRPr="00EF1A03">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180"/>
              <w:jc w:val="left"/>
              <w:rPr>
                <w:i/>
              </w:rPr>
            </w:pPr>
            <w:r w:rsidRPr="00EF1A03">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2008</w:t>
            </w:r>
            <w:r w:rsidRPr="00EF1A03">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2010</w:t>
            </w:r>
            <w:r w:rsidRPr="00EF1A03">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2012</w:t>
            </w:r>
            <w:r w:rsidRPr="00EF1A03">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EF1A03" w:rsidRDefault="009A7F87" w:rsidP="009A7F87">
            <w:pPr>
              <w:pStyle w:val="TableBodyText"/>
              <w:keepNext w:val="0"/>
              <w:spacing w:before="60" w:after="60"/>
              <w:ind w:left="2"/>
              <w:jc w:val="center"/>
              <w:rPr>
                <w:i/>
              </w:rPr>
            </w:pPr>
            <w:r w:rsidRPr="00EF1A03">
              <w:rPr>
                <w:i/>
              </w:rPr>
              <w:t>2015</w:t>
            </w:r>
            <w:r w:rsidRPr="00EF1A03">
              <w:rPr>
                <w:i/>
              </w:rPr>
              <w:noBreakHyphen/>
              <w:t>16 Estimates</w:t>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jc w:val="left"/>
            </w:pPr>
            <w:r w:rsidRPr="00770229">
              <w:t>Aboriginal and Torres Strait Islander share of Medicare expenditure and adjusted based on Medicare’s Voluntary Indigenous Identifier (VII)</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Unpublished AIHW estimates based on </w:t>
            </w:r>
            <w:r w:rsidRPr="00633D8F">
              <w:rPr>
                <w:i/>
              </w:rPr>
              <w:t>AIHW Expenditure on Health for Aboriginal and Torres Strait Islander People</w:t>
            </w:r>
          </w:p>
        </w:tc>
        <w:tc>
          <w:tcPr>
            <w:tcW w:w="584"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r>
              <w:br/>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rsidRPr="00DB3652">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gridSpan w:val="2"/>
            <w:tcBorders>
              <w:top w:val="single" w:sz="6" w:space="0" w:color="808080" w:themeColor="background1" w:themeShade="80"/>
              <w:bottom w:val="single" w:sz="6" w:space="0" w:color="808080" w:themeColor="background1" w:themeShade="80"/>
            </w:tcBorders>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863029" w:rsidRDefault="009A7F87" w:rsidP="009A7F87">
            <w:pPr>
              <w:pStyle w:val="Note"/>
              <w:jc w:val="right"/>
            </w:pPr>
            <w:r>
              <w:t>(continued next page)</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2268"/>
        <w:gridCol w:w="6528"/>
      </w:tblGrid>
      <w:tr w:rsidR="009A7F87" w:rsidRPr="00770229" w:rsidTr="002E2409">
        <w:tc>
          <w:tcPr>
            <w:tcW w:w="5000" w:type="pct"/>
            <w:gridSpan w:val="2"/>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C05C71" w:rsidRDefault="009A7F87" w:rsidP="009A7F87">
            <w:pPr>
              <w:pStyle w:val="Heading3"/>
              <w:rPr>
                <w:sz w:val="18"/>
                <w:szCs w:val="18"/>
              </w:rPr>
            </w:pPr>
            <w:r>
              <w:br w:type="page"/>
            </w:r>
            <w:r>
              <w:br w:type="page"/>
            </w:r>
            <w:r w:rsidRPr="00C05C71">
              <w:rPr>
                <w:sz w:val="18"/>
                <w:szCs w:val="18"/>
              </w:rPr>
              <w:t>(continued)</w:t>
            </w:r>
          </w:p>
        </w:tc>
      </w:tr>
      <w:tr w:rsidR="009A7F87" w:rsidRPr="00770229" w:rsidTr="002E2409">
        <w:tc>
          <w:tcPr>
            <w:tcW w:w="5000" w:type="pct"/>
            <w:gridSpan w:val="2"/>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Pr>
                <w:b/>
                <w:sz w:val="24"/>
              </w:rPr>
              <w:t>AIHW method</w:t>
            </w:r>
          </w:p>
        </w:tc>
      </w:tr>
      <w:tr w:rsidR="009A7F87" w:rsidRPr="00770229" w:rsidTr="00A672D0">
        <w:tc>
          <w:tcPr>
            <w:tcW w:w="1289" w:type="pct"/>
            <w:tcBorders>
              <w:top w:val="single" w:sz="6" w:space="0" w:color="808080" w:themeColor="background1" w:themeShade="80"/>
              <w:bottom w:val="nil"/>
            </w:tcBorders>
            <w:tcMar>
              <w:top w:w="57" w:type="dxa"/>
              <w:left w:w="113" w:type="dxa"/>
            </w:tcMar>
          </w:tcPr>
          <w:p w:rsidR="009A7F87" w:rsidRPr="00770229" w:rsidRDefault="009A7F87" w:rsidP="009A7F87">
            <w:pPr>
              <w:pStyle w:val="TableBodyText"/>
              <w:jc w:val="left"/>
              <w:rPr>
                <w:b/>
                <w:sz w:val="24"/>
              </w:rPr>
            </w:pPr>
            <w:r w:rsidRPr="00770229">
              <w:rPr>
                <w:i/>
              </w:rPr>
              <w:t>Service use measures:</w:t>
            </w:r>
          </w:p>
        </w:tc>
        <w:tc>
          <w:tcPr>
            <w:tcW w:w="3711" w:type="pct"/>
            <w:tcBorders>
              <w:top w:val="single" w:sz="6" w:space="0" w:color="808080" w:themeColor="background1" w:themeShade="80"/>
              <w:bottom w:val="nil"/>
            </w:tcBorders>
          </w:tcPr>
          <w:p w:rsidR="009A7F87" w:rsidRPr="00770229" w:rsidRDefault="009A7F87" w:rsidP="009A7F87">
            <w:pPr>
              <w:pStyle w:val="TableBodyText"/>
              <w:jc w:val="left"/>
            </w:pPr>
            <w:r w:rsidRPr="00770229">
              <w:t>The service use measure for medical services subsidies is derived from Medicare data that have been flagged with Medicare’s Voluntary Indigenous Identifier (VII).</w:t>
            </w:r>
          </w:p>
        </w:tc>
      </w:tr>
      <w:tr w:rsidR="009A7F87" w:rsidRPr="00770229" w:rsidTr="0044346B">
        <w:tc>
          <w:tcPr>
            <w:tcW w:w="1289" w:type="pct"/>
            <w:tcBorders>
              <w:top w:val="nil"/>
              <w:bottom w:val="nil"/>
            </w:tcBorders>
            <w:tcMar>
              <w:top w:w="57" w:type="dxa"/>
              <w:left w:w="113" w:type="dxa"/>
            </w:tcMar>
          </w:tcPr>
          <w:p w:rsidR="009A7F87" w:rsidRPr="00770229" w:rsidRDefault="009A7F87" w:rsidP="009A7F87">
            <w:pPr>
              <w:pStyle w:val="TableBodyText"/>
              <w:jc w:val="left"/>
              <w:rPr>
                <w:b/>
                <w:sz w:val="24"/>
              </w:rPr>
            </w:pPr>
            <w:r w:rsidRPr="00770229">
              <w:rPr>
                <w:i/>
              </w:rPr>
              <w:t xml:space="preserve">Indigenous status </w:t>
            </w:r>
            <w:r w:rsidRPr="00770229">
              <w:rPr>
                <w:i/>
              </w:rPr>
              <w:br/>
              <w:t>under</w:t>
            </w:r>
            <w:r w:rsidRPr="00770229">
              <w:rPr>
                <w:i/>
              </w:rPr>
              <w:noBreakHyphen/>
              <w:t>identification:</w:t>
            </w:r>
          </w:p>
        </w:tc>
        <w:tc>
          <w:tcPr>
            <w:tcW w:w="3711" w:type="pct"/>
            <w:tcBorders>
              <w:top w:val="nil"/>
              <w:bottom w:val="nil"/>
            </w:tcBorders>
          </w:tcPr>
          <w:p w:rsidR="009A7F87" w:rsidRPr="00863029" w:rsidRDefault="009A7F87" w:rsidP="009A7F87">
            <w:pPr>
              <w:pStyle w:val="TableBodyText"/>
              <w:jc w:val="left"/>
            </w:pPr>
            <w:r w:rsidRPr="00770229">
              <w:t xml:space="preserve">It is assumed that there is no </w:t>
            </w:r>
            <w:r>
              <w:t>Indigenous under-identification</w:t>
            </w:r>
            <w:r w:rsidRPr="00770229">
              <w:t xml:space="preserve"> for this GPC category.</w:t>
            </w:r>
          </w:p>
        </w:tc>
      </w:tr>
      <w:tr w:rsidR="009A7F87" w:rsidRPr="00770229" w:rsidTr="0044346B">
        <w:tc>
          <w:tcPr>
            <w:tcW w:w="1289" w:type="pct"/>
            <w:tcBorders>
              <w:top w:val="nil"/>
              <w:bottom w:val="single" w:sz="6" w:space="0" w:color="808080" w:themeColor="background1" w:themeShade="80"/>
            </w:tcBorders>
            <w:tcMar>
              <w:top w:w="57" w:type="dxa"/>
              <w:left w:w="113" w:type="dxa"/>
            </w:tcMar>
          </w:tcPr>
          <w:p w:rsidR="009A7F87" w:rsidRPr="00770229" w:rsidRDefault="009A7F87" w:rsidP="009A7F87">
            <w:pPr>
              <w:pStyle w:val="TableBodyText"/>
              <w:jc w:val="left"/>
              <w:rPr>
                <w:b/>
                <w:sz w:val="24"/>
              </w:rPr>
            </w:pPr>
            <w:r w:rsidRPr="00770229">
              <w:rPr>
                <w:i/>
              </w:rPr>
              <w:t>Service delivery cost differential:</w:t>
            </w:r>
          </w:p>
        </w:tc>
        <w:tc>
          <w:tcPr>
            <w:tcW w:w="3711" w:type="pct"/>
            <w:tcBorders>
              <w:top w:val="nil"/>
              <w:bottom w:val="single" w:sz="6" w:space="0" w:color="808080" w:themeColor="background1" w:themeShade="80"/>
            </w:tcBorders>
          </w:tcPr>
          <w:p w:rsidR="009A7F87" w:rsidRPr="00770229" w:rsidRDefault="009A7F87" w:rsidP="009A7F87">
            <w:pPr>
              <w:pStyle w:val="TableBodyText"/>
              <w:jc w:val="left"/>
              <w:rPr>
                <w:b/>
                <w:sz w:val="24"/>
              </w:rPr>
            </w:pPr>
            <w:r w:rsidRPr="00770229">
              <w:t>It is assumed that there is no cost differential for this GPC category.</w:t>
            </w:r>
          </w:p>
        </w:tc>
      </w:tr>
      <w:tr w:rsidR="009A7F87" w:rsidRPr="0071369A" w:rsidTr="0044346B">
        <w:tblPrEx>
          <w:tblBorders>
            <w:top w:val="none" w:sz="0" w:space="0" w:color="auto"/>
            <w:bottom w:val="none" w:sz="0" w:space="0" w:color="auto"/>
            <w:insideH w:val="none" w:sz="0" w:space="0" w:color="auto"/>
          </w:tblBorders>
        </w:tblPrEx>
        <w:tc>
          <w:tcPr>
            <w:tcW w:w="5000" w:type="pct"/>
            <w:gridSpan w:val="2"/>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2E2409">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t>0</w:t>
            </w:r>
            <w:r>
              <w:t>549.2</w:t>
            </w:r>
            <w:r w:rsidRPr="00770229">
              <w:t xml:space="preserve"> Other community health services — other health practitioners</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jc w:val="left"/>
            </w:pPr>
            <w:r w:rsidRPr="00770229">
              <w:t>In Australia, expenditure on community health services (GPC 0549) may include:</w:t>
            </w:r>
          </w:p>
          <w:p w:rsidR="009A7F87" w:rsidRPr="00770229" w:rsidRDefault="009A7F87" w:rsidP="009A7F87">
            <w:pPr>
              <w:pStyle w:val="TableBullet"/>
              <w:keepNext w:val="0"/>
              <w:keepLines w:val="0"/>
              <w:numPr>
                <w:ilvl w:val="0"/>
                <w:numId w:val="24"/>
              </w:numPr>
              <w:spacing w:line="220" w:lineRule="atLeast"/>
            </w:pPr>
            <w:r w:rsidRPr="00770229">
              <w:rPr>
                <w:i/>
              </w:rPr>
              <w:t>domiciliary nursing services</w:t>
            </w:r>
            <w:r w:rsidRPr="00770229">
              <w:t xml:space="preserve"> — provided to parents of newborn babies following birth, to prepare and support families in caring for their baby</w:t>
            </w:r>
          </w:p>
          <w:p w:rsidR="009A7F87" w:rsidRPr="00770229" w:rsidRDefault="009A7F87" w:rsidP="009A7F87">
            <w:pPr>
              <w:pStyle w:val="TableBullet"/>
              <w:keepNext w:val="0"/>
              <w:keepLines w:val="0"/>
              <w:numPr>
                <w:ilvl w:val="0"/>
                <w:numId w:val="24"/>
              </w:numPr>
              <w:spacing w:line="220" w:lineRule="atLeast"/>
            </w:pPr>
            <w:r w:rsidRPr="00770229">
              <w:rPr>
                <w:i/>
              </w:rPr>
              <w:t>well baby clinics</w:t>
            </w:r>
            <w:r w:rsidRPr="00770229">
              <w:t xml:space="preserve"> — to provide information and support to new parents on topics such as breastfeeding and child health, as well as offering services such as growth and weight developmental checks and immunisations</w:t>
            </w:r>
          </w:p>
          <w:p w:rsidR="009A7F87" w:rsidRPr="00770229" w:rsidRDefault="009A7F87" w:rsidP="009A7F87">
            <w:pPr>
              <w:pStyle w:val="TableBullet"/>
              <w:keepNext w:val="0"/>
              <w:keepLines w:val="0"/>
              <w:numPr>
                <w:ilvl w:val="0"/>
                <w:numId w:val="24"/>
              </w:numPr>
              <w:spacing w:line="220" w:lineRule="atLeast"/>
            </w:pPr>
            <w:r w:rsidRPr="00770229">
              <w:rPr>
                <w:i/>
              </w:rPr>
              <w:t>family planning services</w:t>
            </w:r>
            <w:r w:rsidRPr="00770229">
              <w:t xml:space="preserve"> — generally run by independent organisations that receive funding from government budgets to provide free information, advice and testing for pregnancy and sexually transmitted disease</w:t>
            </w:r>
          </w:p>
          <w:p w:rsidR="009A7F87" w:rsidRPr="00770229" w:rsidRDefault="009A7F87" w:rsidP="009A7F87">
            <w:pPr>
              <w:pStyle w:val="TableBullet"/>
              <w:keepNext w:val="0"/>
              <w:keepLines w:val="0"/>
              <w:numPr>
                <w:ilvl w:val="0"/>
                <w:numId w:val="24"/>
              </w:numPr>
              <w:spacing w:line="220" w:lineRule="atLeast"/>
            </w:pPr>
            <w:r w:rsidRPr="00770229">
              <w:rPr>
                <w:i/>
              </w:rPr>
              <w:t>alcohol and drug treatment programs</w:t>
            </w:r>
            <w:r w:rsidRPr="00770229">
              <w:t xml:space="preserve"> — these facilities may be managed by Human Services departments, local drug and alcohol administrative bodies, or through charitable organisations such as the Salvation Army. The services offered through these facilities may include: withdrawal management (detoxification); individual and group counselling; rehabilitation; pharmacotherapy (such as methadone treatment); education; and assessment in a non</w:t>
            </w:r>
            <w:r w:rsidRPr="00770229">
              <w:noBreakHyphen/>
              <w:t>residential setting</w:t>
            </w:r>
          </w:p>
          <w:p w:rsidR="009A7F87" w:rsidRPr="00770229" w:rsidRDefault="009A7F87" w:rsidP="009A7F87">
            <w:pPr>
              <w:pStyle w:val="TableBullet"/>
              <w:numPr>
                <w:ilvl w:val="0"/>
                <w:numId w:val="24"/>
              </w:numPr>
              <w:spacing w:line="220" w:lineRule="atLeast"/>
            </w:pPr>
            <w:r w:rsidRPr="00770229">
              <w:rPr>
                <w:i/>
              </w:rPr>
              <w:t>federal subsidies for private medical and dental practitioners, optometrists, psychologists and other allied health practitioners</w:t>
            </w:r>
            <w:r w:rsidRPr="00770229">
              <w:t xml:space="preserve"> — Medicare subsidies are available through the Australian Government for a range of private medical, dental and allied health services.</w:t>
            </w:r>
          </w:p>
          <w:p w:rsidR="009A7F87" w:rsidRPr="00770229" w:rsidRDefault="009A7F87" w:rsidP="009A7F87">
            <w:pPr>
              <w:pStyle w:val="TableBodyText"/>
              <w:keepNext w:val="0"/>
              <w:keepLines w:val="0"/>
              <w:spacing w:before="60" w:after="60"/>
              <w:jc w:val="left"/>
            </w:pPr>
            <w:r w:rsidRPr="00770229">
              <w:t>Other community health services — other health practitioners (GPC+ 0549.2) is a sub</w:t>
            </w:r>
            <w:r w:rsidRPr="00770229">
              <w:noBreakHyphen/>
              <w:t xml:space="preserve">category of other community health services (GPC 0549). </w:t>
            </w:r>
          </w:p>
          <w:p w:rsidR="009A7F87" w:rsidRPr="00770229" w:rsidRDefault="009A7F87" w:rsidP="009A7F87">
            <w:pPr>
              <w:pStyle w:val="TableBodyText"/>
              <w:keepNext w:val="0"/>
              <w:keepLines w:val="0"/>
              <w:spacing w:before="60" w:after="60"/>
              <w:jc w:val="left"/>
              <w:rPr>
                <w:i/>
              </w:rPr>
            </w:pPr>
            <w:r w:rsidRPr="00770229">
              <w:rPr>
                <w:i/>
              </w:rPr>
              <w:t>The AIHW map services in this category to NMDS codes 305, 308 and 388.</w:t>
            </w:r>
          </w:p>
          <w:p w:rsidR="009A7F87" w:rsidRPr="00770229" w:rsidRDefault="009A7F87" w:rsidP="009A7F87">
            <w:pPr>
              <w:pStyle w:val="TableBodyText"/>
              <w:keepNext w:val="0"/>
              <w:keepLines w:val="0"/>
              <w:spacing w:before="60" w:after="60"/>
              <w:jc w:val="left"/>
            </w:pPr>
            <w:r w:rsidRPr="00770229">
              <w:t xml:space="preserve">An overview of how the AIHW method has been adapted for the Indigenous Expenditure Report, and the service use measures, </w:t>
            </w:r>
            <w:r w:rsidRPr="00DA3D60">
              <w:t>Indigenous</w:t>
            </w:r>
            <w:r w:rsidRPr="00317BFD">
              <w:rPr>
                <w:sz w:val="24"/>
                <w:szCs w:val="24"/>
              </w:rPr>
              <w:t xml:space="preserve"> </w:t>
            </w:r>
            <w:r w:rsidRPr="00770229">
              <w:t>under</w:t>
            </w:r>
            <w:r w:rsidRPr="00770229">
              <w:noBreakHyphen/>
              <w:t xml:space="preserve">identification, and cost differential factors provided by the AIHW for the </w:t>
            </w:r>
            <w:r>
              <w:t>2017 Report</w:t>
            </w:r>
            <w:r w:rsidRPr="00770229">
              <w:t xml:space="preserve"> is presented in </w:t>
            </w:r>
            <w:r>
              <w:t>section 5.1</w:t>
            </w:r>
            <w:r w:rsidRPr="00770229">
              <w:t>.</w:t>
            </w:r>
          </w:p>
          <w:p w:rsidR="009A7F87" w:rsidRPr="00770229" w:rsidRDefault="009A7F87" w:rsidP="009A7F87">
            <w:pPr>
              <w:pStyle w:val="TableBodyText"/>
              <w:jc w:val="left"/>
              <w:rPr>
                <w:b/>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rPr>
                <w:szCs w:val="26"/>
              </w:rPr>
            </w:pPr>
            <w:r w:rsidRPr="00770229">
              <w:t>This cost driver is based on development and research undertaken by the AIHW for the Expenditure on Health for Aboriginal and Torres Strait Islander People reports.</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EF1A03"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ColumnHeading"/>
              <w:keepNext w:val="0"/>
              <w:ind w:left="180"/>
              <w:jc w:val="center"/>
            </w:pPr>
            <w:r w:rsidRPr="00EF1A03">
              <w:t>Data Years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EF1A03" w:rsidRDefault="009A7F87" w:rsidP="009A7F87">
            <w:pPr>
              <w:pStyle w:val="TableBodyText"/>
              <w:keepNext w:val="0"/>
              <w:spacing w:before="60" w:after="60"/>
              <w:ind w:left="0"/>
              <w:jc w:val="both"/>
              <w:rPr>
                <w:i/>
              </w:rPr>
            </w:pPr>
            <w:r w:rsidRPr="00EF1A03">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180"/>
              <w:jc w:val="left"/>
              <w:rPr>
                <w:i/>
              </w:rPr>
            </w:pPr>
            <w:r w:rsidRPr="00EF1A03">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2008</w:t>
            </w:r>
            <w:r w:rsidRPr="00EF1A03">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2010</w:t>
            </w:r>
            <w:r w:rsidRPr="00EF1A03">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2012</w:t>
            </w:r>
            <w:r w:rsidRPr="00EF1A03">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EF1A03" w:rsidRDefault="009A7F87" w:rsidP="009A7F87">
            <w:pPr>
              <w:pStyle w:val="TableBodyText"/>
              <w:keepNext w:val="0"/>
              <w:spacing w:before="60" w:after="60"/>
              <w:ind w:left="2"/>
              <w:jc w:val="center"/>
              <w:rPr>
                <w:i/>
              </w:rPr>
            </w:pPr>
            <w:r w:rsidRPr="00EF1A03">
              <w:rPr>
                <w:i/>
              </w:rPr>
              <w:t>2015</w:t>
            </w:r>
            <w:r w:rsidRPr="00EF1A03">
              <w:rPr>
                <w:i/>
              </w:rPr>
              <w:noBreakHyphen/>
              <w:t>16 Estimates</w:t>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jc w:val="left"/>
            </w:pPr>
            <w:r w:rsidRPr="00770229">
              <w:t>Aboriginal and Torres Strait Islander share of expenditure provided by jurisdictions</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Unpublished AIHW estimates based on </w:t>
            </w:r>
            <w:r w:rsidRPr="00633D8F">
              <w:rPr>
                <w:i/>
              </w:rPr>
              <w:t>AIHW Expenditure on Health for Aboriginal and Torres Strait Islander People</w:t>
            </w:r>
          </w:p>
        </w:tc>
        <w:tc>
          <w:tcPr>
            <w:tcW w:w="584"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rsidRPr="00DB3652">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gridSpan w:val="2"/>
            <w:tcBorders>
              <w:top w:val="single" w:sz="6" w:space="0" w:color="808080" w:themeColor="background1" w:themeShade="80"/>
              <w:bottom w:val="single" w:sz="6" w:space="0" w:color="808080" w:themeColor="background1" w:themeShade="80"/>
            </w:tcBorders>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863029" w:rsidRDefault="009A7F87" w:rsidP="009A7F87">
            <w:pPr>
              <w:pStyle w:val="Note"/>
              <w:jc w:val="right"/>
            </w:pPr>
            <w:r>
              <w:t>(continued next page)</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2268"/>
        <w:gridCol w:w="6528"/>
      </w:tblGrid>
      <w:tr w:rsidR="009A7F87" w:rsidRPr="00770229" w:rsidTr="002E2409">
        <w:tc>
          <w:tcPr>
            <w:tcW w:w="5000" w:type="pct"/>
            <w:gridSpan w:val="2"/>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C05C71" w:rsidRDefault="009A7F87" w:rsidP="009A7F87">
            <w:pPr>
              <w:pStyle w:val="Heading3"/>
              <w:rPr>
                <w:sz w:val="18"/>
                <w:szCs w:val="18"/>
              </w:rPr>
            </w:pPr>
            <w:r>
              <w:br w:type="page"/>
            </w:r>
            <w:r>
              <w:br w:type="page"/>
            </w:r>
            <w:r w:rsidRPr="00C05C71">
              <w:rPr>
                <w:sz w:val="18"/>
                <w:szCs w:val="18"/>
              </w:rPr>
              <w:t>(continued)</w:t>
            </w:r>
          </w:p>
        </w:tc>
      </w:tr>
      <w:tr w:rsidR="009A7F87" w:rsidRPr="00770229" w:rsidTr="002E2409">
        <w:tc>
          <w:tcPr>
            <w:tcW w:w="5000" w:type="pct"/>
            <w:gridSpan w:val="2"/>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Pr>
                <w:b/>
                <w:sz w:val="24"/>
              </w:rPr>
              <w:t>AIHW method</w:t>
            </w:r>
          </w:p>
        </w:tc>
      </w:tr>
      <w:tr w:rsidR="009A7F87" w:rsidRPr="00770229" w:rsidTr="00A672D0">
        <w:tc>
          <w:tcPr>
            <w:tcW w:w="1289" w:type="pct"/>
            <w:tcBorders>
              <w:top w:val="single" w:sz="6" w:space="0" w:color="808080" w:themeColor="background1" w:themeShade="80"/>
              <w:bottom w:val="nil"/>
            </w:tcBorders>
            <w:tcMar>
              <w:top w:w="57" w:type="dxa"/>
              <w:left w:w="113" w:type="dxa"/>
            </w:tcMar>
          </w:tcPr>
          <w:p w:rsidR="009A7F87" w:rsidRPr="00770229" w:rsidRDefault="009A7F87" w:rsidP="009A7F87">
            <w:pPr>
              <w:pStyle w:val="TableBodyText"/>
              <w:jc w:val="left"/>
              <w:rPr>
                <w:b/>
                <w:sz w:val="24"/>
              </w:rPr>
            </w:pPr>
            <w:r w:rsidRPr="00770229">
              <w:rPr>
                <w:i/>
              </w:rPr>
              <w:t>Service use measures:</w:t>
            </w:r>
          </w:p>
        </w:tc>
        <w:tc>
          <w:tcPr>
            <w:tcW w:w="3711" w:type="pct"/>
            <w:tcBorders>
              <w:top w:val="single" w:sz="6" w:space="0" w:color="808080" w:themeColor="background1" w:themeShade="80"/>
              <w:bottom w:val="nil"/>
            </w:tcBorders>
          </w:tcPr>
          <w:p w:rsidR="009A7F87" w:rsidRPr="00770229" w:rsidRDefault="009A7F87" w:rsidP="009A7F87">
            <w:pPr>
              <w:pStyle w:val="TableBodyText"/>
              <w:jc w:val="left"/>
            </w:pPr>
            <w:r w:rsidRPr="00770229">
              <w:t xml:space="preserve">The service use measure for </w:t>
            </w:r>
            <w:r>
              <w:t>other community health practitioners</w:t>
            </w:r>
            <w:r w:rsidRPr="00770229">
              <w:t xml:space="preserve"> is the </w:t>
            </w:r>
            <w:r w:rsidRPr="009D39C9">
              <w:rPr>
                <w:i/>
              </w:rPr>
              <w:t>Aboriginal and Torres Strait Islander share of expenditure provided by jurisdictions</w:t>
            </w:r>
            <w:r w:rsidRPr="00770229">
              <w:t>.</w:t>
            </w:r>
          </w:p>
          <w:p w:rsidR="009A7F87" w:rsidRPr="00770229" w:rsidRDefault="009A7F87" w:rsidP="009A7F87">
            <w:pPr>
              <w:pStyle w:val="TableBodyText"/>
              <w:jc w:val="left"/>
            </w:pPr>
            <w:r w:rsidRPr="00770229">
              <w:t>Data are obtained principally from the State and Territory jurisdictions, along with non</w:t>
            </w:r>
            <w:r w:rsidRPr="00770229">
              <w:noBreakHyphen/>
              <w:t>government expenditure, which are sourced from data relating to private providers. Expenditure estimates in this category are calculated by the AIHW for both Aboriginal and Torres Strait Islander and non</w:t>
            </w:r>
            <w:r w:rsidRPr="00770229">
              <w:noBreakHyphen/>
              <w:t>Indigenous Australians.</w:t>
            </w:r>
          </w:p>
        </w:tc>
      </w:tr>
      <w:tr w:rsidR="009A7F87" w:rsidRPr="00770229" w:rsidTr="0044346B">
        <w:tc>
          <w:tcPr>
            <w:tcW w:w="1289" w:type="pct"/>
            <w:tcBorders>
              <w:top w:val="nil"/>
              <w:bottom w:val="nil"/>
            </w:tcBorders>
            <w:tcMar>
              <w:top w:w="57" w:type="dxa"/>
              <w:left w:w="113" w:type="dxa"/>
            </w:tcMar>
          </w:tcPr>
          <w:p w:rsidR="009A7F87" w:rsidRPr="00770229" w:rsidRDefault="009A7F87" w:rsidP="009A7F87">
            <w:pPr>
              <w:pStyle w:val="TableBodyText"/>
              <w:jc w:val="left"/>
              <w:rPr>
                <w:b/>
                <w:sz w:val="24"/>
              </w:rPr>
            </w:pPr>
            <w:r w:rsidRPr="00770229">
              <w:rPr>
                <w:i/>
              </w:rPr>
              <w:t xml:space="preserve">Indigenous status </w:t>
            </w:r>
            <w:r w:rsidRPr="00770229">
              <w:rPr>
                <w:i/>
              </w:rPr>
              <w:br/>
              <w:t>under</w:t>
            </w:r>
            <w:r w:rsidRPr="00770229">
              <w:rPr>
                <w:i/>
              </w:rPr>
              <w:noBreakHyphen/>
              <w:t>identification:</w:t>
            </w:r>
          </w:p>
        </w:tc>
        <w:tc>
          <w:tcPr>
            <w:tcW w:w="3711" w:type="pct"/>
            <w:tcBorders>
              <w:top w:val="nil"/>
              <w:bottom w:val="nil"/>
            </w:tcBorders>
          </w:tcPr>
          <w:p w:rsidR="009A7F87" w:rsidRPr="00863029" w:rsidRDefault="009A7F87" w:rsidP="009A7F87">
            <w:pPr>
              <w:pStyle w:val="TableBodyText"/>
              <w:jc w:val="left"/>
            </w:pPr>
            <w:r w:rsidRPr="00770229">
              <w:t xml:space="preserve">It is assumed that there is no </w:t>
            </w:r>
            <w:r>
              <w:t>Indigenous under-identification</w:t>
            </w:r>
            <w:r w:rsidRPr="00770229">
              <w:t xml:space="preserve"> for this GPC category.</w:t>
            </w:r>
          </w:p>
        </w:tc>
      </w:tr>
      <w:tr w:rsidR="009A7F87" w:rsidRPr="00770229" w:rsidTr="0044346B">
        <w:tc>
          <w:tcPr>
            <w:tcW w:w="1289" w:type="pct"/>
            <w:tcBorders>
              <w:top w:val="nil"/>
              <w:bottom w:val="single" w:sz="6" w:space="0" w:color="808080" w:themeColor="background1" w:themeShade="80"/>
            </w:tcBorders>
            <w:tcMar>
              <w:top w:w="57" w:type="dxa"/>
              <w:left w:w="113" w:type="dxa"/>
            </w:tcMar>
          </w:tcPr>
          <w:p w:rsidR="009A7F87" w:rsidRPr="00770229" w:rsidRDefault="009A7F87" w:rsidP="009A7F87">
            <w:pPr>
              <w:pStyle w:val="TableBodyText"/>
              <w:jc w:val="left"/>
              <w:rPr>
                <w:b/>
                <w:sz w:val="24"/>
              </w:rPr>
            </w:pPr>
            <w:r w:rsidRPr="00770229">
              <w:rPr>
                <w:i/>
              </w:rPr>
              <w:t>Service delivery cost differential:</w:t>
            </w:r>
          </w:p>
        </w:tc>
        <w:tc>
          <w:tcPr>
            <w:tcW w:w="3711" w:type="pct"/>
            <w:tcBorders>
              <w:top w:val="nil"/>
              <w:bottom w:val="single" w:sz="6" w:space="0" w:color="808080" w:themeColor="background1" w:themeShade="80"/>
            </w:tcBorders>
          </w:tcPr>
          <w:p w:rsidR="009A7F87" w:rsidRPr="00770229" w:rsidRDefault="009A7F87" w:rsidP="009A7F87">
            <w:pPr>
              <w:pStyle w:val="TableBodyText"/>
              <w:jc w:val="left"/>
              <w:rPr>
                <w:b/>
                <w:sz w:val="24"/>
              </w:rPr>
            </w:pPr>
            <w:r w:rsidRPr="00770229">
              <w:t>It is assumed that there is no cost differential for this GPC category.</w:t>
            </w:r>
          </w:p>
        </w:tc>
      </w:tr>
      <w:tr w:rsidR="009A7F87" w:rsidRPr="0071369A" w:rsidTr="0044346B">
        <w:tblPrEx>
          <w:tblBorders>
            <w:top w:val="none" w:sz="0" w:space="0" w:color="auto"/>
            <w:bottom w:val="none" w:sz="0" w:space="0" w:color="auto"/>
            <w:insideH w:val="none" w:sz="0" w:space="0" w:color="auto"/>
          </w:tblBorders>
        </w:tblPrEx>
        <w:tc>
          <w:tcPr>
            <w:tcW w:w="5000" w:type="pct"/>
            <w:gridSpan w:val="2"/>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2E2409">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spacing w:before="520"/>
            </w:pPr>
            <w:r w:rsidRPr="00770229">
              <w:br w:type="page"/>
              <w:t>0</w:t>
            </w:r>
            <w:r>
              <w:t>549.3</w:t>
            </w:r>
            <w:r w:rsidRPr="00770229">
              <w:t xml:space="preserve"> Other community health services — community health</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jc w:val="left"/>
            </w:pPr>
            <w:r w:rsidRPr="00770229">
              <w:t>In Australia, expenditure on community health services (GPC 0549) may include:</w:t>
            </w:r>
          </w:p>
          <w:p w:rsidR="009A7F87" w:rsidRPr="00770229" w:rsidRDefault="009A7F87" w:rsidP="009A7F87">
            <w:pPr>
              <w:pStyle w:val="TableBullet"/>
              <w:keepNext w:val="0"/>
              <w:keepLines w:val="0"/>
              <w:numPr>
                <w:ilvl w:val="0"/>
                <w:numId w:val="24"/>
              </w:numPr>
              <w:spacing w:line="220" w:lineRule="atLeast"/>
            </w:pPr>
            <w:r w:rsidRPr="00770229">
              <w:rPr>
                <w:i/>
              </w:rPr>
              <w:t>domiciliary nursing services</w:t>
            </w:r>
            <w:r w:rsidRPr="00770229">
              <w:t xml:space="preserve"> — provided to parents of newborn babies following birth, to prepare and support families in caring for their baby</w:t>
            </w:r>
          </w:p>
          <w:p w:rsidR="009A7F87" w:rsidRPr="00770229" w:rsidRDefault="009A7F87" w:rsidP="009A7F87">
            <w:pPr>
              <w:pStyle w:val="TableBullet"/>
              <w:keepNext w:val="0"/>
              <w:keepLines w:val="0"/>
              <w:numPr>
                <w:ilvl w:val="0"/>
                <w:numId w:val="24"/>
              </w:numPr>
              <w:spacing w:line="220" w:lineRule="atLeast"/>
            </w:pPr>
            <w:r w:rsidRPr="00770229">
              <w:rPr>
                <w:i/>
              </w:rPr>
              <w:t>well baby clinics</w:t>
            </w:r>
            <w:r w:rsidRPr="00770229">
              <w:t xml:space="preserve"> — to provide information and support to new parents on topics such as breastfeeding and child health, as well as offering services such as growth and weight developmental checks and immunisations</w:t>
            </w:r>
          </w:p>
          <w:p w:rsidR="009A7F87" w:rsidRPr="00770229" w:rsidRDefault="009A7F87" w:rsidP="009A7F87">
            <w:pPr>
              <w:pStyle w:val="TableBullet"/>
              <w:keepNext w:val="0"/>
              <w:keepLines w:val="0"/>
              <w:numPr>
                <w:ilvl w:val="0"/>
                <w:numId w:val="24"/>
              </w:numPr>
              <w:spacing w:line="220" w:lineRule="atLeast"/>
            </w:pPr>
            <w:r w:rsidRPr="00770229">
              <w:rPr>
                <w:i/>
              </w:rPr>
              <w:t>family planning services</w:t>
            </w:r>
            <w:r w:rsidRPr="00770229">
              <w:t xml:space="preserve"> — generally run by independent organisations that receive funding from government budgets to provide free information, advice and testing for pregnancy and sexually transmitted disease</w:t>
            </w:r>
          </w:p>
          <w:p w:rsidR="009A7F87" w:rsidRPr="00770229" w:rsidRDefault="009A7F87" w:rsidP="009A7F87">
            <w:pPr>
              <w:pStyle w:val="TableBullet"/>
              <w:keepNext w:val="0"/>
              <w:keepLines w:val="0"/>
              <w:numPr>
                <w:ilvl w:val="0"/>
                <w:numId w:val="24"/>
              </w:numPr>
              <w:spacing w:line="220" w:lineRule="atLeast"/>
            </w:pPr>
            <w:r w:rsidRPr="00770229">
              <w:rPr>
                <w:i/>
              </w:rPr>
              <w:t>alcohol and drug treatment programs</w:t>
            </w:r>
            <w:r w:rsidRPr="00770229">
              <w:t xml:space="preserve"> — these facilities may be managed by Human Services departments, local drug and alcohol administrative bodies, or through charitable organisations such as the Salvation Army. The services offered through these facilities may include: withdrawal management (detoxification); individual and group counselling; rehabilitation; pharmacotherapy (such as methadone treatment); education; and assessment in a non</w:t>
            </w:r>
            <w:r w:rsidRPr="00770229">
              <w:noBreakHyphen/>
              <w:t>residential setting</w:t>
            </w:r>
          </w:p>
          <w:p w:rsidR="009A7F87" w:rsidRPr="00770229" w:rsidRDefault="009A7F87" w:rsidP="009A7F87">
            <w:pPr>
              <w:pStyle w:val="TableBodyText"/>
              <w:keepNext w:val="0"/>
              <w:keepLines w:val="0"/>
              <w:spacing w:before="60" w:after="60"/>
              <w:jc w:val="left"/>
            </w:pPr>
            <w:r w:rsidRPr="00770229">
              <w:t>Other community health services — community health(GPC+ 0549.3) is a sub</w:t>
            </w:r>
            <w:r w:rsidRPr="00770229">
              <w:noBreakHyphen/>
              <w:t xml:space="preserve">category of other community health services (GPC 0549). </w:t>
            </w:r>
          </w:p>
          <w:p w:rsidR="009A7F87" w:rsidRPr="00770229" w:rsidRDefault="009A7F87" w:rsidP="009A7F87">
            <w:pPr>
              <w:pStyle w:val="TableBodyText"/>
              <w:keepNext w:val="0"/>
              <w:keepLines w:val="0"/>
              <w:spacing w:before="60" w:after="60"/>
              <w:jc w:val="left"/>
              <w:rPr>
                <w:i/>
              </w:rPr>
            </w:pPr>
            <w:r w:rsidRPr="00770229">
              <w:rPr>
                <w:i/>
              </w:rPr>
              <w:t>The AIHW maps services in this category to NMDS code 303, 304, 309, 503 and 599.</w:t>
            </w:r>
          </w:p>
          <w:p w:rsidR="009A7F87" w:rsidRPr="00770229" w:rsidRDefault="009A7F87" w:rsidP="009A7F87">
            <w:pPr>
              <w:pStyle w:val="TableBodyText"/>
              <w:keepNext w:val="0"/>
              <w:keepLines w:val="0"/>
              <w:spacing w:before="60" w:after="60"/>
              <w:jc w:val="left"/>
            </w:pPr>
            <w:r w:rsidRPr="00770229">
              <w:t xml:space="preserve">An overview of how the AIHW method has been adapted for the Indigenous Expenditure Report, and the service use measures, </w:t>
            </w:r>
            <w:r w:rsidRPr="00DA3D60">
              <w:t>Indigenous</w:t>
            </w:r>
            <w:r w:rsidRPr="00317BFD">
              <w:rPr>
                <w:sz w:val="24"/>
                <w:szCs w:val="24"/>
              </w:rPr>
              <w:t xml:space="preserve"> </w:t>
            </w:r>
            <w:r w:rsidRPr="00770229">
              <w:t>under</w:t>
            </w:r>
            <w:r w:rsidRPr="00770229">
              <w:noBreakHyphen/>
              <w:t xml:space="preserve">identification, and cost differential factors provided by the AIHW for the </w:t>
            </w:r>
            <w:r>
              <w:t>2017 Report</w:t>
            </w:r>
            <w:r w:rsidRPr="00770229">
              <w:t xml:space="preserve"> is presented in </w:t>
            </w:r>
            <w:r>
              <w:t>section 5.1</w:t>
            </w:r>
            <w:r w:rsidRPr="00770229">
              <w:t>.</w:t>
            </w:r>
          </w:p>
          <w:p w:rsidR="009A7F87" w:rsidRPr="00770229" w:rsidRDefault="009A7F87" w:rsidP="009A7F87">
            <w:pPr>
              <w:pStyle w:val="TableBodyText"/>
              <w:jc w:val="left"/>
              <w:rPr>
                <w:b/>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r>
              <w:rPr>
                <w:b/>
              </w:rPr>
              <w:t>.</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40" w:after="80"/>
              <w:jc w:val="left"/>
              <w:rPr>
                <w:b/>
                <w:i/>
                <w:sz w:val="24"/>
              </w:rPr>
            </w:pPr>
            <w:r w:rsidRPr="00770229">
              <w:rPr>
                <w:b/>
                <w:sz w:val="24"/>
              </w:rPr>
              <w:t xml:space="preserve">Cost drivers </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sidRPr="00770229">
              <w:t xml:space="preserve">The key cost drivers for other community health — community health are: </w:t>
            </w:r>
          </w:p>
          <w:p w:rsidR="009A7F87" w:rsidRPr="00770229" w:rsidRDefault="009A7F87" w:rsidP="009A7F87">
            <w:pPr>
              <w:pStyle w:val="TableBullet"/>
              <w:numPr>
                <w:ilvl w:val="0"/>
                <w:numId w:val="24"/>
              </w:numPr>
              <w:spacing w:line="220" w:lineRule="atLeast"/>
            </w:pPr>
            <w:r w:rsidRPr="00770229">
              <w:t>the number of patients receiving community health care</w:t>
            </w:r>
          </w:p>
          <w:p w:rsidR="009A7F87" w:rsidRPr="00770229" w:rsidRDefault="009A7F87" w:rsidP="009A7F87">
            <w:pPr>
              <w:pStyle w:val="TableBullet"/>
              <w:numPr>
                <w:ilvl w:val="0"/>
                <w:numId w:val="24"/>
              </w:numPr>
              <w:spacing w:line="220" w:lineRule="atLeast"/>
            </w:pPr>
            <w:r w:rsidRPr="00770229">
              <w:t xml:space="preserve">the extent of their needs </w:t>
            </w:r>
          </w:p>
          <w:p w:rsidR="009A7F87" w:rsidRPr="00770229" w:rsidRDefault="009A7F87" w:rsidP="009A7F87">
            <w:pPr>
              <w:pStyle w:val="TableBullet"/>
              <w:numPr>
                <w:ilvl w:val="0"/>
                <w:numId w:val="24"/>
              </w:numPr>
              <w:spacing w:line="220" w:lineRule="atLeast"/>
            </w:pPr>
            <w:r w:rsidRPr="00770229">
              <w:t>the location of the patients and the community health centre (capital city or remote location)</w:t>
            </w:r>
          </w:p>
          <w:p w:rsidR="009A7F87" w:rsidRPr="00770229" w:rsidRDefault="009A7F87" w:rsidP="009A7F87">
            <w:pPr>
              <w:pStyle w:val="TableBullet"/>
              <w:numPr>
                <w:ilvl w:val="0"/>
                <w:numId w:val="24"/>
              </w:numPr>
              <w:spacing w:line="220" w:lineRule="atLeast"/>
              <w:rPr>
                <w:rFonts w:cs="Arial"/>
              </w:rPr>
            </w:pPr>
            <w:r w:rsidRPr="00770229">
              <w:t>the length of care provided to the patient.</w:t>
            </w:r>
          </w:p>
          <w:p w:rsidR="009A7F87" w:rsidRPr="00770229" w:rsidRDefault="009A7F87" w:rsidP="009A7F87">
            <w:pPr>
              <w:pStyle w:val="TableBodyText"/>
              <w:keepNext w:val="0"/>
              <w:spacing w:before="60" w:after="60"/>
              <w:jc w:val="left"/>
              <w:rPr>
                <w:szCs w:val="26"/>
              </w:rPr>
            </w:pPr>
            <w:r w:rsidRPr="00770229">
              <w:t>These cost drivers are based on development and research undertaken by the AIHW for the Expenditure on Health for Aboriginal and Torres Strait Islander People reports.</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40" w:after="80"/>
              <w:jc w:val="left"/>
              <w:rPr>
                <w:b/>
                <w:i/>
                <w:sz w:val="24"/>
                <w:szCs w:val="24"/>
              </w:rPr>
            </w:pPr>
            <w:r w:rsidRPr="00770229">
              <w:rPr>
                <w:b/>
                <w:sz w:val="24"/>
                <w:szCs w:val="24"/>
              </w:rPr>
              <w:t>Service use measures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EF1A03"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ColumnHeading"/>
              <w:keepNext w:val="0"/>
              <w:ind w:left="180"/>
              <w:jc w:val="center"/>
            </w:pPr>
            <w:r w:rsidRPr="00EF1A03">
              <w:t>Data Years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EF1A03" w:rsidRDefault="009A7F87" w:rsidP="009A7F87">
            <w:pPr>
              <w:pStyle w:val="TableBodyText"/>
              <w:keepNext w:val="0"/>
              <w:spacing w:before="60" w:after="60"/>
              <w:ind w:left="0"/>
              <w:jc w:val="both"/>
              <w:rPr>
                <w:i/>
              </w:rPr>
            </w:pPr>
            <w:r w:rsidRPr="00EF1A03">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180"/>
              <w:jc w:val="left"/>
              <w:rPr>
                <w:i/>
              </w:rPr>
            </w:pPr>
            <w:r w:rsidRPr="00EF1A03">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2008</w:t>
            </w:r>
            <w:r w:rsidRPr="00EF1A03">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2010</w:t>
            </w:r>
            <w:r w:rsidRPr="00EF1A03">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2012</w:t>
            </w:r>
            <w:r w:rsidRPr="00EF1A03">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EF1A03" w:rsidRDefault="009A7F87" w:rsidP="009A7F87">
            <w:pPr>
              <w:pStyle w:val="TableBodyText"/>
              <w:keepNext w:val="0"/>
              <w:spacing w:before="60" w:after="60"/>
              <w:ind w:left="2"/>
              <w:jc w:val="center"/>
              <w:rPr>
                <w:i/>
              </w:rPr>
            </w:pPr>
            <w:r w:rsidRPr="00EF1A03">
              <w:rPr>
                <w:i/>
              </w:rPr>
              <w:t>2015</w:t>
            </w:r>
            <w:r w:rsidRPr="00EF1A03">
              <w:rPr>
                <w:i/>
              </w:rPr>
              <w:noBreakHyphen/>
              <w:t>16 Estimates</w:t>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spacing w:after="0"/>
              <w:jc w:val="left"/>
            </w:pPr>
            <w:r w:rsidRPr="00770229">
              <w:t>Aboriginal and Torres Strait Islander share of expenditure provided by jurisdictions</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Unpublished AIHW estimates based on </w:t>
            </w:r>
            <w:r w:rsidRPr="00633D8F">
              <w:rPr>
                <w:i/>
              </w:rPr>
              <w:t>AIHW Expenditure on Health for Aboriginal and Torres Strait Islander People</w:t>
            </w:r>
          </w:p>
        </w:tc>
        <w:tc>
          <w:tcPr>
            <w:tcW w:w="584"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rsidRPr="00DB3652">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gridSpan w:val="2"/>
            <w:tcBorders>
              <w:top w:val="single" w:sz="6" w:space="0" w:color="808080" w:themeColor="background1" w:themeShade="80"/>
              <w:bottom w:val="single" w:sz="6" w:space="0" w:color="808080" w:themeColor="background1" w:themeShade="80"/>
            </w:tcBorders>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863029" w:rsidRDefault="009A7F87" w:rsidP="009A7F87">
            <w:pPr>
              <w:pStyle w:val="Note"/>
              <w:jc w:val="right"/>
            </w:pPr>
            <w:r>
              <w:t>(continued next page)</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2268"/>
        <w:gridCol w:w="6528"/>
      </w:tblGrid>
      <w:tr w:rsidR="009A7F87" w:rsidRPr="00770229" w:rsidTr="002E2409">
        <w:tc>
          <w:tcPr>
            <w:tcW w:w="5000" w:type="pct"/>
            <w:gridSpan w:val="2"/>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C05C71" w:rsidRDefault="009A7F87" w:rsidP="009A7F87">
            <w:pPr>
              <w:pStyle w:val="Heading3"/>
              <w:rPr>
                <w:sz w:val="18"/>
                <w:szCs w:val="18"/>
              </w:rPr>
            </w:pPr>
            <w:r>
              <w:br w:type="page"/>
            </w:r>
            <w:r>
              <w:br w:type="page"/>
            </w:r>
            <w:r>
              <w:br w:type="page"/>
            </w:r>
            <w:r w:rsidRPr="00C05C71">
              <w:rPr>
                <w:sz w:val="18"/>
                <w:szCs w:val="18"/>
              </w:rPr>
              <w:t>(continued)</w:t>
            </w:r>
          </w:p>
        </w:tc>
      </w:tr>
      <w:tr w:rsidR="009A7F87" w:rsidRPr="00770229" w:rsidTr="002E2409">
        <w:tc>
          <w:tcPr>
            <w:tcW w:w="5000" w:type="pct"/>
            <w:gridSpan w:val="2"/>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Pr>
                <w:b/>
                <w:sz w:val="24"/>
              </w:rPr>
              <w:t>AIHW method</w:t>
            </w:r>
          </w:p>
        </w:tc>
      </w:tr>
      <w:tr w:rsidR="009A7F87" w:rsidRPr="00770229" w:rsidTr="00A672D0">
        <w:tc>
          <w:tcPr>
            <w:tcW w:w="1289" w:type="pct"/>
            <w:tcBorders>
              <w:top w:val="single" w:sz="6" w:space="0" w:color="808080" w:themeColor="background1" w:themeShade="80"/>
              <w:bottom w:val="nil"/>
            </w:tcBorders>
            <w:tcMar>
              <w:top w:w="57" w:type="dxa"/>
              <w:left w:w="113" w:type="dxa"/>
            </w:tcMar>
          </w:tcPr>
          <w:p w:rsidR="009A7F87" w:rsidRPr="00770229" w:rsidRDefault="009A7F87" w:rsidP="009A7F87">
            <w:pPr>
              <w:pStyle w:val="TableBodyText"/>
              <w:jc w:val="left"/>
              <w:rPr>
                <w:b/>
                <w:sz w:val="24"/>
              </w:rPr>
            </w:pPr>
            <w:r w:rsidRPr="00770229">
              <w:rPr>
                <w:i/>
              </w:rPr>
              <w:t>Service use measures:</w:t>
            </w:r>
          </w:p>
        </w:tc>
        <w:tc>
          <w:tcPr>
            <w:tcW w:w="3711" w:type="pct"/>
            <w:tcBorders>
              <w:top w:val="single" w:sz="6" w:space="0" w:color="808080" w:themeColor="background1" w:themeShade="80"/>
              <w:bottom w:val="nil"/>
            </w:tcBorders>
          </w:tcPr>
          <w:p w:rsidR="009A7F87" w:rsidRPr="00770229" w:rsidRDefault="009A7F87" w:rsidP="009A7F87">
            <w:pPr>
              <w:pStyle w:val="TableBodyText"/>
              <w:jc w:val="left"/>
            </w:pPr>
            <w:r w:rsidRPr="00770229">
              <w:t xml:space="preserve">The service use measure for community health is the </w:t>
            </w:r>
            <w:r w:rsidRPr="006B4016">
              <w:rPr>
                <w:i/>
              </w:rPr>
              <w:t>Aboriginal and Torres Strait Islander share of expenditure provided by jurisdictions</w:t>
            </w:r>
            <w:r w:rsidRPr="00770229">
              <w:t>.</w:t>
            </w:r>
          </w:p>
          <w:p w:rsidR="009A7F87" w:rsidRPr="00770229" w:rsidRDefault="009A7F87" w:rsidP="009A7F87">
            <w:pPr>
              <w:pStyle w:val="TableBodyText"/>
              <w:jc w:val="left"/>
            </w:pPr>
            <w:r w:rsidRPr="00770229">
              <w:t>Information is obtained from Commonwealth Government agencies such as the Department of Health and Ageing and the Department of Veterans’ Affairs on expenditure for community health programs. For example, Aboriginal Controlled Community Health Organisations (ACCHOs). At the State and Territory level of expenditure on community health, the AIHW has found that it is more difficult to obtain precise information about expenditure on community health services as there are some deficiencies in patient</w:t>
            </w:r>
            <w:r w:rsidRPr="00770229">
              <w:noBreakHyphen/>
              <w:t>level data and records. However, the states and territories provide the AIHW with their best available estimates of expenditure given the lack of patient</w:t>
            </w:r>
            <w:r w:rsidRPr="00770229">
              <w:noBreakHyphen/>
              <w:t>level records and incomplete information.</w:t>
            </w:r>
          </w:p>
        </w:tc>
      </w:tr>
      <w:tr w:rsidR="009A7F87" w:rsidRPr="00770229" w:rsidTr="0044346B">
        <w:tc>
          <w:tcPr>
            <w:tcW w:w="1289" w:type="pct"/>
            <w:tcBorders>
              <w:top w:val="nil"/>
              <w:bottom w:val="nil"/>
            </w:tcBorders>
            <w:tcMar>
              <w:top w:w="57" w:type="dxa"/>
              <w:left w:w="113" w:type="dxa"/>
            </w:tcMar>
          </w:tcPr>
          <w:p w:rsidR="009A7F87" w:rsidRPr="00770229" w:rsidRDefault="009A7F87" w:rsidP="009A7F87">
            <w:pPr>
              <w:pStyle w:val="TableBodyText"/>
              <w:jc w:val="left"/>
              <w:rPr>
                <w:b/>
                <w:sz w:val="24"/>
              </w:rPr>
            </w:pPr>
            <w:r w:rsidRPr="00770229">
              <w:rPr>
                <w:i/>
              </w:rPr>
              <w:t xml:space="preserve">Indigenous status </w:t>
            </w:r>
            <w:r w:rsidRPr="00770229">
              <w:rPr>
                <w:i/>
              </w:rPr>
              <w:br/>
              <w:t>under</w:t>
            </w:r>
            <w:r w:rsidRPr="00770229">
              <w:rPr>
                <w:i/>
              </w:rPr>
              <w:noBreakHyphen/>
              <w:t>identification:</w:t>
            </w:r>
          </w:p>
        </w:tc>
        <w:tc>
          <w:tcPr>
            <w:tcW w:w="3711" w:type="pct"/>
            <w:tcBorders>
              <w:top w:val="nil"/>
              <w:bottom w:val="nil"/>
            </w:tcBorders>
          </w:tcPr>
          <w:p w:rsidR="009A7F87" w:rsidRPr="00863029" w:rsidRDefault="009A7F87" w:rsidP="009A7F87">
            <w:pPr>
              <w:pStyle w:val="TableBodyText"/>
              <w:jc w:val="left"/>
            </w:pPr>
            <w:r w:rsidRPr="00770229">
              <w:t xml:space="preserve">It is assumed that there is no </w:t>
            </w:r>
            <w:r>
              <w:t>Indigenous under-identification</w:t>
            </w:r>
            <w:r w:rsidRPr="00770229">
              <w:t xml:space="preserve"> for this GPC category.</w:t>
            </w:r>
          </w:p>
        </w:tc>
      </w:tr>
      <w:tr w:rsidR="009A7F87" w:rsidRPr="00770229" w:rsidTr="0044346B">
        <w:tc>
          <w:tcPr>
            <w:tcW w:w="1289" w:type="pct"/>
            <w:tcBorders>
              <w:top w:val="nil"/>
              <w:bottom w:val="single" w:sz="6" w:space="0" w:color="808080" w:themeColor="background1" w:themeShade="80"/>
            </w:tcBorders>
            <w:tcMar>
              <w:top w:w="57" w:type="dxa"/>
              <w:left w:w="113" w:type="dxa"/>
            </w:tcMar>
          </w:tcPr>
          <w:p w:rsidR="009A7F87" w:rsidRPr="00770229" w:rsidRDefault="009A7F87" w:rsidP="009A7F87">
            <w:pPr>
              <w:pStyle w:val="TableBodyText"/>
              <w:jc w:val="left"/>
              <w:rPr>
                <w:b/>
                <w:sz w:val="24"/>
              </w:rPr>
            </w:pPr>
            <w:r w:rsidRPr="00770229">
              <w:rPr>
                <w:i/>
              </w:rPr>
              <w:t>Service delivery cost differential:</w:t>
            </w:r>
          </w:p>
        </w:tc>
        <w:tc>
          <w:tcPr>
            <w:tcW w:w="3711" w:type="pct"/>
            <w:tcBorders>
              <w:top w:val="nil"/>
              <w:bottom w:val="single" w:sz="6" w:space="0" w:color="808080" w:themeColor="background1" w:themeShade="80"/>
            </w:tcBorders>
          </w:tcPr>
          <w:p w:rsidR="009A7F87" w:rsidRPr="00770229" w:rsidRDefault="009A7F87" w:rsidP="009A7F87">
            <w:pPr>
              <w:pStyle w:val="TableBodyText"/>
              <w:jc w:val="left"/>
              <w:rPr>
                <w:b/>
                <w:sz w:val="24"/>
              </w:rPr>
            </w:pPr>
            <w:r w:rsidRPr="00770229">
              <w:t>It is assumed that there is no cost differential for this GPC category.</w:t>
            </w:r>
          </w:p>
        </w:tc>
      </w:tr>
      <w:tr w:rsidR="009A7F87" w:rsidRPr="0071369A" w:rsidTr="0044346B">
        <w:tblPrEx>
          <w:tblBorders>
            <w:top w:val="none" w:sz="0" w:space="0" w:color="auto"/>
            <w:bottom w:val="none" w:sz="0" w:space="0" w:color="auto"/>
            <w:insideH w:val="none" w:sz="0" w:space="0" w:color="auto"/>
          </w:tblBorders>
        </w:tblPrEx>
        <w:tc>
          <w:tcPr>
            <w:tcW w:w="5000" w:type="pct"/>
            <w:gridSpan w:val="2"/>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774"/>
        <w:gridCol w:w="2417"/>
        <w:gridCol w:w="1027"/>
        <w:gridCol w:w="602"/>
        <w:gridCol w:w="427"/>
        <w:gridCol w:w="1029"/>
        <w:gridCol w:w="1026"/>
      </w:tblGrid>
      <w:tr w:rsidR="009A7F87" w:rsidRPr="00770229" w:rsidTr="002E2409">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144C20">
            <w:pPr>
              <w:pStyle w:val="Heading3"/>
              <w:spacing w:before="520"/>
            </w:pPr>
            <w:r w:rsidRPr="00770229">
              <w:br w:type="page"/>
              <w:t>0</w:t>
            </w:r>
            <w:r>
              <w:t>549.4</w:t>
            </w:r>
            <w:r w:rsidRPr="00770229">
              <w:t xml:space="preserve"> Other community health services — dental services</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589" w:type="pct"/>
            <w:gridSpan w:val="5"/>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3"/>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324AF1"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324AF1" w:rsidRDefault="009A7F87" w:rsidP="009A7F87">
            <w:pPr>
              <w:pStyle w:val="TableBodyText"/>
              <w:keepNext w:val="0"/>
              <w:keepLines w:val="0"/>
              <w:spacing w:before="40" w:after="80"/>
              <w:jc w:val="left"/>
              <w:rPr>
                <w:b/>
                <w:sz w:val="24"/>
                <w:szCs w:val="24"/>
              </w:rPr>
            </w:pPr>
            <w:r w:rsidRPr="00324AF1">
              <w:rPr>
                <w:b/>
                <w:sz w:val="24"/>
                <w:szCs w:val="24"/>
              </w:rPr>
              <w:t>Service description</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sidRPr="00770229">
              <w:t xml:space="preserve">Medicare subsidies are available through the Australian Government for a range of private dental health services. </w:t>
            </w:r>
          </w:p>
          <w:p w:rsidR="009A7F87" w:rsidRPr="00770229" w:rsidRDefault="009A7F87" w:rsidP="009A7F87">
            <w:pPr>
              <w:pStyle w:val="TableBodyText"/>
              <w:keepNext w:val="0"/>
              <w:spacing w:before="60" w:after="60"/>
              <w:jc w:val="left"/>
              <w:rPr>
                <w:i/>
              </w:rPr>
            </w:pPr>
            <w:r w:rsidRPr="00770229">
              <w:rPr>
                <w:i/>
              </w:rPr>
              <w:t>The AIHW map services in this category to NMDS code 306.</w:t>
            </w:r>
          </w:p>
          <w:p w:rsidR="009A7F87" w:rsidRPr="00770229" w:rsidRDefault="009A7F87" w:rsidP="009A7F87">
            <w:pPr>
              <w:pStyle w:val="TableBodyText"/>
              <w:keepNext w:val="0"/>
              <w:spacing w:before="60" w:after="60"/>
              <w:jc w:val="left"/>
            </w:pPr>
            <w:r w:rsidRPr="00770229">
              <w:t>Other community health services — dental health (GPC+ 0549.4) is a sub</w:t>
            </w:r>
            <w:r w:rsidRPr="00770229">
              <w:noBreakHyphen/>
              <w:t xml:space="preserve">category of other community health services (GPC 0549). </w:t>
            </w:r>
          </w:p>
          <w:p w:rsidR="009A7F87" w:rsidRPr="00770229" w:rsidRDefault="009A7F87" w:rsidP="009A7F87">
            <w:pPr>
              <w:pStyle w:val="TableBodyText"/>
              <w:keepNext w:val="0"/>
              <w:spacing w:before="60" w:after="60"/>
              <w:jc w:val="left"/>
            </w:pPr>
            <w:r w:rsidRPr="00770229">
              <w:t xml:space="preserve">An overview of how the AIHW method has been adapted for the Indigenous Expenditure Report, and the service use measures, </w:t>
            </w:r>
            <w:r w:rsidRPr="00DA3D60">
              <w:t>Indigenous</w:t>
            </w:r>
            <w:r w:rsidRPr="00317BFD">
              <w:rPr>
                <w:sz w:val="24"/>
                <w:szCs w:val="24"/>
              </w:rPr>
              <w:t xml:space="preserve"> </w:t>
            </w:r>
            <w:r w:rsidRPr="00770229">
              <w:t>under</w:t>
            </w:r>
            <w:r w:rsidRPr="00770229">
              <w:noBreakHyphen/>
              <w:t xml:space="preserve">identification, and cost differential factors provided by the AIHW for the </w:t>
            </w:r>
            <w:r>
              <w:t>2017 Report</w:t>
            </w:r>
            <w:r w:rsidRPr="00770229">
              <w:t xml:space="preserve"> is presented in </w:t>
            </w:r>
            <w:r>
              <w:t>section 5.1</w:t>
            </w:r>
            <w:r w:rsidRPr="00770229">
              <w:t>.</w:t>
            </w:r>
          </w:p>
          <w:p w:rsidR="009A7F87" w:rsidRPr="00770229" w:rsidRDefault="009A7F87" w:rsidP="009A7F87">
            <w:pPr>
              <w:pStyle w:val="TableBodyText"/>
              <w:jc w:val="left"/>
              <w:rPr>
                <w:b/>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40" w:after="80"/>
              <w:jc w:val="left"/>
              <w:rPr>
                <w:b/>
                <w:i/>
                <w:sz w:val="24"/>
              </w:rPr>
            </w:pPr>
            <w:r w:rsidRPr="00770229">
              <w:rPr>
                <w:b/>
                <w:sz w:val="24"/>
              </w:rPr>
              <w:t xml:space="preserve">Cost drivers </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sidRPr="00770229">
              <w:t xml:space="preserve">The key cost drivers for dental services are: </w:t>
            </w:r>
          </w:p>
          <w:p w:rsidR="009A7F87" w:rsidRPr="00770229" w:rsidRDefault="009A7F87" w:rsidP="009A7F87">
            <w:pPr>
              <w:pStyle w:val="TableBullet"/>
              <w:numPr>
                <w:ilvl w:val="0"/>
                <w:numId w:val="24"/>
              </w:numPr>
              <w:spacing w:line="220" w:lineRule="atLeast"/>
            </w:pPr>
            <w:r w:rsidRPr="00770229">
              <w:t>the number of patients receiving dental services</w:t>
            </w:r>
          </w:p>
          <w:p w:rsidR="009A7F87" w:rsidRPr="00770229" w:rsidRDefault="009A7F87" w:rsidP="009A7F87">
            <w:pPr>
              <w:pStyle w:val="TableBullet"/>
              <w:numPr>
                <w:ilvl w:val="0"/>
                <w:numId w:val="24"/>
              </w:numPr>
              <w:spacing w:line="220" w:lineRule="atLeast"/>
            </w:pPr>
            <w:r w:rsidRPr="00770229">
              <w:t>the nature of the dental treatment (whether a simple or complex dental procedure)</w:t>
            </w:r>
          </w:p>
          <w:p w:rsidR="009A7F87" w:rsidRPr="00770229" w:rsidRDefault="009A7F87" w:rsidP="009A7F87">
            <w:pPr>
              <w:pStyle w:val="TableBullet"/>
              <w:numPr>
                <w:ilvl w:val="0"/>
                <w:numId w:val="24"/>
              </w:numPr>
              <w:spacing w:line="220" w:lineRule="atLeast"/>
            </w:pPr>
            <w:r w:rsidRPr="00770229">
              <w:t>the location of the patient and dental service provision</w:t>
            </w:r>
          </w:p>
          <w:p w:rsidR="009A7F87" w:rsidRPr="00770229" w:rsidRDefault="009A7F87" w:rsidP="009A7F87">
            <w:pPr>
              <w:pStyle w:val="TableBullet"/>
              <w:numPr>
                <w:ilvl w:val="0"/>
                <w:numId w:val="24"/>
              </w:numPr>
              <w:spacing w:line="220" w:lineRule="atLeast"/>
              <w:rPr>
                <w:rFonts w:cs="Arial"/>
              </w:rPr>
            </w:pPr>
            <w:r w:rsidRPr="00770229">
              <w:t>the length or treatment required to correct dental problems.</w:t>
            </w:r>
          </w:p>
          <w:p w:rsidR="009A7F87" w:rsidRPr="00770229" w:rsidRDefault="009A7F87" w:rsidP="009A7F87">
            <w:pPr>
              <w:pStyle w:val="TableBodyText"/>
              <w:keepNext w:val="0"/>
              <w:spacing w:before="60" w:after="60"/>
              <w:jc w:val="left"/>
              <w:rPr>
                <w:szCs w:val="26"/>
              </w:rPr>
            </w:pPr>
            <w:r w:rsidRPr="00770229">
              <w:rPr>
                <w:szCs w:val="26"/>
              </w:rPr>
              <w:t>These</w:t>
            </w:r>
            <w:r w:rsidRPr="00770229">
              <w:t xml:space="preserve"> cost drivers are based on development and research undertaken by the AIHW for the Expenditure on Health for Aboriginal and Torres Strait Islander People reports.</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40" w:after="80"/>
              <w:jc w:val="left"/>
              <w:rPr>
                <w:b/>
                <w:i/>
                <w:sz w:val="24"/>
                <w:szCs w:val="24"/>
              </w:rPr>
            </w:pPr>
            <w:r w:rsidRPr="00770229">
              <w:rPr>
                <w:b/>
                <w:sz w:val="24"/>
                <w:szCs w:val="24"/>
              </w:rPr>
              <w:t>Service use measures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EF1A03" w:rsidRDefault="009A7F87" w:rsidP="009A7F87">
            <w:pPr>
              <w:pStyle w:val="TableColumnHeading"/>
              <w:keepNext w:val="0"/>
              <w:jc w:val="left"/>
            </w:pPr>
          </w:p>
        </w:tc>
        <w:tc>
          <w:tcPr>
            <w:tcW w:w="1814" w:type="pct"/>
            <w:gridSpan w:val="2"/>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ColumnHeading"/>
              <w:keepNext w:val="0"/>
              <w:ind w:left="180"/>
              <w:jc w:val="left"/>
            </w:pPr>
          </w:p>
        </w:tc>
        <w:tc>
          <w:tcPr>
            <w:tcW w:w="2337" w:type="pct"/>
            <w:gridSpan w:val="5"/>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ColumnHeading"/>
              <w:keepNext w:val="0"/>
              <w:ind w:left="180"/>
              <w:jc w:val="center"/>
            </w:pPr>
            <w:r w:rsidRPr="00EF1A03">
              <w:t>Data Years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EF1A03" w:rsidRDefault="009A7F87" w:rsidP="009A7F87">
            <w:pPr>
              <w:pStyle w:val="TableBodyText"/>
              <w:keepNext w:val="0"/>
              <w:spacing w:before="60" w:after="60"/>
              <w:ind w:left="0"/>
              <w:jc w:val="both"/>
              <w:rPr>
                <w:i/>
              </w:rPr>
            </w:pPr>
            <w:r w:rsidRPr="00EF1A03">
              <w:rPr>
                <w:i/>
              </w:rPr>
              <w:br/>
              <w:t>Measure</w:t>
            </w:r>
          </w:p>
        </w:tc>
        <w:tc>
          <w:tcPr>
            <w:tcW w:w="1814" w:type="pct"/>
            <w:gridSpan w:val="2"/>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180"/>
              <w:jc w:val="left"/>
              <w:rPr>
                <w:i/>
              </w:rPr>
            </w:pPr>
            <w:r w:rsidRPr="00EF1A03">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2008</w:t>
            </w:r>
            <w:r w:rsidRPr="00EF1A03">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2010</w:t>
            </w:r>
            <w:r w:rsidRPr="00EF1A03">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2012</w:t>
            </w:r>
            <w:r w:rsidRPr="00EF1A03">
              <w:rPr>
                <w:i/>
              </w:rPr>
              <w:noBreakHyphen/>
              <w:t>13 Estimates</w:t>
            </w:r>
          </w:p>
        </w:tc>
        <w:tc>
          <w:tcPr>
            <w:tcW w:w="583" w:type="pct"/>
            <w:tcBorders>
              <w:top w:val="single" w:sz="6" w:space="0" w:color="808080" w:themeColor="background1" w:themeShade="80"/>
              <w:bottom w:val="single" w:sz="6" w:space="0" w:color="808080" w:themeColor="background1" w:themeShade="80"/>
            </w:tcBorders>
          </w:tcPr>
          <w:p w:rsidR="009A7F87" w:rsidRPr="00EF1A03" w:rsidRDefault="009A7F87" w:rsidP="009A7F87">
            <w:pPr>
              <w:pStyle w:val="TableBodyText"/>
              <w:keepNext w:val="0"/>
              <w:spacing w:before="60" w:after="60"/>
              <w:ind w:left="2"/>
              <w:jc w:val="center"/>
              <w:rPr>
                <w:i/>
              </w:rPr>
            </w:pPr>
            <w:r w:rsidRPr="00EF1A03">
              <w:rPr>
                <w:i/>
              </w:rPr>
              <w:t>2015</w:t>
            </w:r>
            <w:r w:rsidRPr="00EF1A03">
              <w:rPr>
                <w:i/>
              </w:rPr>
              <w:noBreakHyphen/>
              <w:t>16 Estimates</w:t>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spacing w:after="0"/>
              <w:jc w:val="left"/>
            </w:pPr>
            <w:r w:rsidRPr="00770229">
              <w:t>Aboriginal and Torres Strait Islander share of expenditure provided by jurisdictions</w:t>
            </w:r>
          </w:p>
        </w:tc>
        <w:tc>
          <w:tcPr>
            <w:tcW w:w="1814" w:type="pct"/>
            <w:gridSpan w:val="2"/>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Unpublished AIHW estimates based on </w:t>
            </w:r>
            <w:r w:rsidRPr="00633D8F">
              <w:rPr>
                <w:i/>
              </w:rPr>
              <w:t>AIHW Expenditure on Health for Aboriginal and Torres Strait Islander People</w:t>
            </w:r>
          </w:p>
        </w:tc>
        <w:tc>
          <w:tcPr>
            <w:tcW w:w="584"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rsidRPr="00DB3652">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tcBorders>
              <w:top w:val="single" w:sz="6" w:space="0" w:color="808080" w:themeColor="background1" w:themeShade="80"/>
              <w:bottom w:val="single" w:sz="6" w:space="0" w:color="808080" w:themeColor="background1" w:themeShade="80"/>
            </w:tcBorders>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324AF1"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324AF1" w:rsidRDefault="009A7F87" w:rsidP="009A7F87">
            <w:pPr>
              <w:pStyle w:val="TableBodyText"/>
              <w:keepNext w:val="0"/>
              <w:keepLines w:val="0"/>
              <w:spacing w:before="40" w:after="80"/>
              <w:jc w:val="left"/>
              <w:rPr>
                <w:b/>
                <w:sz w:val="24"/>
                <w:szCs w:val="24"/>
              </w:rPr>
            </w:pPr>
            <w:r w:rsidRPr="00324AF1">
              <w:rPr>
                <w:b/>
                <w:sz w:val="24"/>
                <w:szCs w:val="24"/>
              </w:rPr>
              <w:t>AIHW method</w:t>
            </w:r>
          </w:p>
        </w:tc>
      </w:tr>
      <w:tr w:rsidR="009A7F87" w:rsidRPr="00770229" w:rsidTr="00A672D0">
        <w:tc>
          <w:tcPr>
            <w:tcW w:w="1289" w:type="pct"/>
            <w:gridSpan w:val="2"/>
            <w:tcBorders>
              <w:top w:val="single" w:sz="6" w:space="0" w:color="808080" w:themeColor="background1" w:themeShade="80"/>
              <w:bottom w:val="nil"/>
            </w:tcBorders>
            <w:tcMar>
              <w:top w:w="57" w:type="dxa"/>
              <w:left w:w="113" w:type="dxa"/>
            </w:tcMar>
          </w:tcPr>
          <w:p w:rsidR="009A7F87" w:rsidRPr="00770229" w:rsidRDefault="009A7F87" w:rsidP="009A7F87">
            <w:pPr>
              <w:pStyle w:val="TableBodyText"/>
              <w:jc w:val="left"/>
              <w:rPr>
                <w:b/>
                <w:sz w:val="24"/>
              </w:rPr>
            </w:pPr>
            <w:r w:rsidRPr="00770229">
              <w:rPr>
                <w:i/>
              </w:rPr>
              <w:t>Service use measures:</w:t>
            </w:r>
          </w:p>
        </w:tc>
        <w:tc>
          <w:tcPr>
            <w:tcW w:w="3711" w:type="pct"/>
            <w:gridSpan w:val="6"/>
            <w:tcBorders>
              <w:top w:val="single" w:sz="6" w:space="0" w:color="808080" w:themeColor="background1" w:themeShade="80"/>
              <w:bottom w:val="nil"/>
            </w:tcBorders>
          </w:tcPr>
          <w:p w:rsidR="009A7F87" w:rsidRPr="00770229" w:rsidRDefault="009A7F87" w:rsidP="009A7F87">
            <w:pPr>
              <w:pStyle w:val="TableBodyText"/>
              <w:jc w:val="left"/>
            </w:pPr>
            <w:r w:rsidRPr="00770229">
              <w:t xml:space="preserve">The service use measure for dental health is the </w:t>
            </w:r>
            <w:r w:rsidRPr="00324AF1">
              <w:rPr>
                <w:i/>
              </w:rPr>
              <w:t>Aboriginal and Torres Strait Islander share of expenditure provided by jurisdictions</w:t>
            </w:r>
            <w:r w:rsidRPr="00770229">
              <w:t>.</w:t>
            </w:r>
          </w:p>
          <w:p w:rsidR="009A7F87" w:rsidRPr="00770229" w:rsidRDefault="009A7F87" w:rsidP="009A7F87">
            <w:pPr>
              <w:pStyle w:val="TableBodyText"/>
              <w:jc w:val="left"/>
            </w:pPr>
            <w:r w:rsidRPr="00770229">
              <w:t>Data are obtained principally from the State and Territory jurisdictions, along with non</w:t>
            </w:r>
            <w:r w:rsidRPr="00770229">
              <w:noBreakHyphen/>
              <w:t>government expenditure, which are sourced from data relating to private providers. Expenditure estimates in this category are calculated by the AIHW for both Aboriginal and Torres Strait Islander and non</w:t>
            </w:r>
            <w:r w:rsidRPr="00770229">
              <w:noBreakHyphen/>
              <w:t>Indigenous Australians.</w:t>
            </w:r>
          </w:p>
        </w:tc>
      </w:tr>
      <w:tr w:rsidR="009A7F87" w:rsidRPr="00770229" w:rsidTr="009A7F87">
        <w:tc>
          <w:tcPr>
            <w:tcW w:w="1289" w:type="pct"/>
            <w:gridSpan w:val="2"/>
            <w:tcBorders>
              <w:top w:val="nil"/>
              <w:bottom w:val="nil"/>
            </w:tcBorders>
            <w:tcMar>
              <w:top w:w="57" w:type="dxa"/>
              <w:left w:w="113" w:type="dxa"/>
            </w:tcMar>
          </w:tcPr>
          <w:p w:rsidR="009A7F87" w:rsidRPr="00770229" w:rsidRDefault="009A7F87" w:rsidP="009A7F87">
            <w:pPr>
              <w:pStyle w:val="TableBodyText"/>
              <w:jc w:val="left"/>
              <w:rPr>
                <w:i/>
              </w:rPr>
            </w:pPr>
            <w:r w:rsidRPr="00770229">
              <w:rPr>
                <w:i/>
              </w:rPr>
              <w:t xml:space="preserve">Indigenous status </w:t>
            </w:r>
            <w:r w:rsidRPr="00770229">
              <w:rPr>
                <w:i/>
              </w:rPr>
              <w:br/>
              <w:t>under</w:t>
            </w:r>
            <w:r w:rsidRPr="00770229">
              <w:rPr>
                <w:i/>
              </w:rPr>
              <w:noBreakHyphen/>
              <w:t>identification:</w:t>
            </w:r>
          </w:p>
        </w:tc>
        <w:tc>
          <w:tcPr>
            <w:tcW w:w="3711" w:type="pct"/>
            <w:gridSpan w:val="6"/>
            <w:tcBorders>
              <w:top w:val="nil"/>
              <w:bottom w:val="nil"/>
            </w:tcBorders>
          </w:tcPr>
          <w:p w:rsidR="009A7F87" w:rsidRPr="00770229" w:rsidRDefault="009A7F87" w:rsidP="009A7F87">
            <w:pPr>
              <w:pStyle w:val="TableBodyText"/>
              <w:jc w:val="left"/>
            </w:pPr>
            <w:r w:rsidRPr="00770229">
              <w:t xml:space="preserve">It is assumed that there is no </w:t>
            </w:r>
            <w:r>
              <w:t>Indigenous under-identification</w:t>
            </w:r>
            <w:r w:rsidRPr="00770229">
              <w:t xml:space="preserve"> for this GPC category. </w:t>
            </w:r>
          </w:p>
        </w:tc>
      </w:tr>
      <w:tr w:rsidR="009A7F87" w:rsidRPr="00770229" w:rsidTr="009A7F87">
        <w:tc>
          <w:tcPr>
            <w:tcW w:w="1289" w:type="pct"/>
            <w:gridSpan w:val="2"/>
            <w:tcBorders>
              <w:top w:val="nil"/>
              <w:bottom w:val="nil"/>
            </w:tcBorders>
            <w:tcMar>
              <w:top w:w="57" w:type="dxa"/>
              <w:left w:w="113" w:type="dxa"/>
            </w:tcMar>
          </w:tcPr>
          <w:p w:rsidR="009A7F87" w:rsidRPr="00770229" w:rsidRDefault="009A7F87" w:rsidP="009A7F87">
            <w:pPr>
              <w:pStyle w:val="TableBodyText"/>
              <w:jc w:val="left"/>
              <w:rPr>
                <w:i/>
              </w:rPr>
            </w:pPr>
            <w:r w:rsidRPr="00770229">
              <w:rPr>
                <w:i/>
              </w:rPr>
              <w:t>Service delivery cost differential:</w:t>
            </w:r>
          </w:p>
        </w:tc>
        <w:tc>
          <w:tcPr>
            <w:tcW w:w="3711" w:type="pct"/>
            <w:gridSpan w:val="6"/>
            <w:tcBorders>
              <w:top w:val="nil"/>
              <w:bottom w:val="nil"/>
            </w:tcBorders>
          </w:tcPr>
          <w:p w:rsidR="009A7F87" w:rsidRPr="00770229" w:rsidRDefault="009A7F87" w:rsidP="009A7F87">
            <w:pPr>
              <w:pStyle w:val="TableBodyText"/>
              <w:jc w:val="left"/>
            </w:pPr>
            <w:r w:rsidRPr="00770229">
              <w:t>It is assumed that there is no cost differential for this GPC category.</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6314"/>
        <w:gridCol w:w="2475"/>
        <w:gridCol w:w="7"/>
      </w:tblGrid>
      <w:tr w:rsidR="009A7F87" w:rsidRPr="00770229" w:rsidTr="002E2409">
        <w:tc>
          <w:tcPr>
            <w:tcW w:w="5000" w:type="pct"/>
            <w:gridSpan w:val="3"/>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spacing w:before="500"/>
            </w:pPr>
            <w:r>
              <w:br w:type="page"/>
            </w:r>
            <w:r w:rsidRPr="00770229">
              <w:br w:type="page"/>
            </w:r>
            <w:r>
              <w:t>0550</w:t>
            </w:r>
            <w:r w:rsidRPr="00770229">
              <w:t xml:space="preserve"> </w:t>
            </w:r>
            <w:r>
              <w:t>Public health services</w:t>
            </w:r>
          </w:p>
        </w:tc>
      </w:tr>
      <w:tr w:rsidR="009A7F87" w:rsidRPr="00770229" w:rsidTr="002E2409">
        <w:tblPrEx>
          <w:tblBorders>
            <w:top w:val="none" w:sz="0" w:space="0" w:color="auto"/>
            <w:bottom w:val="none" w:sz="0" w:space="0" w:color="auto"/>
            <w:insideH w:val="none" w:sz="0" w:space="0" w:color="auto"/>
          </w:tblBorders>
          <w:tblCellMar>
            <w:left w:w="108" w:type="dxa"/>
            <w:right w:w="108" w:type="dxa"/>
          </w:tblCellMar>
        </w:tblPrEx>
        <w:tc>
          <w:tcPr>
            <w:tcW w:w="3589" w:type="pct"/>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2"/>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3"/>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3"/>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jc w:val="left"/>
            </w:pPr>
            <w:r w:rsidRPr="00770229">
              <w:t xml:space="preserve">The Australian Government Department of Health and Ageing is responsible for a number of health initiatives to promote population health issues. At the State and Territory level, different jurisdictions have their own arrangements in regard to population health. </w:t>
            </w:r>
          </w:p>
          <w:p w:rsidR="009A7F87" w:rsidRPr="00770229" w:rsidRDefault="009A7F87" w:rsidP="009A7F87">
            <w:pPr>
              <w:pStyle w:val="TableBodyText"/>
              <w:jc w:val="left"/>
            </w:pPr>
            <w:r w:rsidRPr="00770229">
              <w:t xml:space="preserve">Within states and territories, local government bodies have a role in providing public health services, as determined by the respective Health Acts and Local Government Acts. The role of local councils will vary in accordance with their type (rural or metropolitan) and the nature and scope of local needs. </w:t>
            </w:r>
          </w:p>
          <w:p w:rsidR="009A7F87" w:rsidRPr="00770229" w:rsidRDefault="009A7F87" w:rsidP="009A7F87">
            <w:pPr>
              <w:pStyle w:val="TableBodyText"/>
              <w:jc w:val="left"/>
            </w:pPr>
            <w:r w:rsidRPr="00770229">
              <w:t xml:space="preserve">Similarly, preventative health activities are also split between different levels of government. The Australian Government Department of Health and Ageing educates consumers and health practitioners about preventative health issues including: minimising the spread of influenza; publishing national guidelines on nutrition and physical activity requirements; and program implementation. </w:t>
            </w:r>
          </w:p>
          <w:p w:rsidR="009A7F87" w:rsidRPr="00770229" w:rsidRDefault="009A7F87" w:rsidP="009A7F87">
            <w:pPr>
              <w:pStyle w:val="TableBodyText"/>
              <w:jc w:val="left"/>
            </w:pPr>
            <w:r w:rsidRPr="00770229">
              <w:t>Expenditures are made by all levels of government in the following public health service areas:</w:t>
            </w:r>
          </w:p>
          <w:p w:rsidR="009A7F87" w:rsidRPr="00770229" w:rsidRDefault="009A7F87" w:rsidP="009A7F87">
            <w:pPr>
              <w:pStyle w:val="TableBullet"/>
              <w:keepNext w:val="0"/>
              <w:keepLines w:val="0"/>
              <w:numPr>
                <w:ilvl w:val="0"/>
                <w:numId w:val="24"/>
              </w:numPr>
              <w:spacing w:line="220" w:lineRule="atLeast"/>
            </w:pPr>
            <w:r w:rsidRPr="00770229">
              <w:t xml:space="preserve">health promotion campaigns </w:t>
            </w:r>
          </w:p>
          <w:p w:rsidR="009A7F87" w:rsidRPr="00770229" w:rsidRDefault="009A7F87" w:rsidP="009A7F87">
            <w:pPr>
              <w:pStyle w:val="TableBullet"/>
              <w:keepNext w:val="0"/>
              <w:keepLines w:val="0"/>
              <w:numPr>
                <w:ilvl w:val="0"/>
                <w:numId w:val="24"/>
              </w:numPr>
              <w:spacing w:line="220" w:lineRule="atLeast"/>
            </w:pPr>
            <w:r w:rsidRPr="00770229">
              <w:t xml:space="preserve">occupational health and safety </w:t>
            </w:r>
          </w:p>
          <w:p w:rsidR="009A7F87" w:rsidRPr="00770229" w:rsidRDefault="009A7F87" w:rsidP="009A7F87">
            <w:pPr>
              <w:pStyle w:val="TableBullet"/>
              <w:keepNext w:val="0"/>
              <w:keepLines w:val="0"/>
              <w:numPr>
                <w:ilvl w:val="0"/>
                <w:numId w:val="24"/>
              </w:numPr>
              <w:spacing w:line="220" w:lineRule="atLeast"/>
            </w:pPr>
            <w:r w:rsidRPr="00770229">
              <w:t xml:space="preserve">food standards regulation </w:t>
            </w:r>
          </w:p>
          <w:p w:rsidR="009A7F87" w:rsidRPr="00770229" w:rsidRDefault="009A7F87" w:rsidP="009A7F87">
            <w:pPr>
              <w:pStyle w:val="TableBullet"/>
              <w:keepNext w:val="0"/>
              <w:keepLines w:val="0"/>
              <w:numPr>
                <w:ilvl w:val="0"/>
                <w:numId w:val="24"/>
              </w:numPr>
              <w:spacing w:line="220" w:lineRule="atLeast"/>
            </w:pPr>
            <w:r w:rsidRPr="00770229">
              <w:t xml:space="preserve">environmental health </w:t>
            </w:r>
          </w:p>
          <w:p w:rsidR="009A7F87" w:rsidRPr="00770229" w:rsidRDefault="009A7F87" w:rsidP="009A7F87">
            <w:pPr>
              <w:pStyle w:val="TableBullet"/>
              <w:keepNext w:val="0"/>
              <w:keepLines w:val="0"/>
              <w:numPr>
                <w:ilvl w:val="0"/>
                <w:numId w:val="24"/>
              </w:numPr>
              <w:spacing w:line="220" w:lineRule="atLeast"/>
            </w:pPr>
            <w:r w:rsidRPr="00770229">
              <w:t xml:space="preserve">nutrition services </w:t>
            </w:r>
          </w:p>
          <w:p w:rsidR="009A7F87" w:rsidRPr="00770229" w:rsidRDefault="009A7F87" w:rsidP="009A7F87">
            <w:pPr>
              <w:pStyle w:val="TableBullet"/>
              <w:keepNext w:val="0"/>
              <w:keepLines w:val="0"/>
              <w:numPr>
                <w:ilvl w:val="0"/>
                <w:numId w:val="24"/>
              </w:numPr>
              <w:spacing w:line="220" w:lineRule="atLeast"/>
            </w:pPr>
            <w:r w:rsidRPr="00770229">
              <w:t xml:space="preserve">communicable disease surveillance and control </w:t>
            </w:r>
          </w:p>
          <w:p w:rsidR="009A7F87" w:rsidRPr="00770229" w:rsidRDefault="009A7F87" w:rsidP="009A7F87">
            <w:pPr>
              <w:pStyle w:val="TableBullet"/>
              <w:keepNext w:val="0"/>
              <w:keepLines w:val="0"/>
              <w:numPr>
                <w:ilvl w:val="0"/>
                <w:numId w:val="24"/>
              </w:numPr>
              <w:spacing w:line="220" w:lineRule="atLeast"/>
            </w:pPr>
            <w:r w:rsidRPr="00770229">
              <w:t xml:space="preserve">immunisation </w:t>
            </w:r>
          </w:p>
          <w:p w:rsidR="009A7F87" w:rsidRPr="00770229" w:rsidRDefault="009A7F87" w:rsidP="009A7F87">
            <w:pPr>
              <w:pStyle w:val="TableBullet"/>
              <w:keepNext w:val="0"/>
              <w:keepLines w:val="0"/>
              <w:numPr>
                <w:ilvl w:val="0"/>
                <w:numId w:val="24"/>
              </w:numPr>
              <w:spacing w:line="220" w:lineRule="atLeast"/>
            </w:pPr>
            <w:r w:rsidRPr="00770229">
              <w:t xml:space="preserve">breast cancer </w:t>
            </w:r>
          </w:p>
          <w:p w:rsidR="009A7F87" w:rsidRPr="00770229" w:rsidRDefault="009A7F87" w:rsidP="009A7F87">
            <w:pPr>
              <w:pStyle w:val="TableBullet"/>
              <w:keepNext w:val="0"/>
              <w:keepLines w:val="0"/>
              <w:numPr>
                <w:ilvl w:val="0"/>
                <w:numId w:val="24"/>
              </w:numPr>
              <w:spacing w:line="220" w:lineRule="atLeast"/>
              <w:rPr>
                <w:i/>
              </w:rPr>
            </w:pPr>
            <w:r w:rsidRPr="00770229">
              <w:t>screening for childhood diseases</w:t>
            </w:r>
            <w:r w:rsidRPr="00770229">
              <w:rPr>
                <w:i/>
              </w:rPr>
              <w:t xml:space="preserve">. </w:t>
            </w:r>
          </w:p>
          <w:p w:rsidR="009A7F87" w:rsidRPr="00776CC9" w:rsidRDefault="009A7F87" w:rsidP="009A7F87">
            <w:pPr>
              <w:pStyle w:val="TableBodyText"/>
              <w:jc w:val="left"/>
              <w:rPr>
                <w:i/>
              </w:rPr>
            </w:pPr>
            <w:r w:rsidRPr="00776CC9">
              <w:rPr>
                <w:i/>
              </w:rPr>
              <w:t>T</w:t>
            </w:r>
            <w:r w:rsidRPr="00776CC9">
              <w:rPr>
                <w:rStyle w:val="TableBodyTextChar"/>
                <w:i/>
              </w:rPr>
              <w:t>he AIHW maps services in this category to NMDS codes 401 to 409 and 499.</w:t>
            </w:r>
          </w:p>
          <w:p w:rsidR="009A7F87" w:rsidRPr="00770229" w:rsidRDefault="009A7F87" w:rsidP="009A7F87">
            <w:pPr>
              <w:pStyle w:val="TableBodyText"/>
              <w:jc w:val="left"/>
            </w:pPr>
            <w:r w:rsidRPr="00770229">
              <w:t xml:space="preserve">An overview of how the AIHW method has been adapted for the Indigenous Expenditure Report, and the service use measures, </w:t>
            </w:r>
            <w:r w:rsidRPr="00DA3D60">
              <w:t>Indigenous</w:t>
            </w:r>
            <w:r w:rsidRPr="00317BFD">
              <w:rPr>
                <w:sz w:val="24"/>
                <w:szCs w:val="24"/>
              </w:rPr>
              <w:t xml:space="preserve"> </w:t>
            </w:r>
            <w:r w:rsidRPr="00770229">
              <w:t>under</w:t>
            </w:r>
            <w:r w:rsidRPr="00770229">
              <w:noBreakHyphen/>
              <w:t xml:space="preserve">identification, and cost differential factors provided by the AIHW for the </w:t>
            </w:r>
            <w:r>
              <w:t>2017 Report</w:t>
            </w:r>
            <w:r w:rsidRPr="00770229">
              <w:t xml:space="preserve"> is presented in </w:t>
            </w:r>
            <w:r>
              <w:t>section 5.1</w:t>
            </w:r>
            <w:r w:rsidRPr="00770229">
              <w:t>.</w:t>
            </w:r>
          </w:p>
          <w:p w:rsidR="009A7F87" w:rsidRPr="00770229" w:rsidRDefault="009A7F87" w:rsidP="009A7F87">
            <w:pPr>
              <w:pStyle w:val="TableBodyText"/>
              <w:jc w:val="left"/>
              <w:rPr>
                <w:b/>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44346B">
        <w:tc>
          <w:tcPr>
            <w:tcW w:w="5000" w:type="pct"/>
            <w:gridSpan w:val="3"/>
            <w:tcBorders>
              <w:top w:val="single" w:sz="6" w:space="0" w:color="808080" w:themeColor="background1" w:themeShade="80"/>
              <w:bottom w:val="nil"/>
            </w:tcBorders>
            <w:tcMar>
              <w:top w:w="57" w:type="dxa"/>
              <w:left w:w="113" w:type="dxa"/>
            </w:tcMar>
          </w:tcPr>
          <w:p w:rsidR="009A7F87" w:rsidRPr="00770229" w:rsidRDefault="009A7F87" w:rsidP="009A7F87">
            <w:pPr>
              <w:pStyle w:val="TableBodyText"/>
              <w:keepNext w:val="0"/>
              <w:keepLines w:val="0"/>
              <w:spacing w:before="40" w:after="80"/>
              <w:jc w:val="left"/>
              <w:rPr>
                <w:b/>
                <w:i/>
                <w:sz w:val="24"/>
              </w:rPr>
            </w:pPr>
            <w:r w:rsidRPr="00770229">
              <w:rPr>
                <w:b/>
                <w:sz w:val="24"/>
              </w:rPr>
              <w:t xml:space="preserve">Cost drivers </w:t>
            </w:r>
          </w:p>
        </w:tc>
      </w:tr>
      <w:tr w:rsidR="009A7F87" w:rsidRPr="00770229" w:rsidTr="0044346B">
        <w:tc>
          <w:tcPr>
            <w:tcW w:w="5000" w:type="pct"/>
            <w:gridSpan w:val="3"/>
            <w:tcBorders>
              <w:top w:val="nil"/>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sidRPr="00770229">
              <w:t>The key cost drivers for public health services are:</w:t>
            </w:r>
          </w:p>
          <w:p w:rsidR="009A7F87" w:rsidRPr="00770229" w:rsidRDefault="009A7F87" w:rsidP="009A7F87">
            <w:pPr>
              <w:pStyle w:val="TableBullet"/>
              <w:numPr>
                <w:ilvl w:val="0"/>
                <w:numId w:val="24"/>
              </w:numPr>
              <w:spacing w:line="220" w:lineRule="atLeast"/>
            </w:pPr>
            <w:r w:rsidRPr="00770229">
              <w:t>the size of the target populations within the defined scope of the public health program</w:t>
            </w:r>
          </w:p>
          <w:p w:rsidR="009A7F87" w:rsidRPr="00770229" w:rsidRDefault="009A7F87" w:rsidP="009A7F87">
            <w:pPr>
              <w:pStyle w:val="TableBullet"/>
              <w:numPr>
                <w:ilvl w:val="0"/>
                <w:numId w:val="24"/>
              </w:numPr>
              <w:spacing w:line="220" w:lineRule="atLeast"/>
            </w:pPr>
            <w:r w:rsidRPr="00770229">
              <w:t>the number of people expected to receive services from the public health program</w:t>
            </w:r>
          </w:p>
          <w:p w:rsidR="009A7F87" w:rsidRPr="00770229" w:rsidRDefault="009A7F87" w:rsidP="009A7F87">
            <w:pPr>
              <w:pStyle w:val="TableBullet"/>
              <w:numPr>
                <w:ilvl w:val="0"/>
                <w:numId w:val="24"/>
              </w:numPr>
              <w:spacing w:line="220" w:lineRule="atLeast"/>
            </w:pPr>
            <w:r w:rsidRPr="00770229">
              <w:t>the cost of the program’s delivery to the target (and actual) population of recipients</w:t>
            </w:r>
          </w:p>
          <w:p w:rsidR="009A7F87" w:rsidRPr="00770229" w:rsidRDefault="009A7F87" w:rsidP="009A7F87">
            <w:pPr>
              <w:pStyle w:val="TableBullet"/>
              <w:numPr>
                <w:ilvl w:val="0"/>
                <w:numId w:val="24"/>
              </w:numPr>
              <w:spacing w:line="220" w:lineRule="atLeast"/>
            </w:pPr>
            <w:r w:rsidRPr="00770229">
              <w:t>operational, legal and administrative costs involved in the programs</w:t>
            </w:r>
          </w:p>
          <w:p w:rsidR="009A7F87" w:rsidRPr="00770229" w:rsidRDefault="009A7F87" w:rsidP="009A7F87">
            <w:pPr>
              <w:pStyle w:val="TableBullet"/>
              <w:numPr>
                <w:ilvl w:val="0"/>
                <w:numId w:val="24"/>
              </w:numPr>
              <w:spacing w:line="220" w:lineRule="atLeast"/>
              <w:rPr>
                <w:rFonts w:cs="Arial"/>
              </w:rPr>
            </w:pPr>
            <w:r w:rsidRPr="00770229">
              <w:t>the length of time that the program is conducted.</w:t>
            </w:r>
          </w:p>
          <w:p w:rsidR="009A7F87" w:rsidRPr="00770229" w:rsidRDefault="009A7F87" w:rsidP="009A7F87">
            <w:pPr>
              <w:pStyle w:val="TableBodyText"/>
              <w:keepNext w:val="0"/>
              <w:spacing w:before="60" w:after="60"/>
              <w:jc w:val="left"/>
              <w:rPr>
                <w:szCs w:val="26"/>
              </w:rPr>
            </w:pPr>
            <w:r w:rsidRPr="00770229">
              <w:t>These cost drivers are based on development and research undertaken by the AIHW for the Expenditure on Health for Aboriginal and Torres Strait Islander People reports.</w:t>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2"/>
            <w:tcBorders>
              <w:top w:val="nil"/>
              <w:left w:val="nil"/>
              <w:bottom w:val="nil"/>
              <w:right w:val="nil"/>
            </w:tcBorders>
            <w:shd w:val="clear" w:color="auto" w:fill="auto"/>
          </w:tcPr>
          <w:p w:rsidR="009A7F87" w:rsidRPr="00863029" w:rsidRDefault="009A7F87" w:rsidP="009A7F87">
            <w:pPr>
              <w:pStyle w:val="Note"/>
              <w:jc w:val="right"/>
            </w:pPr>
            <w:r>
              <w:t>(continued next page)</w:t>
            </w:r>
          </w:p>
        </w:tc>
      </w:tr>
      <w:tr w:rsidR="009A7F87" w:rsidRPr="005C478E" w:rsidTr="009A7F87">
        <w:tblPrEx>
          <w:tblBorders>
            <w:top w:val="none" w:sz="0" w:space="0" w:color="auto"/>
            <w:bottom w:val="none" w:sz="0" w:space="0" w:color="auto"/>
            <w:insideH w:val="none" w:sz="0" w:space="0" w:color="auto"/>
          </w:tblBorders>
        </w:tblPrEx>
        <w:tc>
          <w:tcPr>
            <w:tcW w:w="5000" w:type="pct"/>
            <w:gridSpan w:val="3"/>
            <w:tcBorders>
              <w:bottom w:val="single" w:sz="12" w:space="0" w:color="78A22F" w:themeColor="accent1"/>
            </w:tcBorders>
            <w:shd w:val="clear" w:color="auto" w:fill="auto"/>
            <w:tcMar>
              <w:top w:w="57" w:type="dxa"/>
              <w:left w:w="113" w:type="dxa"/>
            </w:tcMar>
          </w:tcPr>
          <w:p w:rsidR="009A7F87" w:rsidRPr="005C478E" w:rsidRDefault="009A7F87" w:rsidP="009A7F87">
            <w:pPr>
              <w:pStyle w:val="Box"/>
              <w:spacing w:before="0" w:line="120" w:lineRule="exact"/>
              <w:rPr>
                <w:sz w:val="10"/>
                <w:szCs w:val="10"/>
              </w:rPr>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774"/>
        <w:gridCol w:w="2417"/>
        <w:gridCol w:w="1027"/>
        <w:gridCol w:w="1029"/>
        <w:gridCol w:w="1029"/>
        <w:gridCol w:w="1026"/>
      </w:tblGrid>
      <w:tr w:rsidR="009A7F87" w:rsidRPr="00770229" w:rsidTr="00144C20">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C05C71" w:rsidRDefault="009A7F87" w:rsidP="009A7F87">
            <w:pPr>
              <w:pStyle w:val="Heading3"/>
              <w:rPr>
                <w:sz w:val="18"/>
                <w:szCs w:val="18"/>
              </w:rPr>
            </w:pPr>
            <w:r>
              <w:br w:type="page"/>
            </w:r>
            <w:r>
              <w:br w:type="page"/>
            </w:r>
            <w:r>
              <w:br w:type="page"/>
            </w:r>
            <w:r w:rsidRPr="00C05C71">
              <w:rPr>
                <w:sz w:val="18"/>
                <w:szCs w:val="18"/>
              </w:rPr>
              <w:t>(continued)</w:t>
            </w:r>
          </w:p>
        </w:tc>
      </w:tr>
      <w:tr w:rsidR="009A7F87" w:rsidRPr="00770229" w:rsidTr="00144C20">
        <w:tblPrEx>
          <w:tblBorders>
            <w:top w:val="none" w:sz="0" w:space="0" w:color="auto"/>
            <w:bottom w:val="none" w:sz="0" w:space="0" w:color="auto"/>
            <w:insideH w:val="none" w:sz="0" w:space="0" w:color="auto"/>
          </w:tblBorders>
        </w:tblPrEx>
        <w:tc>
          <w:tcPr>
            <w:tcW w:w="5000" w:type="pct"/>
            <w:gridSpan w:val="7"/>
            <w:tcBorders>
              <w:top w:val="single" w:sz="12"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40" w:after="80"/>
              <w:jc w:val="left"/>
              <w:rPr>
                <w:b/>
                <w:i/>
                <w:sz w:val="24"/>
                <w:szCs w:val="24"/>
              </w:rPr>
            </w:pPr>
            <w:r w:rsidRPr="00770229">
              <w:rPr>
                <w:b/>
                <w:sz w:val="24"/>
                <w:szCs w:val="24"/>
              </w:rPr>
              <w:t>Service use measures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EF1A03" w:rsidRDefault="009A7F87" w:rsidP="009A7F87">
            <w:pPr>
              <w:pStyle w:val="TableColumnHeading"/>
              <w:keepNext w:val="0"/>
              <w:jc w:val="left"/>
            </w:pPr>
          </w:p>
        </w:tc>
        <w:tc>
          <w:tcPr>
            <w:tcW w:w="1814" w:type="pct"/>
            <w:gridSpan w:val="2"/>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ColumnHeading"/>
              <w:keepNext w:val="0"/>
              <w:ind w:left="180"/>
              <w:jc w:val="left"/>
            </w:pPr>
          </w:p>
        </w:tc>
        <w:tc>
          <w:tcPr>
            <w:tcW w:w="2337" w:type="pct"/>
            <w:gridSpan w:val="4"/>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ColumnHeading"/>
              <w:keepNext w:val="0"/>
              <w:ind w:left="180"/>
              <w:jc w:val="center"/>
            </w:pPr>
            <w:r w:rsidRPr="00EF1A03">
              <w:t>Data Years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EF1A03" w:rsidRDefault="009A7F87" w:rsidP="009A7F87">
            <w:pPr>
              <w:pStyle w:val="TableBodyText"/>
              <w:keepNext w:val="0"/>
              <w:spacing w:before="60" w:after="60"/>
              <w:ind w:left="0"/>
              <w:jc w:val="both"/>
              <w:rPr>
                <w:i/>
              </w:rPr>
            </w:pPr>
            <w:r w:rsidRPr="00EF1A03">
              <w:rPr>
                <w:i/>
              </w:rPr>
              <w:br/>
              <w:t>Measure</w:t>
            </w:r>
          </w:p>
        </w:tc>
        <w:tc>
          <w:tcPr>
            <w:tcW w:w="1814" w:type="pct"/>
            <w:gridSpan w:val="2"/>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180"/>
              <w:jc w:val="left"/>
              <w:rPr>
                <w:i/>
              </w:rPr>
            </w:pPr>
            <w:r w:rsidRPr="00EF1A03">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2008</w:t>
            </w:r>
            <w:r w:rsidRPr="00EF1A03">
              <w:rPr>
                <w:i/>
              </w:rPr>
              <w:noBreakHyphen/>
              <w:t>09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2010</w:t>
            </w:r>
            <w:r w:rsidRPr="00EF1A03">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2012</w:t>
            </w:r>
            <w:r w:rsidRPr="00EF1A03">
              <w:rPr>
                <w:i/>
              </w:rPr>
              <w:noBreakHyphen/>
              <w:t>13 Estimates</w:t>
            </w:r>
          </w:p>
        </w:tc>
        <w:tc>
          <w:tcPr>
            <w:tcW w:w="583" w:type="pct"/>
            <w:tcBorders>
              <w:top w:val="single" w:sz="6" w:space="0" w:color="808080" w:themeColor="background1" w:themeShade="80"/>
              <w:bottom w:val="single" w:sz="6" w:space="0" w:color="808080" w:themeColor="background1" w:themeShade="80"/>
            </w:tcBorders>
          </w:tcPr>
          <w:p w:rsidR="009A7F87" w:rsidRPr="00EF1A03" w:rsidRDefault="009A7F87" w:rsidP="009A7F87">
            <w:pPr>
              <w:pStyle w:val="TableBodyText"/>
              <w:keepNext w:val="0"/>
              <w:spacing w:before="60" w:after="60"/>
              <w:ind w:left="2"/>
              <w:jc w:val="center"/>
              <w:rPr>
                <w:i/>
              </w:rPr>
            </w:pPr>
            <w:r w:rsidRPr="00EF1A03">
              <w:rPr>
                <w:i/>
              </w:rPr>
              <w:t>2015</w:t>
            </w:r>
            <w:r w:rsidRPr="00EF1A03">
              <w:rPr>
                <w:i/>
              </w:rPr>
              <w:noBreakHyphen/>
              <w:t>16 Estimates</w:t>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spacing w:after="0"/>
              <w:jc w:val="left"/>
            </w:pPr>
            <w:r w:rsidRPr="00770229">
              <w:t>Aboriginal and Torres Strait Islander share of expenditure provided by jurisdictions</w:t>
            </w:r>
          </w:p>
        </w:tc>
        <w:tc>
          <w:tcPr>
            <w:tcW w:w="1814" w:type="pct"/>
            <w:gridSpan w:val="2"/>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Unpublished AIHW estimates based on </w:t>
            </w:r>
            <w:r w:rsidRPr="00633D8F">
              <w:rPr>
                <w:i/>
              </w:rPr>
              <w:t>AIHW Expenditure on Health for Aboriginal and Torres Strait Islander People</w:t>
            </w:r>
          </w:p>
        </w:tc>
        <w:tc>
          <w:tcPr>
            <w:tcW w:w="584"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rsidRPr="00DB3652">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tcBorders>
              <w:top w:val="single" w:sz="6" w:space="0" w:color="808080" w:themeColor="background1" w:themeShade="80"/>
              <w:bottom w:val="single" w:sz="6" w:space="0" w:color="808080" w:themeColor="background1" w:themeShade="80"/>
            </w:tcBorders>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324AF1" w:rsidTr="00A672D0">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324AF1" w:rsidRDefault="009A7F87" w:rsidP="009A7F87">
            <w:pPr>
              <w:pStyle w:val="TableBodyText"/>
              <w:keepNext w:val="0"/>
              <w:keepLines w:val="0"/>
              <w:spacing w:before="40" w:after="80"/>
              <w:jc w:val="left"/>
              <w:rPr>
                <w:b/>
                <w:sz w:val="24"/>
                <w:szCs w:val="24"/>
              </w:rPr>
            </w:pPr>
            <w:r w:rsidRPr="00324AF1">
              <w:rPr>
                <w:b/>
                <w:sz w:val="24"/>
                <w:szCs w:val="24"/>
              </w:rPr>
              <w:t>AIHW method</w:t>
            </w:r>
          </w:p>
        </w:tc>
      </w:tr>
      <w:tr w:rsidR="009A7F87" w:rsidRPr="00770229" w:rsidTr="00A672D0">
        <w:tc>
          <w:tcPr>
            <w:tcW w:w="1289" w:type="pct"/>
            <w:gridSpan w:val="2"/>
            <w:tcBorders>
              <w:top w:val="single" w:sz="6" w:space="0" w:color="808080" w:themeColor="background1" w:themeShade="80"/>
              <w:bottom w:val="nil"/>
            </w:tcBorders>
            <w:tcMar>
              <w:top w:w="57" w:type="dxa"/>
              <w:left w:w="113" w:type="dxa"/>
            </w:tcMar>
          </w:tcPr>
          <w:p w:rsidR="009A7F87" w:rsidRPr="00770229" w:rsidRDefault="009A7F87" w:rsidP="009A7F87">
            <w:pPr>
              <w:pStyle w:val="TableBodyText"/>
              <w:jc w:val="left"/>
              <w:rPr>
                <w:b/>
                <w:sz w:val="24"/>
              </w:rPr>
            </w:pPr>
            <w:r w:rsidRPr="00770229">
              <w:rPr>
                <w:i/>
              </w:rPr>
              <w:t>Service use measures:</w:t>
            </w:r>
          </w:p>
        </w:tc>
        <w:tc>
          <w:tcPr>
            <w:tcW w:w="3711" w:type="pct"/>
            <w:gridSpan w:val="5"/>
            <w:tcBorders>
              <w:top w:val="single" w:sz="6" w:space="0" w:color="808080" w:themeColor="background1" w:themeShade="80"/>
              <w:bottom w:val="nil"/>
            </w:tcBorders>
          </w:tcPr>
          <w:p w:rsidR="009A7F87" w:rsidRPr="00770229" w:rsidRDefault="009A7F87" w:rsidP="009A7F87">
            <w:pPr>
              <w:pStyle w:val="TableBullet"/>
              <w:numPr>
                <w:ilvl w:val="0"/>
                <w:numId w:val="0"/>
              </w:numPr>
            </w:pPr>
            <w:r w:rsidRPr="00770229">
              <w:t xml:space="preserve">The service use measure for public health services is the </w:t>
            </w:r>
            <w:r w:rsidRPr="00770229">
              <w:rPr>
                <w:i/>
              </w:rPr>
              <w:t>Aboriginal and Torres Strait Islander share of expenditure provided by jurisdictions</w:t>
            </w:r>
            <w:r w:rsidRPr="00770229">
              <w:t>.</w:t>
            </w:r>
          </w:p>
          <w:p w:rsidR="009A7F87" w:rsidRPr="00770229" w:rsidRDefault="009A7F87" w:rsidP="009A7F87">
            <w:pPr>
              <w:pStyle w:val="TableBullet"/>
              <w:numPr>
                <w:ilvl w:val="0"/>
                <w:numId w:val="0"/>
              </w:numPr>
            </w:pPr>
            <w:r w:rsidRPr="00770229">
              <w:t>The AIHW produces estimates of public health expenditure (split by Aboriginal and Torres Strait Islander and non</w:t>
            </w:r>
            <w:r w:rsidRPr="00770229">
              <w:noBreakHyphen/>
              <w:t xml:space="preserve">Indigenous Australians) as part of its </w:t>
            </w:r>
            <w:r w:rsidRPr="00770229">
              <w:rPr>
                <w:i/>
              </w:rPr>
              <w:t>Expenditure on Health for Aboriginal and Torres Strait Islander People</w:t>
            </w:r>
            <w:r w:rsidRPr="00770229">
              <w:t xml:space="preserve"> report.</w:t>
            </w:r>
          </w:p>
          <w:p w:rsidR="009A7F87" w:rsidRPr="00770229" w:rsidRDefault="009A7F87" w:rsidP="009A7F87">
            <w:pPr>
              <w:pStyle w:val="TableBodyText"/>
              <w:jc w:val="left"/>
            </w:pPr>
            <w:r w:rsidRPr="00770229">
              <w:t>Data are obtained for Commonwealth and state/territory government expenditure on public health programs at an aggregate level. However, the AIHW does not obtain information that would enable it to produce splits by Aboriginal and Torres Strait Islander/non</w:t>
            </w:r>
            <w:r w:rsidRPr="00770229">
              <w:noBreakHyphen/>
              <w:t>Indigenous for each of the nine public health reporting categories, as this information is not available across all jurisdictions.</w:t>
            </w:r>
          </w:p>
          <w:p w:rsidR="009A7F87" w:rsidRPr="00770229" w:rsidRDefault="009A7F87" w:rsidP="009A7F87">
            <w:pPr>
              <w:pStyle w:val="TableBodyText"/>
              <w:jc w:val="left"/>
            </w:pPr>
            <w:r w:rsidRPr="00770229">
              <w:t>Attempting to produce Indigenous expenditure estimates for the nine reporting categories would result in estimates not considered robust enough for publication and use by stakeholders.</w:t>
            </w:r>
          </w:p>
        </w:tc>
      </w:tr>
      <w:tr w:rsidR="009A7F87" w:rsidRPr="00770229" w:rsidTr="009A7F87">
        <w:tc>
          <w:tcPr>
            <w:tcW w:w="1289" w:type="pct"/>
            <w:gridSpan w:val="2"/>
            <w:tcBorders>
              <w:top w:val="nil"/>
              <w:bottom w:val="nil"/>
            </w:tcBorders>
            <w:tcMar>
              <w:top w:w="57" w:type="dxa"/>
              <w:left w:w="113" w:type="dxa"/>
            </w:tcMar>
          </w:tcPr>
          <w:p w:rsidR="009A7F87" w:rsidRPr="00770229" w:rsidRDefault="009A7F87" w:rsidP="009A7F87">
            <w:pPr>
              <w:pStyle w:val="TableBodyText"/>
              <w:jc w:val="left"/>
              <w:rPr>
                <w:i/>
              </w:rPr>
            </w:pPr>
            <w:r w:rsidRPr="00770229">
              <w:rPr>
                <w:i/>
              </w:rPr>
              <w:t xml:space="preserve">Indigenous status </w:t>
            </w:r>
            <w:r w:rsidRPr="00770229">
              <w:rPr>
                <w:i/>
              </w:rPr>
              <w:br/>
              <w:t>under</w:t>
            </w:r>
            <w:r w:rsidRPr="00770229">
              <w:rPr>
                <w:i/>
              </w:rPr>
              <w:noBreakHyphen/>
              <w:t>identification:</w:t>
            </w:r>
          </w:p>
        </w:tc>
        <w:tc>
          <w:tcPr>
            <w:tcW w:w="3711" w:type="pct"/>
            <w:gridSpan w:val="5"/>
            <w:tcBorders>
              <w:top w:val="nil"/>
              <w:bottom w:val="nil"/>
            </w:tcBorders>
          </w:tcPr>
          <w:p w:rsidR="009A7F87" w:rsidRPr="00770229" w:rsidRDefault="009A7F87" w:rsidP="009A7F87">
            <w:pPr>
              <w:pStyle w:val="TableBodyText"/>
              <w:jc w:val="left"/>
            </w:pPr>
            <w:r w:rsidRPr="00770229">
              <w:t xml:space="preserve">It is assumed that there is no </w:t>
            </w:r>
            <w:r>
              <w:t>Indigenous under-identification</w:t>
            </w:r>
            <w:r w:rsidRPr="00770229">
              <w:t xml:space="preserve"> for this GPC category. </w:t>
            </w:r>
          </w:p>
        </w:tc>
      </w:tr>
      <w:tr w:rsidR="009A7F87" w:rsidRPr="00770229" w:rsidTr="009A7F87">
        <w:tc>
          <w:tcPr>
            <w:tcW w:w="1289" w:type="pct"/>
            <w:gridSpan w:val="2"/>
            <w:tcBorders>
              <w:top w:val="nil"/>
              <w:bottom w:val="nil"/>
            </w:tcBorders>
            <w:tcMar>
              <w:top w:w="57" w:type="dxa"/>
              <w:left w:w="113" w:type="dxa"/>
            </w:tcMar>
          </w:tcPr>
          <w:p w:rsidR="009A7F87" w:rsidRPr="00770229" w:rsidRDefault="009A7F87" w:rsidP="009A7F87">
            <w:pPr>
              <w:pStyle w:val="TableBodyText"/>
              <w:jc w:val="left"/>
              <w:rPr>
                <w:i/>
              </w:rPr>
            </w:pPr>
            <w:r w:rsidRPr="00770229">
              <w:rPr>
                <w:i/>
              </w:rPr>
              <w:t>Service delivery cost differential:</w:t>
            </w:r>
          </w:p>
        </w:tc>
        <w:tc>
          <w:tcPr>
            <w:tcW w:w="3711" w:type="pct"/>
            <w:gridSpan w:val="5"/>
            <w:tcBorders>
              <w:top w:val="nil"/>
              <w:bottom w:val="nil"/>
            </w:tcBorders>
          </w:tcPr>
          <w:p w:rsidR="009A7F87" w:rsidRPr="00770229" w:rsidRDefault="009A7F87" w:rsidP="009A7F87">
            <w:pPr>
              <w:pStyle w:val="TableBodyText"/>
              <w:jc w:val="left"/>
            </w:pPr>
            <w:r w:rsidRPr="00770229">
              <w:t>It is assumed that there is no cost differential for this GPC category.</w:t>
            </w:r>
          </w:p>
        </w:tc>
      </w:tr>
      <w:tr w:rsidR="009A7F87" w:rsidRPr="0071369A" w:rsidTr="009A7F87">
        <w:tblPrEx>
          <w:tblBorders>
            <w:top w:val="none" w:sz="0" w:space="0" w:color="auto"/>
            <w:bottom w:val="none" w:sz="0" w:space="0" w:color="auto"/>
            <w:insideH w:val="none" w:sz="0" w:space="0" w:color="auto"/>
          </w:tblBorders>
        </w:tblPrEx>
        <w:tc>
          <w:tcPr>
            <w:tcW w:w="5000" w:type="pct"/>
            <w:gridSpan w:val="7"/>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6314"/>
        <w:gridCol w:w="2475"/>
        <w:gridCol w:w="7"/>
      </w:tblGrid>
      <w:tr w:rsidR="009A7F87" w:rsidRPr="00770229" w:rsidTr="00144C20">
        <w:tc>
          <w:tcPr>
            <w:tcW w:w="5000" w:type="pct"/>
            <w:gridSpan w:val="3"/>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spacing w:before="500"/>
            </w:pPr>
            <w:r>
              <w:br w:type="page"/>
            </w:r>
            <w:r w:rsidRPr="00770229">
              <w:br w:type="page"/>
            </w:r>
            <w:r>
              <w:t>0560.1</w:t>
            </w:r>
            <w:r w:rsidRPr="00770229">
              <w:t xml:space="preserve"> Pharmaceuticals, medical aids and appliances</w:t>
            </w:r>
            <w:r w:rsidRPr="00770229">
              <w:br/>
              <w:t xml:space="preserve"> </w:t>
            </w:r>
            <w:r>
              <w:t xml:space="preserve">           </w:t>
            </w:r>
            <w:r w:rsidRPr="00770229">
              <w:t>— benefit</w:t>
            </w:r>
            <w:r w:rsidRPr="00770229">
              <w:noBreakHyphen/>
              <w:t>paid pharmaceuticals</w:t>
            </w:r>
          </w:p>
        </w:tc>
      </w:tr>
      <w:tr w:rsidR="009A7F87" w:rsidRPr="00770229" w:rsidTr="00144C20">
        <w:tblPrEx>
          <w:tblBorders>
            <w:top w:val="none" w:sz="0" w:space="0" w:color="auto"/>
            <w:bottom w:val="none" w:sz="0" w:space="0" w:color="auto"/>
            <w:insideH w:val="none" w:sz="0" w:space="0" w:color="auto"/>
          </w:tblBorders>
          <w:tblCellMar>
            <w:left w:w="108" w:type="dxa"/>
            <w:right w:w="108" w:type="dxa"/>
          </w:tblCellMar>
        </w:tblPrEx>
        <w:tc>
          <w:tcPr>
            <w:tcW w:w="3589" w:type="pct"/>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2"/>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3"/>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3"/>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The Australian Government has expenditures on pharmaceuticals provided outside of hospitals through the Pharmaceutical Benefits Scheme (PBS) and the Repatriation Pharmaceutical Benefits Scheme (RPBS). This allows Medicare patients to purchase pharmacy prescription medications that have been approved under the scheme at a standard subsidised price.</w:t>
            </w:r>
          </w:p>
          <w:p w:rsidR="009A7F87" w:rsidRPr="00770229" w:rsidRDefault="009A7F87" w:rsidP="009A7F87">
            <w:pPr>
              <w:pStyle w:val="TableBodyText"/>
              <w:keepNext w:val="0"/>
              <w:spacing w:before="60" w:after="60"/>
              <w:jc w:val="left"/>
              <w:rPr>
                <w:i/>
              </w:rPr>
            </w:pPr>
            <w:r w:rsidRPr="00770229">
              <w:rPr>
                <w:i/>
              </w:rPr>
              <w:t>The AIHW maps services in this category to NMDS code 503.</w:t>
            </w:r>
          </w:p>
          <w:p w:rsidR="009A7F87" w:rsidRPr="00770229" w:rsidRDefault="009A7F87" w:rsidP="009A7F87">
            <w:pPr>
              <w:pStyle w:val="TableBodyText"/>
              <w:keepNext w:val="0"/>
              <w:spacing w:before="60" w:after="60"/>
              <w:jc w:val="left"/>
            </w:pPr>
            <w:r w:rsidRPr="00770229">
              <w:t>Pharmaceuticals, medical aids and appliances — benefit</w:t>
            </w:r>
            <w:r w:rsidRPr="00770229">
              <w:noBreakHyphen/>
              <w:t>paid pharmaceuticals is a sub</w:t>
            </w:r>
            <w:r w:rsidRPr="00770229">
              <w:noBreakHyphen/>
              <w:t xml:space="preserve">category of pharmaceuticals, medical aids and appliances (GPC 0560). </w:t>
            </w:r>
          </w:p>
          <w:p w:rsidR="009A7F87" w:rsidRPr="00770229" w:rsidRDefault="009A7F87" w:rsidP="009A7F87">
            <w:pPr>
              <w:pStyle w:val="TableBodyText"/>
              <w:keepNext w:val="0"/>
              <w:spacing w:before="60" w:after="60"/>
              <w:jc w:val="left"/>
            </w:pPr>
            <w:r w:rsidRPr="00770229">
              <w:t xml:space="preserve">An overview of how the AIHW method has been adapted for the Indigenous Expenditure Report, and the service use measures, </w:t>
            </w:r>
            <w:r w:rsidRPr="00DA3D60">
              <w:t>Indigenous</w:t>
            </w:r>
            <w:r w:rsidRPr="00317BFD">
              <w:rPr>
                <w:sz w:val="24"/>
                <w:szCs w:val="24"/>
              </w:rPr>
              <w:t xml:space="preserve"> </w:t>
            </w:r>
            <w:r w:rsidRPr="00770229">
              <w:t>under</w:t>
            </w:r>
            <w:r w:rsidRPr="00770229">
              <w:noBreakHyphen/>
              <w:t xml:space="preserve">identification, and cost differential factors provided by the AIHW for the </w:t>
            </w:r>
            <w:r>
              <w:t>2017 Report</w:t>
            </w:r>
            <w:r w:rsidRPr="00770229">
              <w:t xml:space="preserve"> is presented in </w:t>
            </w:r>
            <w:r>
              <w:t>section 5.1</w:t>
            </w:r>
            <w:r w:rsidRPr="00770229">
              <w:t>.</w:t>
            </w:r>
          </w:p>
          <w:p w:rsidR="009A7F87" w:rsidRPr="00770229" w:rsidRDefault="009A7F87" w:rsidP="009A7F87">
            <w:pPr>
              <w:pStyle w:val="TableBodyText"/>
              <w:jc w:val="left"/>
              <w:rPr>
                <w:b/>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3"/>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40" w:after="80"/>
              <w:jc w:val="left"/>
              <w:rPr>
                <w:b/>
                <w:i/>
                <w:sz w:val="24"/>
              </w:rPr>
            </w:pPr>
            <w:r w:rsidRPr="00770229">
              <w:rPr>
                <w:b/>
                <w:sz w:val="24"/>
              </w:rPr>
              <w:t xml:space="preserve">Cost drivers </w:t>
            </w:r>
          </w:p>
        </w:tc>
      </w:tr>
      <w:tr w:rsidR="009A7F87" w:rsidRPr="00770229" w:rsidTr="00A672D0">
        <w:tc>
          <w:tcPr>
            <w:tcW w:w="5000" w:type="pct"/>
            <w:gridSpan w:val="3"/>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sidRPr="00770229">
              <w:t>The key cost drivers for benefit</w:t>
            </w:r>
            <w:r w:rsidRPr="00770229">
              <w:noBreakHyphen/>
              <w:t>paid pharmaceuticals are:</w:t>
            </w:r>
          </w:p>
          <w:p w:rsidR="009A7F87" w:rsidRPr="00770229" w:rsidRDefault="009A7F87" w:rsidP="009A7F87">
            <w:pPr>
              <w:pStyle w:val="TableBullet"/>
              <w:numPr>
                <w:ilvl w:val="0"/>
                <w:numId w:val="24"/>
              </w:numPr>
              <w:spacing w:line="220" w:lineRule="atLeast"/>
            </w:pPr>
            <w:r w:rsidRPr="00770229">
              <w:t>the demand for PBS and RPBS medications in the Australian community</w:t>
            </w:r>
          </w:p>
          <w:p w:rsidR="009A7F87" w:rsidRPr="00770229" w:rsidRDefault="009A7F87" w:rsidP="009A7F87">
            <w:pPr>
              <w:pStyle w:val="TableBullet"/>
              <w:numPr>
                <w:ilvl w:val="0"/>
                <w:numId w:val="24"/>
              </w:numPr>
              <w:spacing w:line="220" w:lineRule="atLeast"/>
            </w:pPr>
            <w:r w:rsidRPr="00770229">
              <w:t>the cost of subsidising PBS and RPBS medications as part of the programs (and patient contributions to the cost of supplying the pharmaceutical)</w:t>
            </w:r>
          </w:p>
          <w:p w:rsidR="009A7F87" w:rsidRPr="00770229" w:rsidRDefault="009A7F87" w:rsidP="009A7F87">
            <w:pPr>
              <w:pStyle w:val="TableBullet"/>
              <w:numPr>
                <w:ilvl w:val="0"/>
                <w:numId w:val="24"/>
              </w:numPr>
              <w:spacing w:line="220" w:lineRule="atLeast"/>
            </w:pPr>
            <w:r w:rsidRPr="00770229">
              <w:t>whether a patent is held for a specific pharmaceutical (if a patent has expired, then it is possible for generic versions of the pharmaceutical to enter the market and lower costs of supply)</w:t>
            </w:r>
          </w:p>
          <w:p w:rsidR="009A7F87" w:rsidRPr="00770229" w:rsidRDefault="009A7F87" w:rsidP="009A7F87">
            <w:pPr>
              <w:pStyle w:val="TableBullet"/>
              <w:numPr>
                <w:ilvl w:val="0"/>
                <w:numId w:val="24"/>
              </w:numPr>
              <w:spacing w:line="220" w:lineRule="atLeast"/>
            </w:pPr>
            <w:r w:rsidRPr="00770229">
              <w:t>the number of approved pharmaceuticals included on the PBS and RPBS lists</w:t>
            </w:r>
          </w:p>
          <w:p w:rsidR="009A7F87" w:rsidRPr="00770229" w:rsidRDefault="009A7F87" w:rsidP="009A7F87">
            <w:pPr>
              <w:pStyle w:val="TableBullet"/>
              <w:numPr>
                <w:ilvl w:val="0"/>
                <w:numId w:val="24"/>
              </w:numPr>
              <w:spacing w:line="220" w:lineRule="atLeast"/>
            </w:pPr>
            <w:r w:rsidRPr="00770229">
              <w:t>operational and administrative costs associated with running the schemes</w:t>
            </w:r>
          </w:p>
          <w:p w:rsidR="009A7F87" w:rsidRPr="00770229" w:rsidRDefault="009A7F87" w:rsidP="009A7F87">
            <w:pPr>
              <w:pStyle w:val="TableBullet"/>
              <w:numPr>
                <w:ilvl w:val="0"/>
                <w:numId w:val="24"/>
              </w:numPr>
              <w:spacing w:line="220" w:lineRule="atLeast"/>
            </w:pPr>
            <w:r w:rsidRPr="00770229">
              <w:t>whether competition exists in the pharmaceuticals market (branded and generic pharmaceuticals)</w:t>
            </w:r>
          </w:p>
          <w:p w:rsidR="009A7F87" w:rsidRPr="00770229" w:rsidRDefault="009A7F87" w:rsidP="009A7F87">
            <w:pPr>
              <w:pStyle w:val="TableBullet"/>
              <w:numPr>
                <w:ilvl w:val="0"/>
                <w:numId w:val="24"/>
              </w:numPr>
              <w:spacing w:line="220" w:lineRule="atLeast"/>
            </w:pPr>
            <w:r w:rsidRPr="00770229">
              <w:t>standards and regulations legislated by the Commonwealth Government.</w:t>
            </w:r>
          </w:p>
          <w:p w:rsidR="009A7F87" w:rsidRPr="00770229" w:rsidRDefault="009A7F87" w:rsidP="009A7F87">
            <w:pPr>
              <w:pStyle w:val="TableBodyText"/>
              <w:keepNext w:val="0"/>
              <w:spacing w:before="60" w:after="60"/>
              <w:jc w:val="left"/>
            </w:pPr>
            <w:r w:rsidRPr="00770229">
              <w:t>Patient contributions — under the PBS, there is a maximum cost for a pharmaceutical benefit item at a pharmacy for general patients and concessional patients. The remainder is paid by the Government.</w:t>
            </w:r>
          </w:p>
          <w:p w:rsidR="009A7F87" w:rsidRPr="00770229" w:rsidRDefault="009A7F87" w:rsidP="009A7F87">
            <w:pPr>
              <w:pStyle w:val="TableBodyText"/>
              <w:keepNext w:val="0"/>
              <w:spacing w:before="60" w:after="60"/>
              <w:jc w:val="left"/>
            </w:pPr>
            <w:r w:rsidRPr="00770229">
              <w:t>General patients who reach the Safety Net threshold and have a Safety Net concession card only pay the standard concessional patient contribution for PBS items.</w:t>
            </w:r>
          </w:p>
          <w:p w:rsidR="009A7F87" w:rsidRPr="00770229" w:rsidRDefault="009A7F87" w:rsidP="009A7F87">
            <w:pPr>
              <w:pStyle w:val="TableBodyText"/>
              <w:keepNext w:val="0"/>
              <w:spacing w:before="60" w:after="60"/>
              <w:jc w:val="left"/>
            </w:pPr>
            <w:r w:rsidRPr="00770229">
              <w:t>Concessional patients who reach the Safety Net threshold and have a Safety Net entitlement card receive PBS items for free. The concessional Safety Net threshold also applies to gold, white, or orange card holders under the RPBS.</w:t>
            </w:r>
          </w:p>
          <w:p w:rsidR="009A7F87" w:rsidRPr="00770229" w:rsidRDefault="009A7F87" w:rsidP="009A7F87">
            <w:pPr>
              <w:pStyle w:val="TableBodyText"/>
              <w:keepNext w:val="0"/>
              <w:spacing w:before="60" w:after="60"/>
              <w:jc w:val="left"/>
            </w:pPr>
            <w:r w:rsidRPr="00770229">
              <w:t>The patient contribution rates are usually adjusted on 1 January each year.</w:t>
            </w:r>
          </w:p>
          <w:p w:rsidR="009A7F87" w:rsidRPr="00770229" w:rsidRDefault="009A7F87" w:rsidP="009A7F87">
            <w:pPr>
              <w:pStyle w:val="TableBodyText"/>
              <w:keepNext w:val="0"/>
              <w:spacing w:before="60" w:after="60"/>
              <w:jc w:val="left"/>
              <w:rPr>
                <w:szCs w:val="26"/>
              </w:rPr>
            </w:pPr>
            <w:r w:rsidRPr="00770229">
              <w:t>These cost drivers are based on development and research undertaken by the AIHW for the Expenditure on Health for Aboriginal and Torres Strait Islander People reports.</w:t>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2"/>
            <w:tcBorders>
              <w:top w:val="nil"/>
              <w:left w:val="nil"/>
              <w:bottom w:val="nil"/>
              <w:right w:val="nil"/>
            </w:tcBorders>
            <w:shd w:val="clear" w:color="auto" w:fill="auto"/>
          </w:tcPr>
          <w:p w:rsidR="009A7F87" w:rsidRPr="00863029" w:rsidRDefault="009A7F87" w:rsidP="009A7F87">
            <w:pPr>
              <w:pStyle w:val="Note"/>
              <w:jc w:val="right"/>
            </w:pPr>
            <w:r>
              <w:t>(continued next page)</w:t>
            </w:r>
          </w:p>
        </w:tc>
      </w:tr>
      <w:tr w:rsidR="009A7F87" w:rsidRPr="005C478E" w:rsidTr="009A7F87">
        <w:tblPrEx>
          <w:tblBorders>
            <w:top w:val="none" w:sz="0" w:space="0" w:color="auto"/>
            <w:bottom w:val="none" w:sz="0" w:space="0" w:color="auto"/>
            <w:insideH w:val="none" w:sz="0" w:space="0" w:color="auto"/>
          </w:tblBorders>
        </w:tblPrEx>
        <w:tc>
          <w:tcPr>
            <w:tcW w:w="5000" w:type="pct"/>
            <w:gridSpan w:val="3"/>
            <w:tcBorders>
              <w:bottom w:val="single" w:sz="12" w:space="0" w:color="78A22F" w:themeColor="accent1"/>
            </w:tcBorders>
            <w:shd w:val="clear" w:color="auto" w:fill="auto"/>
            <w:tcMar>
              <w:top w:w="57" w:type="dxa"/>
              <w:left w:w="113" w:type="dxa"/>
            </w:tcMar>
          </w:tcPr>
          <w:p w:rsidR="009A7F87" w:rsidRPr="005C478E" w:rsidRDefault="009A7F87" w:rsidP="009A7F87">
            <w:pPr>
              <w:pStyle w:val="Box"/>
              <w:spacing w:before="0" w:line="120" w:lineRule="exact"/>
              <w:rPr>
                <w:sz w:val="10"/>
                <w:szCs w:val="10"/>
              </w:rPr>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774"/>
        <w:gridCol w:w="2417"/>
        <w:gridCol w:w="1027"/>
        <w:gridCol w:w="1029"/>
        <w:gridCol w:w="1029"/>
        <w:gridCol w:w="1026"/>
      </w:tblGrid>
      <w:tr w:rsidR="009A7F87" w:rsidRPr="00770229" w:rsidTr="00144C20">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C05C71" w:rsidRDefault="009A7F87" w:rsidP="009A7F87">
            <w:pPr>
              <w:pStyle w:val="Heading3"/>
              <w:rPr>
                <w:sz w:val="18"/>
                <w:szCs w:val="18"/>
              </w:rPr>
            </w:pPr>
            <w:r>
              <w:br w:type="page"/>
            </w:r>
            <w:r>
              <w:br w:type="page"/>
            </w:r>
            <w:r>
              <w:br w:type="page"/>
            </w:r>
            <w:r w:rsidRPr="00C05C71">
              <w:rPr>
                <w:sz w:val="18"/>
                <w:szCs w:val="18"/>
              </w:rPr>
              <w:t>(continued)</w:t>
            </w:r>
          </w:p>
        </w:tc>
      </w:tr>
      <w:tr w:rsidR="009A7F87" w:rsidRPr="00770229" w:rsidTr="00144C20">
        <w:tblPrEx>
          <w:tblBorders>
            <w:top w:val="none" w:sz="0" w:space="0" w:color="auto"/>
            <w:bottom w:val="none" w:sz="0" w:space="0" w:color="auto"/>
            <w:insideH w:val="none" w:sz="0" w:space="0" w:color="auto"/>
          </w:tblBorders>
        </w:tblPrEx>
        <w:tc>
          <w:tcPr>
            <w:tcW w:w="5000" w:type="pct"/>
            <w:gridSpan w:val="7"/>
            <w:tcBorders>
              <w:top w:val="single" w:sz="12"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40" w:after="80"/>
              <w:jc w:val="left"/>
              <w:rPr>
                <w:b/>
                <w:i/>
                <w:sz w:val="24"/>
                <w:szCs w:val="24"/>
              </w:rPr>
            </w:pPr>
            <w:r w:rsidRPr="003E0E68">
              <w:rPr>
                <w:b/>
                <w:sz w:val="24"/>
                <w:szCs w:val="24"/>
              </w:rPr>
              <w:t>Service use measure</w:t>
            </w:r>
            <w:r>
              <w:rPr>
                <w:b/>
                <w:sz w:val="24"/>
                <w:szCs w:val="24"/>
              </w:rPr>
              <w:t>s</w:t>
            </w:r>
            <w:r w:rsidRPr="003E0E68">
              <w:rPr>
                <w:b/>
                <w:sz w:val="24"/>
                <w:szCs w:val="24"/>
              </w:rPr>
              <w:t xml:space="preserve"> </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EF1A03" w:rsidRDefault="009A7F87" w:rsidP="009A7F87">
            <w:pPr>
              <w:pStyle w:val="TableColumnHeading"/>
              <w:keepNext w:val="0"/>
              <w:jc w:val="left"/>
            </w:pPr>
          </w:p>
        </w:tc>
        <w:tc>
          <w:tcPr>
            <w:tcW w:w="1814" w:type="pct"/>
            <w:gridSpan w:val="2"/>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ColumnHeading"/>
              <w:keepNext w:val="0"/>
              <w:ind w:left="180"/>
              <w:jc w:val="left"/>
            </w:pPr>
          </w:p>
        </w:tc>
        <w:tc>
          <w:tcPr>
            <w:tcW w:w="2337" w:type="pct"/>
            <w:gridSpan w:val="4"/>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ColumnHeading"/>
              <w:keepNext w:val="0"/>
              <w:ind w:left="180"/>
              <w:jc w:val="center"/>
            </w:pPr>
            <w:r w:rsidRPr="00EF1A03">
              <w:t>Data Years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EF1A03" w:rsidRDefault="009A7F87" w:rsidP="009A7F87">
            <w:pPr>
              <w:pStyle w:val="TableBodyText"/>
              <w:keepNext w:val="0"/>
              <w:spacing w:before="60" w:after="60"/>
              <w:ind w:left="0"/>
              <w:jc w:val="both"/>
              <w:rPr>
                <w:i/>
              </w:rPr>
            </w:pPr>
            <w:r w:rsidRPr="00EF1A03">
              <w:rPr>
                <w:i/>
              </w:rPr>
              <w:br/>
              <w:t>Measure</w:t>
            </w:r>
          </w:p>
        </w:tc>
        <w:tc>
          <w:tcPr>
            <w:tcW w:w="1814" w:type="pct"/>
            <w:gridSpan w:val="2"/>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180"/>
              <w:jc w:val="left"/>
              <w:rPr>
                <w:i/>
              </w:rPr>
            </w:pPr>
            <w:r w:rsidRPr="00EF1A03">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2008</w:t>
            </w:r>
            <w:r w:rsidRPr="00EF1A03">
              <w:rPr>
                <w:i/>
              </w:rPr>
              <w:noBreakHyphen/>
              <w:t>09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2010</w:t>
            </w:r>
            <w:r w:rsidRPr="00EF1A03">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2012</w:t>
            </w:r>
            <w:r w:rsidRPr="00EF1A03">
              <w:rPr>
                <w:i/>
              </w:rPr>
              <w:noBreakHyphen/>
              <w:t>13 Estimates</w:t>
            </w:r>
          </w:p>
        </w:tc>
        <w:tc>
          <w:tcPr>
            <w:tcW w:w="583" w:type="pct"/>
            <w:tcBorders>
              <w:top w:val="single" w:sz="6" w:space="0" w:color="808080" w:themeColor="background1" w:themeShade="80"/>
              <w:bottom w:val="single" w:sz="6" w:space="0" w:color="808080" w:themeColor="background1" w:themeShade="80"/>
            </w:tcBorders>
          </w:tcPr>
          <w:p w:rsidR="009A7F87" w:rsidRPr="00EF1A03" w:rsidRDefault="009A7F87" w:rsidP="009A7F87">
            <w:pPr>
              <w:pStyle w:val="TableBodyText"/>
              <w:keepNext w:val="0"/>
              <w:spacing w:before="60" w:after="60"/>
              <w:ind w:left="2"/>
              <w:jc w:val="center"/>
              <w:rPr>
                <w:i/>
              </w:rPr>
            </w:pPr>
            <w:r w:rsidRPr="00EF1A03">
              <w:rPr>
                <w:i/>
              </w:rPr>
              <w:t>2015</w:t>
            </w:r>
            <w:r w:rsidRPr="00EF1A03">
              <w:rPr>
                <w:i/>
              </w:rPr>
              <w:noBreakHyphen/>
              <w:t>16 Estimates</w:t>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spacing w:after="0"/>
              <w:jc w:val="left"/>
            </w:pPr>
            <w:r w:rsidRPr="00770229">
              <w:t>Aboriginal and Torres Strait Islander share of Medicare expenditure and adjusted based on Medicare’s Voluntary Indigenous Identifier (VII)</w:t>
            </w:r>
          </w:p>
        </w:tc>
        <w:tc>
          <w:tcPr>
            <w:tcW w:w="1814" w:type="pct"/>
            <w:gridSpan w:val="2"/>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Unpublished AIHW estimates based on </w:t>
            </w:r>
            <w:r w:rsidRPr="00633D8F">
              <w:rPr>
                <w:i/>
              </w:rPr>
              <w:t>AIHW Expenditure on Health for Aboriginal and Torres Strait Islander People</w:t>
            </w:r>
          </w:p>
        </w:tc>
        <w:tc>
          <w:tcPr>
            <w:tcW w:w="584"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r>
              <w:br/>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rsidRPr="00DB3652">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tcBorders>
              <w:top w:val="single" w:sz="6" w:space="0" w:color="808080" w:themeColor="background1" w:themeShade="80"/>
              <w:bottom w:val="single" w:sz="6" w:space="0" w:color="808080" w:themeColor="background1" w:themeShade="80"/>
            </w:tcBorders>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324AF1" w:rsidTr="00A672D0">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324AF1" w:rsidRDefault="009A7F87" w:rsidP="009A7F87">
            <w:pPr>
              <w:pStyle w:val="TableBodyText"/>
              <w:keepNext w:val="0"/>
              <w:keepLines w:val="0"/>
              <w:spacing w:before="40" w:after="80"/>
              <w:jc w:val="left"/>
              <w:rPr>
                <w:b/>
                <w:sz w:val="24"/>
                <w:szCs w:val="24"/>
              </w:rPr>
            </w:pPr>
            <w:r w:rsidRPr="00324AF1">
              <w:rPr>
                <w:b/>
                <w:sz w:val="24"/>
                <w:szCs w:val="24"/>
              </w:rPr>
              <w:t>AIHW method</w:t>
            </w:r>
          </w:p>
        </w:tc>
      </w:tr>
      <w:tr w:rsidR="009A7F87" w:rsidRPr="00770229" w:rsidTr="00A672D0">
        <w:tc>
          <w:tcPr>
            <w:tcW w:w="1289" w:type="pct"/>
            <w:gridSpan w:val="2"/>
            <w:tcBorders>
              <w:top w:val="single" w:sz="6" w:space="0" w:color="808080" w:themeColor="background1" w:themeShade="80"/>
              <w:bottom w:val="nil"/>
            </w:tcBorders>
            <w:tcMar>
              <w:top w:w="57" w:type="dxa"/>
              <w:left w:w="113" w:type="dxa"/>
            </w:tcMar>
          </w:tcPr>
          <w:p w:rsidR="009A7F87" w:rsidRPr="00770229" w:rsidRDefault="009A7F87" w:rsidP="009A7F87">
            <w:pPr>
              <w:pStyle w:val="TableBodyText"/>
              <w:jc w:val="left"/>
              <w:rPr>
                <w:b/>
                <w:sz w:val="24"/>
              </w:rPr>
            </w:pPr>
            <w:r w:rsidRPr="00770229">
              <w:rPr>
                <w:i/>
              </w:rPr>
              <w:t>Service use measures:</w:t>
            </w:r>
          </w:p>
        </w:tc>
        <w:tc>
          <w:tcPr>
            <w:tcW w:w="3711" w:type="pct"/>
            <w:gridSpan w:val="5"/>
            <w:tcBorders>
              <w:top w:val="single" w:sz="6" w:space="0" w:color="808080" w:themeColor="background1" w:themeShade="80"/>
              <w:bottom w:val="nil"/>
            </w:tcBorders>
          </w:tcPr>
          <w:p w:rsidR="009A7F87" w:rsidRPr="00770229" w:rsidRDefault="009A7F87" w:rsidP="009A7F87">
            <w:pPr>
              <w:pStyle w:val="TableBodyText"/>
              <w:jc w:val="left"/>
            </w:pPr>
            <w:r w:rsidRPr="00770229">
              <w:t>The service use measure for benefit</w:t>
            </w:r>
            <w:r w:rsidRPr="00770229">
              <w:noBreakHyphen/>
              <w:t>paid pharmaceuticals is derived from Medicare data that have been flagged with Medicare’s Voluntary Indigenous Identifier (VII).</w:t>
            </w:r>
          </w:p>
          <w:p w:rsidR="009A7F87" w:rsidRPr="00770229" w:rsidRDefault="009A7F87" w:rsidP="009A7F87">
            <w:pPr>
              <w:pStyle w:val="TableBodyText"/>
              <w:jc w:val="left"/>
            </w:pPr>
            <w:r w:rsidRPr="00770229">
              <w:t>The AIHW derives estimates of expenditure on benefit</w:t>
            </w:r>
            <w:r w:rsidRPr="00770229">
              <w:noBreakHyphen/>
              <w:t xml:space="preserve">paid pharmaceuticals for Aboriginal and Torres Strait Islander Australians using Medicare’s Voluntary Indigenous Identifier (VII) data to estimate prescription pharmaceuticals provided to them. This approach is an improvement on the methodology used in earlier reports and was first introduced in the AIHW’ </w:t>
            </w:r>
            <w:r w:rsidRPr="00770229">
              <w:rPr>
                <w:i/>
              </w:rPr>
              <w:t>Expenditure on Health for Aboriginal and Torres Strait Islander People, 2006</w:t>
            </w:r>
            <w:r w:rsidRPr="00770229">
              <w:rPr>
                <w:i/>
              </w:rPr>
              <w:noBreakHyphen/>
              <w:t xml:space="preserve">07 </w:t>
            </w:r>
            <w:r w:rsidRPr="00770229">
              <w:t>report.</w:t>
            </w:r>
          </w:p>
        </w:tc>
      </w:tr>
      <w:tr w:rsidR="009A7F87" w:rsidRPr="00770229" w:rsidTr="009A7F87">
        <w:tc>
          <w:tcPr>
            <w:tcW w:w="1289" w:type="pct"/>
            <w:gridSpan w:val="2"/>
            <w:tcBorders>
              <w:top w:val="nil"/>
              <w:bottom w:val="nil"/>
            </w:tcBorders>
            <w:tcMar>
              <w:top w:w="57" w:type="dxa"/>
              <w:left w:w="113" w:type="dxa"/>
            </w:tcMar>
          </w:tcPr>
          <w:p w:rsidR="009A7F87" w:rsidRPr="00770229" w:rsidRDefault="009A7F87" w:rsidP="009A7F87">
            <w:pPr>
              <w:pStyle w:val="TableBodyText"/>
              <w:jc w:val="left"/>
              <w:rPr>
                <w:i/>
              </w:rPr>
            </w:pPr>
            <w:r w:rsidRPr="00770229">
              <w:rPr>
                <w:i/>
              </w:rPr>
              <w:t xml:space="preserve">Indigenous status </w:t>
            </w:r>
            <w:r w:rsidRPr="00770229">
              <w:rPr>
                <w:i/>
              </w:rPr>
              <w:br/>
              <w:t>under</w:t>
            </w:r>
            <w:r w:rsidRPr="00770229">
              <w:rPr>
                <w:i/>
              </w:rPr>
              <w:noBreakHyphen/>
              <w:t>identification:</w:t>
            </w:r>
          </w:p>
        </w:tc>
        <w:tc>
          <w:tcPr>
            <w:tcW w:w="3711" w:type="pct"/>
            <w:gridSpan w:val="5"/>
            <w:tcBorders>
              <w:top w:val="nil"/>
              <w:bottom w:val="nil"/>
            </w:tcBorders>
          </w:tcPr>
          <w:p w:rsidR="009A7F87" w:rsidRPr="00770229" w:rsidRDefault="009A7F87" w:rsidP="009A7F87">
            <w:pPr>
              <w:pStyle w:val="TableBodyText"/>
              <w:jc w:val="left"/>
            </w:pPr>
            <w:r w:rsidRPr="00770229">
              <w:t xml:space="preserve">It is assumed that there is no </w:t>
            </w:r>
            <w:r>
              <w:t>Indigenous under-identification</w:t>
            </w:r>
            <w:r w:rsidRPr="00770229">
              <w:t xml:space="preserve"> for this GPC category. </w:t>
            </w:r>
          </w:p>
        </w:tc>
      </w:tr>
      <w:tr w:rsidR="009A7F87" w:rsidRPr="00770229" w:rsidTr="009A7F87">
        <w:tc>
          <w:tcPr>
            <w:tcW w:w="1289" w:type="pct"/>
            <w:gridSpan w:val="2"/>
            <w:tcBorders>
              <w:top w:val="nil"/>
              <w:bottom w:val="nil"/>
            </w:tcBorders>
            <w:tcMar>
              <w:top w:w="57" w:type="dxa"/>
              <w:left w:w="113" w:type="dxa"/>
            </w:tcMar>
          </w:tcPr>
          <w:p w:rsidR="009A7F87" w:rsidRPr="00770229" w:rsidRDefault="009A7F87" w:rsidP="009A7F87">
            <w:pPr>
              <w:pStyle w:val="TableBodyText"/>
              <w:jc w:val="left"/>
              <w:rPr>
                <w:i/>
              </w:rPr>
            </w:pPr>
            <w:r w:rsidRPr="00770229">
              <w:rPr>
                <w:i/>
              </w:rPr>
              <w:t>Service delivery cost differential:</w:t>
            </w:r>
          </w:p>
        </w:tc>
        <w:tc>
          <w:tcPr>
            <w:tcW w:w="3711" w:type="pct"/>
            <w:gridSpan w:val="5"/>
            <w:tcBorders>
              <w:top w:val="nil"/>
              <w:bottom w:val="nil"/>
            </w:tcBorders>
          </w:tcPr>
          <w:p w:rsidR="009A7F87" w:rsidRPr="00770229" w:rsidRDefault="009A7F87" w:rsidP="009A7F87">
            <w:pPr>
              <w:pStyle w:val="TableBodyText"/>
              <w:jc w:val="left"/>
            </w:pPr>
            <w:r w:rsidRPr="00770229">
              <w:t>It is assumed that there is no cost differential for this GPC category.</w:t>
            </w:r>
          </w:p>
        </w:tc>
      </w:tr>
      <w:tr w:rsidR="009A7F87" w:rsidRPr="0071369A" w:rsidTr="009A7F87">
        <w:tblPrEx>
          <w:tblBorders>
            <w:top w:val="none" w:sz="0" w:space="0" w:color="auto"/>
            <w:bottom w:val="none" w:sz="0" w:space="0" w:color="auto"/>
            <w:insideH w:val="none" w:sz="0" w:space="0" w:color="auto"/>
          </w:tblBorders>
        </w:tblPrEx>
        <w:tc>
          <w:tcPr>
            <w:tcW w:w="5000" w:type="pct"/>
            <w:gridSpan w:val="7"/>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774"/>
        <w:gridCol w:w="2417"/>
        <w:gridCol w:w="1027"/>
        <w:gridCol w:w="602"/>
        <w:gridCol w:w="427"/>
        <w:gridCol w:w="1029"/>
        <w:gridCol w:w="1026"/>
      </w:tblGrid>
      <w:tr w:rsidR="009A7F87" w:rsidRPr="00770229" w:rsidTr="00144C20">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spacing w:before="440"/>
            </w:pPr>
            <w:r w:rsidRPr="00770229">
              <w:br w:type="page"/>
            </w:r>
            <w:r>
              <w:t>0560.2</w:t>
            </w:r>
            <w:r w:rsidRPr="00770229">
              <w:t xml:space="preserve"> Pharmaceuticals, medical aids and appliances </w:t>
            </w:r>
            <w:r w:rsidRPr="00770229">
              <w:br/>
            </w:r>
            <w:r>
              <w:tab/>
              <w:t xml:space="preserve">  </w:t>
            </w:r>
            <w:r w:rsidRPr="00770229">
              <w:t>— other medications</w:t>
            </w:r>
          </w:p>
        </w:tc>
      </w:tr>
      <w:tr w:rsidR="009A7F87" w:rsidRPr="00770229" w:rsidTr="00144C20">
        <w:tblPrEx>
          <w:tblBorders>
            <w:top w:val="none" w:sz="0" w:space="0" w:color="auto"/>
            <w:bottom w:val="none" w:sz="0" w:space="0" w:color="auto"/>
            <w:insideH w:val="none" w:sz="0" w:space="0" w:color="auto"/>
          </w:tblBorders>
          <w:tblCellMar>
            <w:left w:w="108" w:type="dxa"/>
            <w:right w:w="108" w:type="dxa"/>
          </w:tblCellMar>
        </w:tblPrEx>
        <w:tc>
          <w:tcPr>
            <w:tcW w:w="3589" w:type="pct"/>
            <w:gridSpan w:val="5"/>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3"/>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324AF1"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324AF1" w:rsidRDefault="009A7F87" w:rsidP="009A7F87">
            <w:pPr>
              <w:pStyle w:val="TableBodyText"/>
              <w:keepNext w:val="0"/>
              <w:keepLines w:val="0"/>
              <w:spacing w:before="40" w:after="80"/>
              <w:jc w:val="left"/>
              <w:rPr>
                <w:b/>
                <w:sz w:val="24"/>
                <w:szCs w:val="24"/>
              </w:rPr>
            </w:pPr>
            <w:r w:rsidRPr="00324AF1">
              <w:rPr>
                <w:b/>
                <w:sz w:val="24"/>
                <w:szCs w:val="24"/>
              </w:rPr>
              <w:t>Service description</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Any government expenditure on medications and medical products that are not listed under the PBS or RPBS, such as complementary therapies that attract government funding, or supplies of medical products such as bandages outside of hospital, are considered as other medications.</w:t>
            </w:r>
          </w:p>
          <w:p w:rsidR="009A7F87" w:rsidRPr="00770229" w:rsidRDefault="009A7F87" w:rsidP="009A7F87">
            <w:pPr>
              <w:pStyle w:val="TableBodyText"/>
              <w:keepNext w:val="0"/>
              <w:spacing w:before="60" w:after="60"/>
              <w:jc w:val="left"/>
              <w:rPr>
                <w:i/>
              </w:rPr>
            </w:pPr>
            <w:r w:rsidRPr="00770229">
              <w:rPr>
                <w:i/>
              </w:rPr>
              <w:t>The AIHW maps services in this category to NMDS codes 503 and 599.</w:t>
            </w:r>
          </w:p>
          <w:p w:rsidR="009A7F87" w:rsidRPr="00770229" w:rsidRDefault="009A7F87" w:rsidP="009A7F87">
            <w:pPr>
              <w:pStyle w:val="TableBodyText"/>
              <w:keepNext w:val="0"/>
              <w:spacing w:before="60" w:after="60"/>
              <w:jc w:val="left"/>
            </w:pPr>
            <w:r w:rsidRPr="00770229">
              <w:t>Pharmaceuticals, medical aids and appliances — other medications is a sub</w:t>
            </w:r>
            <w:r w:rsidRPr="00770229">
              <w:noBreakHyphen/>
              <w:t>category of pharmaceuticals, medical aids and appliances (GPC 0560).</w:t>
            </w:r>
          </w:p>
          <w:p w:rsidR="009A7F87" w:rsidRPr="00770229" w:rsidRDefault="009A7F87" w:rsidP="009A7F87">
            <w:pPr>
              <w:pStyle w:val="TableBodyText"/>
              <w:keepNext w:val="0"/>
              <w:spacing w:before="60" w:after="60"/>
              <w:jc w:val="left"/>
            </w:pPr>
            <w:r w:rsidRPr="00770229">
              <w:t xml:space="preserve">An overview of how the AIHW method has been adapted for the Indigenous Expenditure Report, and the service use measures, </w:t>
            </w:r>
            <w:r w:rsidRPr="00DA3D60">
              <w:t>Indigenous</w:t>
            </w:r>
            <w:r w:rsidRPr="00317BFD">
              <w:rPr>
                <w:sz w:val="24"/>
                <w:szCs w:val="24"/>
              </w:rPr>
              <w:t xml:space="preserve"> </w:t>
            </w:r>
            <w:r w:rsidRPr="00770229">
              <w:t>under</w:t>
            </w:r>
            <w:r w:rsidRPr="00770229">
              <w:noBreakHyphen/>
              <w:t xml:space="preserve">identification, and cost differential factors provided by the AIHW for the </w:t>
            </w:r>
            <w:r>
              <w:t>2017 Report</w:t>
            </w:r>
            <w:r w:rsidRPr="00770229">
              <w:t xml:space="preserve"> is presented in </w:t>
            </w:r>
            <w:r>
              <w:t>section 5.1</w:t>
            </w:r>
            <w:r w:rsidRPr="00770229">
              <w:t>.</w:t>
            </w:r>
          </w:p>
          <w:p w:rsidR="009A7F87" w:rsidRPr="00770229" w:rsidRDefault="009A7F87" w:rsidP="009A7F87">
            <w:pPr>
              <w:pStyle w:val="TableBodyText"/>
              <w:jc w:val="left"/>
              <w:rPr>
                <w:b/>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40" w:after="80"/>
              <w:jc w:val="left"/>
              <w:rPr>
                <w:b/>
                <w:i/>
                <w:sz w:val="24"/>
              </w:rPr>
            </w:pPr>
            <w:r w:rsidRPr="00770229">
              <w:rPr>
                <w:b/>
                <w:sz w:val="24"/>
              </w:rPr>
              <w:t xml:space="preserve">Cost drivers </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sidRPr="00770229">
              <w:t>The key cost driver of other medications is the patient demand for medications not listed under the PBS or RPBS (but are provided by government).</w:t>
            </w:r>
          </w:p>
          <w:p w:rsidR="009A7F87" w:rsidRPr="00770229" w:rsidRDefault="009A7F87" w:rsidP="009A7F87">
            <w:pPr>
              <w:pStyle w:val="TableBodyText"/>
              <w:keepNext w:val="0"/>
              <w:spacing w:before="60" w:after="60"/>
              <w:jc w:val="left"/>
              <w:rPr>
                <w:szCs w:val="26"/>
              </w:rPr>
            </w:pPr>
            <w:r w:rsidRPr="00770229">
              <w:t>This cost driver is based on development and research undertaken by the AIHW for the Expenditure on Health for Aboriginal and Torres Strait Islander People reports.</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40" w:after="80"/>
              <w:jc w:val="left"/>
              <w:rPr>
                <w:b/>
                <w:i/>
                <w:sz w:val="24"/>
                <w:szCs w:val="24"/>
              </w:rPr>
            </w:pPr>
            <w:r w:rsidRPr="00770229">
              <w:rPr>
                <w:b/>
                <w:sz w:val="24"/>
                <w:szCs w:val="24"/>
              </w:rPr>
              <w:t>Service use measures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EF1A03" w:rsidRDefault="009A7F87" w:rsidP="009A7F87">
            <w:pPr>
              <w:pStyle w:val="TableColumnHeading"/>
              <w:keepNext w:val="0"/>
              <w:spacing w:before="40"/>
              <w:jc w:val="left"/>
            </w:pPr>
          </w:p>
        </w:tc>
        <w:tc>
          <w:tcPr>
            <w:tcW w:w="1814" w:type="pct"/>
            <w:gridSpan w:val="2"/>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ColumnHeading"/>
              <w:keepNext w:val="0"/>
              <w:spacing w:before="40"/>
              <w:ind w:left="180"/>
              <w:jc w:val="left"/>
            </w:pPr>
          </w:p>
        </w:tc>
        <w:tc>
          <w:tcPr>
            <w:tcW w:w="2337" w:type="pct"/>
            <w:gridSpan w:val="5"/>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ColumnHeading"/>
              <w:keepNext w:val="0"/>
              <w:spacing w:before="40"/>
              <w:ind w:left="180"/>
              <w:jc w:val="center"/>
            </w:pPr>
            <w:r w:rsidRPr="00EF1A03">
              <w:t>Data Years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EF1A03" w:rsidRDefault="009A7F87" w:rsidP="009A7F87">
            <w:pPr>
              <w:pStyle w:val="TableBodyText"/>
              <w:keepNext w:val="0"/>
              <w:spacing w:before="60" w:after="60"/>
              <w:ind w:left="0"/>
              <w:jc w:val="both"/>
              <w:rPr>
                <w:i/>
              </w:rPr>
            </w:pPr>
            <w:r w:rsidRPr="00EF1A03">
              <w:rPr>
                <w:i/>
              </w:rPr>
              <w:br/>
              <w:t>Measure</w:t>
            </w:r>
          </w:p>
        </w:tc>
        <w:tc>
          <w:tcPr>
            <w:tcW w:w="1814" w:type="pct"/>
            <w:gridSpan w:val="2"/>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180"/>
              <w:jc w:val="left"/>
              <w:rPr>
                <w:i/>
              </w:rPr>
            </w:pPr>
            <w:r w:rsidRPr="00EF1A03">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2008</w:t>
            </w:r>
            <w:r w:rsidRPr="00EF1A03">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2010</w:t>
            </w:r>
            <w:r w:rsidRPr="00EF1A03">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2012</w:t>
            </w:r>
            <w:r w:rsidRPr="00EF1A03">
              <w:rPr>
                <w:i/>
              </w:rPr>
              <w:noBreakHyphen/>
              <w:t>13 Estimates</w:t>
            </w:r>
          </w:p>
        </w:tc>
        <w:tc>
          <w:tcPr>
            <w:tcW w:w="583" w:type="pct"/>
            <w:tcBorders>
              <w:top w:val="single" w:sz="6" w:space="0" w:color="808080" w:themeColor="background1" w:themeShade="80"/>
              <w:bottom w:val="single" w:sz="6" w:space="0" w:color="808080" w:themeColor="background1" w:themeShade="80"/>
            </w:tcBorders>
          </w:tcPr>
          <w:p w:rsidR="009A7F87" w:rsidRPr="00EF1A03" w:rsidRDefault="009A7F87" w:rsidP="009A7F87">
            <w:pPr>
              <w:pStyle w:val="TableBodyText"/>
              <w:keepNext w:val="0"/>
              <w:spacing w:before="60" w:after="60"/>
              <w:ind w:left="2"/>
              <w:jc w:val="center"/>
              <w:rPr>
                <w:i/>
              </w:rPr>
            </w:pPr>
            <w:r w:rsidRPr="00EF1A03">
              <w:rPr>
                <w:i/>
              </w:rPr>
              <w:t>2015</w:t>
            </w:r>
            <w:r w:rsidRPr="00EF1A03">
              <w:rPr>
                <w:i/>
              </w:rPr>
              <w:noBreakHyphen/>
              <w:t>16 Estimates</w:t>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spacing w:after="0"/>
              <w:jc w:val="left"/>
            </w:pPr>
            <w:r w:rsidRPr="00770229">
              <w:t>Aboriginal and Torres Strait Islander share of expenditure provided by jurisdictions</w:t>
            </w:r>
          </w:p>
        </w:tc>
        <w:tc>
          <w:tcPr>
            <w:tcW w:w="1814" w:type="pct"/>
            <w:gridSpan w:val="2"/>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Unpublished AIHW estimates based on </w:t>
            </w:r>
            <w:r w:rsidRPr="00633D8F">
              <w:rPr>
                <w:i/>
              </w:rPr>
              <w:t>AIHW</w:t>
            </w:r>
            <w:r w:rsidRPr="00770229">
              <w:t xml:space="preserve"> </w:t>
            </w:r>
            <w:r w:rsidRPr="00AD51F8">
              <w:rPr>
                <w:i/>
              </w:rPr>
              <w:t>Expenditure on Health for Aboriginal and Torres Strait Islander People</w:t>
            </w:r>
          </w:p>
        </w:tc>
        <w:tc>
          <w:tcPr>
            <w:tcW w:w="584"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rsidRPr="00DB3652">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tcBorders>
              <w:top w:val="single" w:sz="6" w:space="0" w:color="808080" w:themeColor="background1" w:themeShade="80"/>
              <w:bottom w:val="single" w:sz="6" w:space="0" w:color="808080" w:themeColor="background1" w:themeShade="80"/>
            </w:tcBorders>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324AF1"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324AF1" w:rsidRDefault="009A7F87" w:rsidP="009A7F87">
            <w:pPr>
              <w:pStyle w:val="TableBodyText"/>
              <w:keepNext w:val="0"/>
              <w:keepLines w:val="0"/>
              <w:spacing w:before="40" w:after="80"/>
              <w:jc w:val="left"/>
              <w:rPr>
                <w:b/>
                <w:sz w:val="24"/>
                <w:szCs w:val="24"/>
              </w:rPr>
            </w:pPr>
            <w:r w:rsidRPr="00324AF1">
              <w:rPr>
                <w:b/>
                <w:sz w:val="24"/>
                <w:szCs w:val="24"/>
              </w:rPr>
              <w:t>AIHW method</w:t>
            </w:r>
          </w:p>
        </w:tc>
      </w:tr>
      <w:tr w:rsidR="009A7F87" w:rsidRPr="00770229" w:rsidTr="00A672D0">
        <w:tc>
          <w:tcPr>
            <w:tcW w:w="1289" w:type="pct"/>
            <w:gridSpan w:val="2"/>
            <w:tcBorders>
              <w:top w:val="single" w:sz="6" w:space="0" w:color="808080" w:themeColor="background1" w:themeShade="80"/>
              <w:bottom w:val="nil"/>
            </w:tcBorders>
            <w:tcMar>
              <w:top w:w="57" w:type="dxa"/>
              <w:left w:w="113" w:type="dxa"/>
            </w:tcMar>
          </w:tcPr>
          <w:p w:rsidR="009A7F87" w:rsidRPr="00770229" w:rsidRDefault="009A7F87" w:rsidP="009A7F87">
            <w:pPr>
              <w:pStyle w:val="TableBodyText"/>
              <w:jc w:val="left"/>
              <w:rPr>
                <w:b/>
                <w:sz w:val="24"/>
              </w:rPr>
            </w:pPr>
            <w:r w:rsidRPr="00770229">
              <w:rPr>
                <w:i/>
              </w:rPr>
              <w:t>Service use measures:</w:t>
            </w:r>
          </w:p>
        </w:tc>
        <w:tc>
          <w:tcPr>
            <w:tcW w:w="3711" w:type="pct"/>
            <w:gridSpan w:val="6"/>
            <w:tcBorders>
              <w:top w:val="single" w:sz="6" w:space="0" w:color="808080" w:themeColor="background1" w:themeShade="80"/>
              <w:bottom w:val="nil"/>
            </w:tcBorders>
          </w:tcPr>
          <w:p w:rsidR="009A7F87" w:rsidRPr="00770229" w:rsidRDefault="009A7F87" w:rsidP="009A7F87">
            <w:pPr>
              <w:pStyle w:val="TableBodyText"/>
              <w:jc w:val="left"/>
            </w:pPr>
            <w:r w:rsidRPr="00770229">
              <w:t>The service use measure recorded for other medications is derived from Medicare data that have been flagged with Medicare’s Voluntary Indigenous Identifier (VII), as there is no service use measure recorded for other medications, in expenditure data obtained from other jurisdictions.</w:t>
            </w:r>
          </w:p>
          <w:p w:rsidR="009A7F87" w:rsidRPr="00770229" w:rsidRDefault="009A7F87" w:rsidP="009A7F87">
            <w:pPr>
              <w:pStyle w:val="TableBodyText"/>
              <w:jc w:val="left"/>
            </w:pPr>
            <w:r w:rsidRPr="00770229">
              <w:t>While data is relatively robust for the Commonwealth and across the states and territories for some components of Other medication expenditure, it is difficult to accurately measure how much Aboriginal and Torres Strait Islander Australians pay (in out</w:t>
            </w:r>
            <w:r w:rsidRPr="00770229">
              <w:noBreakHyphen/>
              <w:t>of</w:t>
            </w:r>
            <w:r w:rsidRPr="00770229">
              <w:noBreakHyphen/>
              <w:t>pocket terms) for over</w:t>
            </w:r>
            <w:r w:rsidRPr="00770229">
              <w:noBreakHyphen/>
              <w:t>the</w:t>
            </w:r>
            <w:r w:rsidRPr="00770229">
              <w:noBreakHyphen/>
              <w:t>counter medicines and for medical non</w:t>
            </w:r>
            <w:r w:rsidRPr="00770229">
              <w:noBreakHyphen/>
              <w:t>durables.</w:t>
            </w:r>
          </w:p>
        </w:tc>
      </w:tr>
      <w:tr w:rsidR="009A7F87" w:rsidRPr="00770229" w:rsidTr="009A7F87">
        <w:tc>
          <w:tcPr>
            <w:tcW w:w="1289" w:type="pct"/>
            <w:gridSpan w:val="2"/>
            <w:tcBorders>
              <w:top w:val="nil"/>
              <w:bottom w:val="nil"/>
            </w:tcBorders>
            <w:tcMar>
              <w:top w:w="57" w:type="dxa"/>
              <w:left w:w="113" w:type="dxa"/>
            </w:tcMar>
          </w:tcPr>
          <w:p w:rsidR="009A7F87" w:rsidRPr="00770229" w:rsidRDefault="009A7F87" w:rsidP="009A7F87">
            <w:pPr>
              <w:pStyle w:val="TableBodyText"/>
              <w:jc w:val="left"/>
              <w:rPr>
                <w:i/>
              </w:rPr>
            </w:pPr>
            <w:r w:rsidRPr="00770229">
              <w:rPr>
                <w:i/>
              </w:rPr>
              <w:t xml:space="preserve">Indigenous status </w:t>
            </w:r>
            <w:r w:rsidRPr="00770229">
              <w:rPr>
                <w:i/>
              </w:rPr>
              <w:br/>
              <w:t>under</w:t>
            </w:r>
            <w:r w:rsidRPr="00770229">
              <w:rPr>
                <w:i/>
              </w:rPr>
              <w:noBreakHyphen/>
              <w:t>identification:</w:t>
            </w:r>
          </w:p>
        </w:tc>
        <w:tc>
          <w:tcPr>
            <w:tcW w:w="3711" w:type="pct"/>
            <w:gridSpan w:val="6"/>
            <w:tcBorders>
              <w:top w:val="nil"/>
              <w:bottom w:val="nil"/>
            </w:tcBorders>
          </w:tcPr>
          <w:p w:rsidR="009A7F87" w:rsidRPr="00770229" w:rsidRDefault="009A7F87" w:rsidP="009A7F87">
            <w:pPr>
              <w:pStyle w:val="TableBodyText"/>
              <w:jc w:val="left"/>
            </w:pPr>
            <w:r w:rsidRPr="00770229">
              <w:t xml:space="preserve">It is assumed that there is no </w:t>
            </w:r>
            <w:r>
              <w:t>Indigenous under-identification</w:t>
            </w:r>
            <w:r w:rsidRPr="00770229">
              <w:t xml:space="preserve"> for this GPC category. </w:t>
            </w:r>
          </w:p>
        </w:tc>
      </w:tr>
      <w:tr w:rsidR="009A7F87" w:rsidRPr="00770229" w:rsidTr="009A7F87">
        <w:tc>
          <w:tcPr>
            <w:tcW w:w="1289" w:type="pct"/>
            <w:gridSpan w:val="2"/>
            <w:tcBorders>
              <w:top w:val="nil"/>
              <w:bottom w:val="nil"/>
            </w:tcBorders>
            <w:tcMar>
              <w:top w:w="57" w:type="dxa"/>
              <w:left w:w="113" w:type="dxa"/>
            </w:tcMar>
          </w:tcPr>
          <w:p w:rsidR="009A7F87" w:rsidRPr="00770229" w:rsidRDefault="009A7F87" w:rsidP="009A7F87">
            <w:pPr>
              <w:pStyle w:val="TableBodyText"/>
              <w:jc w:val="left"/>
              <w:rPr>
                <w:i/>
              </w:rPr>
            </w:pPr>
            <w:r w:rsidRPr="00770229">
              <w:rPr>
                <w:i/>
              </w:rPr>
              <w:t>Service delivery cost differential:</w:t>
            </w:r>
          </w:p>
        </w:tc>
        <w:tc>
          <w:tcPr>
            <w:tcW w:w="3711" w:type="pct"/>
            <w:gridSpan w:val="6"/>
            <w:tcBorders>
              <w:top w:val="nil"/>
              <w:bottom w:val="nil"/>
            </w:tcBorders>
          </w:tcPr>
          <w:p w:rsidR="009A7F87" w:rsidRPr="00770229" w:rsidRDefault="009A7F87" w:rsidP="009A7F87">
            <w:pPr>
              <w:pStyle w:val="TableBodyText"/>
              <w:jc w:val="left"/>
            </w:pPr>
            <w:r w:rsidRPr="00770229">
              <w:t>It is assumed that there is no cost differential for this GPC category.</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144C20">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br w:type="page"/>
            </w:r>
            <w:r w:rsidRPr="00770229">
              <w:br w:type="page"/>
              <w:t>0</w:t>
            </w:r>
            <w:r>
              <w:t>560.3</w:t>
            </w:r>
            <w:r w:rsidRPr="00770229">
              <w:t xml:space="preserve"> Pharmaceuticals, medical aids and appliances </w:t>
            </w:r>
            <w:r w:rsidRPr="00770229">
              <w:br/>
            </w:r>
            <w:r>
              <w:t xml:space="preserve">            </w:t>
            </w:r>
            <w:r w:rsidRPr="00770229">
              <w:t>— aids and appliances</w:t>
            </w:r>
          </w:p>
        </w:tc>
      </w:tr>
      <w:tr w:rsidR="009A7F87" w:rsidRPr="00770229" w:rsidTr="00144C20">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Australian Government  has expenditure on aids and appliances used for health purposes and supplied in an ambulatory setting, such as glasses, hearing aids, wheel chairs and other medical prostheses (outside of those used in operations) through hospitals and under the Medicare system. In some cases, State, Territory and community organisations may also contribute to providing these services. </w:t>
            </w:r>
          </w:p>
          <w:p w:rsidR="009A7F87" w:rsidRPr="00770229" w:rsidRDefault="009A7F87" w:rsidP="009A7F87">
            <w:pPr>
              <w:pStyle w:val="TableBodyText"/>
              <w:keepNext w:val="0"/>
              <w:spacing w:before="60" w:after="60"/>
              <w:jc w:val="left"/>
              <w:rPr>
                <w:i/>
              </w:rPr>
            </w:pPr>
            <w:r w:rsidRPr="00770229">
              <w:rPr>
                <w:i/>
              </w:rPr>
              <w:t>The AIHW maps services in this category to NMDS code 504.</w:t>
            </w:r>
          </w:p>
          <w:p w:rsidR="009A7F87" w:rsidRPr="00770229" w:rsidRDefault="009A7F87" w:rsidP="009A7F87">
            <w:pPr>
              <w:pStyle w:val="TableBodyText"/>
              <w:keepNext w:val="0"/>
              <w:spacing w:before="60" w:after="60"/>
              <w:jc w:val="left"/>
            </w:pPr>
            <w:r w:rsidRPr="00770229">
              <w:t>Pharmaceuticals, medical aids and appliances — aids and appliances is a sub</w:t>
            </w:r>
            <w:r w:rsidRPr="00770229">
              <w:noBreakHyphen/>
              <w:t xml:space="preserve">category of pharmaceuticals, medical aids and appliances (GPC 0560). </w:t>
            </w:r>
          </w:p>
          <w:p w:rsidR="009A7F87" w:rsidRPr="00770229" w:rsidRDefault="009A7F87" w:rsidP="009A7F87">
            <w:pPr>
              <w:pStyle w:val="TableBodyText"/>
              <w:keepNext w:val="0"/>
              <w:spacing w:before="60" w:after="60"/>
              <w:jc w:val="left"/>
            </w:pPr>
            <w:r w:rsidRPr="00770229">
              <w:t xml:space="preserve">An overview of how the AIHW method has been adapted for the Indigenous Expenditure Report, and the service use measures, </w:t>
            </w:r>
            <w:r w:rsidRPr="00DA3D60">
              <w:t>Indigenous</w:t>
            </w:r>
            <w:r w:rsidRPr="00317BFD">
              <w:rPr>
                <w:sz w:val="24"/>
                <w:szCs w:val="24"/>
              </w:rPr>
              <w:t xml:space="preserve"> </w:t>
            </w:r>
            <w:r w:rsidRPr="00770229">
              <w:t>under</w:t>
            </w:r>
            <w:r w:rsidRPr="00770229">
              <w:noBreakHyphen/>
              <w:t xml:space="preserve">identification, and cost differential factors provided by the AIHW for the </w:t>
            </w:r>
            <w:r>
              <w:t>2017 Report</w:t>
            </w:r>
            <w:r w:rsidRPr="00770229">
              <w:t xml:space="preserve"> is presented in </w:t>
            </w:r>
            <w:r>
              <w:t>section 5.1</w:t>
            </w:r>
            <w:r w:rsidRPr="00770229">
              <w:t>.</w:t>
            </w:r>
          </w:p>
          <w:p w:rsidR="009A7F87" w:rsidRPr="00770229" w:rsidRDefault="009A7F87" w:rsidP="009A7F87">
            <w:pPr>
              <w:pStyle w:val="TableBodyText"/>
              <w:jc w:val="left"/>
              <w:rPr>
                <w:b/>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40" w:after="80"/>
              <w:jc w:val="left"/>
              <w:rPr>
                <w:b/>
                <w:i/>
                <w:sz w:val="24"/>
              </w:rPr>
            </w:pPr>
            <w:r w:rsidRPr="00770229">
              <w:rPr>
                <w:b/>
                <w:sz w:val="24"/>
              </w:rPr>
              <w:t xml:space="preserve">Cost drivers </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sidRPr="00770229">
              <w:t>The key cost drivers of expenditure on aids and appliances are:</w:t>
            </w:r>
          </w:p>
          <w:p w:rsidR="009A7F87" w:rsidRPr="00770229" w:rsidRDefault="009A7F87" w:rsidP="009A7F87">
            <w:pPr>
              <w:pStyle w:val="TableBullet"/>
              <w:numPr>
                <w:ilvl w:val="0"/>
                <w:numId w:val="24"/>
              </w:numPr>
              <w:spacing w:line="220" w:lineRule="atLeast"/>
              <w:rPr>
                <w:rFonts w:cs="Arial"/>
              </w:rPr>
            </w:pPr>
            <w:r w:rsidRPr="00770229">
              <w:t>the demand for medical aids and appliances by patients</w:t>
            </w:r>
          </w:p>
          <w:p w:rsidR="009A7F87" w:rsidRPr="00770229" w:rsidRDefault="009A7F87" w:rsidP="009A7F87">
            <w:pPr>
              <w:pStyle w:val="TableBullet"/>
              <w:numPr>
                <w:ilvl w:val="0"/>
                <w:numId w:val="24"/>
              </w:numPr>
              <w:spacing w:line="220" w:lineRule="atLeast"/>
              <w:rPr>
                <w:rFonts w:cs="Arial"/>
              </w:rPr>
            </w:pPr>
            <w:r w:rsidRPr="00770229">
              <w:t>the cost of medical professionals and other staff involved in the assessment and consultation with patients requiring medical aids and appliances</w:t>
            </w:r>
          </w:p>
          <w:p w:rsidR="009A7F87" w:rsidRPr="00770229" w:rsidRDefault="009A7F87" w:rsidP="009A7F87">
            <w:pPr>
              <w:pStyle w:val="TableBullet"/>
              <w:numPr>
                <w:ilvl w:val="0"/>
                <w:numId w:val="24"/>
              </w:numPr>
              <w:spacing w:line="220" w:lineRule="atLeast"/>
              <w:rPr>
                <w:rFonts w:cs="Arial"/>
              </w:rPr>
            </w:pPr>
            <w:r w:rsidRPr="00770229">
              <w:t>ongoing support and evaluation of patients and other remedial activities associated with medical aids and appliances.</w:t>
            </w:r>
          </w:p>
          <w:p w:rsidR="009A7F87" w:rsidRPr="00770229" w:rsidRDefault="009A7F87" w:rsidP="009A7F87">
            <w:pPr>
              <w:pStyle w:val="TableBodyText"/>
              <w:keepNext w:val="0"/>
              <w:spacing w:before="60" w:after="60"/>
              <w:jc w:val="left"/>
              <w:rPr>
                <w:szCs w:val="26"/>
              </w:rPr>
            </w:pPr>
            <w:r w:rsidRPr="00770229">
              <w:t>These cost drivers are based on development and research undertaken by the AIHW for the Expenditure on Health for Aboriginal and Torres Strait Islander People reports.</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40" w:after="80"/>
              <w:jc w:val="left"/>
              <w:rPr>
                <w:b/>
                <w:i/>
                <w:sz w:val="24"/>
                <w:szCs w:val="24"/>
              </w:rPr>
            </w:pPr>
            <w:r w:rsidRPr="003E0E68">
              <w:rPr>
                <w:b/>
                <w:sz w:val="24"/>
                <w:szCs w:val="24"/>
              </w:rPr>
              <w:t xml:space="preserve">Service use measures </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EF1A03"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ColumnHeading"/>
              <w:keepNext w:val="0"/>
              <w:ind w:left="180"/>
              <w:jc w:val="center"/>
            </w:pPr>
            <w:r w:rsidRPr="00EF1A03">
              <w:t>Data Years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EF1A03" w:rsidRDefault="009A7F87" w:rsidP="009A7F87">
            <w:pPr>
              <w:pStyle w:val="TableBodyText"/>
              <w:keepNext w:val="0"/>
              <w:spacing w:before="60" w:after="60"/>
              <w:ind w:left="0"/>
              <w:jc w:val="both"/>
              <w:rPr>
                <w:i/>
              </w:rPr>
            </w:pPr>
            <w:r w:rsidRPr="00EF1A03">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180"/>
              <w:jc w:val="left"/>
              <w:rPr>
                <w:i/>
              </w:rPr>
            </w:pPr>
            <w:r w:rsidRPr="00EF1A03">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2008</w:t>
            </w:r>
            <w:r w:rsidRPr="00EF1A03">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2010</w:t>
            </w:r>
            <w:r w:rsidRPr="00EF1A03">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2012</w:t>
            </w:r>
            <w:r w:rsidRPr="00EF1A03">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EF1A03" w:rsidRDefault="009A7F87" w:rsidP="009A7F87">
            <w:pPr>
              <w:pStyle w:val="TableBodyText"/>
              <w:keepNext w:val="0"/>
              <w:spacing w:before="60" w:after="60"/>
              <w:ind w:left="2"/>
              <w:jc w:val="center"/>
              <w:rPr>
                <w:i/>
              </w:rPr>
            </w:pPr>
            <w:r w:rsidRPr="00EF1A03">
              <w:rPr>
                <w:i/>
              </w:rPr>
              <w:t>2015</w:t>
            </w:r>
            <w:r w:rsidRPr="00EF1A03">
              <w:rPr>
                <w:i/>
              </w:rPr>
              <w:noBreakHyphen/>
              <w:t>16 Estimates</w:t>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spacing w:after="0"/>
              <w:jc w:val="left"/>
            </w:pPr>
            <w:r w:rsidRPr="00770229">
              <w:t>Aboriginal and Torres Strait Islander share of expenditure on medical services provided under Medicare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Unpublished AIHW estimates based on </w:t>
            </w:r>
            <w:r w:rsidRPr="00633D8F">
              <w:rPr>
                <w:i/>
              </w:rPr>
              <w:t>AIHW Expenditure on Health for Aboriginal and Torres Strait Islander People</w:t>
            </w:r>
          </w:p>
        </w:tc>
        <w:tc>
          <w:tcPr>
            <w:tcW w:w="584"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rsidRPr="00DB3652">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gridSpan w:val="2"/>
            <w:tcBorders>
              <w:top w:val="single" w:sz="6" w:space="0" w:color="808080" w:themeColor="background1" w:themeShade="80"/>
              <w:bottom w:val="single" w:sz="6" w:space="0" w:color="808080" w:themeColor="background1" w:themeShade="80"/>
            </w:tcBorders>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863029" w:rsidRDefault="009A7F87" w:rsidP="009A7F87">
            <w:pPr>
              <w:pStyle w:val="Note"/>
              <w:jc w:val="right"/>
            </w:pPr>
            <w:r>
              <w:t>(continued next page)</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2268"/>
        <w:gridCol w:w="6528"/>
      </w:tblGrid>
      <w:tr w:rsidR="009A7F87" w:rsidRPr="00770229" w:rsidTr="00144C20">
        <w:tc>
          <w:tcPr>
            <w:tcW w:w="5000" w:type="pct"/>
            <w:gridSpan w:val="2"/>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C05C71" w:rsidRDefault="009A7F87" w:rsidP="009A7F87">
            <w:pPr>
              <w:pStyle w:val="Heading3"/>
              <w:rPr>
                <w:sz w:val="18"/>
                <w:szCs w:val="18"/>
              </w:rPr>
            </w:pPr>
            <w:r>
              <w:br w:type="page"/>
            </w:r>
            <w:r>
              <w:br w:type="page"/>
            </w:r>
            <w:r>
              <w:br w:type="page"/>
            </w:r>
            <w:r w:rsidRPr="00C05C71">
              <w:rPr>
                <w:sz w:val="18"/>
                <w:szCs w:val="18"/>
              </w:rPr>
              <w:t>(continued)</w:t>
            </w:r>
          </w:p>
        </w:tc>
      </w:tr>
      <w:tr w:rsidR="009A7F87" w:rsidRPr="00770229" w:rsidTr="00144C20">
        <w:tc>
          <w:tcPr>
            <w:tcW w:w="5000" w:type="pct"/>
            <w:gridSpan w:val="2"/>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Pr>
                <w:b/>
                <w:sz w:val="24"/>
              </w:rPr>
              <w:t>AIHW method</w:t>
            </w:r>
          </w:p>
        </w:tc>
      </w:tr>
      <w:tr w:rsidR="009A7F87" w:rsidRPr="00770229" w:rsidTr="00A672D0">
        <w:tc>
          <w:tcPr>
            <w:tcW w:w="1289" w:type="pct"/>
            <w:tcBorders>
              <w:top w:val="single" w:sz="6" w:space="0" w:color="808080" w:themeColor="background1" w:themeShade="80"/>
              <w:bottom w:val="nil"/>
            </w:tcBorders>
            <w:tcMar>
              <w:top w:w="57" w:type="dxa"/>
              <w:left w:w="113" w:type="dxa"/>
            </w:tcMar>
          </w:tcPr>
          <w:p w:rsidR="009A7F87" w:rsidRPr="00770229" w:rsidRDefault="009A7F87" w:rsidP="009A7F87">
            <w:pPr>
              <w:pStyle w:val="TableBodyText"/>
              <w:jc w:val="left"/>
              <w:rPr>
                <w:b/>
                <w:sz w:val="24"/>
              </w:rPr>
            </w:pPr>
            <w:r w:rsidRPr="00770229">
              <w:rPr>
                <w:i/>
              </w:rPr>
              <w:t>Service use measures:</w:t>
            </w:r>
          </w:p>
        </w:tc>
        <w:tc>
          <w:tcPr>
            <w:tcW w:w="3711" w:type="pct"/>
            <w:tcBorders>
              <w:top w:val="single" w:sz="6" w:space="0" w:color="808080" w:themeColor="background1" w:themeShade="80"/>
              <w:bottom w:val="nil"/>
            </w:tcBorders>
          </w:tcPr>
          <w:p w:rsidR="009A7F87" w:rsidRPr="00770229" w:rsidRDefault="009A7F87" w:rsidP="009A7F87">
            <w:pPr>
              <w:pStyle w:val="TableBodyText"/>
              <w:jc w:val="left"/>
            </w:pPr>
            <w:r w:rsidRPr="00770229">
              <w:t>The service use measure for aids and appliances is derived from Medicare data that have been flagged with Medicare’s Voluntary Indigenous Identifier (VII).</w:t>
            </w:r>
          </w:p>
        </w:tc>
      </w:tr>
      <w:tr w:rsidR="009A7F87" w:rsidRPr="00770229" w:rsidTr="0044346B">
        <w:tc>
          <w:tcPr>
            <w:tcW w:w="1289" w:type="pct"/>
            <w:tcBorders>
              <w:top w:val="nil"/>
              <w:bottom w:val="nil"/>
            </w:tcBorders>
            <w:tcMar>
              <w:top w:w="57" w:type="dxa"/>
              <w:left w:w="113" w:type="dxa"/>
            </w:tcMar>
          </w:tcPr>
          <w:p w:rsidR="009A7F87" w:rsidRPr="00770229" w:rsidRDefault="009A7F87" w:rsidP="009A7F87">
            <w:pPr>
              <w:pStyle w:val="TableBodyText"/>
              <w:jc w:val="left"/>
              <w:rPr>
                <w:b/>
                <w:sz w:val="24"/>
              </w:rPr>
            </w:pPr>
            <w:r w:rsidRPr="00770229">
              <w:rPr>
                <w:i/>
              </w:rPr>
              <w:t xml:space="preserve">Indigenous status </w:t>
            </w:r>
            <w:r w:rsidRPr="00770229">
              <w:rPr>
                <w:i/>
              </w:rPr>
              <w:br/>
              <w:t>under</w:t>
            </w:r>
            <w:r w:rsidRPr="00770229">
              <w:rPr>
                <w:i/>
              </w:rPr>
              <w:noBreakHyphen/>
              <w:t>identification:</w:t>
            </w:r>
          </w:p>
        </w:tc>
        <w:tc>
          <w:tcPr>
            <w:tcW w:w="3711" w:type="pct"/>
            <w:tcBorders>
              <w:top w:val="nil"/>
              <w:bottom w:val="nil"/>
            </w:tcBorders>
          </w:tcPr>
          <w:p w:rsidR="009A7F87" w:rsidRPr="00863029" w:rsidRDefault="009A7F87" w:rsidP="009A7F87">
            <w:pPr>
              <w:pStyle w:val="TableBodyText"/>
              <w:jc w:val="left"/>
            </w:pPr>
            <w:r w:rsidRPr="00770229">
              <w:t xml:space="preserve">It is assumed that there is no </w:t>
            </w:r>
            <w:r>
              <w:t>Indigenous under-identification</w:t>
            </w:r>
            <w:r w:rsidRPr="00770229">
              <w:t xml:space="preserve"> for this GPC category.</w:t>
            </w:r>
          </w:p>
        </w:tc>
      </w:tr>
      <w:tr w:rsidR="009A7F87" w:rsidRPr="00770229" w:rsidTr="0044346B">
        <w:tc>
          <w:tcPr>
            <w:tcW w:w="1289" w:type="pct"/>
            <w:tcBorders>
              <w:top w:val="nil"/>
              <w:bottom w:val="single" w:sz="6" w:space="0" w:color="808080" w:themeColor="background1" w:themeShade="80"/>
            </w:tcBorders>
            <w:tcMar>
              <w:top w:w="57" w:type="dxa"/>
              <w:left w:w="113" w:type="dxa"/>
            </w:tcMar>
          </w:tcPr>
          <w:p w:rsidR="009A7F87" w:rsidRPr="00770229" w:rsidRDefault="009A7F87" w:rsidP="009A7F87">
            <w:pPr>
              <w:pStyle w:val="TableBodyText"/>
              <w:jc w:val="left"/>
              <w:rPr>
                <w:b/>
                <w:sz w:val="24"/>
              </w:rPr>
            </w:pPr>
            <w:r w:rsidRPr="00770229">
              <w:rPr>
                <w:i/>
              </w:rPr>
              <w:t>Service delivery cost differential:</w:t>
            </w:r>
          </w:p>
        </w:tc>
        <w:tc>
          <w:tcPr>
            <w:tcW w:w="3711" w:type="pct"/>
            <w:tcBorders>
              <w:top w:val="nil"/>
              <w:bottom w:val="single" w:sz="6" w:space="0" w:color="808080" w:themeColor="background1" w:themeShade="80"/>
            </w:tcBorders>
          </w:tcPr>
          <w:p w:rsidR="009A7F87" w:rsidRPr="00770229" w:rsidRDefault="009A7F87" w:rsidP="009A7F87">
            <w:pPr>
              <w:pStyle w:val="TableBodyText"/>
              <w:jc w:val="left"/>
              <w:rPr>
                <w:b/>
                <w:sz w:val="24"/>
              </w:rPr>
            </w:pPr>
            <w:r w:rsidRPr="00770229">
              <w:t>It is assumed that there is no cost differential for this GPC category.</w:t>
            </w:r>
          </w:p>
        </w:tc>
      </w:tr>
      <w:tr w:rsidR="009A7F87" w:rsidRPr="0071369A" w:rsidTr="0044346B">
        <w:tblPrEx>
          <w:tblBorders>
            <w:top w:val="none" w:sz="0" w:space="0" w:color="auto"/>
            <w:bottom w:val="none" w:sz="0" w:space="0" w:color="auto"/>
            <w:insideH w:val="none" w:sz="0" w:space="0" w:color="auto"/>
          </w:tblBorders>
        </w:tblPrEx>
        <w:tc>
          <w:tcPr>
            <w:tcW w:w="5000" w:type="pct"/>
            <w:gridSpan w:val="2"/>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144C20">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r>
            <w:r>
              <w:t>0570</w:t>
            </w:r>
            <w:r w:rsidRPr="00770229">
              <w:t xml:space="preserve"> Health research</w:t>
            </w:r>
          </w:p>
        </w:tc>
      </w:tr>
      <w:tr w:rsidR="009A7F87" w:rsidRPr="00770229" w:rsidTr="00144C20">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There are a number of health research organisations in Australia, operating in the government, academic and not</w:t>
            </w:r>
            <w:r w:rsidRPr="00770229">
              <w:noBreakHyphen/>
              <w:t>for</w:t>
            </w:r>
            <w:r w:rsidRPr="00770229">
              <w:noBreakHyphen/>
              <w:t>profit sectors.</w:t>
            </w:r>
          </w:p>
          <w:p w:rsidR="009A7F87" w:rsidRPr="00770229" w:rsidRDefault="009A7F87" w:rsidP="009A7F87">
            <w:pPr>
              <w:pStyle w:val="TableBodyText"/>
              <w:spacing w:before="60" w:after="60"/>
              <w:jc w:val="left"/>
            </w:pPr>
            <w:r w:rsidRPr="00770229">
              <w:t>The National Health and Medical Research Council (NHMRC) is Australia’s primary health research institution operating at a national level. However, there are numerous smaller health research organisations, ranging from independent non</w:t>
            </w:r>
            <w:r w:rsidRPr="00770229">
              <w:noBreakHyphen/>
              <w:t xml:space="preserve">profit bodies to university research centres and hospital research programs. </w:t>
            </w:r>
          </w:p>
          <w:p w:rsidR="009A7F87" w:rsidRPr="00770229" w:rsidRDefault="009A7F87" w:rsidP="009A7F87">
            <w:pPr>
              <w:pStyle w:val="TableBodyText"/>
              <w:spacing w:before="60" w:after="60"/>
              <w:jc w:val="left"/>
            </w:pPr>
            <w:r w:rsidRPr="00770229">
              <w:t>A range of specific research institutions contribute to public health research efforts in Australia including centres which focus on women’s and children’s health, chronic illnesses and drugs and alcohol. State Government health departments also commonly employ their own in house research units.</w:t>
            </w:r>
          </w:p>
          <w:p w:rsidR="009A7F87" w:rsidRPr="00770229" w:rsidRDefault="009A7F87" w:rsidP="009A7F87">
            <w:pPr>
              <w:pStyle w:val="TableBodyText"/>
              <w:spacing w:before="60" w:after="60"/>
              <w:jc w:val="left"/>
            </w:pPr>
            <w:r w:rsidRPr="00770229">
              <w:rPr>
                <w:i/>
              </w:rPr>
              <w:t>The AIHW maps services in this category to NMDS codes 410 and 506.</w:t>
            </w:r>
          </w:p>
          <w:p w:rsidR="009A7F87" w:rsidRPr="00770229" w:rsidRDefault="009A7F87" w:rsidP="009A7F87">
            <w:pPr>
              <w:pStyle w:val="TableBodyText"/>
              <w:spacing w:before="60" w:after="60"/>
              <w:jc w:val="left"/>
              <w:rPr>
                <w:i/>
              </w:rPr>
            </w:pPr>
            <w:r w:rsidRPr="00770229">
              <w:t xml:space="preserve">An overview of how the AIHW method has been adapted for the Indigenous Expenditure Report, and the service use measures, </w:t>
            </w:r>
            <w:r w:rsidRPr="00DA3D60">
              <w:t>Indigenous</w:t>
            </w:r>
            <w:r w:rsidRPr="00317BFD">
              <w:rPr>
                <w:sz w:val="24"/>
                <w:szCs w:val="24"/>
              </w:rPr>
              <w:t xml:space="preserve"> </w:t>
            </w:r>
            <w:r w:rsidRPr="00770229">
              <w:t>under</w:t>
            </w:r>
            <w:r w:rsidRPr="00770229">
              <w:noBreakHyphen/>
              <w:t>identification, and cost differential factors provided by the AIHW for the 201</w:t>
            </w:r>
            <w:r>
              <w:t>7</w:t>
            </w:r>
            <w:r w:rsidRPr="00770229">
              <w:t xml:space="preserve"> Indigenous Expenditure Report is presented in </w:t>
            </w:r>
            <w:r>
              <w:t>section 5.1</w:t>
            </w:r>
            <w:r w:rsidRPr="00770229">
              <w:t>.</w:t>
            </w:r>
          </w:p>
          <w:p w:rsidR="009A7F87" w:rsidRPr="00770229" w:rsidRDefault="009A7F87" w:rsidP="009A7F87">
            <w:pPr>
              <w:pStyle w:val="TableBodyText"/>
              <w:jc w:val="left"/>
              <w:rPr>
                <w:b/>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40" w:after="80"/>
              <w:jc w:val="left"/>
              <w:rPr>
                <w:b/>
                <w:i/>
                <w:sz w:val="24"/>
              </w:rPr>
            </w:pPr>
            <w:r w:rsidRPr="00770229">
              <w:rPr>
                <w:b/>
                <w:sz w:val="24"/>
              </w:rPr>
              <w:t xml:space="preserve">Cost drivers </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sidRPr="00770229">
              <w:t>The key cost drivers for health research are:</w:t>
            </w:r>
          </w:p>
          <w:p w:rsidR="009A7F87" w:rsidRPr="00770229" w:rsidRDefault="009A7F87" w:rsidP="009A7F87">
            <w:pPr>
              <w:pStyle w:val="TableBullet"/>
              <w:numPr>
                <w:ilvl w:val="0"/>
                <w:numId w:val="24"/>
              </w:numPr>
              <w:spacing w:line="220" w:lineRule="atLeast"/>
            </w:pPr>
            <w:r w:rsidRPr="00770229">
              <w:t xml:space="preserve">commitments by health research organisations to undertake research that aligns with </w:t>
            </w:r>
            <w:r w:rsidRPr="00770229">
              <w:rPr>
                <w:i/>
              </w:rPr>
              <w:t>Closing the Gap</w:t>
            </w:r>
            <w:r w:rsidRPr="00770229">
              <w:t xml:space="preserve"> policy initiatives of the Australian Government and State/Territory governments and other policy settings</w:t>
            </w:r>
          </w:p>
          <w:p w:rsidR="009A7F87" w:rsidRPr="00770229" w:rsidRDefault="009A7F87" w:rsidP="009A7F87">
            <w:pPr>
              <w:pStyle w:val="TableBullet"/>
              <w:numPr>
                <w:ilvl w:val="0"/>
                <w:numId w:val="24"/>
              </w:numPr>
              <w:spacing w:line="220" w:lineRule="atLeast"/>
            </w:pPr>
            <w:r w:rsidRPr="00770229">
              <w:t>research organisations’ bids and applications for health research funding for Indigenous health and the success of their applications (given other health research priorities)</w:t>
            </w:r>
          </w:p>
          <w:p w:rsidR="009A7F87" w:rsidRPr="00770229" w:rsidRDefault="009A7F87" w:rsidP="009A7F87">
            <w:pPr>
              <w:pStyle w:val="TableBullet"/>
              <w:numPr>
                <w:ilvl w:val="0"/>
                <w:numId w:val="24"/>
              </w:numPr>
              <w:spacing w:line="220" w:lineRule="atLeast"/>
              <w:rPr>
                <w:rFonts w:cs="Arial"/>
              </w:rPr>
            </w:pPr>
            <w:r w:rsidRPr="00770229">
              <w:t>the prevalence and extent of health related conditions in the Aboriginal and Torres Strait Islander population, where health related research would provide significant improvements in alleviating these conditions (these conditions may be observed to a lesser extent in the non</w:t>
            </w:r>
            <w:r w:rsidRPr="00770229">
              <w:noBreakHyphen/>
              <w:t>Indigenous population).</w:t>
            </w:r>
          </w:p>
          <w:p w:rsidR="009A7F87" w:rsidRPr="00770229" w:rsidRDefault="009A7F87" w:rsidP="009A7F87">
            <w:pPr>
              <w:pStyle w:val="TableBodyText"/>
              <w:keepNext w:val="0"/>
              <w:spacing w:before="60" w:after="60"/>
              <w:jc w:val="left"/>
              <w:rPr>
                <w:szCs w:val="26"/>
              </w:rPr>
            </w:pPr>
            <w:r w:rsidRPr="00770229">
              <w:t>These cost drivers are based on development and research undertaken by the AIHW for the Expenditure on Health for Aboriginal and Torres Strait Islander People reports.</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40" w:after="80"/>
              <w:jc w:val="left"/>
              <w:rPr>
                <w:b/>
                <w:i/>
                <w:sz w:val="24"/>
                <w:szCs w:val="24"/>
              </w:rPr>
            </w:pPr>
            <w:r w:rsidRPr="00770229">
              <w:rPr>
                <w:b/>
                <w:sz w:val="24"/>
                <w:szCs w:val="24"/>
              </w:rPr>
              <w:t>Service use measures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EF1A03"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ColumnHeading"/>
              <w:keepNext w:val="0"/>
              <w:ind w:left="180"/>
              <w:jc w:val="center"/>
            </w:pPr>
            <w:r w:rsidRPr="00EF1A03">
              <w:t>Data Years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EF1A03" w:rsidRDefault="009A7F87" w:rsidP="009A7F87">
            <w:pPr>
              <w:pStyle w:val="TableBodyText"/>
              <w:keepNext w:val="0"/>
              <w:spacing w:before="60" w:after="60"/>
              <w:ind w:left="0"/>
              <w:jc w:val="both"/>
              <w:rPr>
                <w:i/>
              </w:rPr>
            </w:pPr>
            <w:r w:rsidRPr="00EF1A03">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180"/>
              <w:jc w:val="left"/>
              <w:rPr>
                <w:i/>
              </w:rPr>
            </w:pPr>
            <w:r w:rsidRPr="00EF1A03">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2008</w:t>
            </w:r>
            <w:r w:rsidRPr="00EF1A03">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2010</w:t>
            </w:r>
            <w:r w:rsidRPr="00EF1A03">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2012</w:t>
            </w:r>
            <w:r w:rsidRPr="00EF1A03">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EF1A03" w:rsidRDefault="009A7F87" w:rsidP="009A7F87">
            <w:pPr>
              <w:pStyle w:val="TableBodyText"/>
              <w:keepNext w:val="0"/>
              <w:spacing w:before="60" w:after="60"/>
              <w:ind w:left="2"/>
              <w:jc w:val="center"/>
              <w:rPr>
                <w:i/>
              </w:rPr>
            </w:pPr>
            <w:r w:rsidRPr="00EF1A03">
              <w:rPr>
                <w:i/>
              </w:rPr>
              <w:t>2015</w:t>
            </w:r>
            <w:r w:rsidRPr="00EF1A03">
              <w:rPr>
                <w:i/>
              </w:rPr>
              <w:noBreakHyphen/>
              <w:t>16 Estimates</w:t>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ullet"/>
              <w:numPr>
                <w:ilvl w:val="0"/>
                <w:numId w:val="0"/>
              </w:numPr>
              <w:spacing w:before="40"/>
            </w:pPr>
            <w:r w:rsidRPr="00770229">
              <w:t>Aboriginal and Torres Strait Islander proportion of resident population</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Unpublished AIHW estimates based on </w:t>
            </w:r>
            <w:r w:rsidRPr="00633D8F">
              <w:rPr>
                <w:i/>
              </w:rPr>
              <w:t>AIHW</w:t>
            </w:r>
            <w:r w:rsidRPr="00770229">
              <w:t xml:space="preserve"> </w:t>
            </w:r>
            <w:r w:rsidRPr="00634617">
              <w:rPr>
                <w:i/>
              </w:rPr>
              <w:t>Expenditure on Health for Aboriginal and Torres Strait Islander People</w:t>
            </w:r>
          </w:p>
        </w:tc>
        <w:tc>
          <w:tcPr>
            <w:tcW w:w="584"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rsidRPr="00DB3652">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gridSpan w:val="2"/>
            <w:tcBorders>
              <w:top w:val="single" w:sz="6" w:space="0" w:color="808080" w:themeColor="background1" w:themeShade="80"/>
              <w:bottom w:val="single" w:sz="6" w:space="0" w:color="808080" w:themeColor="background1" w:themeShade="80"/>
            </w:tcBorders>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863029" w:rsidRDefault="009A7F87" w:rsidP="009A7F87">
            <w:pPr>
              <w:pStyle w:val="Note"/>
              <w:jc w:val="right"/>
            </w:pPr>
            <w:r>
              <w:t>(continued next page)</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2268"/>
        <w:gridCol w:w="6528"/>
      </w:tblGrid>
      <w:tr w:rsidR="009A7F87" w:rsidRPr="00770229" w:rsidTr="00144C20">
        <w:tc>
          <w:tcPr>
            <w:tcW w:w="5000" w:type="pct"/>
            <w:gridSpan w:val="2"/>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C05C71" w:rsidRDefault="009A7F87" w:rsidP="009A7F87">
            <w:pPr>
              <w:pStyle w:val="Heading3"/>
              <w:rPr>
                <w:sz w:val="18"/>
                <w:szCs w:val="18"/>
              </w:rPr>
            </w:pPr>
            <w:r>
              <w:br w:type="page"/>
            </w:r>
            <w:r>
              <w:br w:type="page"/>
            </w:r>
            <w:r>
              <w:br w:type="page"/>
            </w:r>
            <w:r w:rsidRPr="00C05C71">
              <w:rPr>
                <w:sz w:val="18"/>
                <w:szCs w:val="18"/>
              </w:rPr>
              <w:t>(continued)</w:t>
            </w:r>
          </w:p>
        </w:tc>
      </w:tr>
      <w:tr w:rsidR="009A7F87" w:rsidRPr="00770229" w:rsidTr="00144C20">
        <w:tc>
          <w:tcPr>
            <w:tcW w:w="5000" w:type="pct"/>
            <w:gridSpan w:val="2"/>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Pr>
                <w:b/>
                <w:sz w:val="24"/>
              </w:rPr>
              <w:t>AIHW method</w:t>
            </w:r>
          </w:p>
        </w:tc>
      </w:tr>
      <w:tr w:rsidR="009A7F87" w:rsidRPr="00770229" w:rsidTr="00A672D0">
        <w:tc>
          <w:tcPr>
            <w:tcW w:w="1289" w:type="pct"/>
            <w:tcBorders>
              <w:top w:val="single" w:sz="6" w:space="0" w:color="808080" w:themeColor="background1" w:themeShade="80"/>
              <w:bottom w:val="nil"/>
            </w:tcBorders>
            <w:tcMar>
              <w:top w:w="57" w:type="dxa"/>
              <w:left w:w="113" w:type="dxa"/>
            </w:tcMar>
          </w:tcPr>
          <w:p w:rsidR="009A7F87" w:rsidRPr="00770229" w:rsidRDefault="009A7F87" w:rsidP="009A7F87">
            <w:pPr>
              <w:pStyle w:val="TableBodyText"/>
              <w:jc w:val="left"/>
              <w:rPr>
                <w:b/>
                <w:sz w:val="24"/>
              </w:rPr>
            </w:pPr>
            <w:r w:rsidRPr="00770229">
              <w:rPr>
                <w:i/>
              </w:rPr>
              <w:t>Service use measures:</w:t>
            </w:r>
          </w:p>
        </w:tc>
        <w:tc>
          <w:tcPr>
            <w:tcW w:w="3711" w:type="pct"/>
            <w:tcBorders>
              <w:top w:val="single" w:sz="6" w:space="0" w:color="808080" w:themeColor="background1" w:themeShade="80"/>
              <w:bottom w:val="nil"/>
            </w:tcBorders>
          </w:tcPr>
          <w:p w:rsidR="009A7F87" w:rsidRPr="00770229" w:rsidRDefault="009A7F87" w:rsidP="009A7F87">
            <w:pPr>
              <w:pStyle w:val="TableBodyText"/>
              <w:jc w:val="left"/>
            </w:pPr>
            <w:r w:rsidRPr="00770229">
              <w:t xml:space="preserve">The service use measure for health research is the </w:t>
            </w:r>
            <w:r w:rsidRPr="00D66BC5">
              <w:rPr>
                <w:i/>
              </w:rPr>
              <w:t>Aboriginal and Torres Strait Islander proportion of the resident population</w:t>
            </w:r>
            <w:r w:rsidRPr="00770229">
              <w:t>.</w:t>
            </w:r>
          </w:p>
          <w:p w:rsidR="009A7F87" w:rsidRPr="00770229" w:rsidRDefault="009A7F87" w:rsidP="009A7F87">
            <w:pPr>
              <w:pStyle w:val="TableBodyText"/>
              <w:jc w:val="left"/>
            </w:pPr>
            <w:r w:rsidRPr="00770229">
              <w:t>Data on health research is provided to the AIHW at the Commonwealth, State/Territory and non</w:t>
            </w:r>
            <w:r w:rsidRPr="00770229">
              <w:noBreakHyphen/>
              <w:t xml:space="preserve">government level. Information is sourced from </w:t>
            </w:r>
            <w:proofErr w:type="spellStart"/>
            <w:r w:rsidRPr="00770229">
              <w:t>DoHA</w:t>
            </w:r>
            <w:proofErr w:type="spellEnd"/>
            <w:r w:rsidRPr="00770229">
              <w:t xml:space="preserve"> (grants to the NHMRC), DVA, grants to universities, state/territory jurisdictions and the non</w:t>
            </w:r>
            <w:r w:rsidRPr="00770229">
              <w:noBreakHyphen/>
              <w:t xml:space="preserve">government sector. </w:t>
            </w:r>
          </w:p>
          <w:p w:rsidR="009A7F87" w:rsidRPr="00770229" w:rsidRDefault="009A7F87" w:rsidP="009A7F87">
            <w:pPr>
              <w:pStyle w:val="TableBodyText"/>
              <w:jc w:val="left"/>
            </w:pPr>
            <w:r w:rsidRPr="00770229">
              <w:t>The AIHW then undertakes a process of determining the most appropriate way to apportion total health research expenditure for Indigenous health related research.</w:t>
            </w:r>
          </w:p>
        </w:tc>
      </w:tr>
      <w:tr w:rsidR="009A7F87" w:rsidRPr="00770229" w:rsidTr="0044346B">
        <w:tc>
          <w:tcPr>
            <w:tcW w:w="1289" w:type="pct"/>
            <w:tcBorders>
              <w:top w:val="nil"/>
              <w:bottom w:val="nil"/>
            </w:tcBorders>
            <w:tcMar>
              <w:top w:w="57" w:type="dxa"/>
              <w:left w:w="113" w:type="dxa"/>
            </w:tcMar>
          </w:tcPr>
          <w:p w:rsidR="009A7F87" w:rsidRPr="00770229" w:rsidRDefault="009A7F87" w:rsidP="009A7F87">
            <w:pPr>
              <w:pStyle w:val="TableBodyText"/>
              <w:jc w:val="left"/>
              <w:rPr>
                <w:b/>
                <w:sz w:val="24"/>
              </w:rPr>
            </w:pPr>
            <w:r w:rsidRPr="00770229">
              <w:rPr>
                <w:i/>
              </w:rPr>
              <w:t xml:space="preserve">Indigenous status </w:t>
            </w:r>
            <w:r w:rsidRPr="00770229">
              <w:rPr>
                <w:i/>
              </w:rPr>
              <w:br/>
              <w:t>under</w:t>
            </w:r>
            <w:r w:rsidRPr="00770229">
              <w:rPr>
                <w:i/>
              </w:rPr>
              <w:noBreakHyphen/>
              <w:t>identification:</w:t>
            </w:r>
          </w:p>
        </w:tc>
        <w:tc>
          <w:tcPr>
            <w:tcW w:w="3711" w:type="pct"/>
            <w:tcBorders>
              <w:top w:val="nil"/>
              <w:bottom w:val="nil"/>
            </w:tcBorders>
          </w:tcPr>
          <w:p w:rsidR="009A7F87" w:rsidRPr="00863029" w:rsidRDefault="009A7F87" w:rsidP="009A7F87">
            <w:pPr>
              <w:pStyle w:val="TableBodyText"/>
              <w:jc w:val="left"/>
            </w:pPr>
            <w:r w:rsidRPr="00770229">
              <w:t xml:space="preserve">It is assumed that there is no </w:t>
            </w:r>
            <w:r>
              <w:t>Indigenous under-identification</w:t>
            </w:r>
            <w:r w:rsidRPr="00770229">
              <w:t xml:space="preserve"> for this GPC category.</w:t>
            </w:r>
          </w:p>
        </w:tc>
      </w:tr>
      <w:tr w:rsidR="009A7F87" w:rsidRPr="00770229" w:rsidTr="0044346B">
        <w:tc>
          <w:tcPr>
            <w:tcW w:w="1289" w:type="pct"/>
            <w:tcBorders>
              <w:top w:val="nil"/>
              <w:bottom w:val="single" w:sz="6" w:space="0" w:color="808080" w:themeColor="background1" w:themeShade="80"/>
            </w:tcBorders>
            <w:tcMar>
              <w:top w:w="57" w:type="dxa"/>
              <w:left w:w="113" w:type="dxa"/>
            </w:tcMar>
          </w:tcPr>
          <w:p w:rsidR="009A7F87" w:rsidRPr="00770229" w:rsidRDefault="009A7F87" w:rsidP="009A7F87">
            <w:pPr>
              <w:pStyle w:val="TableBodyText"/>
              <w:jc w:val="left"/>
              <w:rPr>
                <w:b/>
                <w:sz w:val="24"/>
              </w:rPr>
            </w:pPr>
            <w:r w:rsidRPr="00770229">
              <w:rPr>
                <w:i/>
              </w:rPr>
              <w:t>Service delivery cost differential:</w:t>
            </w:r>
          </w:p>
        </w:tc>
        <w:tc>
          <w:tcPr>
            <w:tcW w:w="3711" w:type="pct"/>
            <w:tcBorders>
              <w:top w:val="nil"/>
              <w:bottom w:val="single" w:sz="6" w:space="0" w:color="808080" w:themeColor="background1" w:themeShade="80"/>
            </w:tcBorders>
          </w:tcPr>
          <w:p w:rsidR="009A7F87" w:rsidRPr="00770229" w:rsidRDefault="009A7F87" w:rsidP="009A7F87">
            <w:pPr>
              <w:pStyle w:val="TableBodyText"/>
              <w:jc w:val="left"/>
              <w:rPr>
                <w:b/>
                <w:sz w:val="24"/>
              </w:rPr>
            </w:pPr>
            <w:r w:rsidRPr="00770229">
              <w:t>It is assumed that there is no cost differential for this GPC category.</w:t>
            </w:r>
          </w:p>
        </w:tc>
      </w:tr>
      <w:tr w:rsidR="009A7F87" w:rsidRPr="0071369A" w:rsidTr="0044346B">
        <w:tblPrEx>
          <w:tblBorders>
            <w:top w:val="none" w:sz="0" w:space="0" w:color="auto"/>
            <w:bottom w:val="none" w:sz="0" w:space="0" w:color="auto"/>
            <w:insideH w:val="none" w:sz="0" w:space="0" w:color="auto"/>
          </w:tblBorders>
        </w:tblPrEx>
        <w:tc>
          <w:tcPr>
            <w:tcW w:w="5000" w:type="pct"/>
            <w:gridSpan w:val="2"/>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774"/>
        <w:gridCol w:w="2417"/>
        <w:gridCol w:w="1027"/>
        <w:gridCol w:w="602"/>
        <w:gridCol w:w="427"/>
        <w:gridCol w:w="1029"/>
        <w:gridCol w:w="1026"/>
      </w:tblGrid>
      <w:tr w:rsidR="009A7F87" w:rsidRPr="00770229" w:rsidTr="00144C20">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44346B">
            <w:pPr>
              <w:pStyle w:val="Heading3"/>
              <w:spacing w:before="520"/>
            </w:pPr>
            <w:r w:rsidRPr="00770229">
              <w:br w:type="page"/>
            </w:r>
            <w:r>
              <w:t>0590.1</w:t>
            </w:r>
            <w:r w:rsidRPr="00770229">
              <w:t xml:space="preserve"> Health administration </w:t>
            </w:r>
            <w:proofErr w:type="spellStart"/>
            <w:r w:rsidRPr="00770229">
              <w:t>nec</w:t>
            </w:r>
            <w:proofErr w:type="spellEnd"/>
            <w:r w:rsidRPr="00770229">
              <w:t xml:space="preserve"> — private health insurance </w:t>
            </w:r>
            <w:r>
              <w:t xml:space="preserve"> </w:t>
            </w:r>
            <w:r>
              <w:br/>
              <w:t xml:space="preserve">            </w:t>
            </w:r>
            <w:r w:rsidRPr="00770229">
              <w:t>subsidies</w:t>
            </w:r>
          </w:p>
        </w:tc>
      </w:tr>
      <w:tr w:rsidR="009A7F87" w:rsidRPr="00770229" w:rsidTr="00144C20">
        <w:tblPrEx>
          <w:tblBorders>
            <w:top w:val="none" w:sz="0" w:space="0" w:color="auto"/>
            <w:bottom w:val="none" w:sz="0" w:space="0" w:color="auto"/>
            <w:insideH w:val="none" w:sz="0" w:space="0" w:color="auto"/>
          </w:tblBorders>
          <w:tblCellMar>
            <w:left w:w="108" w:type="dxa"/>
            <w:right w:w="108" w:type="dxa"/>
          </w:tblCellMar>
        </w:tblPrEx>
        <w:tc>
          <w:tcPr>
            <w:tcW w:w="3589" w:type="pct"/>
            <w:gridSpan w:val="5"/>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3"/>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rPr>
                <w:i/>
              </w:rPr>
            </w:pPr>
            <w:r w:rsidRPr="00770229">
              <w:t xml:space="preserve">The Australian Government provides private health insurance subsidies to encourage people to take out and maintain private health insurance. Private health insurance subsidies are provided to all Australians who are eligible for Medicare and hold hospital and/or general treatment (ancillary or extras) policies with approved private health insurers. </w:t>
            </w:r>
          </w:p>
          <w:p w:rsidR="009A7F87" w:rsidRPr="00770229" w:rsidRDefault="009A7F87" w:rsidP="009A7F87">
            <w:pPr>
              <w:pStyle w:val="TableBodyText"/>
              <w:keepNext w:val="0"/>
              <w:spacing w:before="60" w:after="60"/>
              <w:jc w:val="left"/>
              <w:rPr>
                <w:i/>
              </w:rPr>
            </w:pPr>
            <w:r w:rsidRPr="00770229">
              <w:rPr>
                <w:i/>
              </w:rPr>
              <w:t>The AIHW maps services in this category to NMDS code 123.</w:t>
            </w:r>
          </w:p>
          <w:p w:rsidR="009A7F87" w:rsidRPr="00770229" w:rsidRDefault="009A7F87" w:rsidP="009A7F87">
            <w:pPr>
              <w:pStyle w:val="TableBodyText"/>
              <w:keepNext w:val="0"/>
              <w:spacing w:before="60" w:after="60"/>
              <w:jc w:val="left"/>
            </w:pPr>
            <w:r w:rsidRPr="00770229">
              <w:t xml:space="preserve">Health administration </w:t>
            </w:r>
            <w:proofErr w:type="spellStart"/>
            <w:r w:rsidRPr="00770229">
              <w:t>nec</w:t>
            </w:r>
            <w:proofErr w:type="spellEnd"/>
            <w:r w:rsidRPr="00770229">
              <w:t xml:space="preserve"> — general health administration is a sub</w:t>
            </w:r>
            <w:r w:rsidRPr="00770229">
              <w:noBreakHyphen/>
              <w:t xml:space="preserve">category of health administration </w:t>
            </w:r>
            <w:proofErr w:type="spellStart"/>
            <w:r w:rsidRPr="00770229">
              <w:t>nec</w:t>
            </w:r>
            <w:proofErr w:type="spellEnd"/>
            <w:r w:rsidRPr="00770229">
              <w:t xml:space="preserve"> (GPC 0590).</w:t>
            </w:r>
          </w:p>
          <w:p w:rsidR="009A7F87" w:rsidRPr="00770229" w:rsidRDefault="009A7F87" w:rsidP="009A7F87">
            <w:pPr>
              <w:pStyle w:val="TableBodyText"/>
              <w:keepNext w:val="0"/>
              <w:spacing w:before="60" w:after="60"/>
              <w:jc w:val="left"/>
              <w:rPr>
                <w:i/>
              </w:rPr>
            </w:pPr>
            <w:r w:rsidRPr="00770229">
              <w:t xml:space="preserve">An overview of how the AIHW method has been adapted for the Indigenous Expenditure Report, and the service use measures, </w:t>
            </w:r>
            <w:r w:rsidRPr="00DA3D60">
              <w:t>Indigenous</w:t>
            </w:r>
            <w:r w:rsidRPr="00317BFD">
              <w:rPr>
                <w:sz w:val="24"/>
                <w:szCs w:val="24"/>
              </w:rPr>
              <w:t xml:space="preserve"> </w:t>
            </w:r>
            <w:r w:rsidRPr="00770229">
              <w:t>under</w:t>
            </w:r>
            <w:r w:rsidRPr="00770229">
              <w:noBreakHyphen/>
              <w:t xml:space="preserve">identification, and cost differential factors provided by the AIHW for the </w:t>
            </w:r>
            <w:r>
              <w:t>2017 Report</w:t>
            </w:r>
            <w:r w:rsidRPr="00770229">
              <w:t xml:space="preserve"> are presented in </w:t>
            </w:r>
            <w:r>
              <w:t>section 5.1</w:t>
            </w:r>
            <w:r w:rsidRPr="00770229">
              <w:rPr>
                <w:i/>
              </w:rPr>
              <w:t>.</w:t>
            </w:r>
          </w:p>
          <w:p w:rsidR="009A7F87" w:rsidRPr="00770229" w:rsidRDefault="009A7F87" w:rsidP="009A7F87">
            <w:pPr>
              <w:pStyle w:val="TableBodyText"/>
              <w:jc w:val="left"/>
              <w:rPr>
                <w:b/>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40" w:after="80"/>
              <w:jc w:val="left"/>
              <w:rPr>
                <w:b/>
                <w:i/>
                <w:sz w:val="24"/>
              </w:rPr>
            </w:pPr>
            <w:r w:rsidRPr="00770229">
              <w:rPr>
                <w:b/>
                <w:sz w:val="24"/>
              </w:rPr>
              <w:t xml:space="preserve">Cost drivers </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rPr>
                <w:szCs w:val="26"/>
              </w:rPr>
            </w:pPr>
            <w:r w:rsidRPr="00770229">
              <w:t>The key cost drivers of expenditure on private health insurance subsidies a</w:t>
            </w:r>
            <w:r w:rsidR="009F14B3">
              <w:t>re the number of</w:t>
            </w:r>
            <w:r w:rsidRPr="00770229">
              <w:t xml:space="preserve"> people with private health insurance cover and the level of support provided by government.</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40" w:after="80"/>
              <w:jc w:val="left"/>
              <w:rPr>
                <w:b/>
                <w:i/>
                <w:sz w:val="24"/>
                <w:szCs w:val="24"/>
              </w:rPr>
            </w:pPr>
            <w:r w:rsidRPr="00770229">
              <w:rPr>
                <w:b/>
                <w:sz w:val="24"/>
                <w:szCs w:val="24"/>
              </w:rPr>
              <w:t>Service use measures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EF1A03" w:rsidRDefault="009A7F87" w:rsidP="009A7F87">
            <w:pPr>
              <w:pStyle w:val="TableColumnHeading"/>
              <w:keepNext w:val="0"/>
              <w:jc w:val="left"/>
            </w:pPr>
          </w:p>
        </w:tc>
        <w:tc>
          <w:tcPr>
            <w:tcW w:w="1814" w:type="pct"/>
            <w:gridSpan w:val="2"/>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ColumnHeading"/>
              <w:keepNext w:val="0"/>
              <w:ind w:left="180"/>
              <w:jc w:val="left"/>
            </w:pPr>
          </w:p>
        </w:tc>
        <w:tc>
          <w:tcPr>
            <w:tcW w:w="2337" w:type="pct"/>
            <w:gridSpan w:val="5"/>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ColumnHeading"/>
              <w:keepNext w:val="0"/>
              <w:ind w:left="180"/>
              <w:jc w:val="center"/>
            </w:pPr>
            <w:r w:rsidRPr="00EF1A03">
              <w:t>Data Years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EF1A03" w:rsidRDefault="009A7F87" w:rsidP="009A7F87">
            <w:pPr>
              <w:pStyle w:val="TableBodyText"/>
              <w:keepNext w:val="0"/>
              <w:spacing w:before="60" w:after="60"/>
              <w:ind w:left="0"/>
              <w:jc w:val="both"/>
              <w:rPr>
                <w:i/>
              </w:rPr>
            </w:pPr>
            <w:r w:rsidRPr="00EF1A03">
              <w:rPr>
                <w:i/>
              </w:rPr>
              <w:br/>
              <w:t>Measure</w:t>
            </w:r>
          </w:p>
        </w:tc>
        <w:tc>
          <w:tcPr>
            <w:tcW w:w="1814" w:type="pct"/>
            <w:gridSpan w:val="2"/>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180"/>
              <w:jc w:val="left"/>
              <w:rPr>
                <w:i/>
              </w:rPr>
            </w:pPr>
            <w:r w:rsidRPr="00EF1A03">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2008</w:t>
            </w:r>
            <w:r w:rsidRPr="00EF1A03">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2010</w:t>
            </w:r>
            <w:r w:rsidRPr="00EF1A03">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2012</w:t>
            </w:r>
            <w:r w:rsidRPr="00EF1A03">
              <w:rPr>
                <w:i/>
              </w:rPr>
              <w:noBreakHyphen/>
              <w:t>13 Estimates</w:t>
            </w:r>
          </w:p>
        </w:tc>
        <w:tc>
          <w:tcPr>
            <w:tcW w:w="583" w:type="pct"/>
            <w:tcBorders>
              <w:top w:val="single" w:sz="6" w:space="0" w:color="808080" w:themeColor="background1" w:themeShade="80"/>
              <w:bottom w:val="single" w:sz="6" w:space="0" w:color="808080" w:themeColor="background1" w:themeShade="80"/>
            </w:tcBorders>
          </w:tcPr>
          <w:p w:rsidR="009A7F87" w:rsidRPr="00EF1A03" w:rsidRDefault="009A7F87" w:rsidP="009A7F87">
            <w:pPr>
              <w:pStyle w:val="TableBodyText"/>
              <w:keepNext w:val="0"/>
              <w:spacing w:before="60" w:after="60"/>
              <w:ind w:left="2"/>
              <w:jc w:val="center"/>
              <w:rPr>
                <w:i/>
              </w:rPr>
            </w:pPr>
            <w:r w:rsidRPr="00EF1A03">
              <w:rPr>
                <w:i/>
              </w:rPr>
              <w:t>2015</w:t>
            </w:r>
            <w:r w:rsidRPr="00EF1A03">
              <w:rPr>
                <w:i/>
              </w:rPr>
              <w:noBreakHyphen/>
              <w:t>16 Estimates</w:t>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ullet"/>
              <w:numPr>
                <w:ilvl w:val="0"/>
                <w:numId w:val="0"/>
              </w:numPr>
              <w:spacing w:before="40"/>
            </w:pPr>
            <w:r w:rsidRPr="00770229">
              <w:t>Number of people with private health insurance for hospital cover</w:t>
            </w:r>
          </w:p>
        </w:tc>
        <w:tc>
          <w:tcPr>
            <w:tcW w:w="1814" w:type="pct"/>
            <w:gridSpan w:val="2"/>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Private Health Insurance Administration Council 2011, Quarterly Statistics December 2011, Canberra</w:t>
            </w:r>
          </w:p>
        </w:tc>
        <w:tc>
          <w:tcPr>
            <w:tcW w:w="584" w:type="pct"/>
            <w:tcBorders>
              <w:top w:val="single" w:sz="6"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t>Average of December 2008 and 2009</w:t>
            </w:r>
            <w:r>
              <w:br/>
            </w:r>
          </w:p>
        </w:tc>
        <w:tc>
          <w:tcPr>
            <w:tcW w:w="585" w:type="pct"/>
            <w:gridSpan w:val="2"/>
            <w:tcBorders>
              <w:top w:val="single" w:sz="6" w:space="0" w:color="808080" w:themeColor="background1" w:themeShade="80"/>
            </w:tcBorders>
            <w:shd w:val="clear" w:color="auto" w:fill="auto"/>
            <w:vAlign w:val="center"/>
          </w:tcPr>
          <w:p w:rsidR="009A7F87" w:rsidRPr="00770229" w:rsidRDefault="009A7F87" w:rsidP="009A7F87">
            <w:pPr>
              <w:pStyle w:val="TableBodyText"/>
              <w:spacing w:before="60" w:after="60"/>
              <w:ind w:left="2"/>
              <w:jc w:val="center"/>
            </w:pPr>
            <w:r>
              <w:t>Average of December 2010 and 2011</w:t>
            </w:r>
            <w:r>
              <w:br/>
            </w:r>
          </w:p>
        </w:tc>
        <w:tc>
          <w:tcPr>
            <w:tcW w:w="585" w:type="pct"/>
            <w:tcBorders>
              <w:top w:val="single" w:sz="6" w:space="0" w:color="808080" w:themeColor="background1" w:themeShade="80"/>
            </w:tcBorders>
            <w:shd w:val="clear" w:color="auto" w:fill="auto"/>
            <w:vAlign w:val="center"/>
          </w:tcPr>
          <w:p w:rsidR="009A7F87" w:rsidRPr="00770229" w:rsidRDefault="009A7F87" w:rsidP="009A7F87">
            <w:pPr>
              <w:pStyle w:val="TableBodyText"/>
              <w:spacing w:before="60" w:after="60"/>
              <w:ind w:left="2"/>
              <w:jc w:val="center"/>
            </w:pPr>
            <w:r>
              <w:t>Average of December 2012 and 2013</w:t>
            </w:r>
            <w:r>
              <w:br/>
            </w:r>
          </w:p>
        </w:tc>
        <w:tc>
          <w:tcPr>
            <w:tcW w:w="583" w:type="pct"/>
            <w:tcBorders>
              <w:top w:val="single" w:sz="6" w:space="0" w:color="808080" w:themeColor="background1" w:themeShade="80"/>
            </w:tcBorders>
            <w:vAlign w:val="center"/>
          </w:tcPr>
          <w:p w:rsidR="009A7F87" w:rsidRPr="00770229" w:rsidRDefault="009A7F87" w:rsidP="009A7F87">
            <w:pPr>
              <w:pStyle w:val="TableBodyText"/>
              <w:spacing w:before="60" w:after="60"/>
              <w:ind w:left="2"/>
              <w:jc w:val="center"/>
            </w:pPr>
            <w:r>
              <w:t>Average of December 2015 and 2016</w:t>
            </w:r>
            <w:r>
              <w:br/>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6" w:space="0" w:color="265A9A" w:themeColor="background2"/>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ullet"/>
              <w:numPr>
                <w:ilvl w:val="0"/>
                <w:numId w:val="0"/>
              </w:numPr>
              <w:spacing w:before="40"/>
            </w:pPr>
            <w:r w:rsidRPr="00770229">
              <w:t>Aboriginal and Torres Strait Islander share of expenditure provided by jurisdictions</w:t>
            </w:r>
          </w:p>
        </w:tc>
        <w:tc>
          <w:tcPr>
            <w:tcW w:w="1814" w:type="pct"/>
            <w:gridSpan w:val="2"/>
            <w:tcBorders>
              <w:top w:val="single" w:sz="6" w:space="0" w:color="265A9A" w:themeColor="background2"/>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ABS National Aboriginal and Torres Strait Islander Health Survey 2004</w:t>
            </w:r>
            <w:r w:rsidRPr="00770229">
              <w:noBreakHyphen/>
              <w:t xml:space="preserve">05 </w:t>
            </w:r>
            <w:r>
              <w:t xml:space="preserve">and 2012-13 </w:t>
            </w:r>
            <w:r w:rsidRPr="00770229">
              <w:t>and ABS Australian Health Survey, 2011</w:t>
            </w:r>
            <w:r>
              <w:noBreakHyphen/>
            </w:r>
            <w:r w:rsidRPr="00770229">
              <w:t>13</w:t>
            </w:r>
          </w:p>
        </w:tc>
        <w:tc>
          <w:tcPr>
            <w:tcW w:w="584" w:type="pct"/>
            <w:tcBorders>
              <w:top w:val="single" w:sz="6" w:space="0" w:color="265A9A" w:themeColor="background2"/>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2004-05</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r>
              <w:br/>
            </w:r>
          </w:p>
        </w:tc>
        <w:tc>
          <w:tcPr>
            <w:tcW w:w="585" w:type="pct"/>
            <w:gridSpan w:val="2"/>
            <w:tcBorders>
              <w:top w:val="single" w:sz="6" w:space="0" w:color="265A9A" w:themeColor="background2"/>
              <w:bottom w:val="single" w:sz="6" w:space="0" w:color="808080" w:themeColor="background1" w:themeShade="80"/>
            </w:tcBorders>
            <w:shd w:val="clear" w:color="auto" w:fill="auto"/>
            <w:vAlign w:val="center"/>
          </w:tcPr>
          <w:p w:rsidR="009A7F87" w:rsidRPr="00DB3652" w:rsidRDefault="009A7F87" w:rsidP="009A7F87">
            <w:pPr>
              <w:pStyle w:val="TableBodyText"/>
              <w:spacing w:before="60" w:after="60"/>
              <w:ind w:left="2"/>
              <w:jc w:val="center"/>
            </w:pPr>
            <w:r w:rsidRPr="00DB3652">
              <w:t>2011-13</w:t>
            </w:r>
          </w:p>
          <w:p w:rsidR="009A7F87" w:rsidRPr="00DB3652" w:rsidRDefault="009A7F87" w:rsidP="009A7F87">
            <w:pPr>
              <w:pStyle w:val="TableBodyText"/>
              <w:spacing w:before="60" w:after="60"/>
              <w:ind w:left="2"/>
              <w:jc w:val="center"/>
            </w:pPr>
          </w:p>
          <w:p w:rsidR="009A7F87" w:rsidRPr="00DB3652" w:rsidRDefault="009A7F87" w:rsidP="009A7F87">
            <w:pPr>
              <w:pStyle w:val="TableBodyText"/>
              <w:spacing w:before="60" w:after="60"/>
              <w:ind w:left="2"/>
              <w:jc w:val="center"/>
            </w:pPr>
          </w:p>
          <w:p w:rsidR="009A7F87" w:rsidRPr="00DB3652" w:rsidRDefault="009A7F87" w:rsidP="009A7F87">
            <w:pPr>
              <w:pStyle w:val="TableBodyText"/>
              <w:spacing w:before="60" w:after="60"/>
              <w:ind w:left="2"/>
              <w:jc w:val="center"/>
            </w:pPr>
            <w:r w:rsidRPr="00DB3652">
              <w:br/>
            </w:r>
          </w:p>
        </w:tc>
        <w:tc>
          <w:tcPr>
            <w:tcW w:w="585" w:type="pct"/>
            <w:tcBorders>
              <w:top w:val="single" w:sz="6" w:space="0" w:color="265A9A" w:themeColor="background2"/>
              <w:bottom w:val="single" w:sz="6" w:space="0" w:color="808080" w:themeColor="background1" w:themeShade="80"/>
            </w:tcBorders>
            <w:shd w:val="clear" w:color="auto" w:fill="auto"/>
            <w:vAlign w:val="center"/>
          </w:tcPr>
          <w:p w:rsidR="009A7F87" w:rsidRPr="00DB3652" w:rsidRDefault="009A7F87" w:rsidP="009A7F87">
            <w:pPr>
              <w:pStyle w:val="TableBodyText"/>
              <w:spacing w:before="60" w:after="60"/>
              <w:ind w:left="2"/>
              <w:jc w:val="center"/>
            </w:pPr>
            <w:r w:rsidRPr="00DB3652">
              <w:t>2011-13</w:t>
            </w:r>
          </w:p>
          <w:p w:rsidR="009A7F87" w:rsidRPr="00DB3652" w:rsidRDefault="009A7F87" w:rsidP="009A7F87">
            <w:pPr>
              <w:pStyle w:val="TableBodyText"/>
              <w:spacing w:before="60" w:after="60"/>
              <w:ind w:left="2"/>
              <w:jc w:val="center"/>
            </w:pPr>
          </w:p>
          <w:p w:rsidR="009A7F87" w:rsidRPr="00DB3652" w:rsidRDefault="009A7F87" w:rsidP="009A7F87">
            <w:pPr>
              <w:pStyle w:val="TableBodyText"/>
              <w:spacing w:before="60" w:after="60"/>
              <w:ind w:left="2"/>
              <w:jc w:val="center"/>
            </w:pPr>
          </w:p>
          <w:p w:rsidR="009A7F87" w:rsidRPr="00DB3652" w:rsidRDefault="009A7F87" w:rsidP="009A7F87">
            <w:pPr>
              <w:pStyle w:val="TableBodyText"/>
              <w:spacing w:before="60" w:after="60"/>
              <w:ind w:left="2"/>
              <w:jc w:val="center"/>
            </w:pPr>
            <w:r w:rsidRPr="00DB3652">
              <w:br/>
            </w:r>
          </w:p>
        </w:tc>
        <w:tc>
          <w:tcPr>
            <w:tcW w:w="583" w:type="pct"/>
            <w:tcBorders>
              <w:top w:val="single" w:sz="6" w:space="0" w:color="265A9A" w:themeColor="background2"/>
              <w:bottom w:val="single" w:sz="6" w:space="0" w:color="808080" w:themeColor="background1" w:themeShade="80"/>
            </w:tcBorders>
            <w:vAlign w:val="center"/>
          </w:tcPr>
          <w:p w:rsidR="009A7F87" w:rsidRDefault="009A7F87" w:rsidP="009A7F87">
            <w:pPr>
              <w:pStyle w:val="TableBodyText"/>
              <w:spacing w:before="60" w:after="60"/>
              <w:ind w:left="2"/>
              <w:jc w:val="center"/>
            </w:pPr>
            <w:r>
              <w:t>2012-13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40"/>
              <w:jc w:val="left"/>
              <w:rPr>
                <w:b/>
                <w:i/>
                <w:sz w:val="24"/>
              </w:rPr>
            </w:pPr>
            <w:r>
              <w:rPr>
                <w:b/>
                <w:sz w:val="24"/>
              </w:rPr>
              <w:t>AIHW method</w:t>
            </w:r>
          </w:p>
        </w:tc>
      </w:tr>
      <w:tr w:rsidR="009A7F87" w:rsidRPr="00770229" w:rsidTr="00A672D0">
        <w:tc>
          <w:tcPr>
            <w:tcW w:w="1289" w:type="pct"/>
            <w:gridSpan w:val="2"/>
            <w:tcBorders>
              <w:top w:val="single" w:sz="6" w:space="0" w:color="808080" w:themeColor="background1" w:themeShade="80"/>
              <w:bottom w:val="nil"/>
            </w:tcBorders>
            <w:tcMar>
              <w:top w:w="57" w:type="dxa"/>
              <w:left w:w="113" w:type="dxa"/>
            </w:tcMar>
          </w:tcPr>
          <w:p w:rsidR="009A7F87" w:rsidRPr="00770229" w:rsidRDefault="009A7F87" w:rsidP="009A7F87">
            <w:pPr>
              <w:pStyle w:val="TableBodyText"/>
              <w:jc w:val="left"/>
              <w:rPr>
                <w:b/>
                <w:sz w:val="24"/>
              </w:rPr>
            </w:pPr>
            <w:r w:rsidRPr="00770229">
              <w:rPr>
                <w:i/>
              </w:rPr>
              <w:t>Service use measures:</w:t>
            </w:r>
          </w:p>
        </w:tc>
        <w:tc>
          <w:tcPr>
            <w:tcW w:w="3711" w:type="pct"/>
            <w:gridSpan w:val="6"/>
            <w:tcBorders>
              <w:top w:val="single" w:sz="6" w:space="0" w:color="808080" w:themeColor="background1" w:themeShade="80"/>
              <w:bottom w:val="nil"/>
            </w:tcBorders>
          </w:tcPr>
          <w:p w:rsidR="009A7F87" w:rsidRPr="00770229" w:rsidRDefault="009A7F87" w:rsidP="009A7F87">
            <w:pPr>
              <w:pStyle w:val="TableBodyText"/>
              <w:jc w:val="left"/>
            </w:pPr>
            <w:r w:rsidRPr="00770229">
              <w:t>The AIHW obtains information on private health insurance subsidies from a number of sources. This include the Australian Taxation Office expenditure on administration of health insurance subsidies or administration of health funds by private health insurance companies.</w:t>
            </w:r>
          </w:p>
        </w:tc>
      </w:tr>
      <w:tr w:rsidR="009A7F87" w:rsidRPr="00770229" w:rsidTr="0044346B">
        <w:tc>
          <w:tcPr>
            <w:tcW w:w="1289" w:type="pct"/>
            <w:gridSpan w:val="2"/>
            <w:tcBorders>
              <w:top w:val="nil"/>
              <w:bottom w:val="nil"/>
            </w:tcBorders>
            <w:tcMar>
              <w:top w:w="57" w:type="dxa"/>
              <w:left w:w="113" w:type="dxa"/>
            </w:tcMar>
          </w:tcPr>
          <w:p w:rsidR="009A7F87" w:rsidRPr="00770229" w:rsidRDefault="009A7F87" w:rsidP="009A7F87">
            <w:pPr>
              <w:pStyle w:val="TableBodyText"/>
              <w:jc w:val="left"/>
              <w:rPr>
                <w:b/>
                <w:sz w:val="24"/>
              </w:rPr>
            </w:pPr>
            <w:r w:rsidRPr="00770229">
              <w:rPr>
                <w:i/>
              </w:rPr>
              <w:t xml:space="preserve">Indigenous status </w:t>
            </w:r>
            <w:r w:rsidRPr="00770229">
              <w:rPr>
                <w:i/>
              </w:rPr>
              <w:br/>
              <w:t>under</w:t>
            </w:r>
            <w:r w:rsidRPr="00770229">
              <w:rPr>
                <w:i/>
              </w:rPr>
              <w:noBreakHyphen/>
              <w:t>identification:</w:t>
            </w:r>
          </w:p>
        </w:tc>
        <w:tc>
          <w:tcPr>
            <w:tcW w:w="3711" w:type="pct"/>
            <w:gridSpan w:val="6"/>
            <w:tcBorders>
              <w:top w:val="nil"/>
              <w:bottom w:val="nil"/>
            </w:tcBorders>
          </w:tcPr>
          <w:p w:rsidR="009A7F87" w:rsidRPr="00863029" w:rsidRDefault="009A7F87" w:rsidP="009A7F87">
            <w:pPr>
              <w:pStyle w:val="TableBodyText"/>
              <w:jc w:val="left"/>
            </w:pPr>
            <w:r w:rsidRPr="00770229">
              <w:t xml:space="preserve">It is assumed that there is no </w:t>
            </w:r>
            <w:r>
              <w:t>Indigenous under-identification</w:t>
            </w:r>
            <w:r w:rsidRPr="00770229">
              <w:t xml:space="preserve"> for this GPC category.</w:t>
            </w:r>
          </w:p>
        </w:tc>
      </w:tr>
      <w:tr w:rsidR="009A7F87" w:rsidRPr="00770229" w:rsidTr="0044346B">
        <w:tc>
          <w:tcPr>
            <w:tcW w:w="1289" w:type="pct"/>
            <w:gridSpan w:val="2"/>
            <w:tcBorders>
              <w:top w:val="nil"/>
              <w:bottom w:val="single" w:sz="6" w:space="0" w:color="808080" w:themeColor="background1" w:themeShade="80"/>
            </w:tcBorders>
            <w:tcMar>
              <w:top w:w="57" w:type="dxa"/>
              <w:left w:w="113" w:type="dxa"/>
            </w:tcMar>
          </w:tcPr>
          <w:p w:rsidR="009A7F87" w:rsidRPr="00770229" w:rsidRDefault="009A7F87" w:rsidP="009A7F87">
            <w:pPr>
              <w:pStyle w:val="TableBodyText"/>
              <w:jc w:val="left"/>
              <w:rPr>
                <w:b/>
                <w:sz w:val="24"/>
              </w:rPr>
            </w:pPr>
            <w:r w:rsidRPr="00770229">
              <w:rPr>
                <w:i/>
              </w:rPr>
              <w:t>Service delivery cost differential:</w:t>
            </w:r>
          </w:p>
        </w:tc>
        <w:tc>
          <w:tcPr>
            <w:tcW w:w="3711" w:type="pct"/>
            <w:gridSpan w:val="6"/>
            <w:tcBorders>
              <w:top w:val="nil"/>
              <w:bottom w:val="single" w:sz="6" w:space="0" w:color="808080" w:themeColor="background1" w:themeShade="80"/>
            </w:tcBorders>
          </w:tcPr>
          <w:p w:rsidR="009A7F87" w:rsidRPr="00770229" w:rsidRDefault="009A7F87" w:rsidP="009A7F87">
            <w:pPr>
              <w:pStyle w:val="TableBodyText"/>
              <w:jc w:val="left"/>
              <w:rPr>
                <w:b/>
                <w:sz w:val="24"/>
              </w:rPr>
            </w:pPr>
            <w:r w:rsidRPr="00770229">
              <w:t>It is assumed that there is no cost differential for this GPC category.</w:t>
            </w:r>
          </w:p>
        </w:tc>
      </w:tr>
      <w:tr w:rsidR="009A7F87" w:rsidRPr="0071369A" w:rsidTr="0044346B">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144C20">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br w:type="page"/>
            </w:r>
            <w:r w:rsidRPr="00770229">
              <w:br w:type="page"/>
            </w:r>
            <w:r>
              <w:t>0590.2</w:t>
            </w:r>
            <w:r w:rsidRPr="00770229">
              <w:t xml:space="preserve"> Health administration </w:t>
            </w:r>
            <w:proofErr w:type="spellStart"/>
            <w:r w:rsidRPr="00770229">
              <w:t>nec</w:t>
            </w:r>
            <w:proofErr w:type="spellEnd"/>
            <w:r w:rsidRPr="00770229">
              <w:t xml:space="preserve"> — general health administration</w:t>
            </w:r>
          </w:p>
        </w:tc>
      </w:tr>
      <w:tr w:rsidR="009A7F87" w:rsidRPr="00770229" w:rsidTr="00144C20">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A number of national bodies operate to administer health policy and regulation of services. For example, the Australian Commission on Safety and Quality in Health Care — which receives expenditure from all levels of government — exists to improve safety and quality in the Australian health care system. In addition, the Australian Medical Council works as an independent body to promote standards in medical education and training.</w:t>
            </w:r>
          </w:p>
          <w:p w:rsidR="009A7F87" w:rsidRPr="00770229" w:rsidRDefault="009A7F87" w:rsidP="009A7F87">
            <w:pPr>
              <w:pStyle w:val="TableBodyText"/>
              <w:jc w:val="left"/>
            </w:pPr>
            <w:r w:rsidRPr="00770229">
              <w:t>Administrative bodies also operate at the State level to investigate, plan, research and conduct health services within the jurisdiction.</w:t>
            </w:r>
          </w:p>
          <w:p w:rsidR="009A7F87" w:rsidRPr="00770229" w:rsidRDefault="009A7F87" w:rsidP="009A7F87">
            <w:pPr>
              <w:pStyle w:val="TableBodyText"/>
              <w:jc w:val="left"/>
            </w:pPr>
            <w:r w:rsidRPr="00770229">
              <w:t>Other administrative activities of this nature would be incorporated into individual health programs, for which jurisdictional health departments take responsibility. For this reason they will not be separately identified as health administration.</w:t>
            </w:r>
          </w:p>
          <w:p w:rsidR="009A7F87" w:rsidRPr="00770229" w:rsidRDefault="009A7F87" w:rsidP="009A7F87">
            <w:pPr>
              <w:pStyle w:val="TableBodyText"/>
              <w:keepNext w:val="0"/>
              <w:spacing w:before="60" w:after="60"/>
              <w:jc w:val="left"/>
              <w:rPr>
                <w:i/>
              </w:rPr>
            </w:pPr>
            <w:r w:rsidRPr="00770229">
              <w:rPr>
                <w:i/>
              </w:rPr>
              <w:t>The AIHW maps services in this category to NMDS code 505.</w:t>
            </w:r>
          </w:p>
          <w:p w:rsidR="009A7F87" w:rsidRPr="00770229" w:rsidRDefault="009A7F87" w:rsidP="009A7F87">
            <w:pPr>
              <w:pStyle w:val="TableBodyText"/>
              <w:keepNext w:val="0"/>
              <w:spacing w:before="60" w:after="60"/>
              <w:jc w:val="left"/>
            </w:pPr>
            <w:r w:rsidRPr="00770229">
              <w:t xml:space="preserve">Health administration </w:t>
            </w:r>
            <w:proofErr w:type="spellStart"/>
            <w:r w:rsidRPr="00770229">
              <w:t>nec</w:t>
            </w:r>
            <w:proofErr w:type="spellEnd"/>
            <w:r w:rsidRPr="00770229">
              <w:t xml:space="preserve"> — general health administration is a sub</w:t>
            </w:r>
            <w:r w:rsidRPr="00770229">
              <w:noBreakHyphen/>
              <w:t xml:space="preserve">category of health administration </w:t>
            </w:r>
            <w:proofErr w:type="spellStart"/>
            <w:r w:rsidRPr="00770229">
              <w:t>nec</w:t>
            </w:r>
            <w:proofErr w:type="spellEnd"/>
            <w:r w:rsidRPr="00770229">
              <w:t xml:space="preserve"> (GPC 0590).</w:t>
            </w:r>
          </w:p>
          <w:p w:rsidR="009A7F87" w:rsidRPr="00770229" w:rsidRDefault="009A7F87" w:rsidP="009A7F87">
            <w:pPr>
              <w:pStyle w:val="TableBodyText"/>
              <w:keepNext w:val="0"/>
              <w:spacing w:before="60" w:after="60"/>
              <w:jc w:val="left"/>
              <w:rPr>
                <w:i/>
              </w:rPr>
            </w:pPr>
            <w:r w:rsidRPr="00770229">
              <w:t xml:space="preserve">An overview of how the AIHW method has been adapted for the Indigenous Expenditure Report, and the service use measures, </w:t>
            </w:r>
            <w:r w:rsidRPr="00DA3D60">
              <w:t>Indigenous</w:t>
            </w:r>
            <w:r w:rsidRPr="00317BFD">
              <w:rPr>
                <w:sz w:val="24"/>
                <w:szCs w:val="24"/>
              </w:rPr>
              <w:t xml:space="preserve"> </w:t>
            </w:r>
            <w:r w:rsidRPr="00770229">
              <w:t>under</w:t>
            </w:r>
            <w:r w:rsidRPr="00770229">
              <w:noBreakHyphen/>
              <w:t xml:space="preserve">identification, and cost differential factors provided by the AIHW for the </w:t>
            </w:r>
            <w:r>
              <w:t>2017 Report</w:t>
            </w:r>
            <w:r w:rsidRPr="00770229">
              <w:t xml:space="preserve"> is presented in </w:t>
            </w:r>
            <w:r>
              <w:t>section 5.1</w:t>
            </w:r>
            <w:r w:rsidRPr="00770229">
              <w:rPr>
                <w:i/>
              </w:rPr>
              <w:t>.</w:t>
            </w:r>
          </w:p>
          <w:p w:rsidR="009A7F87" w:rsidRPr="00770229" w:rsidRDefault="009A7F87" w:rsidP="009A7F87">
            <w:pPr>
              <w:pStyle w:val="TableBodyText"/>
              <w:jc w:val="left"/>
              <w:rPr>
                <w:b/>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40" w:after="80"/>
              <w:jc w:val="left"/>
              <w:rPr>
                <w:b/>
                <w:i/>
                <w:sz w:val="24"/>
              </w:rPr>
            </w:pPr>
            <w:r w:rsidRPr="00770229">
              <w:rPr>
                <w:b/>
                <w:sz w:val="24"/>
              </w:rPr>
              <w:t xml:space="preserve">Cost drivers </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sidRPr="00770229">
              <w:t xml:space="preserve">The key cost drivers of expenditure on health administration are: </w:t>
            </w:r>
          </w:p>
          <w:p w:rsidR="009A7F87" w:rsidRPr="00770229" w:rsidRDefault="009A7F87" w:rsidP="009A7F87">
            <w:pPr>
              <w:pStyle w:val="TableBullet"/>
              <w:numPr>
                <w:ilvl w:val="0"/>
                <w:numId w:val="24"/>
              </w:numPr>
              <w:spacing w:line="220" w:lineRule="atLeast"/>
              <w:rPr>
                <w:rFonts w:cs="Arial"/>
              </w:rPr>
            </w:pPr>
            <w:r w:rsidRPr="00770229">
              <w:t xml:space="preserve">the number of people covered by the scheme or program </w:t>
            </w:r>
          </w:p>
          <w:p w:rsidR="009A7F87" w:rsidRPr="00770229" w:rsidRDefault="009A7F87" w:rsidP="009A7F87">
            <w:pPr>
              <w:pStyle w:val="TableBullet"/>
              <w:numPr>
                <w:ilvl w:val="0"/>
                <w:numId w:val="24"/>
              </w:numPr>
              <w:spacing w:line="220" w:lineRule="atLeast"/>
              <w:rPr>
                <w:rFonts w:cs="Arial"/>
              </w:rPr>
            </w:pPr>
            <w:r w:rsidRPr="00770229">
              <w:t>the level of complexity of the scheme/programs operations</w:t>
            </w:r>
          </w:p>
          <w:p w:rsidR="009A7F87" w:rsidRPr="00770229" w:rsidRDefault="009A7F87" w:rsidP="009A7F87">
            <w:pPr>
              <w:pStyle w:val="TableBullet"/>
              <w:numPr>
                <w:ilvl w:val="0"/>
                <w:numId w:val="24"/>
              </w:numPr>
              <w:spacing w:line="220" w:lineRule="atLeast"/>
              <w:rPr>
                <w:rFonts w:cs="Arial"/>
              </w:rPr>
            </w:pPr>
            <w:r w:rsidRPr="00770229">
              <w:t>operational and administration of schemes/programs</w:t>
            </w:r>
          </w:p>
          <w:p w:rsidR="009A7F87" w:rsidRPr="00770229" w:rsidRDefault="009A7F87" w:rsidP="009A7F87">
            <w:pPr>
              <w:pStyle w:val="TableBullet"/>
              <w:numPr>
                <w:ilvl w:val="0"/>
                <w:numId w:val="24"/>
              </w:numPr>
              <w:spacing w:line="220" w:lineRule="atLeast"/>
              <w:rPr>
                <w:rFonts w:cs="Arial"/>
              </w:rPr>
            </w:pPr>
            <w:r w:rsidRPr="00770229">
              <w:t>changes to schemes and programs as a result of policy changes</w:t>
            </w:r>
          </w:p>
          <w:p w:rsidR="009A7F87" w:rsidRPr="00770229" w:rsidRDefault="009A7F87" w:rsidP="009A7F87">
            <w:pPr>
              <w:pStyle w:val="TableBullet"/>
              <w:numPr>
                <w:ilvl w:val="0"/>
                <w:numId w:val="24"/>
              </w:numPr>
              <w:spacing w:line="220" w:lineRule="atLeast"/>
              <w:rPr>
                <w:rFonts w:cs="Arial"/>
              </w:rPr>
            </w:pPr>
            <w:r w:rsidRPr="00770229">
              <w:t>costs involved in developing and maintaining systems to support the schemes/programs.</w:t>
            </w:r>
          </w:p>
          <w:p w:rsidR="009A7F87" w:rsidRPr="00770229" w:rsidRDefault="009A7F87" w:rsidP="009A7F87">
            <w:pPr>
              <w:pStyle w:val="TableBodyText"/>
              <w:keepNext w:val="0"/>
              <w:spacing w:before="60" w:after="60"/>
              <w:jc w:val="left"/>
              <w:rPr>
                <w:szCs w:val="26"/>
              </w:rPr>
            </w:pPr>
            <w:r w:rsidRPr="00770229">
              <w:t>These cost drivers are based on development and research undertaken by the AIHW for the Expenditure on Health for Aboriginal and Torres Strait Islander People reports.</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40" w:after="80"/>
              <w:jc w:val="left"/>
              <w:rPr>
                <w:b/>
                <w:i/>
                <w:sz w:val="24"/>
                <w:szCs w:val="24"/>
              </w:rPr>
            </w:pPr>
            <w:r w:rsidRPr="00770229">
              <w:rPr>
                <w:b/>
                <w:sz w:val="24"/>
                <w:szCs w:val="24"/>
              </w:rPr>
              <w:t>Service use measures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EF1A03"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ColumnHeading"/>
              <w:keepNext w:val="0"/>
              <w:ind w:left="180"/>
              <w:jc w:val="center"/>
            </w:pPr>
            <w:r w:rsidRPr="00EF1A03">
              <w:t>Data Years</w:t>
            </w:r>
          </w:p>
        </w:tc>
      </w:tr>
      <w:tr w:rsidR="009A7F87" w:rsidRPr="00EF1A03"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EF1A03" w:rsidRDefault="009A7F87" w:rsidP="009A7F87">
            <w:pPr>
              <w:pStyle w:val="TableBodyText"/>
              <w:keepNext w:val="0"/>
              <w:spacing w:before="60" w:after="60"/>
              <w:ind w:left="0"/>
              <w:jc w:val="both"/>
              <w:rPr>
                <w:i/>
              </w:rPr>
            </w:pPr>
            <w:r w:rsidRPr="00EF1A03">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180"/>
              <w:jc w:val="left"/>
              <w:rPr>
                <w:i/>
              </w:rPr>
            </w:pPr>
            <w:r w:rsidRPr="00EF1A03">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2008</w:t>
            </w:r>
            <w:r w:rsidRPr="00EF1A03">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2010</w:t>
            </w:r>
            <w:r w:rsidRPr="00EF1A03">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EF1A03" w:rsidRDefault="009A7F87" w:rsidP="009A7F87">
            <w:pPr>
              <w:pStyle w:val="TableBodyText"/>
              <w:keepNext w:val="0"/>
              <w:spacing w:before="60" w:after="60"/>
              <w:ind w:left="2"/>
              <w:jc w:val="center"/>
              <w:rPr>
                <w:i/>
              </w:rPr>
            </w:pPr>
            <w:r w:rsidRPr="00EF1A03">
              <w:rPr>
                <w:i/>
              </w:rPr>
              <w:t>2012</w:t>
            </w:r>
            <w:r w:rsidRPr="00EF1A03">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EF1A03" w:rsidRDefault="009A7F87" w:rsidP="009A7F87">
            <w:pPr>
              <w:pStyle w:val="TableBodyText"/>
              <w:keepNext w:val="0"/>
              <w:spacing w:before="60" w:after="60"/>
              <w:ind w:left="2"/>
              <w:jc w:val="center"/>
              <w:rPr>
                <w:i/>
              </w:rPr>
            </w:pPr>
            <w:r w:rsidRPr="00EF1A03">
              <w:rPr>
                <w:i/>
              </w:rPr>
              <w:t>2015</w:t>
            </w:r>
            <w:r w:rsidRPr="00EF1A03">
              <w:rPr>
                <w:i/>
              </w:rPr>
              <w:noBreakHyphen/>
              <w:t>16 Estimates</w:t>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ullet"/>
              <w:numPr>
                <w:ilvl w:val="0"/>
                <w:numId w:val="0"/>
              </w:numPr>
              <w:spacing w:before="40"/>
            </w:pPr>
            <w:r w:rsidRPr="00770229">
              <w:t>Aboriginal and Torres Strait Islander share of expenditure provided by jurisdictions</w:t>
            </w:r>
          </w:p>
          <w:p w:rsidR="009A7F87" w:rsidRPr="00770229" w:rsidRDefault="009A7F87" w:rsidP="009A7F87">
            <w:pPr>
              <w:pStyle w:val="TableBullet"/>
              <w:numPr>
                <w:ilvl w:val="0"/>
                <w:numId w:val="0"/>
              </w:numPr>
              <w:spacing w:before="40"/>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Unpublished AIHW estimates based on </w:t>
            </w:r>
            <w:r w:rsidRPr="00633D8F">
              <w:rPr>
                <w:i/>
              </w:rPr>
              <w:t>AIHW Expenditure on Health for Aboriginal and Torres Strait Islander People</w:t>
            </w:r>
          </w:p>
        </w:tc>
        <w:tc>
          <w:tcPr>
            <w:tcW w:w="584"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rsidRPr="00DB3652">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gridSpan w:val="2"/>
            <w:tcBorders>
              <w:top w:val="single" w:sz="6" w:space="0" w:color="808080" w:themeColor="background1" w:themeShade="80"/>
              <w:bottom w:val="single" w:sz="6" w:space="0" w:color="808080" w:themeColor="background1" w:themeShade="80"/>
            </w:tcBorders>
            <w:vAlign w:val="center"/>
          </w:tcPr>
          <w:p w:rsidR="009A7F87" w:rsidRDefault="009A7F87" w:rsidP="009A7F87">
            <w:pPr>
              <w:pStyle w:val="TableBodyText"/>
              <w:spacing w:before="60" w:after="60"/>
              <w:ind w:left="2"/>
              <w:jc w:val="center"/>
            </w:pPr>
            <w:r>
              <w:t>2013-14</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863029" w:rsidRDefault="009A7F87" w:rsidP="009A7F87">
            <w:pPr>
              <w:pStyle w:val="Note"/>
              <w:jc w:val="right"/>
            </w:pPr>
            <w:r>
              <w:t>(continued next page)</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2268"/>
        <w:gridCol w:w="6528"/>
      </w:tblGrid>
      <w:tr w:rsidR="009A7F87" w:rsidRPr="00770229" w:rsidTr="00144C20">
        <w:tc>
          <w:tcPr>
            <w:tcW w:w="5000" w:type="pct"/>
            <w:gridSpan w:val="2"/>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C05C71" w:rsidRDefault="009A7F87" w:rsidP="009A7F87">
            <w:pPr>
              <w:pStyle w:val="Heading3"/>
              <w:rPr>
                <w:sz w:val="18"/>
                <w:szCs w:val="18"/>
              </w:rPr>
            </w:pPr>
            <w:r>
              <w:br w:type="page"/>
            </w:r>
            <w:r>
              <w:br w:type="page"/>
            </w:r>
            <w:r>
              <w:br w:type="page"/>
            </w:r>
            <w:r w:rsidRPr="00C05C71">
              <w:rPr>
                <w:sz w:val="18"/>
                <w:szCs w:val="18"/>
              </w:rPr>
              <w:t>(continued)</w:t>
            </w:r>
          </w:p>
        </w:tc>
      </w:tr>
      <w:tr w:rsidR="009A7F87" w:rsidRPr="00770229" w:rsidTr="00144C20">
        <w:tc>
          <w:tcPr>
            <w:tcW w:w="5000" w:type="pct"/>
            <w:gridSpan w:val="2"/>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Pr>
                <w:b/>
                <w:sz w:val="24"/>
              </w:rPr>
              <w:t>AIHW method</w:t>
            </w:r>
          </w:p>
        </w:tc>
      </w:tr>
      <w:tr w:rsidR="009A7F87" w:rsidRPr="00770229" w:rsidTr="00A672D0">
        <w:tc>
          <w:tcPr>
            <w:tcW w:w="1289" w:type="pct"/>
            <w:tcBorders>
              <w:top w:val="single" w:sz="6" w:space="0" w:color="808080" w:themeColor="background1" w:themeShade="80"/>
              <w:bottom w:val="nil"/>
            </w:tcBorders>
            <w:tcMar>
              <w:top w:w="57" w:type="dxa"/>
              <w:left w:w="113" w:type="dxa"/>
            </w:tcMar>
          </w:tcPr>
          <w:p w:rsidR="009A7F87" w:rsidRPr="00770229" w:rsidRDefault="009A7F87" w:rsidP="009A7F87">
            <w:pPr>
              <w:pStyle w:val="TableBodyText"/>
              <w:jc w:val="left"/>
              <w:rPr>
                <w:b/>
                <w:sz w:val="24"/>
              </w:rPr>
            </w:pPr>
            <w:r w:rsidRPr="00770229">
              <w:rPr>
                <w:i/>
              </w:rPr>
              <w:t>Service use measures:</w:t>
            </w:r>
          </w:p>
        </w:tc>
        <w:tc>
          <w:tcPr>
            <w:tcW w:w="3711" w:type="pct"/>
            <w:tcBorders>
              <w:top w:val="single" w:sz="6" w:space="0" w:color="808080" w:themeColor="background1" w:themeShade="80"/>
              <w:bottom w:val="nil"/>
            </w:tcBorders>
          </w:tcPr>
          <w:p w:rsidR="009A7F87" w:rsidRPr="00770229" w:rsidRDefault="009A7F87" w:rsidP="009A7F87">
            <w:pPr>
              <w:pStyle w:val="TableBullet"/>
              <w:numPr>
                <w:ilvl w:val="0"/>
                <w:numId w:val="0"/>
              </w:numPr>
              <w:spacing w:before="40"/>
            </w:pPr>
            <w:r w:rsidRPr="00770229">
              <w:t xml:space="preserve">The service use measure for health administration not elsewhere classified is the </w:t>
            </w:r>
            <w:r w:rsidRPr="00770229">
              <w:rPr>
                <w:i/>
              </w:rPr>
              <w:t>Aboriginal and Torres Strait Islander proportion of the resident population</w:t>
            </w:r>
            <w:r w:rsidRPr="00770229">
              <w:t>.</w:t>
            </w:r>
          </w:p>
          <w:p w:rsidR="009A7F87" w:rsidRPr="00770229" w:rsidRDefault="009A7F87" w:rsidP="009A7F87">
            <w:pPr>
              <w:pStyle w:val="TableBodyText"/>
              <w:jc w:val="left"/>
            </w:pPr>
            <w:r w:rsidRPr="00770229">
              <w:t>The AIHW classifies a proportion of this expenditure as expenditure for Aboriginal and Torres Strait Islander Australians based on population proportions and other information obtained from data suppliers that are able to directly identify administration expenses, which can be directly related to the administration of Indigenous health programs.</w:t>
            </w:r>
          </w:p>
        </w:tc>
      </w:tr>
      <w:tr w:rsidR="009A7F87" w:rsidRPr="00770229" w:rsidTr="0044346B">
        <w:tc>
          <w:tcPr>
            <w:tcW w:w="1289" w:type="pct"/>
            <w:tcBorders>
              <w:top w:val="nil"/>
              <w:bottom w:val="nil"/>
            </w:tcBorders>
            <w:tcMar>
              <w:top w:w="57" w:type="dxa"/>
              <w:left w:w="113" w:type="dxa"/>
            </w:tcMar>
          </w:tcPr>
          <w:p w:rsidR="009A7F87" w:rsidRPr="00770229" w:rsidRDefault="009A7F87" w:rsidP="009A7F87">
            <w:pPr>
              <w:pStyle w:val="TableBodyText"/>
              <w:jc w:val="left"/>
              <w:rPr>
                <w:b/>
                <w:sz w:val="24"/>
              </w:rPr>
            </w:pPr>
            <w:r w:rsidRPr="00770229">
              <w:rPr>
                <w:i/>
              </w:rPr>
              <w:t xml:space="preserve">Indigenous status </w:t>
            </w:r>
            <w:r w:rsidRPr="00770229">
              <w:rPr>
                <w:i/>
              </w:rPr>
              <w:br/>
              <w:t>under</w:t>
            </w:r>
            <w:r w:rsidRPr="00770229">
              <w:rPr>
                <w:i/>
              </w:rPr>
              <w:noBreakHyphen/>
              <w:t>identification:</w:t>
            </w:r>
          </w:p>
        </w:tc>
        <w:tc>
          <w:tcPr>
            <w:tcW w:w="3711" w:type="pct"/>
            <w:tcBorders>
              <w:top w:val="nil"/>
              <w:bottom w:val="nil"/>
            </w:tcBorders>
          </w:tcPr>
          <w:p w:rsidR="009A7F87" w:rsidRPr="00863029" w:rsidRDefault="009A7F87" w:rsidP="009A7F87">
            <w:pPr>
              <w:pStyle w:val="TableBodyText"/>
              <w:jc w:val="left"/>
            </w:pPr>
            <w:r w:rsidRPr="00770229">
              <w:t xml:space="preserve">It is assumed that there is no </w:t>
            </w:r>
            <w:r>
              <w:t>Indigenous under-identification</w:t>
            </w:r>
            <w:r w:rsidRPr="00770229">
              <w:t xml:space="preserve"> for this GPC category.</w:t>
            </w:r>
          </w:p>
        </w:tc>
      </w:tr>
      <w:tr w:rsidR="009A7F87" w:rsidRPr="00770229" w:rsidTr="0044346B">
        <w:tc>
          <w:tcPr>
            <w:tcW w:w="1289" w:type="pct"/>
            <w:tcBorders>
              <w:top w:val="nil"/>
              <w:bottom w:val="single" w:sz="6" w:space="0" w:color="808080" w:themeColor="background1" w:themeShade="80"/>
            </w:tcBorders>
            <w:tcMar>
              <w:top w:w="57" w:type="dxa"/>
              <w:left w:w="113" w:type="dxa"/>
            </w:tcMar>
          </w:tcPr>
          <w:p w:rsidR="009A7F87" w:rsidRPr="00770229" w:rsidRDefault="009A7F87" w:rsidP="009A7F87">
            <w:pPr>
              <w:pStyle w:val="TableBodyText"/>
              <w:jc w:val="left"/>
              <w:rPr>
                <w:b/>
                <w:sz w:val="24"/>
              </w:rPr>
            </w:pPr>
            <w:r w:rsidRPr="00770229">
              <w:rPr>
                <w:i/>
              </w:rPr>
              <w:t>Service delivery cost differential:</w:t>
            </w:r>
          </w:p>
        </w:tc>
        <w:tc>
          <w:tcPr>
            <w:tcW w:w="3711" w:type="pct"/>
            <w:tcBorders>
              <w:top w:val="nil"/>
              <w:bottom w:val="single" w:sz="6" w:space="0" w:color="808080" w:themeColor="background1" w:themeShade="80"/>
            </w:tcBorders>
          </w:tcPr>
          <w:p w:rsidR="009A7F87" w:rsidRPr="00770229" w:rsidRDefault="009A7F87" w:rsidP="009A7F87">
            <w:pPr>
              <w:pStyle w:val="TableBodyText"/>
              <w:jc w:val="left"/>
              <w:rPr>
                <w:b/>
                <w:sz w:val="24"/>
              </w:rPr>
            </w:pPr>
            <w:r w:rsidRPr="00770229">
              <w:t>It is assumed that there is no cost differential for this GPC category.</w:t>
            </w:r>
          </w:p>
        </w:tc>
      </w:tr>
      <w:tr w:rsidR="009A7F87" w:rsidRPr="0071369A" w:rsidTr="0044346B">
        <w:tblPrEx>
          <w:tblBorders>
            <w:top w:val="none" w:sz="0" w:space="0" w:color="auto"/>
            <w:bottom w:val="none" w:sz="0" w:space="0" w:color="auto"/>
            <w:insideH w:val="none" w:sz="0" w:space="0" w:color="auto"/>
          </w:tblBorders>
        </w:tblPrEx>
        <w:tc>
          <w:tcPr>
            <w:tcW w:w="5000" w:type="pct"/>
            <w:gridSpan w:val="2"/>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120072">
      <w:pPr>
        <w:pStyle w:val="BodyText"/>
      </w:pPr>
    </w:p>
    <w:p w:rsidR="009A7F87" w:rsidRDefault="009A7F87" w:rsidP="009A7F87">
      <w:pPr>
        <w:sectPr w:rsidR="009A7F87" w:rsidSect="009A7F87">
          <w:headerReference w:type="even" r:id="rId107"/>
          <w:headerReference w:type="default" r:id="rId108"/>
          <w:footerReference w:type="even" r:id="rId109"/>
          <w:footerReference w:type="default" r:id="rId110"/>
          <w:footnotePr>
            <w:numRestart w:val="eachSect"/>
          </w:footnotePr>
          <w:type w:val="oddPage"/>
          <w:pgSz w:w="11907" w:h="16840" w:code="9"/>
          <w:pgMar w:top="1985" w:right="1304" w:bottom="1247" w:left="1814" w:header="1701" w:footer="397" w:gutter="0"/>
          <w:pgNumType w:chapSep="period"/>
          <w:cols w:space="720"/>
          <w:docGrid w:linePitch="326"/>
        </w:sectPr>
      </w:pPr>
    </w:p>
    <w:p w:rsidR="009A7F87" w:rsidRDefault="009A7F87">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9A7F87">
        <w:tc>
          <w:tcPr>
            <w:tcW w:w="6634" w:type="dxa"/>
            <w:tcBorders>
              <w:top w:val="single" w:sz="6" w:space="0" w:color="auto"/>
            </w:tcBorders>
          </w:tcPr>
          <w:p w:rsidR="009A7F87" w:rsidRDefault="009A7F87">
            <w:pPr>
              <w:pStyle w:val="PartDivider"/>
            </w:pPr>
          </w:p>
        </w:tc>
        <w:tc>
          <w:tcPr>
            <w:tcW w:w="2155" w:type="dxa"/>
            <w:tcBorders>
              <w:top w:val="single" w:sz="24" w:space="0" w:color="auto"/>
            </w:tcBorders>
          </w:tcPr>
          <w:p w:rsidR="009A7F87" w:rsidRDefault="009A7F87">
            <w:pPr>
              <w:pStyle w:val="PartDivider"/>
            </w:pPr>
          </w:p>
        </w:tc>
      </w:tr>
    </w:tbl>
    <w:p w:rsidR="009A7F87" w:rsidRDefault="009A7F87">
      <w:pPr>
        <w:pStyle w:val="PartDivider"/>
      </w:pPr>
    </w:p>
    <w:p w:rsidR="009A7F87" w:rsidRDefault="009A7F87" w:rsidP="009A7F87">
      <w:pPr>
        <w:pStyle w:val="PartTitle"/>
        <w:spacing w:after="240"/>
      </w:pPr>
      <w:r>
        <w:t>GPC 06</w:t>
      </w:r>
    </w:p>
    <w:p w:rsidR="009A7F87" w:rsidRDefault="009A7F87" w:rsidP="009A7F87">
      <w:pPr>
        <w:pStyle w:val="PartTitle"/>
        <w:spacing w:after="240"/>
      </w:pPr>
      <w:r>
        <w:t>social security and welfare</w:t>
      </w:r>
    </w:p>
    <w:p w:rsidR="009A7F87" w:rsidRDefault="009A7F87" w:rsidP="009A7F87">
      <w:pPr>
        <w:pStyle w:val="BodyText"/>
        <w:rPr>
          <w:sz w:val="52"/>
        </w:rPr>
      </w:pPr>
      <w:r>
        <w:br w:type="page"/>
      </w:r>
    </w:p>
    <w:p w:rsidR="009A7F87" w:rsidRPr="003755C6" w:rsidRDefault="009A7F87" w:rsidP="009A7F87">
      <w:pPr>
        <w:rPr>
          <w:szCs w:val="20"/>
        </w:rPr>
      </w:pPr>
    </w:p>
    <w:p w:rsidR="009A7F87" w:rsidRDefault="009A7F87" w:rsidP="009A7F87">
      <w:pPr>
        <w:sectPr w:rsidR="009A7F87" w:rsidSect="009A7F87">
          <w:headerReference w:type="even" r:id="rId111"/>
          <w:headerReference w:type="default" r:id="rId112"/>
          <w:footerReference w:type="even" r:id="rId113"/>
          <w:footerReference w:type="default" r:id="rId114"/>
          <w:footnotePr>
            <w:numRestart w:val="eachSect"/>
          </w:footnotePr>
          <w:type w:val="oddPage"/>
          <w:pgSz w:w="11907" w:h="16840" w:code="9"/>
          <w:pgMar w:top="1985" w:right="1304" w:bottom="1247" w:left="1814" w:header="1701" w:footer="397" w:gutter="0"/>
          <w:pgNumType w:chapSep="period"/>
          <w:cols w:space="720"/>
          <w:docGrid w:linePitch="326"/>
        </w:sectPr>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144C20">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t>0</w:t>
            </w:r>
            <w:r>
              <w:t>61</w:t>
            </w:r>
            <w:r w:rsidRPr="00770229">
              <w:t>0 Social security</w:t>
            </w:r>
          </w:p>
        </w:tc>
      </w:tr>
      <w:tr w:rsidR="009A7F87" w:rsidRPr="00770229" w:rsidTr="00144C20">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The Australian Government provides a range of income support payments to individuals and families to ensure they maintain an adequate means of support. There are eight broad categories of social security:</w:t>
            </w:r>
          </w:p>
          <w:p w:rsidR="009A7F87" w:rsidRPr="00770229" w:rsidRDefault="009A7F87" w:rsidP="009A7F87">
            <w:pPr>
              <w:pStyle w:val="TableBullet"/>
              <w:numPr>
                <w:ilvl w:val="0"/>
                <w:numId w:val="24"/>
              </w:numPr>
              <w:spacing w:line="220" w:lineRule="atLeast"/>
            </w:pPr>
            <w:r w:rsidRPr="00770229">
              <w:t>assistance to veterans and dependants</w:t>
            </w:r>
          </w:p>
          <w:p w:rsidR="009A7F87" w:rsidRPr="00770229" w:rsidRDefault="009A7F87" w:rsidP="009A7F87">
            <w:pPr>
              <w:pStyle w:val="TableBullet"/>
              <w:numPr>
                <w:ilvl w:val="0"/>
                <w:numId w:val="24"/>
              </w:numPr>
              <w:spacing w:line="220" w:lineRule="atLeast"/>
            </w:pPr>
            <w:r w:rsidRPr="00770229">
              <w:t>assistance to people with disability</w:t>
            </w:r>
          </w:p>
          <w:p w:rsidR="009A7F87" w:rsidRPr="00770229" w:rsidRDefault="009A7F87" w:rsidP="009A7F87">
            <w:pPr>
              <w:pStyle w:val="TableBullet"/>
              <w:numPr>
                <w:ilvl w:val="0"/>
                <w:numId w:val="24"/>
              </w:numPr>
              <w:spacing w:line="220" w:lineRule="atLeast"/>
            </w:pPr>
            <w:r w:rsidRPr="00770229">
              <w:t>assistance to the aged</w:t>
            </w:r>
          </w:p>
          <w:p w:rsidR="009A7F87" w:rsidRPr="00770229" w:rsidRDefault="009A7F87" w:rsidP="009A7F87">
            <w:pPr>
              <w:pStyle w:val="TableBullet"/>
              <w:numPr>
                <w:ilvl w:val="0"/>
                <w:numId w:val="24"/>
              </w:numPr>
              <w:spacing w:line="220" w:lineRule="atLeast"/>
            </w:pPr>
            <w:r w:rsidRPr="00770229">
              <w:t>assistance to the unemployed</w:t>
            </w:r>
          </w:p>
          <w:p w:rsidR="009A7F87" w:rsidRPr="00770229" w:rsidRDefault="009A7F87" w:rsidP="009A7F87">
            <w:pPr>
              <w:pStyle w:val="TableBullet"/>
              <w:numPr>
                <w:ilvl w:val="0"/>
                <w:numId w:val="24"/>
              </w:numPr>
              <w:spacing w:line="220" w:lineRule="atLeast"/>
            </w:pPr>
            <w:r w:rsidRPr="00770229">
              <w:t>assistance to family and children</w:t>
            </w:r>
          </w:p>
          <w:p w:rsidR="009A7F87" w:rsidRPr="00770229" w:rsidRDefault="009A7F87" w:rsidP="009A7F87">
            <w:pPr>
              <w:pStyle w:val="TableBullet"/>
              <w:numPr>
                <w:ilvl w:val="0"/>
                <w:numId w:val="24"/>
              </w:numPr>
              <w:spacing w:line="220" w:lineRule="atLeast"/>
              <w:rPr>
                <w:sz w:val="22"/>
              </w:rPr>
            </w:pPr>
            <w:r w:rsidRPr="00770229">
              <w:t>concessions and allowances to low</w:t>
            </w:r>
            <w:r w:rsidRPr="00770229">
              <w:noBreakHyphen/>
              <w:t>income earners</w:t>
            </w:r>
          </w:p>
          <w:p w:rsidR="009A7F87" w:rsidRPr="00770229" w:rsidRDefault="009A7F87" w:rsidP="009A7F87">
            <w:pPr>
              <w:pStyle w:val="TableBullet"/>
              <w:numPr>
                <w:ilvl w:val="0"/>
                <w:numId w:val="24"/>
              </w:numPr>
              <w:spacing w:line="220" w:lineRule="atLeast"/>
              <w:rPr>
                <w:sz w:val="22"/>
              </w:rPr>
            </w:pPr>
            <w:r w:rsidRPr="00770229">
              <w:t>assistance to widows, deserted wives, divorcees and orphans</w:t>
            </w:r>
          </w:p>
          <w:p w:rsidR="009A7F87" w:rsidRPr="00770229" w:rsidRDefault="009A7F87" w:rsidP="009A7F87">
            <w:pPr>
              <w:pStyle w:val="TableBullet"/>
              <w:numPr>
                <w:ilvl w:val="0"/>
                <w:numId w:val="24"/>
              </w:numPr>
              <w:spacing w:line="220" w:lineRule="atLeast"/>
              <w:rPr>
                <w:sz w:val="22"/>
              </w:rPr>
            </w:pPr>
            <w:r w:rsidRPr="00770229">
              <w:t>assistance to the vulnerable and people in special circumstances.</w:t>
            </w:r>
          </w:p>
          <w:p w:rsidR="009A7F87" w:rsidRPr="00770229" w:rsidRDefault="009A7F87" w:rsidP="009A7F87">
            <w:pPr>
              <w:pStyle w:val="TableBodyText"/>
              <w:jc w:val="left"/>
            </w:pPr>
            <w:r w:rsidRPr="00770229">
              <w:t>Concessions and allowances to low</w:t>
            </w:r>
            <w:r w:rsidRPr="00770229">
              <w:noBreakHyphen/>
              <w:t>income earners can also include a range of price concession programs provided by State and Territory governments. For example, energy concessions (including gas and electricity services) and municipal property charges concessions (including council rates and stamp duty).</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The key cost drivers of expenditure on social security payments provided by the Australian Government are the number of people that receive the benefit and the level of benefit paid to the individual and/or family. </w:t>
            </w:r>
          </w:p>
          <w:p w:rsidR="009A7F87" w:rsidRPr="00770229" w:rsidRDefault="009A7F87" w:rsidP="009A7F87">
            <w:pPr>
              <w:pStyle w:val="TableBodyText"/>
              <w:keepNext w:val="0"/>
              <w:keepLines w:val="0"/>
              <w:spacing w:before="80" w:after="80"/>
              <w:jc w:val="left"/>
              <w:rPr>
                <w:szCs w:val="26"/>
              </w:rPr>
            </w:pPr>
            <w:r w:rsidRPr="00770229">
              <w:t>The key cost drivers of expenditure on State and Territory government expenditure on social security are the number of people that qualify to receive government concessions and allowances, and the level of benefit provided.</w:t>
            </w:r>
          </w:p>
        </w:tc>
      </w:tr>
      <w:tr w:rsidR="009A7F87" w:rsidRPr="00770229" w:rsidTr="00A672D0">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D86D0C"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D86D0C"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ColumnHeading"/>
              <w:keepNext w:val="0"/>
              <w:ind w:left="180"/>
              <w:jc w:val="center"/>
            </w:pPr>
            <w:r w:rsidRPr="00D86D0C">
              <w:t>Data Years</w:t>
            </w:r>
          </w:p>
        </w:tc>
      </w:tr>
      <w:tr w:rsidR="009A7F87" w:rsidRPr="00D86D0C"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D86D0C" w:rsidRDefault="009A7F87" w:rsidP="009A7F87">
            <w:pPr>
              <w:pStyle w:val="TableBodyText"/>
              <w:keepNext w:val="0"/>
              <w:spacing w:before="60" w:after="60"/>
              <w:ind w:left="0"/>
              <w:jc w:val="both"/>
              <w:rPr>
                <w:i/>
              </w:rPr>
            </w:pPr>
            <w:r w:rsidRPr="00D86D0C">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180"/>
              <w:jc w:val="left"/>
              <w:rPr>
                <w:i/>
              </w:rPr>
            </w:pPr>
            <w:r w:rsidRPr="00D86D0C">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2"/>
              <w:jc w:val="center"/>
              <w:rPr>
                <w:i/>
              </w:rPr>
            </w:pPr>
            <w:r w:rsidRPr="00D86D0C">
              <w:rPr>
                <w:i/>
              </w:rPr>
              <w:t>2008</w:t>
            </w:r>
            <w:r w:rsidRPr="00D86D0C">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2"/>
              <w:jc w:val="center"/>
              <w:rPr>
                <w:i/>
              </w:rPr>
            </w:pPr>
            <w:r w:rsidRPr="00D86D0C">
              <w:rPr>
                <w:i/>
              </w:rPr>
              <w:t>2010</w:t>
            </w:r>
            <w:r w:rsidRPr="00D86D0C">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2"/>
              <w:jc w:val="center"/>
              <w:rPr>
                <w:i/>
              </w:rPr>
            </w:pPr>
            <w:r w:rsidRPr="00D86D0C">
              <w:rPr>
                <w:i/>
              </w:rPr>
              <w:t>2012</w:t>
            </w:r>
            <w:r w:rsidRPr="00D86D0C">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D86D0C" w:rsidRDefault="009A7F87" w:rsidP="009A7F87">
            <w:pPr>
              <w:pStyle w:val="TableBodyText"/>
              <w:keepNext w:val="0"/>
              <w:spacing w:before="60" w:after="60"/>
              <w:ind w:left="2"/>
              <w:jc w:val="center"/>
              <w:rPr>
                <w:i/>
              </w:rPr>
            </w:pPr>
            <w:r w:rsidRPr="00D86D0C">
              <w:rPr>
                <w:i/>
              </w:rPr>
              <w:t>2015</w:t>
            </w:r>
            <w:r w:rsidRPr="00D86D0C">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ind w:left="0"/>
              <w:jc w:val="left"/>
            </w:pPr>
            <w:r w:rsidRPr="00770229">
              <w:t>Recipients of veterans and dependants benefits</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ind w:left="207"/>
              <w:jc w:val="left"/>
            </w:pPr>
            <w:r w:rsidRPr="00770229">
              <w:t>Australian Government administrative data for income support payments (unpublished)</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30 June 2009</w:t>
            </w:r>
          </w:p>
          <w:p w:rsidR="009A7F87" w:rsidRPr="00770229" w:rsidRDefault="009A7F87" w:rsidP="009A7F87">
            <w:pPr>
              <w:pStyle w:val="TableBodyText"/>
              <w:keepNext w:val="0"/>
              <w:spacing w:before="60"/>
              <w:ind w:left="0"/>
              <w:jc w:val="left"/>
            </w:pPr>
            <w:r>
              <w:br/>
            </w: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30 June 2011</w:t>
            </w:r>
          </w:p>
          <w:p w:rsidR="009A7F87" w:rsidRPr="00770229" w:rsidRDefault="009A7F87" w:rsidP="009A7F87">
            <w:pPr>
              <w:pStyle w:val="TableBodyText"/>
              <w:keepNext w:val="0"/>
              <w:spacing w:before="60"/>
              <w:ind w:left="0"/>
              <w:jc w:val="left"/>
            </w:pPr>
            <w:r>
              <w:br/>
            </w: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30 June 2013</w:t>
            </w:r>
          </w:p>
          <w:p w:rsidR="009A7F87" w:rsidRPr="00770229" w:rsidRDefault="009A7F87" w:rsidP="009A7F87">
            <w:pPr>
              <w:pStyle w:val="TableBodyText"/>
              <w:keepNext w:val="0"/>
              <w:spacing w:before="60"/>
              <w:ind w:left="0"/>
              <w:jc w:val="left"/>
            </w:pPr>
            <w:r>
              <w:br/>
            </w:r>
          </w:p>
        </w:tc>
        <w:tc>
          <w:tcPr>
            <w:tcW w:w="583" w:type="pct"/>
            <w:gridSpan w:val="2"/>
            <w:tcBorders>
              <w:top w:val="single" w:sz="6" w:space="0" w:color="808080" w:themeColor="background1" w:themeShade="80"/>
            </w:tcBorders>
            <w:vAlign w:val="center"/>
          </w:tcPr>
          <w:p w:rsidR="009A7F87" w:rsidRDefault="009A7F87" w:rsidP="009A7F87">
            <w:pPr>
              <w:pStyle w:val="TableBodyText"/>
              <w:keepNext w:val="0"/>
              <w:spacing w:before="60"/>
              <w:ind w:left="0"/>
              <w:jc w:val="center"/>
            </w:pPr>
            <w:r>
              <w:t>..</w:t>
            </w:r>
          </w:p>
          <w:p w:rsidR="009A7F87" w:rsidRDefault="009A7F87" w:rsidP="009A7F87">
            <w:pPr>
              <w:pStyle w:val="TableBodyText"/>
              <w:keepNext w:val="0"/>
              <w:spacing w:before="60"/>
              <w:ind w:left="0"/>
              <w:jc w:val="left"/>
            </w:pPr>
          </w:p>
          <w:p w:rsidR="009A7F87" w:rsidRPr="00770229" w:rsidRDefault="009A7F87" w:rsidP="009A7F87">
            <w:pPr>
              <w:pStyle w:val="TableBodyText"/>
              <w:keepNext w:val="0"/>
              <w:spacing w:before="60"/>
              <w:ind w:left="0"/>
              <w:jc w:val="left"/>
            </w:pP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6943F6">
              <w:t xml:space="preserve">Resident population aged </w:t>
            </w:r>
            <w:r>
              <w:t>60 and over (as a proxy for above)</w:t>
            </w:r>
          </w:p>
        </w:tc>
        <w:tc>
          <w:tcPr>
            <w:tcW w:w="1814" w:type="pct"/>
            <w:tcBorders>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6943F6">
              <w:t xml:space="preserve">ABS Australian </w:t>
            </w:r>
            <w:r w:rsidRPr="00B759DE">
              <w:t>Demographic Statistics</w:t>
            </w:r>
            <w:r w:rsidRPr="006943F6">
              <w:t xml:space="preserve"> (Cat. no. 3101.0); ABS Estimates and Projections, Aboriginal and Torres Strait Islander Australians, 2001–2026 </w:t>
            </w:r>
            <w:r>
              <w:br/>
            </w:r>
            <w:r w:rsidRPr="006943F6">
              <w:t>(Cat. no. 3238.0)</w:t>
            </w:r>
          </w:p>
        </w:tc>
        <w:tc>
          <w:tcPr>
            <w:tcW w:w="584"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3" w:type="pct"/>
            <w:gridSpan w:val="2"/>
            <w:tcBorders>
              <w:bottom w:val="single" w:sz="6" w:space="0" w:color="808080" w:themeColor="background1" w:themeShade="80"/>
            </w:tcBorders>
          </w:tcPr>
          <w:p w:rsidR="009A7F87" w:rsidRPr="00770229" w:rsidRDefault="009A7F87" w:rsidP="009A7F87">
            <w:pPr>
              <w:pStyle w:val="TableBodyText"/>
              <w:keepNext w:val="0"/>
              <w:spacing w:before="60" w:after="60"/>
              <w:ind w:left="2"/>
              <w:jc w:val="center"/>
            </w:pPr>
            <w:r>
              <w:t>30 June 2016</w:t>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EC22C8" w:rsidRDefault="009A7F87" w:rsidP="009A7F87">
            <w:pPr>
              <w:pStyle w:val="Note"/>
              <w:jc w:val="right"/>
            </w:pPr>
            <w:r>
              <w:t>(continued next page)</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120072">
      <w:pPr>
        <w:pStyle w:val="BodyText"/>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1029"/>
        <w:gridCol w:w="1029"/>
        <w:gridCol w:w="1026"/>
      </w:tblGrid>
      <w:tr w:rsidR="009A7F87" w:rsidRPr="00770229" w:rsidTr="00144C20">
        <w:tc>
          <w:tcPr>
            <w:tcW w:w="5000" w:type="pct"/>
            <w:gridSpan w:val="6"/>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D86D0C" w:rsidRDefault="009A7F87" w:rsidP="009A7F87">
            <w:pPr>
              <w:pStyle w:val="Heading3"/>
              <w:rPr>
                <w:sz w:val="18"/>
                <w:szCs w:val="18"/>
              </w:rPr>
            </w:pPr>
            <w:r>
              <w:br w:type="page"/>
            </w:r>
            <w:r>
              <w:br w:type="page"/>
            </w:r>
            <w:r>
              <w:br w:type="page"/>
            </w:r>
            <w:r w:rsidRPr="00D86D0C">
              <w:rPr>
                <w:sz w:val="18"/>
                <w:szCs w:val="18"/>
              </w:rPr>
              <w:t>(continued)</w:t>
            </w:r>
          </w:p>
        </w:tc>
      </w:tr>
      <w:tr w:rsidR="009A7F87" w:rsidRPr="00D86D0C" w:rsidTr="00144C20">
        <w:tblPrEx>
          <w:tblBorders>
            <w:top w:val="none" w:sz="0" w:space="0" w:color="auto"/>
            <w:bottom w:val="none" w:sz="0" w:space="0" w:color="auto"/>
            <w:insideH w:val="none" w:sz="0" w:space="0" w:color="auto"/>
          </w:tblBorders>
        </w:tblPrEx>
        <w:tc>
          <w:tcPr>
            <w:tcW w:w="849" w:type="pct"/>
            <w:tcBorders>
              <w:top w:val="single" w:sz="12" w:space="0" w:color="808080" w:themeColor="background1" w:themeShade="80"/>
              <w:bottom w:val="single" w:sz="6" w:space="0" w:color="808080" w:themeColor="background1" w:themeShade="80"/>
            </w:tcBorders>
            <w:shd w:val="clear" w:color="auto" w:fill="auto"/>
            <w:tcMar>
              <w:top w:w="57" w:type="dxa"/>
              <w:left w:w="113" w:type="dxa"/>
            </w:tcMar>
          </w:tcPr>
          <w:p w:rsidR="009A7F87" w:rsidRPr="00D86D0C" w:rsidRDefault="009A7F87" w:rsidP="009A7F87">
            <w:pPr>
              <w:pStyle w:val="TableColumnHeading"/>
              <w:keepNext w:val="0"/>
              <w:jc w:val="left"/>
            </w:pPr>
          </w:p>
        </w:tc>
        <w:tc>
          <w:tcPr>
            <w:tcW w:w="1814" w:type="pct"/>
            <w:tcBorders>
              <w:top w:val="single" w:sz="12"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ColumnHeading"/>
              <w:keepNext w:val="0"/>
              <w:ind w:left="180"/>
              <w:jc w:val="left"/>
            </w:pPr>
          </w:p>
        </w:tc>
        <w:tc>
          <w:tcPr>
            <w:tcW w:w="2337" w:type="pct"/>
            <w:gridSpan w:val="4"/>
            <w:tcBorders>
              <w:top w:val="single" w:sz="12"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ColumnHeading"/>
              <w:keepNext w:val="0"/>
              <w:ind w:left="180"/>
              <w:jc w:val="center"/>
            </w:pPr>
            <w:r w:rsidRPr="00D86D0C">
              <w:t>Data Years</w:t>
            </w:r>
          </w:p>
        </w:tc>
      </w:tr>
      <w:tr w:rsidR="009A7F87" w:rsidRPr="00D86D0C"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D86D0C" w:rsidRDefault="009A7F87" w:rsidP="009A7F87">
            <w:pPr>
              <w:pStyle w:val="TableBodyText"/>
              <w:keepNext w:val="0"/>
              <w:spacing w:before="60" w:after="60"/>
              <w:ind w:left="0"/>
              <w:jc w:val="both"/>
              <w:rPr>
                <w:i/>
              </w:rPr>
            </w:pPr>
            <w:r w:rsidRPr="00D86D0C">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180"/>
              <w:jc w:val="left"/>
              <w:rPr>
                <w:i/>
              </w:rPr>
            </w:pPr>
            <w:r w:rsidRPr="00D86D0C">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2"/>
              <w:jc w:val="center"/>
              <w:rPr>
                <w:i/>
              </w:rPr>
            </w:pPr>
            <w:r w:rsidRPr="00D86D0C">
              <w:rPr>
                <w:i/>
              </w:rPr>
              <w:t>2008</w:t>
            </w:r>
            <w:r w:rsidRPr="00D86D0C">
              <w:rPr>
                <w:i/>
              </w:rPr>
              <w:noBreakHyphen/>
              <w:t>09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2"/>
              <w:jc w:val="center"/>
              <w:rPr>
                <w:i/>
              </w:rPr>
            </w:pPr>
            <w:r w:rsidRPr="00D86D0C">
              <w:rPr>
                <w:i/>
              </w:rPr>
              <w:t>2010</w:t>
            </w:r>
            <w:r w:rsidRPr="00D86D0C">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2"/>
              <w:jc w:val="center"/>
              <w:rPr>
                <w:i/>
              </w:rPr>
            </w:pPr>
            <w:r w:rsidRPr="00D86D0C">
              <w:rPr>
                <w:i/>
              </w:rPr>
              <w:t>2012</w:t>
            </w:r>
            <w:r w:rsidRPr="00D86D0C">
              <w:rPr>
                <w:i/>
              </w:rPr>
              <w:noBreakHyphen/>
              <w:t>13 Estimates</w:t>
            </w:r>
          </w:p>
        </w:tc>
        <w:tc>
          <w:tcPr>
            <w:tcW w:w="583" w:type="pct"/>
            <w:tcBorders>
              <w:top w:val="single" w:sz="6" w:space="0" w:color="808080" w:themeColor="background1" w:themeShade="80"/>
              <w:bottom w:val="single" w:sz="6" w:space="0" w:color="808080" w:themeColor="background1" w:themeShade="80"/>
            </w:tcBorders>
          </w:tcPr>
          <w:p w:rsidR="009A7F87" w:rsidRPr="00D86D0C" w:rsidRDefault="009A7F87" w:rsidP="009A7F87">
            <w:pPr>
              <w:pStyle w:val="TableBodyText"/>
              <w:keepNext w:val="0"/>
              <w:spacing w:before="60" w:after="60"/>
              <w:ind w:left="2"/>
              <w:jc w:val="center"/>
              <w:rPr>
                <w:i/>
              </w:rPr>
            </w:pPr>
            <w:r w:rsidRPr="00D86D0C">
              <w:rPr>
                <w:i/>
              </w:rPr>
              <w:t>2015</w:t>
            </w:r>
            <w:r w:rsidRPr="00D86D0C">
              <w:rPr>
                <w:i/>
              </w:rPr>
              <w:noBreakHyphen/>
              <w:t>16 Estimates</w:t>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spacing w:before="60" w:after="60"/>
              <w:jc w:val="left"/>
            </w:pPr>
            <w:r w:rsidRPr="00770229">
              <w:t>Recipients of permanent disability benefits</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1"/>
              <w:jc w:val="left"/>
            </w:pPr>
            <w:r w:rsidRPr="00770229">
              <w:t>Australian Government administrative data for income support payments (unpublished)</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0"/>
              <w:jc w:val="center"/>
            </w:pPr>
            <w:r>
              <w:t>30 June 2009</w:t>
            </w:r>
          </w:p>
          <w:p w:rsidR="009A7F87" w:rsidRPr="00770229" w:rsidRDefault="009A7F87" w:rsidP="009A7F87">
            <w:pPr>
              <w:pStyle w:val="TableBodyText"/>
              <w:keepNext w:val="0"/>
              <w:spacing w:before="60" w:after="60"/>
              <w:ind w:left="0"/>
              <w:jc w:val="center"/>
            </w:pPr>
            <w:r>
              <w:br/>
            </w: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30 June 2011</w:t>
            </w: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30 June 2013</w:t>
            </w:r>
          </w:p>
          <w:p w:rsidR="009A7F87" w:rsidRPr="00770229" w:rsidRDefault="009A7F87" w:rsidP="009A7F87">
            <w:pPr>
              <w:pStyle w:val="TableBodyText"/>
              <w:spacing w:before="60" w:after="60"/>
              <w:ind w:left="2"/>
              <w:jc w:val="center"/>
            </w:pPr>
            <w:r>
              <w:br/>
            </w:r>
          </w:p>
        </w:tc>
        <w:tc>
          <w:tcPr>
            <w:tcW w:w="583" w:type="pct"/>
            <w:tcBorders>
              <w:top w:val="single" w:sz="6" w:space="0" w:color="808080" w:themeColor="background1" w:themeShade="80"/>
            </w:tcBorders>
            <w:vAlign w:val="center"/>
          </w:tcPr>
          <w:p w:rsidR="009A7F87" w:rsidRDefault="009A7F87" w:rsidP="009A7F87">
            <w:pPr>
              <w:pStyle w:val="TableBodyText"/>
              <w:spacing w:before="60" w:after="60"/>
              <w:ind w:left="2"/>
              <w:jc w:val="center"/>
            </w:pPr>
            <w:r>
              <w:t>30 June 2016</w:t>
            </w:r>
          </w:p>
          <w:p w:rsidR="009A7F87" w:rsidRPr="00770229" w:rsidRDefault="009A7F87" w:rsidP="009A7F87">
            <w:pPr>
              <w:pStyle w:val="TableBodyText"/>
              <w:spacing w:before="60" w:after="60"/>
              <w:ind w:left="2"/>
              <w:jc w:val="center"/>
            </w:pPr>
            <w:r>
              <w:br/>
            </w:r>
          </w:p>
        </w:tc>
      </w:tr>
      <w:tr w:rsidR="009A7F87" w:rsidRPr="00770229" w:rsidTr="009A7F87">
        <w:tblPrEx>
          <w:tblBorders>
            <w:top w:val="none" w:sz="0" w:space="0" w:color="auto"/>
            <w:bottom w:val="none" w:sz="0" w:space="0" w:color="auto"/>
            <w:insideH w:val="none" w:sz="0" w:space="0" w:color="auto"/>
          </w:tblBorders>
        </w:tblPrEx>
        <w:tc>
          <w:tcPr>
            <w:tcW w:w="849" w:type="pct"/>
            <w:shd w:val="clear" w:color="auto" w:fill="auto"/>
            <w:tcMar>
              <w:top w:w="57" w:type="dxa"/>
              <w:left w:w="113" w:type="dxa"/>
            </w:tcMar>
          </w:tcPr>
          <w:p w:rsidR="009A7F87" w:rsidRPr="00770229" w:rsidRDefault="009A7F87" w:rsidP="009A7F87">
            <w:pPr>
              <w:pStyle w:val="TableBodyText"/>
              <w:spacing w:after="0"/>
              <w:jc w:val="left"/>
            </w:pPr>
            <w:r w:rsidRPr="00770229">
              <w:t>Recipients of old age benefits</w:t>
            </w:r>
          </w:p>
        </w:tc>
        <w:tc>
          <w:tcPr>
            <w:tcW w:w="1814" w:type="pct"/>
            <w:shd w:val="clear" w:color="auto" w:fill="auto"/>
          </w:tcPr>
          <w:p w:rsidR="009A7F87" w:rsidRPr="00770229" w:rsidRDefault="009A7F87" w:rsidP="009A7F87">
            <w:pPr>
              <w:pStyle w:val="TableBodyText"/>
              <w:keepNext w:val="0"/>
              <w:spacing w:after="0"/>
              <w:ind w:left="181"/>
              <w:jc w:val="left"/>
            </w:pPr>
            <w:r w:rsidRPr="00770229">
              <w:t>Australian Government administrative data for income support payments (unpublished)</w:t>
            </w:r>
          </w:p>
        </w:tc>
        <w:tc>
          <w:tcPr>
            <w:tcW w:w="584" w:type="pct"/>
            <w:shd w:val="clear" w:color="auto" w:fill="auto"/>
            <w:vAlign w:val="center"/>
          </w:tcPr>
          <w:p w:rsidR="009A7F87" w:rsidRDefault="009A7F87" w:rsidP="009A7F87">
            <w:pPr>
              <w:pStyle w:val="TableBodyText"/>
              <w:keepNext w:val="0"/>
              <w:spacing w:after="0"/>
              <w:ind w:left="0"/>
              <w:jc w:val="center"/>
            </w:pPr>
            <w:r>
              <w:t>30 June 2009</w:t>
            </w:r>
          </w:p>
          <w:p w:rsidR="009A7F87" w:rsidRPr="00770229" w:rsidRDefault="009A7F87" w:rsidP="009A7F87">
            <w:pPr>
              <w:pStyle w:val="TableBodyText"/>
              <w:keepNext w:val="0"/>
              <w:spacing w:before="60" w:after="60"/>
              <w:ind w:left="2"/>
              <w:jc w:val="center"/>
            </w:pPr>
          </w:p>
        </w:tc>
        <w:tc>
          <w:tcPr>
            <w:tcW w:w="585" w:type="pct"/>
            <w:shd w:val="clear" w:color="auto" w:fill="auto"/>
            <w:vAlign w:val="center"/>
          </w:tcPr>
          <w:p w:rsidR="009A7F87" w:rsidRDefault="009A7F87" w:rsidP="009A7F87">
            <w:pPr>
              <w:pStyle w:val="TableBodyText"/>
              <w:spacing w:after="0"/>
              <w:ind w:left="0"/>
              <w:jc w:val="center"/>
            </w:pPr>
            <w:r>
              <w:t>30 June 2011</w:t>
            </w:r>
          </w:p>
          <w:p w:rsidR="009A7F87" w:rsidRPr="00770229" w:rsidRDefault="009A7F87" w:rsidP="009A7F87">
            <w:pPr>
              <w:pStyle w:val="TableBodyText"/>
              <w:spacing w:before="60" w:after="60"/>
              <w:ind w:left="2"/>
              <w:jc w:val="center"/>
            </w:pPr>
          </w:p>
        </w:tc>
        <w:tc>
          <w:tcPr>
            <w:tcW w:w="585" w:type="pct"/>
            <w:shd w:val="clear" w:color="auto" w:fill="auto"/>
            <w:vAlign w:val="center"/>
          </w:tcPr>
          <w:p w:rsidR="009A7F87" w:rsidRDefault="009A7F87" w:rsidP="009A7F87">
            <w:pPr>
              <w:pStyle w:val="TableBodyText"/>
              <w:spacing w:after="0"/>
              <w:ind w:left="0"/>
              <w:jc w:val="center"/>
            </w:pPr>
            <w:r>
              <w:t>30 June 2013</w:t>
            </w:r>
          </w:p>
          <w:p w:rsidR="009A7F87" w:rsidRPr="00770229" w:rsidRDefault="009A7F87" w:rsidP="009A7F87">
            <w:pPr>
              <w:pStyle w:val="TableBodyText"/>
              <w:spacing w:before="60" w:after="60"/>
              <w:ind w:left="2"/>
              <w:jc w:val="center"/>
            </w:pPr>
          </w:p>
        </w:tc>
        <w:tc>
          <w:tcPr>
            <w:tcW w:w="583" w:type="pct"/>
            <w:vAlign w:val="center"/>
          </w:tcPr>
          <w:p w:rsidR="009A7F87" w:rsidRDefault="009A7F87" w:rsidP="009A7F87">
            <w:pPr>
              <w:pStyle w:val="TableBodyText"/>
              <w:spacing w:after="0"/>
              <w:ind w:left="0"/>
              <w:jc w:val="center"/>
            </w:pPr>
            <w:r>
              <w:t>30 June 2016</w:t>
            </w:r>
          </w:p>
          <w:p w:rsidR="009A7F87" w:rsidRPr="00770229" w:rsidRDefault="009A7F87" w:rsidP="009A7F87">
            <w:pPr>
              <w:pStyle w:val="TableBodyText"/>
              <w:spacing w:before="60" w:after="60"/>
              <w:ind w:left="2"/>
              <w:jc w:val="center"/>
            </w:pPr>
          </w:p>
        </w:tc>
      </w:tr>
      <w:tr w:rsidR="009A7F87" w:rsidRPr="00770229" w:rsidTr="009A7F87">
        <w:tblPrEx>
          <w:tblBorders>
            <w:top w:val="none" w:sz="0" w:space="0" w:color="auto"/>
            <w:bottom w:val="none" w:sz="0" w:space="0" w:color="auto"/>
            <w:insideH w:val="none" w:sz="0" w:space="0" w:color="auto"/>
          </w:tblBorders>
        </w:tblPrEx>
        <w:tc>
          <w:tcPr>
            <w:tcW w:w="849" w:type="pct"/>
            <w:shd w:val="clear" w:color="auto" w:fill="auto"/>
            <w:tcMar>
              <w:top w:w="57" w:type="dxa"/>
              <w:left w:w="113" w:type="dxa"/>
            </w:tcMar>
          </w:tcPr>
          <w:p w:rsidR="009A7F87" w:rsidRPr="00770229" w:rsidRDefault="009A7F87" w:rsidP="009A7F87">
            <w:pPr>
              <w:pStyle w:val="TableBodyText"/>
              <w:spacing w:after="0"/>
              <w:jc w:val="left"/>
            </w:pPr>
            <w:r w:rsidRPr="00770229">
              <w:t>Recipients of unemployment benefits</w:t>
            </w:r>
          </w:p>
        </w:tc>
        <w:tc>
          <w:tcPr>
            <w:tcW w:w="1814" w:type="pct"/>
            <w:shd w:val="clear" w:color="auto" w:fill="auto"/>
          </w:tcPr>
          <w:p w:rsidR="009A7F87" w:rsidRPr="00770229" w:rsidRDefault="009A7F87" w:rsidP="009A7F87">
            <w:pPr>
              <w:pStyle w:val="TableBodyText"/>
              <w:keepNext w:val="0"/>
              <w:spacing w:after="0"/>
              <w:ind w:left="181"/>
              <w:jc w:val="left"/>
            </w:pPr>
            <w:r w:rsidRPr="00770229">
              <w:t>Australian Government administrative data for income support payments (unpublished)</w:t>
            </w:r>
          </w:p>
        </w:tc>
        <w:tc>
          <w:tcPr>
            <w:tcW w:w="584" w:type="pct"/>
            <w:shd w:val="clear" w:color="auto" w:fill="auto"/>
            <w:vAlign w:val="center"/>
          </w:tcPr>
          <w:p w:rsidR="009A7F87" w:rsidRDefault="009A7F87" w:rsidP="009A7F87">
            <w:pPr>
              <w:pStyle w:val="TableBodyText"/>
              <w:keepNext w:val="0"/>
              <w:spacing w:after="0"/>
              <w:ind w:left="0"/>
              <w:jc w:val="center"/>
            </w:pPr>
            <w:r>
              <w:t>30 June 2009</w:t>
            </w:r>
          </w:p>
          <w:p w:rsidR="009A7F87" w:rsidRPr="00770229" w:rsidRDefault="009A7F87" w:rsidP="009A7F87">
            <w:pPr>
              <w:pStyle w:val="TableBodyText"/>
              <w:keepNext w:val="0"/>
              <w:spacing w:before="60" w:after="60"/>
              <w:ind w:left="2"/>
              <w:jc w:val="center"/>
            </w:pPr>
          </w:p>
        </w:tc>
        <w:tc>
          <w:tcPr>
            <w:tcW w:w="585" w:type="pct"/>
            <w:shd w:val="clear" w:color="auto" w:fill="auto"/>
            <w:vAlign w:val="center"/>
          </w:tcPr>
          <w:p w:rsidR="009A7F87" w:rsidRDefault="009A7F87" w:rsidP="009A7F87">
            <w:pPr>
              <w:pStyle w:val="TableBodyText"/>
              <w:keepNext w:val="0"/>
              <w:spacing w:after="0"/>
              <w:ind w:left="0"/>
              <w:jc w:val="center"/>
            </w:pPr>
            <w:r>
              <w:t>30 June 2011</w:t>
            </w:r>
          </w:p>
          <w:p w:rsidR="009A7F87" w:rsidRPr="00770229" w:rsidRDefault="009A7F87" w:rsidP="009A7F87">
            <w:pPr>
              <w:pStyle w:val="TableBodyText"/>
              <w:spacing w:before="60" w:after="60"/>
              <w:ind w:left="2"/>
              <w:jc w:val="center"/>
            </w:pPr>
          </w:p>
        </w:tc>
        <w:tc>
          <w:tcPr>
            <w:tcW w:w="585" w:type="pct"/>
            <w:shd w:val="clear" w:color="auto" w:fill="auto"/>
            <w:vAlign w:val="center"/>
          </w:tcPr>
          <w:p w:rsidR="009A7F87" w:rsidRDefault="009A7F87" w:rsidP="009A7F87">
            <w:pPr>
              <w:pStyle w:val="TableBodyText"/>
              <w:keepNext w:val="0"/>
              <w:spacing w:after="0"/>
              <w:ind w:left="0"/>
              <w:jc w:val="center"/>
            </w:pPr>
            <w:r>
              <w:t>30 June 2013</w:t>
            </w:r>
          </w:p>
          <w:p w:rsidR="009A7F87" w:rsidRPr="00770229" w:rsidRDefault="009A7F87" w:rsidP="009A7F87">
            <w:pPr>
              <w:pStyle w:val="TableBodyText"/>
              <w:spacing w:before="60" w:after="60"/>
              <w:ind w:left="2"/>
              <w:jc w:val="center"/>
            </w:pPr>
          </w:p>
        </w:tc>
        <w:tc>
          <w:tcPr>
            <w:tcW w:w="583" w:type="pct"/>
            <w:vAlign w:val="center"/>
          </w:tcPr>
          <w:p w:rsidR="009A7F87" w:rsidRDefault="009A7F87" w:rsidP="009A7F87">
            <w:pPr>
              <w:pStyle w:val="TableBodyText"/>
              <w:keepNext w:val="0"/>
              <w:spacing w:after="0"/>
              <w:ind w:left="0"/>
              <w:jc w:val="center"/>
            </w:pPr>
            <w:r>
              <w:t>30 June 2016</w:t>
            </w:r>
          </w:p>
          <w:p w:rsidR="009A7F87" w:rsidRPr="00770229" w:rsidRDefault="009A7F87" w:rsidP="009A7F87">
            <w:pPr>
              <w:pStyle w:val="TableBodyText"/>
              <w:spacing w:before="60" w:after="60"/>
              <w:ind w:left="2"/>
              <w:jc w:val="center"/>
            </w:pPr>
          </w:p>
        </w:tc>
      </w:tr>
      <w:tr w:rsidR="009A7F87" w:rsidRPr="00770229" w:rsidTr="009A7F87">
        <w:tblPrEx>
          <w:tblBorders>
            <w:top w:val="none" w:sz="0" w:space="0" w:color="auto"/>
            <w:bottom w:val="none" w:sz="0" w:space="0" w:color="auto"/>
            <w:insideH w:val="none" w:sz="0" w:space="0" w:color="auto"/>
          </w:tblBorders>
        </w:tblPrEx>
        <w:tc>
          <w:tcPr>
            <w:tcW w:w="849" w:type="pct"/>
            <w:shd w:val="clear" w:color="auto" w:fill="auto"/>
            <w:tcMar>
              <w:top w:w="57" w:type="dxa"/>
              <w:left w:w="113" w:type="dxa"/>
            </w:tcMar>
          </w:tcPr>
          <w:p w:rsidR="009A7F87" w:rsidRPr="00770229" w:rsidRDefault="009A7F87" w:rsidP="009A7F87">
            <w:pPr>
              <w:pStyle w:val="TableBodyText"/>
              <w:keepNext w:val="0"/>
              <w:ind w:left="0"/>
              <w:jc w:val="left"/>
            </w:pPr>
            <w:r w:rsidRPr="00770229">
              <w:t>Recipients of family and child benefits</w:t>
            </w:r>
          </w:p>
        </w:tc>
        <w:tc>
          <w:tcPr>
            <w:tcW w:w="1814" w:type="pct"/>
            <w:shd w:val="clear" w:color="auto" w:fill="auto"/>
          </w:tcPr>
          <w:p w:rsidR="009A7F87" w:rsidRPr="00770229" w:rsidRDefault="009A7F87" w:rsidP="009A7F87">
            <w:pPr>
              <w:pStyle w:val="TableBodyText"/>
              <w:keepNext w:val="0"/>
              <w:ind w:left="181"/>
              <w:jc w:val="left"/>
            </w:pPr>
            <w:r w:rsidRPr="00770229">
              <w:t>Australian Government administrative data for income support payments (unpublished)</w:t>
            </w:r>
          </w:p>
        </w:tc>
        <w:tc>
          <w:tcPr>
            <w:tcW w:w="584" w:type="pct"/>
            <w:shd w:val="clear" w:color="auto" w:fill="auto"/>
            <w:vAlign w:val="center"/>
          </w:tcPr>
          <w:p w:rsidR="009A7F87" w:rsidRPr="00770229" w:rsidRDefault="009A7F87" w:rsidP="009A7F87">
            <w:pPr>
              <w:pStyle w:val="TableBodyText"/>
              <w:keepNext w:val="0"/>
              <w:spacing w:after="0" w:line="240" w:lineRule="auto"/>
              <w:ind w:left="0"/>
              <w:jc w:val="center"/>
            </w:pPr>
            <w:r>
              <w:t>30 June 2009</w:t>
            </w:r>
            <w:r>
              <w:br/>
            </w:r>
          </w:p>
        </w:tc>
        <w:tc>
          <w:tcPr>
            <w:tcW w:w="585" w:type="pct"/>
            <w:shd w:val="clear" w:color="auto" w:fill="auto"/>
            <w:vAlign w:val="center"/>
          </w:tcPr>
          <w:p w:rsidR="009A7F87" w:rsidRPr="00770229" w:rsidRDefault="009A7F87" w:rsidP="009A7F87">
            <w:pPr>
              <w:pStyle w:val="TableBodyText"/>
              <w:keepNext w:val="0"/>
              <w:spacing w:after="0" w:line="240" w:lineRule="auto"/>
              <w:ind w:left="0"/>
              <w:jc w:val="center"/>
            </w:pPr>
            <w:r>
              <w:t>30 June 2011</w:t>
            </w:r>
            <w:r>
              <w:br/>
            </w:r>
          </w:p>
        </w:tc>
        <w:tc>
          <w:tcPr>
            <w:tcW w:w="585" w:type="pct"/>
            <w:shd w:val="clear" w:color="auto" w:fill="auto"/>
            <w:vAlign w:val="center"/>
          </w:tcPr>
          <w:p w:rsidR="009A7F87" w:rsidRPr="00770229" w:rsidRDefault="009A7F87" w:rsidP="009A7F87">
            <w:pPr>
              <w:pStyle w:val="TableBodyText"/>
              <w:keepNext w:val="0"/>
              <w:spacing w:after="0"/>
              <w:ind w:left="0"/>
              <w:jc w:val="center"/>
            </w:pPr>
            <w:r>
              <w:t>30 June 2013</w:t>
            </w:r>
            <w:r>
              <w:br/>
            </w:r>
          </w:p>
        </w:tc>
        <w:tc>
          <w:tcPr>
            <w:tcW w:w="583" w:type="pct"/>
            <w:vAlign w:val="center"/>
          </w:tcPr>
          <w:p w:rsidR="009A7F87" w:rsidRPr="00770229" w:rsidRDefault="009A7F87" w:rsidP="009A7F87">
            <w:pPr>
              <w:pStyle w:val="TableBodyText"/>
              <w:keepNext w:val="0"/>
              <w:spacing w:after="0"/>
              <w:ind w:left="0"/>
              <w:jc w:val="center"/>
            </w:pPr>
            <w:r>
              <w:t>30 June 2016</w:t>
            </w:r>
            <w:r>
              <w:br/>
            </w:r>
          </w:p>
        </w:tc>
      </w:tr>
      <w:tr w:rsidR="009A7F87" w:rsidRPr="00770229" w:rsidTr="009A7F87">
        <w:tblPrEx>
          <w:tblBorders>
            <w:top w:val="none" w:sz="0" w:space="0" w:color="auto"/>
            <w:bottom w:val="none" w:sz="0" w:space="0" w:color="auto"/>
            <w:insideH w:val="none" w:sz="0" w:space="0" w:color="auto"/>
          </w:tblBorders>
        </w:tblPrEx>
        <w:tc>
          <w:tcPr>
            <w:tcW w:w="849" w:type="pct"/>
            <w:shd w:val="clear" w:color="auto" w:fill="auto"/>
            <w:tcMar>
              <w:top w:w="57" w:type="dxa"/>
              <w:left w:w="113" w:type="dxa"/>
            </w:tcMar>
          </w:tcPr>
          <w:p w:rsidR="009A7F87" w:rsidRPr="00770229" w:rsidRDefault="009A7F87" w:rsidP="009A7F87">
            <w:pPr>
              <w:pStyle w:val="TableBodyText"/>
              <w:spacing w:before="40" w:after="0"/>
              <w:jc w:val="left"/>
            </w:pPr>
            <w:r w:rsidRPr="00770229">
              <w:t>Australian Government concession card holders</w:t>
            </w:r>
          </w:p>
        </w:tc>
        <w:tc>
          <w:tcPr>
            <w:tcW w:w="1814" w:type="pct"/>
            <w:shd w:val="clear" w:color="auto" w:fill="auto"/>
          </w:tcPr>
          <w:p w:rsidR="009A7F87" w:rsidRPr="00770229" w:rsidRDefault="009A7F87" w:rsidP="009A7F87">
            <w:pPr>
              <w:pStyle w:val="TableBodyText"/>
              <w:spacing w:before="40" w:after="0"/>
              <w:ind w:left="207"/>
              <w:jc w:val="left"/>
            </w:pPr>
            <w:r w:rsidRPr="00770229">
              <w:t>Australian Government administrative data for income support payments (unpublished)</w:t>
            </w:r>
          </w:p>
        </w:tc>
        <w:tc>
          <w:tcPr>
            <w:tcW w:w="584" w:type="pct"/>
            <w:shd w:val="clear" w:color="auto" w:fill="auto"/>
            <w:vAlign w:val="center"/>
          </w:tcPr>
          <w:p w:rsidR="009A7F87" w:rsidRDefault="009A7F87" w:rsidP="009A7F87">
            <w:pPr>
              <w:pStyle w:val="TableBodyText"/>
              <w:spacing w:before="40" w:after="0"/>
              <w:jc w:val="center"/>
            </w:pPr>
            <w:r>
              <w:t>30 June 2009</w:t>
            </w:r>
          </w:p>
          <w:p w:rsidR="009A7F87" w:rsidRDefault="009A7F87" w:rsidP="009A7F87">
            <w:pPr>
              <w:pStyle w:val="TableBodyText"/>
              <w:keepNext w:val="0"/>
              <w:spacing w:after="0" w:line="240" w:lineRule="auto"/>
              <w:ind w:left="0"/>
              <w:jc w:val="center"/>
            </w:pPr>
            <w:r>
              <w:br/>
            </w:r>
          </w:p>
        </w:tc>
        <w:tc>
          <w:tcPr>
            <w:tcW w:w="585" w:type="pct"/>
            <w:shd w:val="clear" w:color="auto" w:fill="auto"/>
            <w:vAlign w:val="center"/>
          </w:tcPr>
          <w:p w:rsidR="009A7F87" w:rsidRDefault="009A7F87" w:rsidP="009A7F87">
            <w:pPr>
              <w:pStyle w:val="TableBodyText"/>
              <w:spacing w:before="40" w:after="0"/>
              <w:jc w:val="center"/>
            </w:pPr>
            <w:r>
              <w:t>30 June 2011</w:t>
            </w:r>
          </w:p>
          <w:p w:rsidR="009A7F87" w:rsidRDefault="009A7F87" w:rsidP="009A7F87">
            <w:pPr>
              <w:pStyle w:val="TableBodyText"/>
              <w:keepNext w:val="0"/>
              <w:spacing w:after="0" w:line="240" w:lineRule="auto"/>
              <w:ind w:left="0"/>
              <w:jc w:val="center"/>
            </w:pPr>
            <w:r>
              <w:br/>
            </w:r>
          </w:p>
        </w:tc>
        <w:tc>
          <w:tcPr>
            <w:tcW w:w="585" w:type="pct"/>
            <w:shd w:val="clear" w:color="auto" w:fill="auto"/>
            <w:vAlign w:val="center"/>
          </w:tcPr>
          <w:p w:rsidR="009A7F87" w:rsidRDefault="009A7F87" w:rsidP="009A7F87">
            <w:pPr>
              <w:pStyle w:val="TableBodyText"/>
              <w:spacing w:before="40" w:after="0"/>
              <w:jc w:val="center"/>
            </w:pPr>
            <w:r>
              <w:t>30 June 2013</w:t>
            </w:r>
          </w:p>
          <w:p w:rsidR="009A7F87" w:rsidRDefault="009A7F87" w:rsidP="009A7F87">
            <w:pPr>
              <w:pStyle w:val="TableBodyText"/>
              <w:keepNext w:val="0"/>
              <w:spacing w:after="0"/>
              <w:ind w:left="0"/>
              <w:jc w:val="center"/>
            </w:pPr>
            <w:r>
              <w:br/>
            </w:r>
          </w:p>
        </w:tc>
        <w:tc>
          <w:tcPr>
            <w:tcW w:w="583" w:type="pct"/>
            <w:vAlign w:val="center"/>
          </w:tcPr>
          <w:p w:rsidR="009A7F87" w:rsidRDefault="009A7F87" w:rsidP="009A7F87">
            <w:pPr>
              <w:pStyle w:val="TableBodyText"/>
              <w:spacing w:before="40" w:after="0"/>
              <w:jc w:val="center"/>
            </w:pPr>
            <w:r>
              <w:t>30 June 2016</w:t>
            </w:r>
          </w:p>
          <w:p w:rsidR="009A7F87" w:rsidRDefault="009A7F87" w:rsidP="009A7F87">
            <w:pPr>
              <w:pStyle w:val="TableBodyText"/>
              <w:keepNext w:val="0"/>
              <w:spacing w:after="0"/>
              <w:ind w:left="0"/>
              <w:jc w:val="center"/>
            </w:pPr>
            <w:r>
              <w:br/>
            </w:r>
          </w:p>
        </w:tc>
      </w:tr>
      <w:tr w:rsidR="009A7F87" w:rsidRPr="00770229" w:rsidTr="0044346B">
        <w:tblPrEx>
          <w:tblBorders>
            <w:top w:val="none" w:sz="0" w:space="0" w:color="auto"/>
            <w:bottom w:val="none" w:sz="0" w:space="0" w:color="auto"/>
            <w:insideH w:val="none" w:sz="0" w:space="0" w:color="auto"/>
          </w:tblBorders>
        </w:tblPrEx>
        <w:tc>
          <w:tcPr>
            <w:tcW w:w="849" w:type="pct"/>
            <w:shd w:val="clear" w:color="auto" w:fill="auto"/>
            <w:tcMar>
              <w:top w:w="57" w:type="dxa"/>
              <w:left w:w="113" w:type="dxa"/>
            </w:tcMar>
          </w:tcPr>
          <w:p w:rsidR="009A7F87" w:rsidRPr="00770229" w:rsidRDefault="009A7F87" w:rsidP="009A7F87">
            <w:pPr>
              <w:pStyle w:val="TableBodyText"/>
              <w:spacing w:before="40" w:after="0"/>
              <w:jc w:val="left"/>
            </w:pPr>
            <w:r w:rsidRPr="00770229">
              <w:t>Recipients of widows, deserted wives, divorcees and orphans benefits</w:t>
            </w:r>
          </w:p>
        </w:tc>
        <w:tc>
          <w:tcPr>
            <w:tcW w:w="1814" w:type="pct"/>
            <w:shd w:val="clear" w:color="auto" w:fill="auto"/>
          </w:tcPr>
          <w:p w:rsidR="009A7F87" w:rsidRPr="00770229" w:rsidRDefault="009A7F87" w:rsidP="009A7F87">
            <w:pPr>
              <w:pStyle w:val="TableBodyText"/>
              <w:spacing w:before="40" w:after="0"/>
              <w:ind w:left="207"/>
              <w:jc w:val="left"/>
            </w:pPr>
            <w:r w:rsidRPr="00770229">
              <w:t>Australian Government administrative data for income support payments (unpublished)</w:t>
            </w:r>
          </w:p>
        </w:tc>
        <w:tc>
          <w:tcPr>
            <w:tcW w:w="584" w:type="pct"/>
            <w:shd w:val="clear" w:color="auto" w:fill="auto"/>
            <w:vAlign w:val="center"/>
          </w:tcPr>
          <w:p w:rsidR="009A7F87" w:rsidRDefault="009A7F87" w:rsidP="009A7F87">
            <w:pPr>
              <w:pStyle w:val="TableBodyText"/>
              <w:spacing w:before="40" w:after="0"/>
              <w:jc w:val="center"/>
            </w:pPr>
            <w:r>
              <w:t>30 June 2009</w:t>
            </w:r>
          </w:p>
          <w:p w:rsidR="009A7F87" w:rsidRDefault="009A7F87" w:rsidP="009A7F87">
            <w:pPr>
              <w:pStyle w:val="TableBodyText"/>
              <w:keepNext w:val="0"/>
              <w:spacing w:after="0" w:line="240" w:lineRule="auto"/>
              <w:ind w:left="0"/>
              <w:jc w:val="center"/>
            </w:pPr>
          </w:p>
          <w:p w:rsidR="009A7F87" w:rsidRDefault="009A7F87" w:rsidP="009A7F87">
            <w:pPr>
              <w:pStyle w:val="TableBodyText"/>
              <w:keepNext w:val="0"/>
              <w:spacing w:after="0" w:line="240" w:lineRule="auto"/>
              <w:ind w:left="0"/>
              <w:jc w:val="center"/>
            </w:pPr>
          </w:p>
          <w:p w:rsidR="009A7F87" w:rsidRDefault="009A7F87" w:rsidP="009A7F87">
            <w:pPr>
              <w:pStyle w:val="TableBodyText"/>
              <w:keepNext w:val="0"/>
              <w:spacing w:after="0" w:line="240" w:lineRule="auto"/>
              <w:ind w:left="0"/>
              <w:jc w:val="center"/>
            </w:pPr>
            <w:r>
              <w:br/>
            </w:r>
          </w:p>
        </w:tc>
        <w:tc>
          <w:tcPr>
            <w:tcW w:w="585" w:type="pct"/>
            <w:shd w:val="clear" w:color="auto" w:fill="auto"/>
            <w:vAlign w:val="center"/>
          </w:tcPr>
          <w:p w:rsidR="009A7F87" w:rsidRDefault="009A7F87" w:rsidP="009A7F87">
            <w:pPr>
              <w:pStyle w:val="TableBodyText"/>
              <w:spacing w:before="40" w:after="0"/>
              <w:jc w:val="center"/>
            </w:pPr>
            <w:r>
              <w:t>30 June 2011</w:t>
            </w:r>
          </w:p>
          <w:p w:rsidR="009A7F87" w:rsidRDefault="009A7F87" w:rsidP="009A7F87">
            <w:pPr>
              <w:pStyle w:val="TableBodyText"/>
              <w:keepNext w:val="0"/>
              <w:spacing w:after="0" w:line="240" w:lineRule="auto"/>
              <w:ind w:left="0"/>
              <w:jc w:val="center"/>
            </w:pPr>
          </w:p>
          <w:p w:rsidR="009A7F87" w:rsidRDefault="009A7F87" w:rsidP="009A7F87">
            <w:pPr>
              <w:pStyle w:val="TableBodyText"/>
              <w:keepNext w:val="0"/>
              <w:spacing w:after="0" w:line="240" w:lineRule="auto"/>
              <w:ind w:left="0"/>
              <w:jc w:val="center"/>
            </w:pPr>
          </w:p>
          <w:p w:rsidR="009A7F87" w:rsidRDefault="009A7F87" w:rsidP="009A7F87">
            <w:pPr>
              <w:pStyle w:val="TableBodyText"/>
              <w:keepNext w:val="0"/>
              <w:spacing w:after="0" w:line="240" w:lineRule="auto"/>
              <w:ind w:left="0"/>
              <w:jc w:val="center"/>
            </w:pPr>
            <w:r>
              <w:br/>
            </w:r>
          </w:p>
        </w:tc>
        <w:tc>
          <w:tcPr>
            <w:tcW w:w="585" w:type="pct"/>
            <w:shd w:val="clear" w:color="auto" w:fill="auto"/>
            <w:vAlign w:val="center"/>
          </w:tcPr>
          <w:p w:rsidR="009A7F87" w:rsidRDefault="009A7F87" w:rsidP="009A7F87">
            <w:pPr>
              <w:pStyle w:val="TableBodyText"/>
              <w:spacing w:before="40" w:after="0"/>
              <w:jc w:val="center"/>
            </w:pPr>
            <w:r>
              <w:t>30 June 2013</w:t>
            </w:r>
          </w:p>
          <w:p w:rsidR="009A7F87" w:rsidRDefault="009A7F87" w:rsidP="009A7F87">
            <w:pPr>
              <w:pStyle w:val="TableBodyText"/>
              <w:keepNext w:val="0"/>
              <w:spacing w:after="0"/>
              <w:ind w:left="0"/>
              <w:jc w:val="center"/>
            </w:pPr>
          </w:p>
          <w:p w:rsidR="009A7F87" w:rsidRDefault="009A7F87" w:rsidP="009A7F87">
            <w:pPr>
              <w:pStyle w:val="TableBodyText"/>
              <w:keepNext w:val="0"/>
              <w:spacing w:after="0"/>
              <w:ind w:left="0"/>
              <w:jc w:val="center"/>
            </w:pPr>
          </w:p>
          <w:p w:rsidR="009A7F87" w:rsidRDefault="009A7F87" w:rsidP="009A7F87">
            <w:pPr>
              <w:pStyle w:val="TableBodyText"/>
              <w:keepNext w:val="0"/>
              <w:spacing w:after="0"/>
              <w:ind w:left="0"/>
              <w:jc w:val="center"/>
            </w:pPr>
            <w:r>
              <w:br/>
            </w:r>
          </w:p>
        </w:tc>
        <w:tc>
          <w:tcPr>
            <w:tcW w:w="583" w:type="pct"/>
            <w:vAlign w:val="center"/>
          </w:tcPr>
          <w:p w:rsidR="009A7F87" w:rsidRDefault="009A7F87" w:rsidP="009A7F87">
            <w:pPr>
              <w:pStyle w:val="TableBodyText"/>
              <w:spacing w:before="40" w:after="0"/>
              <w:jc w:val="center"/>
            </w:pPr>
            <w:r>
              <w:t>30 June 2016</w:t>
            </w:r>
          </w:p>
          <w:p w:rsidR="009A7F87" w:rsidRDefault="009A7F87" w:rsidP="009A7F87">
            <w:pPr>
              <w:pStyle w:val="TableBodyText"/>
              <w:keepNext w:val="0"/>
              <w:spacing w:after="0"/>
              <w:ind w:left="0"/>
              <w:jc w:val="center"/>
            </w:pPr>
          </w:p>
          <w:p w:rsidR="009A7F87" w:rsidRDefault="009A7F87" w:rsidP="009A7F87">
            <w:pPr>
              <w:pStyle w:val="TableBodyText"/>
              <w:keepNext w:val="0"/>
              <w:spacing w:after="0"/>
              <w:ind w:left="0"/>
              <w:jc w:val="center"/>
            </w:pPr>
          </w:p>
          <w:p w:rsidR="009A7F87" w:rsidRDefault="009A7F87" w:rsidP="009A7F87">
            <w:pPr>
              <w:pStyle w:val="TableBodyText"/>
              <w:keepNext w:val="0"/>
              <w:spacing w:after="0"/>
              <w:ind w:left="0"/>
              <w:jc w:val="center"/>
            </w:pPr>
            <w:r>
              <w:br/>
            </w: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spacing w:before="40" w:after="0"/>
              <w:jc w:val="left"/>
            </w:pPr>
            <w:r w:rsidRPr="00770229">
              <w:t>Recipients of crisis or disaster benefits</w:t>
            </w:r>
          </w:p>
        </w:tc>
        <w:tc>
          <w:tcPr>
            <w:tcW w:w="1814" w:type="pct"/>
            <w:tcBorders>
              <w:bottom w:val="single" w:sz="6" w:space="0" w:color="808080" w:themeColor="background1" w:themeShade="80"/>
            </w:tcBorders>
            <w:shd w:val="clear" w:color="auto" w:fill="auto"/>
          </w:tcPr>
          <w:p w:rsidR="009A7F87" w:rsidRPr="00770229" w:rsidRDefault="009A7F87" w:rsidP="009A7F87">
            <w:pPr>
              <w:pStyle w:val="TableBodyText"/>
              <w:spacing w:before="40" w:after="0"/>
              <w:ind w:left="207"/>
              <w:jc w:val="left"/>
            </w:pPr>
            <w:r w:rsidRPr="00770229">
              <w:t>Australian Government administrative data for income support payments (unpublished)</w:t>
            </w:r>
          </w:p>
        </w:tc>
        <w:tc>
          <w:tcPr>
            <w:tcW w:w="584" w:type="pct"/>
            <w:tcBorders>
              <w:bottom w:val="single" w:sz="6" w:space="0" w:color="808080" w:themeColor="background1" w:themeShade="80"/>
            </w:tcBorders>
            <w:shd w:val="clear" w:color="auto" w:fill="auto"/>
            <w:vAlign w:val="center"/>
          </w:tcPr>
          <w:p w:rsidR="009A7F87" w:rsidRDefault="009A7F87" w:rsidP="009A7F87">
            <w:pPr>
              <w:pStyle w:val="TableBodyText"/>
              <w:spacing w:before="40" w:after="0"/>
              <w:jc w:val="center"/>
            </w:pPr>
            <w:r>
              <w:t>30 June 2009</w:t>
            </w:r>
          </w:p>
          <w:p w:rsidR="009A7F87" w:rsidRDefault="009A7F87" w:rsidP="009A7F87">
            <w:pPr>
              <w:pStyle w:val="TableBodyText"/>
              <w:keepNext w:val="0"/>
              <w:spacing w:after="0" w:line="240" w:lineRule="auto"/>
              <w:ind w:left="0"/>
              <w:jc w:val="center"/>
            </w:pPr>
            <w:r>
              <w:br/>
            </w:r>
          </w:p>
        </w:tc>
        <w:tc>
          <w:tcPr>
            <w:tcW w:w="585" w:type="pct"/>
            <w:tcBorders>
              <w:bottom w:val="single" w:sz="6" w:space="0" w:color="808080" w:themeColor="background1" w:themeShade="80"/>
            </w:tcBorders>
            <w:shd w:val="clear" w:color="auto" w:fill="auto"/>
            <w:vAlign w:val="center"/>
          </w:tcPr>
          <w:p w:rsidR="009A7F87" w:rsidRDefault="009A7F87" w:rsidP="009A7F87">
            <w:pPr>
              <w:pStyle w:val="TableBodyText"/>
              <w:spacing w:before="40" w:after="0"/>
              <w:jc w:val="center"/>
            </w:pPr>
            <w:r>
              <w:t>30 June 2011</w:t>
            </w:r>
          </w:p>
          <w:p w:rsidR="009A7F87" w:rsidRDefault="009A7F87" w:rsidP="009A7F87">
            <w:pPr>
              <w:pStyle w:val="TableBodyText"/>
              <w:keepNext w:val="0"/>
              <w:spacing w:after="0" w:line="240" w:lineRule="auto"/>
              <w:ind w:left="0"/>
              <w:jc w:val="center"/>
            </w:pPr>
            <w:r>
              <w:br/>
            </w:r>
          </w:p>
        </w:tc>
        <w:tc>
          <w:tcPr>
            <w:tcW w:w="585" w:type="pct"/>
            <w:tcBorders>
              <w:bottom w:val="single" w:sz="6" w:space="0" w:color="808080" w:themeColor="background1" w:themeShade="80"/>
            </w:tcBorders>
            <w:shd w:val="clear" w:color="auto" w:fill="auto"/>
            <w:vAlign w:val="center"/>
          </w:tcPr>
          <w:p w:rsidR="009A7F87" w:rsidRDefault="009A7F87" w:rsidP="009A7F87">
            <w:pPr>
              <w:pStyle w:val="TableBodyText"/>
              <w:spacing w:before="40" w:after="0"/>
              <w:jc w:val="center"/>
            </w:pPr>
            <w:r>
              <w:t>30 June 2013</w:t>
            </w:r>
          </w:p>
          <w:p w:rsidR="009A7F87" w:rsidRDefault="009A7F87" w:rsidP="009A7F87">
            <w:pPr>
              <w:pStyle w:val="TableBodyText"/>
              <w:keepNext w:val="0"/>
              <w:spacing w:after="0"/>
              <w:ind w:left="0"/>
              <w:jc w:val="center"/>
            </w:pPr>
            <w:r>
              <w:br/>
            </w:r>
          </w:p>
        </w:tc>
        <w:tc>
          <w:tcPr>
            <w:tcW w:w="583" w:type="pct"/>
            <w:tcBorders>
              <w:bottom w:val="single" w:sz="6" w:space="0" w:color="808080" w:themeColor="background1" w:themeShade="80"/>
            </w:tcBorders>
            <w:vAlign w:val="center"/>
          </w:tcPr>
          <w:p w:rsidR="009A7F87" w:rsidRDefault="009A7F87" w:rsidP="009A7F87">
            <w:pPr>
              <w:pStyle w:val="TableBodyText"/>
              <w:spacing w:before="40" w:after="0"/>
              <w:jc w:val="center"/>
            </w:pPr>
            <w:r>
              <w:t>30 June 2016</w:t>
            </w:r>
          </w:p>
          <w:p w:rsidR="009A7F87" w:rsidRDefault="009A7F87" w:rsidP="009A7F87">
            <w:pPr>
              <w:pStyle w:val="TableBodyText"/>
              <w:keepNext w:val="0"/>
              <w:spacing w:after="0"/>
              <w:ind w:left="0"/>
              <w:jc w:val="center"/>
            </w:pPr>
            <w:r>
              <w:br/>
            </w:r>
          </w:p>
        </w:tc>
      </w:tr>
      <w:tr w:rsidR="009A7F87" w:rsidRPr="0071369A" w:rsidTr="0044346B">
        <w:tblPrEx>
          <w:tblBorders>
            <w:top w:val="none" w:sz="0" w:space="0" w:color="auto"/>
            <w:bottom w:val="none" w:sz="0" w:space="0" w:color="auto"/>
            <w:insideH w:val="none" w:sz="0" w:space="0" w:color="auto"/>
          </w:tblBorders>
        </w:tblPrEx>
        <w:tc>
          <w:tcPr>
            <w:tcW w:w="5000" w:type="pct"/>
            <w:gridSpan w:val="6"/>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26"/>
      </w:tblGrid>
      <w:tr w:rsidR="009A7F87" w:rsidRPr="00770229" w:rsidTr="00144C20">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t>0</w:t>
            </w:r>
            <w:r>
              <w:t>621.1</w:t>
            </w:r>
            <w:r w:rsidRPr="00770229">
              <w:t xml:space="preserve"> Child care services</w:t>
            </w:r>
          </w:p>
        </w:tc>
      </w:tr>
      <w:tr w:rsidR="009A7F87" w:rsidRPr="00770229" w:rsidTr="00144C20">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3"/>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A672D0">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A672D0">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Australian, State and Territory governments provide services that support the care and development of young children. Both levels of government help fund services, provide information and advice to parents and service providers, and help plan, set and maintain operating standards.</w:t>
            </w:r>
          </w:p>
          <w:p w:rsidR="009A7F87" w:rsidRPr="00770229" w:rsidRDefault="009A7F87" w:rsidP="009A7F87">
            <w:pPr>
              <w:pStyle w:val="TableBodyText"/>
              <w:keepNext w:val="0"/>
              <w:spacing w:before="40"/>
              <w:jc w:val="left"/>
            </w:pPr>
            <w:r w:rsidRPr="00770229">
              <w:t>The expenditure of Australian, State and Territory governments on child care services can be grouped under three categories:</w:t>
            </w:r>
          </w:p>
          <w:p w:rsidR="009A7F87" w:rsidRPr="00770229" w:rsidRDefault="009A7F87" w:rsidP="009A7F87">
            <w:pPr>
              <w:pStyle w:val="TableBullet"/>
              <w:numPr>
                <w:ilvl w:val="0"/>
                <w:numId w:val="24"/>
              </w:numPr>
              <w:spacing w:line="220" w:lineRule="atLeast"/>
            </w:pPr>
            <w:r w:rsidRPr="00770229">
              <w:rPr>
                <w:i/>
              </w:rPr>
              <w:t>subsidies for child care services</w:t>
            </w:r>
            <w:r w:rsidRPr="00770229">
              <w:t xml:space="preserve"> — the Australian Government provides child care subsidy programs, which are payments made directly to families or to child care providers</w:t>
            </w:r>
          </w:p>
          <w:p w:rsidR="009A7F87" w:rsidRPr="00770229" w:rsidRDefault="009A7F87" w:rsidP="009A7F87">
            <w:pPr>
              <w:pStyle w:val="TableBullet"/>
              <w:numPr>
                <w:ilvl w:val="0"/>
                <w:numId w:val="24"/>
              </w:numPr>
              <w:spacing w:line="220" w:lineRule="atLeast"/>
            </w:pPr>
            <w:r w:rsidRPr="00770229">
              <w:rPr>
                <w:i/>
              </w:rPr>
              <w:t>child care industry regulation and support</w:t>
            </w:r>
            <w:r w:rsidRPr="00770229">
              <w:t xml:space="preserve"> — governments also provide child care industry regulation and support services that are designed to promote a high standard of child care </w:t>
            </w:r>
          </w:p>
          <w:p w:rsidR="009A7F87" w:rsidRPr="00770229" w:rsidRDefault="009A7F87" w:rsidP="009A7F87">
            <w:pPr>
              <w:pStyle w:val="TableBullet"/>
              <w:numPr>
                <w:ilvl w:val="0"/>
                <w:numId w:val="24"/>
              </w:numPr>
              <w:spacing w:line="220" w:lineRule="atLeast"/>
            </w:pPr>
            <w:r w:rsidRPr="00770229">
              <w:rPr>
                <w:i/>
              </w:rPr>
              <w:t xml:space="preserve">government owned and operated child care centres — </w:t>
            </w:r>
            <w:r w:rsidRPr="00770229">
              <w:t>child care services are generally owned and operated by religious, private for</w:t>
            </w:r>
            <w:r w:rsidRPr="00770229">
              <w:noBreakHyphen/>
              <w:t>profit, community based, charity or local government providers. State and territory governments also own and operate some child care facilities.</w:t>
            </w:r>
          </w:p>
          <w:p w:rsidR="009A7F87" w:rsidRPr="00770229" w:rsidRDefault="009A7F87" w:rsidP="009A7F87">
            <w:pPr>
              <w:pStyle w:val="TableBodyText"/>
              <w:keepNext w:val="0"/>
              <w:keepLines w:val="0"/>
              <w:spacing w:before="80" w:after="80"/>
              <w:jc w:val="left"/>
            </w:pPr>
            <w:r w:rsidRPr="00770229">
              <w:t>Child care services is a sub</w:t>
            </w:r>
            <w:r w:rsidRPr="00770229">
              <w:noBreakHyphen/>
              <w:t xml:space="preserve">category of family and child welfare services (GPC 0621). </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A672D0">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A672D0">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szCs w:val="26"/>
              </w:rPr>
            </w:pPr>
            <w:r w:rsidRPr="00770229">
              <w:t>The key cost drivers of expenditure on child care services are the number of children receiving each type of child care service, the average hour of care per child for each type of child care service and the level of subsidy provided per hour for each type of child care service.</w:t>
            </w:r>
          </w:p>
        </w:tc>
      </w:tr>
      <w:tr w:rsidR="009A7F87" w:rsidRPr="00770229" w:rsidTr="00A672D0">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D86D0C"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D86D0C"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ColumnHeading"/>
              <w:keepNext w:val="0"/>
              <w:ind w:left="180"/>
              <w:jc w:val="left"/>
            </w:pPr>
          </w:p>
        </w:tc>
        <w:tc>
          <w:tcPr>
            <w:tcW w:w="2337" w:type="pct"/>
            <w:gridSpan w:val="5"/>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ColumnHeading"/>
              <w:keepNext w:val="0"/>
              <w:ind w:left="180"/>
              <w:jc w:val="center"/>
            </w:pPr>
            <w:r w:rsidRPr="00D86D0C">
              <w:t>Data Years</w:t>
            </w:r>
          </w:p>
        </w:tc>
      </w:tr>
      <w:tr w:rsidR="009A7F87" w:rsidRPr="00D86D0C"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D86D0C" w:rsidRDefault="009A7F87" w:rsidP="009A7F87">
            <w:pPr>
              <w:pStyle w:val="TableBodyText"/>
              <w:keepNext w:val="0"/>
              <w:spacing w:before="60" w:after="60"/>
              <w:ind w:left="0"/>
              <w:jc w:val="both"/>
              <w:rPr>
                <w:i/>
              </w:rPr>
            </w:pPr>
            <w:r w:rsidRPr="00D86D0C">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180"/>
              <w:jc w:val="left"/>
              <w:rPr>
                <w:i/>
              </w:rPr>
            </w:pPr>
            <w:r w:rsidRPr="00D86D0C">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2"/>
              <w:jc w:val="center"/>
              <w:rPr>
                <w:i/>
              </w:rPr>
            </w:pPr>
            <w:r w:rsidRPr="00D86D0C">
              <w:rPr>
                <w:i/>
              </w:rPr>
              <w:t>2008</w:t>
            </w:r>
            <w:r w:rsidRPr="00D86D0C">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2"/>
              <w:jc w:val="center"/>
              <w:rPr>
                <w:i/>
              </w:rPr>
            </w:pPr>
            <w:r w:rsidRPr="00D86D0C">
              <w:rPr>
                <w:i/>
              </w:rPr>
              <w:t>2010</w:t>
            </w:r>
            <w:r w:rsidRPr="00D86D0C">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2"/>
              <w:jc w:val="center"/>
              <w:rPr>
                <w:i/>
              </w:rPr>
            </w:pPr>
            <w:r w:rsidRPr="00D86D0C">
              <w:rPr>
                <w:i/>
              </w:rPr>
              <w:t>2012</w:t>
            </w:r>
            <w:r w:rsidRPr="00D86D0C">
              <w:rPr>
                <w:i/>
              </w:rPr>
              <w:noBreakHyphen/>
              <w:t>13 Estimates</w:t>
            </w:r>
          </w:p>
        </w:tc>
        <w:tc>
          <w:tcPr>
            <w:tcW w:w="583" w:type="pct"/>
            <w:tcBorders>
              <w:top w:val="single" w:sz="6" w:space="0" w:color="808080" w:themeColor="background1" w:themeShade="80"/>
              <w:bottom w:val="single" w:sz="6" w:space="0" w:color="808080" w:themeColor="background1" w:themeShade="80"/>
            </w:tcBorders>
          </w:tcPr>
          <w:p w:rsidR="009A7F87" w:rsidRPr="00D86D0C" w:rsidRDefault="009A7F87" w:rsidP="009A7F87">
            <w:pPr>
              <w:pStyle w:val="TableBodyText"/>
              <w:keepNext w:val="0"/>
              <w:spacing w:before="60" w:after="60"/>
              <w:ind w:left="2"/>
              <w:jc w:val="center"/>
              <w:rPr>
                <w:i/>
              </w:rPr>
            </w:pPr>
            <w:r w:rsidRPr="00D86D0C">
              <w:rPr>
                <w:i/>
              </w:rPr>
              <w:t>2015</w:t>
            </w:r>
            <w:r w:rsidRPr="00D86D0C">
              <w:rPr>
                <w:i/>
              </w:rPr>
              <w:noBreakHyphen/>
              <w:t>16 Estimates</w:t>
            </w:r>
          </w:p>
        </w:tc>
      </w:tr>
      <w:tr w:rsidR="009A7F87" w:rsidRPr="00770229" w:rsidTr="00A672D0">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Children aged 0–12 years attending Australian Government approved child care services</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t>Australian Government</w:t>
            </w:r>
            <w:r w:rsidRPr="00770229">
              <w:t xml:space="preserve"> administrative data for child care services (unpublished)</w:t>
            </w:r>
          </w:p>
        </w:tc>
        <w:tc>
          <w:tcPr>
            <w:tcW w:w="584"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23-29 March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March quarter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March quarter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tcBorders>
              <w:top w:val="single" w:sz="6" w:space="0" w:color="808080" w:themeColor="background1" w:themeShade="80"/>
              <w:bottom w:val="single" w:sz="6" w:space="0" w:color="808080" w:themeColor="background1" w:themeShade="80"/>
            </w:tcBorders>
            <w:vAlign w:val="center"/>
          </w:tcPr>
          <w:p w:rsidR="009A7F87" w:rsidRDefault="009A7F87" w:rsidP="009A7F87">
            <w:pPr>
              <w:pStyle w:val="TableBodyText"/>
              <w:spacing w:before="60" w:after="60"/>
              <w:ind w:left="2"/>
              <w:jc w:val="center"/>
            </w:pPr>
            <w:r>
              <w:t>March quarter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1369A" w:rsidTr="00A672D0">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6314"/>
        <w:gridCol w:w="2475"/>
        <w:gridCol w:w="7"/>
      </w:tblGrid>
      <w:tr w:rsidR="009A7F87" w:rsidRPr="00770229" w:rsidTr="00144C20">
        <w:tc>
          <w:tcPr>
            <w:tcW w:w="5000" w:type="pct"/>
            <w:gridSpan w:val="3"/>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t>0</w:t>
            </w:r>
            <w:r>
              <w:t>621.2</w:t>
            </w:r>
            <w:r w:rsidRPr="00770229">
              <w:t xml:space="preserve"> Child protection and out</w:t>
            </w:r>
            <w:r w:rsidRPr="00770229">
              <w:noBreakHyphen/>
              <w:t>of</w:t>
            </w:r>
            <w:r w:rsidRPr="00770229">
              <w:noBreakHyphen/>
              <w:t>home care services</w:t>
            </w:r>
          </w:p>
        </w:tc>
      </w:tr>
      <w:tr w:rsidR="009A7F87" w:rsidRPr="00770229" w:rsidTr="00144C20">
        <w:tblPrEx>
          <w:tblBorders>
            <w:top w:val="none" w:sz="0" w:space="0" w:color="auto"/>
            <w:bottom w:val="none" w:sz="0" w:space="0" w:color="auto"/>
            <w:insideH w:val="none" w:sz="0" w:space="0" w:color="auto"/>
          </w:tblBorders>
          <w:tblCellMar>
            <w:left w:w="108" w:type="dxa"/>
            <w:right w:w="108" w:type="dxa"/>
          </w:tblCellMar>
        </w:tblPrEx>
        <w:tc>
          <w:tcPr>
            <w:tcW w:w="3589" w:type="pct"/>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2"/>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93701F">
        <w:tc>
          <w:tcPr>
            <w:tcW w:w="5000" w:type="pct"/>
            <w:gridSpan w:val="3"/>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93701F">
        <w:tc>
          <w:tcPr>
            <w:tcW w:w="5000" w:type="pct"/>
            <w:gridSpan w:val="3"/>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Child protection services are provided to protect children and/or young people aged 0–17 years who are at risk of harm within their families, or whose families do not have the capacity to protect them. Child protection services can be grouped under four categories:</w:t>
            </w:r>
          </w:p>
          <w:p w:rsidR="009A7F87" w:rsidRPr="00770229" w:rsidRDefault="009A7F87" w:rsidP="009A7F87">
            <w:pPr>
              <w:pStyle w:val="TableBullet"/>
              <w:numPr>
                <w:ilvl w:val="0"/>
                <w:numId w:val="24"/>
              </w:numPr>
              <w:spacing w:line="220" w:lineRule="atLeast"/>
            </w:pPr>
            <w:r w:rsidRPr="00770229">
              <w:rPr>
                <w:i/>
              </w:rPr>
              <w:t>child protection notifications</w:t>
            </w:r>
            <w:r w:rsidRPr="00770229">
              <w:t xml:space="preserve"> — State and Territory departments with responsibility for child protection are notified of concerns about the wellbeing of children </w:t>
            </w:r>
          </w:p>
          <w:p w:rsidR="009A7F87" w:rsidRPr="00770229" w:rsidRDefault="009A7F87" w:rsidP="009A7F87">
            <w:pPr>
              <w:pStyle w:val="TableBullet"/>
              <w:numPr>
                <w:ilvl w:val="0"/>
                <w:numId w:val="24"/>
              </w:numPr>
              <w:spacing w:line="220" w:lineRule="atLeast"/>
            </w:pPr>
            <w:r w:rsidRPr="00770229">
              <w:rPr>
                <w:i/>
              </w:rPr>
              <w:t>child protection investigations and substantiations</w:t>
            </w:r>
            <w:r w:rsidRPr="00770229">
              <w:t xml:space="preserve"> — the investigation process determines whether the notification is substantiated or not substantiated</w:t>
            </w:r>
          </w:p>
          <w:p w:rsidR="009A7F87" w:rsidRPr="00770229" w:rsidRDefault="009A7F87" w:rsidP="009A7F87">
            <w:pPr>
              <w:pStyle w:val="TableBullet"/>
              <w:numPr>
                <w:ilvl w:val="0"/>
                <w:numId w:val="24"/>
              </w:numPr>
              <w:spacing w:line="220" w:lineRule="atLeast"/>
            </w:pPr>
            <w:r w:rsidRPr="00770229">
              <w:rPr>
                <w:i/>
              </w:rPr>
              <w:t>child protection intervention</w:t>
            </w:r>
            <w:r w:rsidRPr="00770229">
              <w:t xml:space="preserve"> — including one or more of: referral to other services; supervision and support; an application to court; or placement in out</w:t>
            </w:r>
            <w:r w:rsidRPr="00770229">
              <w:noBreakHyphen/>
              <w:t>of</w:t>
            </w:r>
            <w:r w:rsidRPr="00770229">
              <w:noBreakHyphen/>
              <w:t>home care</w:t>
            </w:r>
          </w:p>
          <w:p w:rsidR="009A7F87" w:rsidRPr="00770229" w:rsidRDefault="009A7F87" w:rsidP="009A7F87">
            <w:pPr>
              <w:pStyle w:val="TableBullet"/>
              <w:numPr>
                <w:ilvl w:val="0"/>
                <w:numId w:val="24"/>
              </w:numPr>
              <w:spacing w:line="220" w:lineRule="atLeast"/>
            </w:pPr>
            <w:r w:rsidRPr="00770229">
              <w:rPr>
                <w:i/>
              </w:rPr>
              <w:t>care and protection orders</w:t>
            </w:r>
            <w:r w:rsidRPr="00770229">
              <w:t xml:space="preserve"> — usually a last resort, recourse to the court may take place at any point in the child protection investigation process. The types of order available vary across jurisdictions and may include guardianship or custody orders, supervisory orders and interim and temporary orders.</w:t>
            </w:r>
          </w:p>
          <w:p w:rsidR="009A7F87" w:rsidRPr="00770229" w:rsidRDefault="009A7F87" w:rsidP="009A7F87">
            <w:pPr>
              <w:pStyle w:val="TableBodyText"/>
              <w:spacing w:before="60" w:after="60"/>
              <w:jc w:val="left"/>
            </w:pPr>
            <w:r w:rsidRPr="00770229">
              <w:t>Out</w:t>
            </w:r>
            <w:r w:rsidRPr="00770229">
              <w:noBreakHyphen/>
              <w:t>of</w:t>
            </w:r>
            <w:r w:rsidRPr="00770229">
              <w:noBreakHyphen/>
              <w:t>home care is one of a range of services provided to families and children where there is a need to provide safe care for a child. The services are intended to place a child in out</w:t>
            </w:r>
            <w:r w:rsidRPr="00770229">
              <w:noBreakHyphen/>
              <w:t>of</w:t>
            </w:r>
            <w:r w:rsidRPr="00770229">
              <w:noBreakHyphen/>
              <w:t>home care only if this will improve the outcome for the child and only when it is not possible to support and protect the child within their family home. If it is necessary to remove the child from his or her home, then placement with the wider family or community is sought where possible, particularly in the case of Aboriginal and Torres Strait Islander children.</w:t>
            </w:r>
          </w:p>
          <w:p w:rsidR="009A7F87" w:rsidRPr="00770229" w:rsidRDefault="009A7F87" w:rsidP="009A7F87">
            <w:pPr>
              <w:pStyle w:val="TableBodyText"/>
              <w:spacing w:before="60" w:after="60"/>
              <w:jc w:val="left"/>
            </w:pPr>
            <w:r w:rsidRPr="00770229">
              <w:t>Child protection and out</w:t>
            </w:r>
            <w:r w:rsidRPr="00770229">
              <w:noBreakHyphen/>
              <w:t>of</w:t>
            </w:r>
            <w:r w:rsidRPr="00770229">
              <w:noBreakHyphen/>
              <w:t>home care services is a sub</w:t>
            </w:r>
            <w:r w:rsidRPr="00770229">
              <w:noBreakHyphen/>
              <w:t>category of family and child welfare services (GPC 0621).</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93701F">
        <w:tc>
          <w:tcPr>
            <w:tcW w:w="5000" w:type="pct"/>
            <w:gridSpan w:val="3"/>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93701F">
        <w:tc>
          <w:tcPr>
            <w:tcW w:w="5000" w:type="pct"/>
            <w:gridSpan w:val="3"/>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sidRPr="00770229">
              <w:t>The key cost drivers of expenditure on child protection and out</w:t>
            </w:r>
            <w:r>
              <w:noBreakHyphen/>
            </w:r>
            <w:r w:rsidRPr="00770229">
              <w:t>of</w:t>
            </w:r>
            <w:r>
              <w:noBreakHyphen/>
            </w:r>
            <w:r w:rsidRPr="00770229">
              <w:t>home care services are the number of children entering the child protection system, their location, and the complexity of their cases. The complexity of child protection cases relates to the seriousness of the protection case, language, and previous interactions with the child protection system.</w:t>
            </w:r>
          </w:p>
          <w:p w:rsidR="009A7F87" w:rsidRPr="00770229" w:rsidRDefault="009A7F87" w:rsidP="009A7F87">
            <w:pPr>
              <w:pStyle w:val="TableBodyText"/>
              <w:keepNext w:val="0"/>
              <w:keepLines w:val="0"/>
              <w:spacing w:before="80" w:after="80"/>
              <w:jc w:val="left"/>
              <w:rPr>
                <w:szCs w:val="26"/>
              </w:rPr>
            </w:pPr>
            <w:r w:rsidRPr="00770229">
              <w:t>The cost of providing out</w:t>
            </w:r>
            <w:r w:rsidRPr="00770229">
              <w:noBreakHyphen/>
              <w:t>of</w:t>
            </w:r>
            <w:r w:rsidRPr="00770229">
              <w:noBreakHyphen/>
              <w:t>home care to Aboriginal and Torres Strait Islander children may also be higher due to the government’s desire to place Aboriginal and Torres Strait Islander children with Aboriginal and Torres Strait Islander families.</w:t>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2"/>
            <w:tcBorders>
              <w:top w:val="nil"/>
              <w:left w:val="nil"/>
              <w:bottom w:val="nil"/>
              <w:right w:val="nil"/>
            </w:tcBorders>
            <w:shd w:val="clear" w:color="auto" w:fill="auto"/>
          </w:tcPr>
          <w:p w:rsidR="009A7F87" w:rsidRPr="00EC22C8" w:rsidRDefault="009A7F87" w:rsidP="009A7F87">
            <w:pPr>
              <w:pStyle w:val="Note"/>
              <w:jc w:val="right"/>
            </w:pPr>
            <w:r>
              <w:t>(continued next page)</w:t>
            </w:r>
          </w:p>
        </w:tc>
      </w:tr>
      <w:tr w:rsidR="009A7F87" w:rsidRPr="0071369A" w:rsidTr="009A7F87">
        <w:tblPrEx>
          <w:tblBorders>
            <w:top w:val="none" w:sz="0" w:space="0" w:color="auto"/>
            <w:bottom w:val="none" w:sz="0" w:space="0" w:color="auto"/>
            <w:insideH w:val="none" w:sz="0" w:space="0" w:color="auto"/>
          </w:tblBorders>
        </w:tblPrEx>
        <w:tc>
          <w:tcPr>
            <w:tcW w:w="5000" w:type="pct"/>
            <w:gridSpan w:val="3"/>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1029"/>
        <w:gridCol w:w="1029"/>
        <w:gridCol w:w="1026"/>
      </w:tblGrid>
      <w:tr w:rsidR="009A7F87" w:rsidRPr="00770229" w:rsidTr="00144C20">
        <w:tc>
          <w:tcPr>
            <w:tcW w:w="5000" w:type="pct"/>
            <w:gridSpan w:val="6"/>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D86D0C" w:rsidRDefault="009A7F87" w:rsidP="009A7F87">
            <w:pPr>
              <w:pStyle w:val="Heading3"/>
              <w:rPr>
                <w:sz w:val="18"/>
                <w:szCs w:val="18"/>
              </w:rPr>
            </w:pPr>
            <w:r>
              <w:br w:type="page"/>
            </w:r>
            <w:r>
              <w:br w:type="page"/>
            </w:r>
            <w:r>
              <w:br w:type="page"/>
            </w:r>
            <w:r w:rsidRPr="00D86D0C">
              <w:rPr>
                <w:sz w:val="18"/>
                <w:szCs w:val="18"/>
              </w:rPr>
              <w:t>(continued)</w:t>
            </w:r>
          </w:p>
        </w:tc>
      </w:tr>
      <w:tr w:rsidR="009A7F87" w:rsidRPr="00770229" w:rsidTr="00144C20">
        <w:tblPrEx>
          <w:tblBorders>
            <w:top w:val="none" w:sz="0" w:space="0" w:color="auto"/>
            <w:bottom w:val="none" w:sz="0" w:space="0" w:color="auto"/>
            <w:insideH w:val="none" w:sz="0" w:space="0" w:color="auto"/>
          </w:tblBorders>
        </w:tblPrEx>
        <w:tc>
          <w:tcPr>
            <w:tcW w:w="5000" w:type="pct"/>
            <w:gridSpan w:val="6"/>
            <w:tcBorders>
              <w:top w:val="single" w:sz="12"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D86D0C"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D86D0C"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ColumnHeading"/>
              <w:keepNext w:val="0"/>
              <w:ind w:left="180"/>
              <w:jc w:val="left"/>
            </w:pPr>
          </w:p>
        </w:tc>
        <w:tc>
          <w:tcPr>
            <w:tcW w:w="2337" w:type="pct"/>
            <w:gridSpan w:val="4"/>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ColumnHeading"/>
              <w:keepNext w:val="0"/>
              <w:ind w:left="180"/>
              <w:jc w:val="center"/>
            </w:pPr>
            <w:r w:rsidRPr="00D86D0C">
              <w:t>Data Years</w:t>
            </w:r>
          </w:p>
        </w:tc>
      </w:tr>
      <w:tr w:rsidR="009A7F87" w:rsidRPr="00D86D0C"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D86D0C" w:rsidRDefault="009A7F87" w:rsidP="009A7F87">
            <w:pPr>
              <w:pStyle w:val="TableBodyText"/>
              <w:keepNext w:val="0"/>
              <w:spacing w:before="60" w:after="60"/>
              <w:ind w:left="0"/>
              <w:jc w:val="both"/>
              <w:rPr>
                <w:i/>
              </w:rPr>
            </w:pPr>
            <w:r w:rsidRPr="00D86D0C">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180"/>
              <w:jc w:val="left"/>
              <w:rPr>
                <w:i/>
              </w:rPr>
            </w:pPr>
            <w:r w:rsidRPr="00D86D0C">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2"/>
              <w:jc w:val="center"/>
              <w:rPr>
                <w:i/>
              </w:rPr>
            </w:pPr>
            <w:r w:rsidRPr="00D86D0C">
              <w:rPr>
                <w:i/>
              </w:rPr>
              <w:t>2008</w:t>
            </w:r>
            <w:r w:rsidRPr="00D86D0C">
              <w:rPr>
                <w:i/>
              </w:rPr>
              <w:noBreakHyphen/>
              <w:t>09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2"/>
              <w:jc w:val="center"/>
              <w:rPr>
                <w:i/>
              </w:rPr>
            </w:pPr>
            <w:r w:rsidRPr="00D86D0C">
              <w:rPr>
                <w:i/>
              </w:rPr>
              <w:t>2010</w:t>
            </w:r>
            <w:r w:rsidRPr="00D86D0C">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2"/>
              <w:jc w:val="center"/>
              <w:rPr>
                <w:i/>
              </w:rPr>
            </w:pPr>
            <w:r w:rsidRPr="00D86D0C">
              <w:rPr>
                <w:i/>
              </w:rPr>
              <w:t>2012</w:t>
            </w:r>
            <w:r w:rsidRPr="00D86D0C">
              <w:rPr>
                <w:i/>
              </w:rPr>
              <w:noBreakHyphen/>
              <w:t>13 Estimates</w:t>
            </w:r>
          </w:p>
        </w:tc>
        <w:tc>
          <w:tcPr>
            <w:tcW w:w="583" w:type="pct"/>
            <w:tcBorders>
              <w:top w:val="single" w:sz="6" w:space="0" w:color="808080" w:themeColor="background1" w:themeShade="80"/>
              <w:bottom w:val="single" w:sz="6" w:space="0" w:color="808080" w:themeColor="background1" w:themeShade="80"/>
            </w:tcBorders>
          </w:tcPr>
          <w:p w:rsidR="009A7F87" w:rsidRPr="00D86D0C" w:rsidRDefault="009A7F87" w:rsidP="009A7F87">
            <w:pPr>
              <w:pStyle w:val="TableBodyText"/>
              <w:keepNext w:val="0"/>
              <w:spacing w:before="60" w:after="60"/>
              <w:ind w:left="2"/>
              <w:jc w:val="center"/>
              <w:rPr>
                <w:i/>
              </w:rPr>
            </w:pPr>
            <w:r w:rsidRPr="00D86D0C">
              <w:rPr>
                <w:i/>
              </w:rPr>
              <w:t>2015</w:t>
            </w:r>
            <w:r w:rsidRPr="00D86D0C">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spacing w:before="60" w:after="60"/>
              <w:jc w:val="left"/>
            </w:pPr>
            <w:r w:rsidRPr="00770229">
              <w:t>Children aged 0–17 years in substantiations or notifications</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ColumnHeading"/>
              <w:ind w:left="180"/>
              <w:jc w:val="left"/>
              <w:rPr>
                <w:i w:val="0"/>
              </w:rPr>
            </w:pPr>
            <w:r w:rsidRPr="00770229">
              <w:rPr>
                <w:i w:val="0"/>
              </w:rPr>
              <w:t>AIHW</w:t>
            </w:r>
            <w:r w:rsidRPr="00770229">
              <w:t xml:space="preserve"> Child protection Australia 2008</w:t>
            </w:r>
            <w:r w:rsidRPr="00770229">
              <w:noBreakHyphen/>
              <w:t xml:space="preserve">09 </w:t>
            </w:r>
            <w:r w:rsidRPr="00770229">
              <w:rPr>
                <w:i w:val="0"/>
              </w:rPr>
              <w:t>(Cat. no. CWS 35)</w:t>
            </w:r>
          </w:p>
          <w:p w:rsidR="009A7F87" w:rsidRPr="00770229" w:rsidRDefault="009A7F87" w:rsidP="009A7F87">
            <w:pPr>
              <w:pStyle w:val="TableColumnHeading"/>
              <w:ind w:left="180"/>
              <w:jc w:val="left"/>
              <w:rPr>
                <w:i w:val="0"/>
              </w:rPr>
            </w:pPr>
            <w:r w:rsidRPr="00770229">
              <w:rPr>
                <w:i w:val="0"/>
              </w:rPr>
              <w:t xml:space="preserve">AIHW </w:t>
            </w:r>
            <w:r w:rsidRPr="00770229">
              <w:t>Child protection Australia 2010</w:t>
            </w:r>
            <w:r w:rsidRPr="00770229">
              <w:noBreakHyphen/>
              <w:t xml:space="preserve">11 </w:t>
            </w:r>
            <w:r w:rsidRPr="00770229">
              <w:rPr>
                <w:i w:val="0"/>
              </w:rPr>
              <w:t>(Cat. no. CWS 41)</w:t>
            </w:r>
          </w:p>
          <w:p w:rsidR="009A7F87" w:rsidRDefault="009A7F87" w:rsidP="009A7F87">
            <w:pPr>
              <w:pStyle w:val="TableColumnHeading"/>
              <w:ind w:left="180"/>
              <w:jc w:val="left"/>
              <w:rPr>
                <w:i w:val="0"/>
              </w:rPr>
            </w:pPr>
            <w:r w:rsidRPr="00770229">
              <w:rPr>
                <w:i w:val="0"/>
              </w:rPr>
              <w:t xml:space="preserve">AIHW </w:t>
            </w:r>
            <w:r w:rsidRPr="00770229">
              <w:t>Child protection Australia 2012</w:t>
            </w:r>
            <w:r w:rsidRPr="00770229">
              <w:noBreakHyphen/>
              <w:t xml:space="preserve">13 </w:t>
            </w:r>
            <w:r w:rsidRPr="00770229">
              <w:rPr>
                <w:i w:val="0"/>
              </w:rPr>
              <w:t>(Cat. no. CWS</w:t>
            </w:r>
            <w:r w:rsidRPr="00770229">
              <w:rPr>
                <w:rStyle w:val="DraftingNote"/>
              </w:rPr>
              <w:t xml:space="preserve"> </w:t>
            </w:r>
            <w:r w:rsidRPr="00770229">
              <w:rPr>
                <w:i w:val="0"/>
              </w:rPr>
              <w:t>49)</w:t>
            </w:r>
          </w:p>
          <w:p w:rsidR="009A7F87" w:rsidRPr="00770229" w:rsidRDefault="009A7F87" w:rsidP="009A7F87">
            <w:pPr>
              <w:pStyle w:val="TableBodyText"/>
              <w:keepNext w:val="0"/>
              <w:spacing w:before="60" w:after="60"/>
              <w:ind w:left="181"/>
              <w:jc w:val="left"/>
            </w:pPr>
            <w:r>
              <w:t xml:space="preserve">SCRGSP (2017) Report on Government Services </w:t>
            </w:r>
            <w:r w:rsidRPr="00C67C31">
              <w:t>State and Territory Governments (unpublished)</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0"/>
              <w:jc w:val="center"/>
            </w:pPr>
            <w:r>
              <w:t>2008-09</w:t>
            </w: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Pr="00770229" w:rsidRDefault="009A7F87" w:rsidP="009A7F87">
            <w:pPr>
              <w:pStyle w:val="TableBodyText"/>
              <w:keepNext w:val="0"/>
              <w:spacing w:before="60" w:after="60"/>
              <w:ind w:left="0"/>
              <w:jc w:val="center"/>
            </w:pPr>
            <w:r>
              <w:br/>
            </w: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2012-13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tcBorders>
              <w:top w:val="single" w:sz="6" w:space="0" w:color="808080" w:themeColor="background1" w:themeShade="80"/>
            </w:tcBorders>
            <w:vAlign w:val="center"/>
          </w:tcPr>
          <w:p w:rsidR="009A7F87" w:rsidRDefault="009A7F87" w:rsidP="009A7F87">
            <w:pPr>
              <w:pStyle w:val="TableBodyText"/>
              <w:spacing w:before="60" w:after="60"/>
              <w:ind w:left="2"/>
              <w:jc w:val="center"/>
            </w:pPr>
            <w:r>
              <w:t>2015-16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spacing w:after="0"/>
              <w:jc w:val="left"/>
            </w:pPr>
            <w:r w:rsidRPr="00770229">
              <w:t>Children aged 0–17 years receiving out</w:t>
            </w:r>
            <w:r w:rsidRPr="00770229">
              <w:noBreakHyphen/>
              <w:t>of</w:t>
            </w:r>
            <w:r w:rsidRPr="00770229">
              <w:noBreakHyphen/>
              <w:t>home care services</w:t>
            </w:r>
          </w:p>
        </w:tc>
        <w:tc>
          <w:tcPr>
            <w:tcW w:w="1814" w:type="pct"/>
            <w:tcBorders>
              <w:bottom w:val="single" w:sz="6" w:space="0" w:color="808080" w:themeColor="background1" w:themeShade="80"/>
            </w:tcBorders>
            <w:shd w:val="clear" w:color="auto" w:fill="auto"/>
          </w:tcPr>
          <w:p w:rsidR="009A7F87" w:rsidRPr="00770229" w:rsidRDefault="009A7F87" w:rsidP="009A7F87">
            <w:pPr>
              <w:pStyle w:val="TableColumnHeading"/>
              <w:ind w:left="180"/>
              <w:jc w:val="left"/>
              <w:rPr>
                <w:i w:val="0"/>
              </w:rPr>
            </w:pPr>
            <w:r w:rsidRPr="00770229">
              <w:rPr>
                <w:i w:val="0"/>
              </w:rPr>
              <w:t>AIHW</w:t>
            </w:r>
            <w:r w:rsidRPr="00770229">
              <w:t xml:space="preserve"> Child protection Australia </w:t>
            </w:r>
            <w:r w:rsidRPr="00770229">
              <w:rPr>
                <w:i w:val="0"/>
              </w:rPr>
              <w:t>(Cat. no. CWS 35)</w:t>
            </w:r>
          </w:p>
          <w:p w:rsidR="009A7F87" w:rsidRPr="00770229" w:rsidRDefault="009A7F87" w:rsidP="009A7F87">
            <w:pPr>
              <w:pStyle w:val="TableColumnHeading"/>
              <w:ind w:left="180"/>
              <w:jc w:val="left"/>
              <w:rPr>
                <w:i w:val="0"/>
              </w:rPr>
            </w:pPr>
            <w:r w:rsidRPr="00770229">
              <w:rPr>
                <w:i w:val="0"/>
              </w:rPr>
              <w:t xml:space="preserve">AIHW </w:t>
            </w:r>
            <w:r w:rsidRPr="00770229">
              <w:t>Child protection Australia 2010</w:t>
            </w:r>
            <w:r w:rsidRPr="00770229">
              <w:noBreakHyphen/>
              <w:t xml:space="preserve">11 </w:t>
            </w:r>
            <w:r w:rsidRPr="00770229">
              <w:rPr>
                <w:i w:val="0"/>
              </w:rPr>
              <w:t>(Cat. no. CWS 41)</w:t>
            </w:r>
          </w:p>
          <w:p w:rsidR="009A7F87" w:rsidRDefault="009A7F87" w:rsidP="009A7F87">
            <w:pPr>
              <w:pStyle w:val="TableColumnHeading"/>
              <w:ind w:left="180"/>
              <w:jc w:val="left"/>
              <w:rPr>
                <w:i w:val="0"/>
              </w:rPr>
            </w:pPr>
            <w:r w:rsidRPr="00770229">
              <w:rPr>
                <w:i w:val="0"/>
              </w:rPr>
              <w:t xml:space="preserve">AIHW </w:t>
            </w:r>
            <w:r w:rsidRPr="00770229">
              <w:t>Child protection Australia 2012</w:t>
            </w:r>
            <w:r w:rsidRPr="00770229">
              <w:noBreakHyphen/>
              <w:t xml:space="preserve">13 </w:t>
            </w:r>
            <w:r w:rsidRPr="00770229">
              <w:rPr>
                <w:i w:val="0"/>
              </w:rPr>
              <w:t>(Cat. no. CWS</w:t>
            </w:r>
            <w:r w:rsidRPr="00770229">
              <w:rPr>
                <w:rStyle w:val="DraftingNote"/>
                <w:i w:val="0"/>
              </w:rPr>
              <w:t xml:space="preserve"> </w:t>
            </w:r>
            <w:r w:rsidRPr="00770229">
              <w:rPr>
                <w:i w:val="0"/>
              </w:rPr>
              <w:t>49)</w:t>
            </w:r>
          </w:p>
          <w:p w:rsidR="009A7F87" w:rsidRPr="00770229" w:rsidRDefault="009A7F87" w:rsidP="009A7F87">
            <w:pPr>
              <w:pStyle w:val="TableBodyText"/>
              <w:keepNext w:val="0"/>
              <w:spacing w:after="0"/>
              <w:ind w:left="181"/>
              <w:jc w:val="left"/>
            </w:pPr>
            <w:r>
              <w:t xml:space="preserve">SCRGSP 2017 Report on Government Services </w:t>
            </w:r>
            <w:r w:rsidRPr="00C67C31">
              <w:t>State and Territory Governments (unpublished)</w:t>
            </w:r>
          </w:p>
        </w:tc>
        <w:tc>
          <w:tcPr>
            <w:tcW w:w="584"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r>
              <w:br/>
            </w:r>
          </w:p>
        </w:tc>
        <w:tc>
          <w:tcPr>
            <w:tcW w:w="585" w:type="pct"/>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r>
              <w:br/>
            </w:r>
          </w:p>
        </w:tc>
        <w:tc>
          <w:tcPr>
            <w:tcW w:w="585" w:type="pct"/>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2012-13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r>
              <w:br/>
            </w:r>
          </w:p>
        </w:tc>
        <w:tc>
          <w:tcPr>
            <w:tcW w:w="583" w:type="pct"/>
            <w:tcBorders>
              <w:bottom w:val="single" w:sz="6" w:space="0" w:color="808080" w:themeColor="background1" w:themeShade="80"/>
            </w:tcBorders>
            <w:vAlign w:val="center"/>
          </w:tcPr>
          <w:p w:rsidR="009A7F87" w:rsidRDefault="009A7F87" w:rsidP="009A7F87">
            <w:pPr>
              <w:pStyle w:val="TableBodyText"/>
              <w:spacing w:before="60" w:after="60"/>
              <w:ind w:left="2"/>
              <w:jc w:val="center"/>
            </w:pPr>
            <w:r>
              <w:t>2015-16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r>
              <w:br/>
            </w:r>
          </w:p>
        </w:tc>
      </w:tr>
      <w:tr w:rsidR="009A7F87" w:rsidRPr="0071369A" w:rsidTr="0044346B">
        <w:tblPrEx>
          <w:tblBorders>
            <w:top w:val="none" w:sz="0" w:space="0" w:color="auto"/>
            <w:bottom w:val="none" w:sz="0" w:space="0" w:color="auto"/>
            <w:insideH w:val="none" w:sz="0" w:space="0" w:color="auto"/>
          </w:tblBorders>
        </w:tblPrEx>
        <w:tc>
          <w:tcPr>
            <w:tcW w:w="5000" w:type="pct"/>
            <w:gridSpan w:val="6"/>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26"/>
      </w:tblGrid>
      <w:tr w:rsidR="009A7F87" w:rsidRPr="00770229" w:rsidTr="00144C20">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t>0</w:t>
            </w:r>
            <w:r>
              <w:t>621.3</w:t>
            </w:r>
            <w:r w:rsidRPr="00770229">
              <w:t xml:space="preserve"> General family and youth support services</w:t>
            </w:r>
          </w:p>
        </w:tc>
      </w:tr>
      <w:tr w:rsidR="009A7F87" w:rsidRPr="00770229" w:rsidTr="00144C20">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3"/>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General family and youth support services can be grouped under three categories:</w:t>
            </w:r>
          </w:p>
          <w:p w:rsidR="009A7F87" w:rsidRPr="00770229" w:rsidRDefault="009A7F87" w:rsidP="009A7F87">
            <w:pPr>
              <w:pStyle w:val="TableBullet"/>
              <w:numPr>
                <w:ilvl w:val="0"/>
                <w:numId w:val="24"/>
              </w:numPr>
              <w:spacing w:line="220" w:lineRule="atLeast"/>
            </w:pPr>
            <w:r w:rsidRPr="00770229">
              <w:rPr>
                <w:i/>
              </w:rPr>
              <w:t>family support</w:t>
            </w:r>
            <w:r w:rsidRPr="00770229">
              <w:t xml:space="preserve"> — a range of services that are typically associated with the identification of family needs, provision of support and diversionary services, some counselling, and linking families to support networks</w:t>
            </w:r>
          </w:p>
          <w:p w:rsidR="009A7F87" w:rsidRPr="00770229" w:rsidRDefault="009A7F87" w:rsidP="009A7F87">
            <w:pPr>
              <w:pStyle w:val="TableBullet"/>
              <w:numPr>
                <w:ilvl w:val="0"/>
                <w:numId w:val="24"/>
              </w:numPr>
              <w:spacing w:line="220" w:lineRule="atLeast"/>
            </w:pPr>
            <w:r w:rsidRPr="00770229">
              <w:rPr>
                <w:i/>
              </w:rPr>
              <w:t xml:space="preserve">intensive family support </w:t>
            </w:r>
            <w:r w:rsidRPr="00770229">
              <w:t>— a range of services that are typically associated with the provision of therapeutic and in</w:t>
            </w:r>
            <w:r w:rsidRPr="00770229">
              <w:noBreakHyphen/>
              <w:t>home supports (such as counselling and mediation), modelling of positive parenting strategies, referrals to intensive support services, advocacy services, and intensive support for a family in a residential setting</w:t>
            </w:r>
          </w:p>
          <w:p w:rsidR="009A7F87" w:rsidRPr="00770229" w:rsidRDefault="009A7F87" w:rsidP="009A7F87">
            <w:pPr>
              <w:pStyle w:val="TableBullet"/>
              <w:numPr>
                <w:ilvl w:val="0"/>
                <w:numId w:val="24"/>
              </w:numPr>
              <w:spacing w:line="220" w:lineRule="atLeast"/>
            </w:pPr>
            <w:r w:rsidRPr="00770229">
              <w:rPr>
                <w:i/>
              </w:rPr>
              <w:t>child support payments</w:t>
            </w:r>
            <w:r w:rsidRPr="00770229">
              <w:t xml:space="preserve"> — the Child Support Agency administers child support payments for separated parents. Key activities include registering cases, assessing the level of child support payable, collecting child support payments, and providing general information to parents about child support requirements. </w:t>
            </w:r>
          </w:p>
          <w:p w:rsidR="009A7F87" w:rsidRPr="00770229" w:rsidRDefault="009A7F87" w:rsidP="009A7F87">
            <w:pPr>
              <w:pStyle w:val="TableBodyText"/>
              <w:keepNext w:val="0"/>
              <w:keepLines w:val="0"/>
              <w:spacing w:before="80" w:after="80"/>
              <w:jc w:val="left"/>
            </w:pPr>
            <w:r w:rsidRPr="00770229">
              <w:t>General family and youth support services is a sub</w:t>
            </w:r>
            <w:r w:rsidRPr="00770229">
              <w:noBreakHyphen/>
              <w:t xml:space="preserve">category of family and child welfare services (GPC 0621). </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sidRPr="00770229">
              <w:t>The key cost drivers of expenditure on family support (including intensive family support) relate to the number of people receiving general family and youth support services, their location, and the complexity of their cases (which can relate to the degree of support required).</w:t>
            </w:r>
          </w:p>
          <w:p w:rsidR="009A7F87" w:rsidRPr="00770229" w:rsidRDefault="009A7F87" w:rsidP="009A7F87">
            <w:pPr>
              <w:pStyle w:val="TableBodyText"/>
              <w:keepNext w:val="0"/>
              <w:keepLines w:val="0"/>
              <w:spacing w:before="80" w:after="80"/>
              <w:jc w:val="left"/>
              <w:rPr>
                <w:szCs w:val="26"/>
              </w:rPr>
            </w:pPr>
            <w:r w:rsidRPr="00770229">
              <w:t>The key cost drivers of expenditure on child support services relate to the number of people entering the child support system and the level of child support payments being administered.</w:t>
            </w:r>
          </w:p>
        </w:tc>
      </w:tr>
      <w:tr w:rsidR="009A7F87" w:rsidRPr="00770229" w:rsidTr="0093701F">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D86D0C"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D86D0C"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ColumnHeading"/>
              <w:keepNext w:val="0"/>
              <w:ind w:left="180"/>
              <w:jc w:val="left"/>
            </w:pPr>
          </w:p>
        </w:tc>
        <w:tc>
          <w:tcPr>
            <w:tcW w:w="2337" w:type="pct"/>
            <w:gridSpan w:val="5"/>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ColumnHeading"/>
              <w:keepNext w:val="0"/>
              <w:ind w:left="180"/>
              <w:jc w:val="center"/>
            </w:pPr>
            <w:r w:rsidRPr="00D86D0C">
              <w:t>Data Years</w:t>
            </w:r>
          </w:p>
        </w:tc>
      </w:tr>
      <w:tr w:rsidR="009A7F87" w:rsidRPr="00D86D0C"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D86D0C" w:rsidRDefault="009A7F87" w:rsidP="009A7F87">
            <w:pPr>
              <w:pStyle w:val="TableBodyText"/>
              <w:keepNext w:val="0"/>
              <w:spacing w:before="60" w:after="60"/>
              <w:ind w:left="0"/>
              <w:jc w:val="both"/>
              <w:rPr>
                <w:i/>
              </w:rPr>
            </w:pPr>
            <w:r w:rsidRPr="00D86D0C">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180"/>
              <w:jc w:val="left"/>
              <w:rPr>
                <w:i/>
              </w:rPr>
            </w:pPr>
            <w:r w:rsidRPr="00D86D0C">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2"/>
              <w:jc w:val="center"/>
              <w:rPr>
                <w:i/>
              </w:rPr>
            </w:pPr>
            <w:r w:rsidRPr="00D86D0C">
              <w:rPr>
                <w:i/>
              </w:rPr>
              <w:t>2008</w:t>
            </w:r>
            <w:r w:rsidRPr="00D86D0C">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2"/>
              <w:jc w:val="center"/>
              <w:rPr>
                <w:i/>
              </w:rPr>
            </w:pPr>
            <w:r w:rsidRPr="00D86D0C">
              <w:rPr>
                <w:i/>
              </w:rPr>
              <w:t>2010</w:t>
            </w:r>
            <w:r w:rsidRPr="00D86D0C">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2"/>
              <w:jc w:val="center"/>
              <w:rPr>
                <w:i/>
              </w:rPr>
            </w:pPr>
            <w:r w:rsidRPr="00D86D0C">
              <w:rPr>
                <w:i/>
              </w:rPr>
              <w:t>2012</w:t>
            </w:r>
            <w:r w:rsidRPr="00D86D0C">
              <w:rPr>
                <w:i/>
              </w:rPr>
              <w:noBreakHyphen/>
              <w:t>13 Estimates</w:t>
            </w:r>
          </w:p>
        </w:tc>
        <w:tc>
          <w:tcPr>
            <w:tcW w:w="583" w:type="pct"/>
            <w:tcBorders>
              <w:top w:val="single" w:sz="6" w:space="0" w:color="808080" w:themeColor="background1" w:themeShade="80"/>
              <w:bottom w:val="single" w:sz="6" w:space="0" w:color="808080" w:themeColor="background1" w:themeShade="80"/>
            </w:tcBorders>
          </w:tcPr>
          <w:p w:rsidR="009A7F87" w:rsidRPr="00D86D0C" w:rsidRDefault="009A7F87" w:rsidP="009A7F87">
            <w:pPr>
              <w:pStyle w:val="TableBodyText"/>
              <w:keepNext w:val="0"/>
              <w:spacing w:before="60" w:after="60"/>
              <w:ind w:left="2"/>
              <w:jc w:val="center"/>
              <w:rPr>
                <w:i/>
              </w:rPr>
            </w:pPr>
            <w:r w:rsidRPr="00D86D0C">
              <w:rPr>
                <w:i/>
              </w:rPr>
              <w:t>2015</w:t>
            </w:r>
            <w:r w:rsidRPr="00D86D0C">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Children aged 0–17 years receiving intensive family support services</w:t>
            </w:r>
          </w:p>
        </w:tc>
        <w:tc>
          <w:tcPr>
            <w:tcW w:w="1814" w:type="pct"/>
            <w:tcBorders>
              <w:top w:val="single" w:sz="6" w:space="0" w:color="808080" w:themeColor="background1" w:themeShade="80"/>
            </w:tcBorders>
            <w:shd w:val="clear" w:color="auto" w:fill="auto"/>
          </w:tcPr>
          <w:p w:rsidR="009A7F87" w:rsidRDefault="009A7F87" w:rsidP="009A7F87">
            <w:pPr>
              <w:pStyle w:val="TableColumnHeading"/>
              <w:ind w:left="180"/>
              <w:jc w:val="left"/>
              <w:rPr>
                <w:i w:val="0"/>
              </w:rPr>
            </w:pPr>
            <w:r w:rsidRPr="00770229">
              <w:rPr>
                <w:i w:val="0"/>
              </w:rPr>
              <w:t>AIHW Intensive Family Support Services Australia data collection (unpublished data)</w:t>
            </w:r>
          </w:p>
          <w:p w:rsidR="009A7F87" w:rsidRPr="00770229" w:rsidRDefault="009A7F87" w:rsidP="009A7F87">
            <w:pPr>
              <w:pStyle w:val="TableBodyText"/>
              <w:keepNext w:val="0"/>
              <w:spacing w:before="60" w:after="60"/>
              <w:ind w:left="180"/>
              <w:jc w:val="left"/>
            </w:pPr>
            <w:r>
              <w:t xml:space="preserve">SCRGSP (2017) Report on Government Services </w:t>
            </w:r>
            <w:r w:rsidRPr="0041523C">
              <w:t>State and Territory governments (unpublished)</w:t>
            </w:r>
          </w:p>
        </w:tc>
        <w:tc>
          <w:tcPr>
            <w:tcW w:w="584" w:type="pct"/>
            <w:tcBorders>
              <w:top w:val="single" w:sz="6"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t>2008-09</w:t>
            </w:r>
          </w:p>
        </w:tc>
        <w:tc>
          <w:tcPr>
            <w:tcW w:w="585" w:type="pct"/>
            <w:gridSpan w:val="2"/>
            <w:tcBorders>
              <w:top w:val="single" w:sz="6" w:space="0" w:color="808080" w:themeColor="background1" w:themeShade="80"/>
            </w:tcBorders>
            <w:shd w:val="clear" w:color="auto" w:fill="auto"/>
            <w:vAlign w:val="center"/>
          </w:tcPr>
          <w:p w:rsidR="009A7F87" w:rsidRPr="00770229" w:rsidRDefault="009A7F87" w:rsidP="009A7F87">
            <w:pPr>
              <w:pStyle w:val="TableBodyText"/>
              <w:spacing w:before="60" w:after="60"/>
              <w:ind w:left="2"/>
              <w:jc w:val="center"/>
            </w:pPr>
            <w:r>
              <w:t>2010-11</w:t>
            </w:r>
          </w:p>
        </w:tc>
        <w:tc>
          <w:tcPr>
            <w:tcW w:w="585" w:type="pct"/>
            <w:tcBorders>
              <w:top w:val="single" w:sz="6" w:space="0" w:color="808080" w:themeColor="background1" w:themeShade="80"/>
            </w:tcBorders>
            <w:shd w:val="clear" w:color="auto" w:fill="auto"/>
            <w:vAlign w:val="center"/>
          </w:tcPr>
          <w:p w:rsidR="009A7F87" w:rsidRPr="00770229" w:rsidRDefault="009A7F87" w:rsidP="009A7F87">
            <w:pPr>
              <w:pStyle w:val="TableBodyText"/>
              <w:spacing w:before="60" w:after="60"/>
              <w:ind w:left="2"/>
              <w:jc w:val="center"/>
            </w:pPr>
            <w:r>
              <w:t>2012-13</w:t>
            </w:r>
          </w:p>
        </w:tc>
        <w:tc>
          <w:tcPr>
            <w:tcW w:w="583" w:type="pct"/>
            <w:tcBorders>
              <w:top w:val="single" w:sz="6" w:space="0" w:color="808080" w:themeColor="background1" w:themeShade="80"/>
            </w:tcBorders>
            <w:vAlign w:val="center"/>
          </w:tcPr>
          <w:p w:rsidR="009A7F87" w:rsidRPr="00770229" w:rsidRDefault="009A7F87" w:rsidP="009A7F87">
            <w:pPr>
              <w:pStyle w:val="TableBodyText"/>
              <w:spacing w:before="60" w:after="60"/>
              <w:ind w:left="2"/>
              <w:jc w:val="center"/>
            </w:pPr>
            <w:r>
              <w:t>2015-16</w:t>
            </w: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after="60" w:line="240" w:lineRule="auto"/>
              <w:ind w:left="0"/>
              <w:jc w:val="left"/>
            </w:pPr>
            <w:r w:rsidRPr="00770229">
              <w:t>Recipients of child support payments</w:t>
            </w:r>
          </w:p>
        </w:tc>
        <w:tc>
          <w:tcPr>
            <w:tcW w:w="1814" w:type="pct"/>
            <w:tcBorders>
              <w:bottom w:val="single" w:sz="6" w:space="0" w:color="808080" w:themeColor="background1" w:themeShade="80"/>
            </w:tcBorders>
            <w:shd w:val="clear" w:color="auto" w:fill="auto"/>
          </w:tcPr>
          <w:p w:rsidR="009A7F87" w:rsidRPr="00770229" w:rsidRDefault="009A7F87" w:rsidP="009A7F87">
            <w:pPr>
              <w:pStyle w:val="TableBodyText"/>
              <w:keepNext w:val="0"/>
              <w:spacing w:after="60" w:line="240" w:lineRule="auto"/>
              <w:ind w:left="180"/>
              <w:jc w:val="left"/>
            </w:pPr>
            <w:r w:rsidRPr="00770229">
              <w:t>Australian Government administrative data for child support recipients (unpublished)</w:t>
            </w:r>
          </w:p>
        </w:tc>
        <w:tc>
          <w:tcPr>
            <w:tcW w:w="584" w:type="pct"/>
            <w:tcBorders>
              <w:bottom w:val="single" w:sz="6" w:space="0" w:color="808080" w:themeColor="background1" w:themeShade="80"/>
            </w:tcBorders>
            <w:shd w:val="clear" w:color="auto" w:fill="auto"/>
            <w:vAlign w:val="center"/>
          </w:tcPr>
          <w:p w:rsidR="009A7F87" w:rsidRPr="00770229" w:rsidRDefault="009A7F87" w:rsidP="009A7F87">
            <w:pPr>
              <w:pStyle w:val="TableBodyText"/>
              <w:keepNext w:val="0"/>
              <w:spacing w:after="60" w:line="240" w:lineRule="auto"/>
              <w:ind w:left="2"/>
              <w:jc w:val="center"/>
            </w:pPr>
            <w:r>
              <w:t>2008-09</w:t>
            </w:r>
          </w:p>
        </w:tc>
        <w:tc>
          <w:tcPr>
            <w:tcW w:w="585" w:type="pct"/>
            <w:gridSpan w:val="2"/>
            <w:tcBorders>
              <w:bottom w:val="single" w:sz="6" w:space="0" w:color="808080" w:themeColor="background1" w:themeShade="80"/>
            </w:tcBorders>
            <w:shd w:val="clear" w:color="auto" w:fill="auto"/>
            <w:vAlign w:val="center"/>
          </w:tcPr>
          <w:p w:rsidR="009A7F87" w:rsidRPr="00770229" w:rsidRDefault="009A7F87" w:rsidP="009A7F87">
            <w:pPr>
              <w:pStyle w:val="TableBodyText"/>
              <w:spacing w:after="60" w:line="240" w:lineRule="auto"/>
              <w:ind w:left="2"/>
              <w:jc w:val="center"/>
            </w:pPr>
            <w:r>
              <w:t>2010-11</w:t>
            </w:r>
          </w:p>
        </w:tc>
        <w:tc>
          <w:tcPr>
            <w:tcW w:w="585" w:type="pct"/>
            <w:tcBorders>
              <w:bottom w:val="single" w:sz="6" w:space="0" w:color="808080" w:themeColor="background1" w:themeShade="80"/>
            </w:tcBorders>
            <w:shd w:val="clear" w:color="auto" w:fill="auto"/>
            <w:vAlign w:val="center"/>
          </w:tcPr>
          <w:p w:rsidR="009A7F87" w:rsidRPr="00770229" w:rsidRDefault="009A7F87" w:rsidP="009A7F87">
            <w:pPr>
              <w:pStyle w:val="TableBodyText"/>
              <w:spacing w:after="60" w:line="240" w:lineRule="auto"/>
              <w:ind w:left="2"/>
              <w:jc w:val="center"/>
            </w:pPr>
            <w:r>
              <w:t>2012-13</w:t>
            </w:r>
          </w:p>
        </w:tc>
        <w:tc>
          <w:tcPr>
            <w:tcW w:w="583" w:type="pct"/>
            <w:tcBorders>
              <w:bottom w:val="single" w:sz="6" w:space="0" w:color="808080" w:themeColor="background1" w:themeShade="80"/>
            </w:tcBorders>
            <w:vAlign w:val="center"/>
          </w:tcPr>
          <w:p w:rsidR="009A7F87" w:rsidRPr="00770229" w:rsidRDefault="009A7F87" w:rsidP="009A7F87">
            <w:pPr>
              <w:pStyle w:val="TableBodyText"/>
              <w:spacing w:after="60" w:line="240" w:lineRule="auto"/>
              <w:ind w:left="2"/>
              <w:jc w:val="center"/>
            </w:pPr>
            <w:r>
              <w:t>2012-13</w:t>
            </w:r>
          </w:p>
        </w:tc>
      </w:tr>
      <w:tr w:rsidR="009A7F87" w:rsidRPr="0071369A" w:rsidTr="0044346B">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517"/>
        <w:gridCol w:w="3187"/>
        <w:gridCol w:w="1023"/>
        <w:gridCol w:w="598"/>
        <w:gridCol w:w="423"/>
        <w:gridCol w:w="1025"/>
        <w:gridCol w:w="1023"/>
      </w:tblGrid>
      <w:tr w:rsidR="009A7F87" w:rsidRPr="00770229" w:rsidTr="00144C20">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t>0</w:t>
            </w:r>
            <w:r>
              <w:t>621.4</w:t>
            </w:r>
            <w:r w:rsidRPr="00770229">
              <w:t xml:space="preserve"> Homeless persons’ assistance for young people</w:t>
            </w:r>
          </w:p>
        </w:tc>
      </w:tr>
      <w:tr w:rsidR="009A7F87" w:rsidRPr="00770229" w:rsidTr="00144C20">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3"/>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Homeless persons’ assistance for young people includes transitional supported accommodation, counselling, advocacy, links to housing, and outreach support services. For homeless persons’ assistance, ‘young people’ are defined as assistance provided to homeless people that are aged 0</w:t>
            </w:r>
            <w:r>
              <w:t>—</w:t>
            </w:r>
            <w:r w:rsidRPr="00770229">
              <w:t xml:space="preserve">24 years. </w:t>
            </w:r>
          </w:p>
          <w:p w:rsidR="009A7F87" w:rsidRPr="00770229" w:rsidRDefault="009A7F87" w:rsidP="009A7F87">
            <w:pPr>
              <w:pStyle w:val="TableBodyText"/>
              <w:keepNext w:val="0"/>
              <w:keepLines w:val="0"/>
              <w:spacing w:before="80" w:after="80"/>
              <w:jc w:val="left"/>
            </w:pPr>
            <w:r w:rsidRPr="00770229">
              <w:t>Homeless persons’ assistance for young people is a sub</w:t>
            </w:r>
            <w:r w:rsidRPr="00770229">
              <w:noBreakHyphen/>
              <w:t xml:space="preserve">category of family and child welfare services (GPC 0621). </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szCs w:val="26"/>
              </w:rPr>
            </w:pPr>
            <w:r w:rsidRPr="00770229">
              <w:rPr>
                <w:szCs w:val="26"/>
              </w:rPr>
              <w:t>The key cost drivers of expenditure on h</w:t>
            </w:r>
            <w:r w:rsidRPr="00770229">
              <w:rPr>
                <w:rFonts w:ascii="ArialMT" w:hAnsi="ArialMT" w:cs="ArialMT"/>
              </w:rPr>
              <w:t>omeless persons’ assistance</w:t>
            </w:r>
            <w:r w:rsidRPr="00770229">
              <w:rPr>
                <w:szCs w:val="26"/>
              </w:rPr>
              <w:t xml:space="preserve"> are driven by the number of young people receiving h</w:t>
            </w:r>
            <w:r w:rsidRPr="00770229">
              <w:rPr>
                <w:rFonts w:ascii="ArialMT" w:hAnsi="ArialMT" w:cs="ArialMT"/>
              </w:rPr>
              <w:t>omeless persons’ assistance</w:t>
            </w:r>
            <w:r w:rsidRPr="00770229">
              <w:rPr>
                <w:szCs w:val="26"/>
              </w:rPr>
              <w:t>, as well as the average cost of assistance.</w:t>
            </w:r>
          </w:p>
        </w:tc>
      </w:tr>
      <w:tr w:rsidR="009A7F87" w:rsidRPr="00770229" w:rsidTr="0093701F">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D86D0C"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D86D0C"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ColumnHeading"/>
              <w:keepNext w:val="0"/>
              <w:ind w:left="180"/>
              <w:jc w:val="left"/>
            </w:pPr>
          </w:p>
        </w:tc>
        <w:tc>
          <w:tcPr>
            <w:tcW w:w="2337" w:type="pct"/>
            <w:gridSpan w:val="5"/>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ColumnHeading"/>
              <w:keepNext w:val="0"/>
              <w:ind w:left="180"/>
              <w:jc w:val="center"/>
            </w:pPr>
            <w:r w:rsidRPr="00D86D0C">
              <w:t>Data Years</w:t>
            </w:r>
          </w:p>
        </w:tc>
      </w:tr>
      <w:tr w:rsidR="009A7F87" w:rsidRPr="00D86D0C"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D86D0C" w:rsidRDefault="009A7F87" w:rsidP="009A7F87">
            <w:pPr>
              <w:pStyle w:val="TableBodyText"/>
              <w:keepNext w:val="0"/>
              <w:spacing w:before="60" w:after="60"/>
              <w:ind w:left="0"/>
              <w:jc w:val="both"/>
              <w:rPr>
                <w:i/>
              </w:rPr>
            </w:pPr>
            <w:r w:rsidRPr="00D86D0C">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180"/>
              <w:jc w:val="left"/>
              <w:rPr>
                <w:i/>
              </w:rPr>
            </w:pPr>
            <w:r w:rsidRPr="00D86D0C">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2"/>
              <w:jc w:val="center"/>
              <w:rPr>
                <w:i/>
              </w:rPr>
            </w:pPr>
            <w:r w:rsidRPr="00D86D0C">
              <w:rPr>
                <w:i/>
              </w:rPr>
              <w:t>2008</w:t>
            </w:r>
            <w:r w:rsidRPr="00D86D0C">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2"/>
              <w:jc w:val="center"/>
              <w:rPr>
                <w:i/>
              </w:rPr>
            </w:pPr>
            <w:r w:rsidRPr="00D86D0C">
              <w:rPr>
                <w:i/>
              </w:rPr>
              <w:t>2010</w:t>
            </w:r>
            <w:r w:rsidRPr="00D86D0C">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2"/>
              <w:jc w:val="center"/>
              <w:rPr>
                <w:i/>
              </w:rPr>
            </w:pPr>
            <w:r w:rsidRPr="00D86D0C">
              <w:rPr>
                <w:i/>
              </w:rPr>
              <w:t>2012</w:t>
            </w:r>
            <w:r w:rsidRPr="00D86D0C">
              <w:rPr>
                <w:i/>
              </w:rPr>
              <w:noBreakHyphen/>
              <w:t>13 Estimates</w:t>
            </w:r>
          </w:p>
        </w:tc>
        <w:tc>
          <w:tcPr>
            <w:tcW w:w="583" w:type="pct"/>
            <w:tcBorders>
              <w:top w:val="single" w:sz="6" w:space="0" w:color="808080" w:themeColor="background1" w:themeShade="80"/>
              <w:bottom w:val="single" w:sz="6" w:space="0" w:color="808080" w:themeColor="background1" w:themeShade="80"/>
            </w:tcBorders>
          </w:tcPr>
          <w:p w:rsidR="009A7F87" w:rsidRPr="00D86D0C" w:rsidRDefault="009A7F87" w:rsidP="009A7F87">
            <w:pPr>
              <w:pStyle w:val="TableBodyText"/>
              <w:keepNext w:val="0"/>
              <w:spacing w:before="60" w:after="60"/>
              <w:ind w:left="2"/>
              <w:jc w:val="center"/>
              <w:rPr>
                <w:i/>
              </w:rPr>
            </w:pPr>
            <w:r w:rsidRPr="00D86D0C">
              <w:rPr>
                <w:i/>
              </w:rPr>
              <w:t>2015</w:t>
            </w:r>
            <w:r w:rsidRPr="00D86D0C">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Supported periods for Supported Accommodation Assistance Program (SAAP) clients aged 0–24 years</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AIHW Supported Accommodation Assistance Program Client Collection (unpublished)</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tcBorders>
              <w:top w:val="single" w:sz="6" w:space="0" w:color="808080" w:themeColor="background1" w:themeShade="80"/>
            </w:tcBorders>
            <w:vAlign w:val="center"/>
          </w:tcPr>
          <w:p w:rsidR="009A7F87" w:rsidRDefault="009A7F87" w:rsidP="009A7F87">
            <w:pPr>
              <w:pStyle w:val="TableBodyText"/>
              <w:spacing w:before="60" w:after="60"/>
              <w:ind w:left="2"/>
              <w:jc w:val="center"/>
            </w:pPr>
            <w:r>
              <w:t>..</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after="60" w:line="240" w:lineRule="auto"/>
              <w:ind w:left="0"/>
              <w:jc w:val="left"/>
            </w:pPr>
            <w:r w:rsidRPr="00770229">
              <w:t>Supported periods for specialist homelessness services clients aged 0–24 years</w:t>
            </w:r>
          </w:p>
        </w:tc>
        <w:tc>
          <w:tcPr>
            <w:tcW w:w="1814" w:type="pct"/>
            <w:tcBorders>
              <w:bottom w:val="single" w:sz="6" w:space="0" w:color="808080" w:themeColor="background1" w:themeShade="80"/>
            </w:tcBorders>
            <w:shd w:val="clear" w:color="auto" w:fill="auto"/>
          </w:tcPr>
          <w:p w:rsidR="009A7F87" w:rsidRPr="00770229" w:rsidRDefault="009A7F87" w:rsidP="009A7F87">
            <w:pPr>
              <w:pStyle w:val="TableBodyText"/>
              <w:keepNext w:val="0"/>
              <w:spacing w:after="60" w:line="240" w:lineRule="auto"/>
              <w:ind w:left="180"/>
              <w:jc w:val="left"/>
            </w:pPr>
            <w:r w:rsidRPr="00770229">
              <w:t>AIHW Specialist Homelessness Services data collection (unpublished)</w:t>
            </w:r>
          </w:p>
        </w:tc>
        <w:tc>
          <w:tcPr>
            <w:tcW w:w="584"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after="60" w:line="240" w:lineRule="auto"/>
              <w:ind w:left="2"/>
              <w:jc w:val="center"/>
            </w:pPr>
            <w:r>
              <w:t>..</w:t>
            </w:r>
          </w:p>
          <w:p w:rsidR="009A7F87" w:rsidRDefault="009A7F87" w:rsidP="009A7F87">
            <w:pPr>
              <w:pStyle w:val="TableBodyText"/>
              <w:keepNext w:val="0"/>
              <w:spacing w:after="60" w:line="240" w:lineRule="auto"/>
              <w:ind w:left="2"/>
              <w:jc w:val="center"/>
            </w:pPr>
          </w:p>
          <w:p w:rsidR="009A7F87" w:rsidRDefault="009A7F87" w:rsidP="009A7F87">
            <w:pPr>
              <w:pStyle w:val="TableBodyText"/>
              <w:keepNext w:val="0"/>
              <w:spacing w:after="60" w:line="240" w:lineRule="auto"/>
              <w:ind w:left="2"/>
              <w:jc w:val="center"/>
            </w:pPr>
          </w:p>
          <w:p w:rsidR="009A7F87" w:rsidRDefault="009A7F87" w:rsidP="009A7F87">
            <w:pPr>
              <w:pStyle w:val="TableBodyText"/>
              <w:keepNext w:val="0"/>
              <w:spacing w:after="60" w:line="240" w:lineRule="auto"/>
              <w:ind w:left="2"/>
              <w:jc w:val="center"/>
            </w:pPr>
          </w:p>
          <w:p w:rsidR="009A7F87" w:rsidRPr="00770229" w:rsidRDefault="009A7F87" w:rsidP="009A7F87">
            <w:pPr>
              <w:pStyle w:val="TableBodyText"/>
              <w:keepNext w:val="0"/>
              <w:spacing w:after="60" w:line="240" w:lineRule="auto"/>
              <w:ind w:left="2"/>
              <w:jc w:val="center"/>
            </w:pPr>
          </w:p>
        </w:tc>
        <w:tc>
          <w:tcPr>
            <w:tcW w:w="585" w:type="pct"/>
            <w:gridSpan w:val="2"/>
            <w:tcBorders>
              <w:bottom w:val="single" w:sz="6" w:space="0" w:color="808080" w:themeColor="background1" w:themeShade="80"/>
            </w:tcBorders>
            <w:shd w:val="clear" w:color="auto" w:fill="auto"/>
            <w:vAlign w:val="center"/>
          </w:tcPr>
          <w:p w:rsidR="009A7F87" w:rsidRDefault="009A7F87" w:rsidP="009A7F87">
            <w:pPr>
              <w:pStyle w:val="TableBodyText"/>
              <w:spacing w:after="60" w:line="240" w:lineRule="auto"/>
              <w:ind w:left="2"/>
              <w:jc w:val="center"/>
            </w:pPr>
            <w:r>
              <w:t>..</w:t>
            </w:r>
          </w:p>
          <w:p w:rsidR="009A7F87" w:rsidRDefault="009A7F87" w:rsidP="009A7F87">
            <w:pPr>
              <w:pStyle w:val="TableBodyText"/>
              <w:spacing w:after="60" w:line="240" w:lineRule="auto"/>
              <w:ind w:left="2"/>
              <w:jc w:val="center"/>
            </w:pPr>
          </w:p>
          <w:p w:rsidR="009A7F87" w:rsidRDefault="009A7F87" w:rsidP="009A7F87">
            <w:pPr>
              <w:pStyle w:val="TableBodyText"/>
              <w:spacing w:after="60" w:line="240" w:lineRule="auto"/>
              <w:ind w:left="2"/>
              <w:jc w:val="center"/>
            </w:pPr>
          </w:p>
          <w:p w:rsidR="009A7F87" w:rsidRDefault="009A7F87" w:rsidP="009A7F87">
            <w:pPr>
              <w:pStyle w:val="TableBodyText"/>
              <w:spacing w:after="60" w:line="240" w:lineRule="auto"/>
              <w:ind w:left="2"/>
              <w:jc w:val="center"/>
            </w:pPr>
          </w:p>
          <w:p w:rsidR="009A7F87" w:rsidRPr="00770229" w:rsidRDefault="009A7F87" w:rsidP="009A7F87">
            <w:pPr>
              <w:pStyle w:val="TableBodyText"/>
              <w:spacing w:after="60" w:line="240" w:lineRule="auto"/>
              <w:ind w:left="2"/>
              <w:jc w:val="center"/>
            </w:pPr>
          </w:p>
        </w:tc>
        <w:tc>
          <w:tcPr>
            <w:tcW w:w="585" w:type="pct"/>
            <w:tcBorders>
              <w:bottom w:val="single" w:sz="6" w:space="0" w:color="808080" w:themeColor="background1" w:themeShade="80"/>
            </w:tcBorders>
            <w:shd w:val="clear" w:color="auto" w:fill="auto"/>
            <w:vAlign w:val="center"/>
          </w:tcPr>
          <w:p w:rsidR="009A7F87" w:rsidRDefault="009A7F87" w:rsidP="009A7F87">
            <w:pPr>
              <w:pStyle w:val="TableBodyText"/>
              <w:spacing w:after="60" w:line="240" w:lineRule="auto"/>
              <w:ind w:left="2"/>
              <w:jc w:val="center"/>
            </w:pPr>
            <w:r>
              <w:t>2012-13</w:t>
            </w:r>
          </w:p>
          <w:p w:rsidR="009A7F87" w:rsidRDefault="009A7F87" w:rsidP="009A7F87">
            <w:pPr>
              <w:pStyle w:val="TableBodyText"/>
              <w:spacing w:after="60" w:line="240" w:lineRule="auto"/>
              <w:ind w:left="2"/>
              <w:jc w:val="center"/>
            </w:pPr>
          </w:p>
          <w:p w:rsidR="009A7F87" w:rsidRDefault="009A7F87" w:rsidP="009A7F87">
            <w:pPr>
              <w:pStyle w:val="TableBodyText"/>
              <w:spacing w:after="60" w:line="240" w:lineRule="auto"/>
              <w:ind w:left="2"/>
              <w:jc w:val="center"/>
            </w:pPr>
          </w:p>
          <w:p w:rsidR="009A7F87" w:rsidRDefault="009A7F87" w:rsidP="009A7F87">
            <w:pPr>
              <w:pStyle w:val="TableBodyText"/>
              <w:spacing w:after="60" w:line="240" w:lineRule="auto"/>
              <w:ind w:left="2"/>
              <w:jc w:val="center"/>
            </w:pPr>
          </w:p>
          <w:p w:rsidR="009A7F87" w:rsidRPr="00770229" w:rsidRDefault="009A7F87" w:rsidP="009A7F87">
            <w:pPr>
              <w:pStyle w:val="TableBodyText"/>
              <w:spacing w:after="60" w:line="240" w:lineRule="auto"/>
              <w:ind w:left="2"/>
              <w:jc w:val="center"/>
            </w:pPr>
          </w:p>
        </w:tc>
        <w:tc>
          <w:tcPr>
            <w:tcW w:w="583" w:type="pct"/>
            <w:tcBorders>
              <w:bottom w:val="single" w:sz="6" w:space="0" w:color="808080" w:themeColor="background1" w:themeShade="80"/>
            </w:tcBorders>
            <w:vAlign w:val="center"/>
          </w:tcPr>
          <w:p w:rsidR="009A7F87" w:rsidRDefault="009A7F87" w:rsidP="009A7F87">
            <w:pPr>
              <w:pStyle w:val="TableBodyText"/>
              <w:spacing w:after="60" w:line="240" w:lineRule="auto"/>
              <w:ind w:left="2"/>
              <w:jc w:val="center"/>
            </w:pPr>
            <w:r>
              <w:t>2015-16</w:t>
            </w:r>
          </w:p>
          <w:p w:rsidR="009A7F87" w:rsidRDefault="009A7F87" w:rsidP="009A7F87">
            <w:pPr>
              <w:pStyle w:val="TableBodyText"/>
              <w:spacing w:after="60" w:line="240" w:lineRule="auto"/>
              <w:ind w:left="2"/>
              <w:jc w:val="center"/>
            </w:pPr>
          </w:p>
          <w:p w:rsidR="009A7F87" w:rsidRDefault="009A7F87" w:rsidP="009A7F87">
            <w:pPr>
              <w:pStyle w:val="TableBodyText"/>
              <w:spacing w:after="60" w:line="240" w:lineRule="auto"/>
              <w:ind w:left="2"/>
              <w:jc w:val="center"/>
            </w:pPr>
          </w:p>
          <w:p w:rsidR="009A7F87" w:rsidRDefault="009A7F87" w:rsidP="009A7F87">
            <w:pPr>
              <w:pStyle w:val="TableBodyText"/>
              <w:spacing w:after="60" w:line="240" w:lineRule="auto"/>
              <w:ind w:left="2"/>
              <w:jc w:val="center"/>
            </w:pPr>
          </w:p>
          <w:p w:rsidR="009A7F87" w:rsidRPr="00770229" w:rsidRDefault="009A7F87" w:rsidP="009A7F87">
            <w:pPr>
              <w:pStyle w:val="TableBodyText"/>
              <w:spacing w:after="60" w:line="240" w:lineRule="auto"/>
              <w:ind w:left="2"/>
              <w:jc w:val="center"/>
            </w:pPr>
          </w:p>
        </w:tc>
      </w:tr>
      <w:tr w:rsidR="009A7F87" w:rsidRPr="0071369A" w:rsidTr="0044346B">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6314"/>
        <w:gridCol w:w="2475"/>
        <w:gridCol w:w="7"/>
      </w:tblGrid>
      <w:tr w:rsidR="009A7F87" w:rsidRPr="00770229" w:rsidTr="00144C20">
        <w:tc>
          <w:tcPr>
            <w:tcW w:w="5000" w:type="pct"/>
            <w:gridSpan w:val="3"/>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t>0</w:t>
            </w:r>
            <w:r>
              <w:t>622</w:t>
            </w:r>
            <w:r w:rsidRPr="00770229">
              <w:t xml:space="preserve"> Welfare services for the aged</w:t>
            </w:r>
          </w:p>
        </w:tc>
      </w:tr>
      <w:tr w:rsidR="009A7F87" w:rsidRPr="00770229" w:rsidTr="00144C20">
        <w:tblPrEx>
          <w:tblBorders>
            <w:top w:val="none" w:sz="0" w:space="0" w:color="auto"/>
            <w:bottom w:val="none" w:sz="0" w:space="0" w:color="auto"/>
            <w:insideH w:val="none" w:sz="0" w:space="0" w:color="auto"/>
          </w:tblBorders>
          <w:tblCellMar>
            <w:left w:w="108" w:type="dxa"/>
            <w:right w:w="108" w:type="dxa"/>
          </w:tblCellMar>
        </w:tblPrEx>
        <w:tc>
          <w:tcPr>
            <w:tcW w:w="3589" w:type="pct"/>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2"/>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93701F">
        <w:tc>
          <w:tcPr>
            <w:tcW w:w="5000" w:type="pct"/>
            <w:gridSpan w:val="3"/>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93701F">
        <w:tc>
          <w:tcPr>
            <w:tcW w:w="5000" w:type="pct"/>
            <w:gridSpan w:val="3"/>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60" w:after="60"/>
              <w:jc w:val="left"/>
            </w:pPr>
            <w:r w:rsidRPr="00770229">
              <w:t>When determining the need (and related funding) for aged care services, the Australian Government uses age as a proxy for likely demand for services:</w:t>
            </w:r>
          </w:p>
          <w:p w:rsidR="009A7F87" w:rsidRPr="00770229" w:rsidRDefault="009A7F87" w:rsidP="009A7F87">
            <w:pPr>
              <w:pStyle w:val="TableBullet"/>
              <w:keepNext w:val="0"/>
              <w:keepLines w:val="0"/>
              <w:numPr>
                <w:ilvl w:val="0"/>
                <w:numId w:val="24"/>
              </w:numPr>
              <w:spacing w:line="220" w:lineRule="atLeast"/>
            </w:pPr>
            <w:r w:rsidRPr="00770229">
              <w:t xml:space="preserve">Aboriginal and Torres Strait Islander Australians — the population of people aged 50 years or over is used, because Aboriginal and Torres Strait Islander Australians often require aged care support at a younger age </w:t>
            </w:r>
          </w:p>
          <w:p w:rsidR="009A7F87" w:rsidRPr="00770229" w:rsidRDefault="009A7F87" w:rsidP="009A7F87">
            <w:pPr>
              <w:pStyle w:val="TableBullet"/>
              <w:keepNext w:val="0"/>
              <w:keepLines w:val="0"/>
              <w:numPr>
                <w:ilvl w:val="0"/>
                <w:numId w:val="24"/>
              </w:numPr>
              <w:spacing w:line="220" w:lineRule="atLeast"/>
            </w:pPr>
            <w:r w:rsidRPr="00770229">
              <w:t>non</w:t>
            </w:r>
            <w:r w:rsidRPr="00770229">
              <w:noBreakHyphen/>
              <w:t>Indigenous Australians — the population of people aged 70 years or over is used as a proxy for the population cohort that is most likely to need aged care services.</w:t>
            </w:r>
          </w:p>
          <w:p w:rsidR="009A7F87" w:rsidRPr="00770229" w:rsidRDefault="009A7F87" w:rsidP="009A7F87">
            <w:pPr>
              <w:pStyle w:val="TableBodyText"/>
              <w:keepNext w:val="0"/>
              <w:keepLines w:val="0"/>
              <w:spacing w:before="60" w:after="60"/>
              <w:jc w:val="left"/>
            </w:pPr>
            <w:r w:rsidRPr="00770229">
              <w:t>The Australian Government aged care services can be grouped under four broad categories:</w:t>
            </w:r>
          </w:p>
          <w:p w:rsidR="009A7F87" w:rsidRPr="00770229" w:rsidRDefault="009A7F87" w:rsidP="009A7F87">
            <w:pPr>
              <w:pStyle w:val="TableBullet"/>
              <w:numPr>
                <w:ilvl w:val="0"/>
                <w:numId w:val="24"/>
              </w:numPr>
              <w:spacing w:line="220" w:lineRule="atLeast"/>
            </w:pPr>
            <w:r w:rsidRPr="00770229">
              <w:rPr>
                <w:i/>
              </w:rPr>
              <w:t>residential aged care services</w:t>
            </w:r>
            <w:r w:rsidRPr="00770229">
              <w:t xml:space="preserve"> </w:t>
            </w:r>
            <w:r w:rsidRPr="00770229">
              <w:rPr>
                <w:i/>
              </w:rPr>
              <w:t xml:space="preserve"> </w:t>
            </w:r>
            <w:r w:rsidRPr="00770229">
              <w:t>— provide permanent high and low level care, and respite high and low level care. Residential aged care is predominantly financed and regulated by the Australian Government, through subsidies paid directly to approved care providers, which are generally owned and operated by religious, private for</w:t>
            </w:r>
            <w:r w:rsidRPr="00770229">
              <w:noBreakHyphen/>
              <w:t>profit, community based, charity and local government providers. State and territory governments also own and operate some residential aged care facilities</w:t>
            </w:r>
          </w:p>
          <w:p w:rsidR="009A7F87" w:rsidRPr="00770229" w:rsidRDefault="009A7F87" w:rsidP="009A7F87">
            <w:pPr>
              <w:pStyle w:val="TableBullet"/>
              <w:numPr>
                <w:ilvl w:val="0"/>
                <w:numId w:val="24"/>
              </w:numPr>
              <w:spacing w:line="220" w:lineRule="atLeast"/>
            </w:pPr>
            <w:r w:rsidRPr="00770229">
              <w:rPr>
                <w:i/>
              </w:rPr>
              <w:t>community aged care services</w:t>
            </w:r>
            <w:r w:rsidRPr="00770229">
              <w:t xml:space="preserve"> — include home</w:t>
            </w:r>
            <w:r w:rsidRPr="00770229">
              <w:noBreakHyphen/>
              <w:t>based care and assistance to enable elderly frail people to remain in their own homes as an alternative to residential care. Current services available in Australia include:</w:t>
            </w:r>
          </w:p>
          <w:p w:rsidR="009A7F87" w:rsidRPr="00377F9E" w:rsidRDefault="009A7F87" w:rsidP="009A7F87">
            <w:pPr>
              <w:pStyle w:val="TableBullet2"/>
              <w:rPr>
                <w:sz w:val="18"/>
                <w:szCs w:val="18"/>
              </w:rPr>
            </w:pPr>
            <w:r w:rsidRPr="00377F9E">
              <w:rPr>
                <w:sz w:val="18"/>
                <w:szCs w:val="18"/>
              </w:rPr>
              <w:t>Commonwealth Home Support Program (CHSP) — officially replaced  four separate home care and support programs from 1 July 2015 (except in Victoria and WA)</w:t>
            </w:r>
          </w:p>
          <w:p w:rsidR="009A7F87" w:rsidRPr="00377F9E" w:rsidRDefault="009A7F87" w:rsidP="009A7F87">
            <w:pPr>
              <w:pStyle w:val="TableBullet2"/>
              <w:rPr>
                <w:sz w:val="18"/>
                <w:szCs w:val="18"/>
              </w:rPr>
            </w:pPr>
            <w:r w:rsidRPr="00377F9E">
              <w:rPr>
                <w:sz w:val="18"/>
                <w:szCs w:val="18"/>
              </w:rPr>
              <w:t>Home care levels 1</w:t>
            </w:r>
            <w:r w:rsidRPr="00377F9E">
              <w:rPr>
                <w:sz w:val="18"/>
                <w:szCs w:val="18"/>
              </w:rPr>
              <w:softHyphen/>
              <w:t>–4— provided by the Australian Government via subsidies paid directly to approved providers</w:t>
            </w:r>
          </w:p>
          <w:p w:rsidR="009A7F87" w:rsidRPr="00377F9E" w:rsidRDefault="009A7F87" w:rsidP="009A7F87">
            <w:pPr>
              <w:pStyle w:val="TableBullet2"/>
              <w:rPr>
                <w:sz w:val="18"/>
                <w:szCs w:val="18"/>
              </w:rPr>
            </w:pPr>
            <w:r w:rsidRPr="00377F9E">
              <w:rPr>
                <w:sz w:val="18"/>
                <w:szCs w:val="18"/>
              </w:rPr>
              <w:t>flexible aged care services — offers coordinated, managed and individually tailored care to assist frail aged people with complex care needs to stay in their homes as an alternative to high level residential care. This includes services provided under the Extended Aged Care at Home (EACH) and EACH</w:t>
            </w:r>
            <w:r w:rsidRPr="00377F9E">
              <w:rPr>
                <w:sz w:val="18"/>
                <w:szCs w:val="18"/>
              </w:rPr>
              <w:noBreakHyphen/>
              <w:t>Dementia (EACH</w:t>
            </w:r>
            <w:r w:rsidRPr="00377F9E">
              <w:rPr>
                <w:sz w:val="18"/>
                <w:szCs w:val="18"/>
              </w:rPr>
              <w:noBreakHyphen/>
              <w:t>D) programs.</w:t>
            </w:r>
          </w:p>
          <w:p w:rsidR="009A7F87" w:rsidRPr="00770229" w:rsidRDefault="009A7F87" w:rsidP="009A7F87">
            <w:pPr>
              <w:pStyle w:val="TableBullet"/>
              <w:numPr>
                <w:ilvl w:val="0"/>
                <w:numId w:val="24"/>
              </w:numPr>
              <w:spacing w:line="220" w:lineRule="atLeast"/>
            </w:pPr>
            <w:r w:rsidRPr="00770229">
              <w:rPr>
                <w:i/>
              </w:rPr>
              <w:t>mixed delivery setting services</w:t>
            </w:r>
            <w:r w:rsidRPr="00770229">
              <w:t xml:space="preserve"> — targeted flexible care services to address the care needs of recipients other than that provided in mainstream residential and community care. This include</w:t>
            </w:r>
            <w:r>
              <w:t>s</w:t>
            </w:r>
            <w:r w:rsidRPr="00770229">
              <w:t xml:space="preserve"> services provided under the Transition Care Program (TCP), Multi</w:t>
            </w:r>
            <w:r w:rsidRPr="00770229">
              <w:noBreakHyphen/>
              <w:t xml:space="preserve">Purpose Service Program (MPS), Innovative Care Pool (ICP) and National Aboriginal and Torres Strait Islander Flexible Aged Care Program. </w:t>
            </w:r>
          </w:p>
          <w:p w:rsidR="009A7F87" w:rsidRPr="00770229" w:rsidRDefault="009A7F87" w:rsidP="009A7F87">
            <w:pPr>
              <w:pStyle w:val="TableBullet"/>
              <w:numPr>
                <w:ilvl w:val="0"/>
                <w:numId w:val="24"/>
              </w:numPr>
              <w:spacing w:line="220" w:lineRule="atLeast"/>
            </w:pPr>
            <w:r w:rsidRPr="00770229">
              <w:rPr>
                <w:i/>
              </w:rPr>
              <w:t xml:space="preserve">support services for the aged — </w:t>
            </w:r>
            <w:r w:rsidRPr="00770229">
              <w:t>programs that promote the health and participation of older Australians in the community, and programs that support and regulate the aged care industry.</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93701F">
        <w:tc>
          <w:tcPr>
            <w:tcW w:w="5000" w:type="pct"/>
            <w:gridSpan w:val="3"/>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93701F">
        <w:tc>
          <w:tcPr>
            <w:tcW w:w="5000" w:type="pct"/>
            <w:gridSpan w:val="3"/>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jc w:val="left"/>
            </w:pPr>
            <w:r w:rsidRPr="00770229">
              <w:t xml:space="preserve">The cost driver for support services for the aged is the size of the aged population requiring support. </w:t>
            </w:r>
          </w:p>
          <w:p w:rsidR="009A7F87" w:rsidRPr="00770229" w:rsidRDefault="009A7F87" w:rsidP="009A7F87">
            <w:pPr>
              <w:pStyle w:val="TableBodyText"/>
              <w:keepNext w:val="0"/>
              <w:jc w:val="left"/>
            </w:pPr>
            <w:r w:rsidRPr="00770229">
              <w:t xml:space="preserve">The costs of all other welfare services for the aged are driven by the same factors. These are: the number of people receiving </w:t>
            </w:r>
            <w:r w:rsidRPr="00770229">
              <w:rPr>
                <w:szCs w:val="26"/>
              </w:rPr>
              <w:t>the respective service; the service mix provided to each recipient (that is, the specific level of each service component that makes up the total service package); and the</w:t>
            </w:r>
            <w:r w:rsidRPr="00770229">
              <w:t xml:space="preserve"> average cost to government for these services. Average costs are determined by:</w:t>
            </w:r>
          </w:p>
          <w:p w:rsidR="009A7F87" w:rsidRPr="00770229" w:rsidRDefault="009A7F87" w:rsidP="009A7F87">
            <w:pPr>
              <w:pStyle w:val="TableBullet"/>
              <w:keepNext w:val="0"/>
              <w:numPr>
                <w:ilvl w:val="0"/>
                <w:numId w:val="24"/>
              </w:numPr>
              <w:spacing w:line="220" w:lineRule="atLeast"/>
            </w:pPr>
            <w:r w:rsidRPr="00770229">
              <w:t>the level of care required/provided</w:t>
            </w:r>
          </w:p>
          <w:p w:rsidR="009A7F87" w:rsidRPr="00770229" w:rsidRDefault="009A7F87" w:rsidP="009A7F87">
            <w:pPr>
              <w:pStyle w:val="TableBullet"/>
              <w:keepNext w:val="0"/>
              <w:numPr>
                <w:ilvl w:val="0"/>
                <w:numId w:val="24"/>
              </w:numPr>
              <w:spacing w:line="220" w:lineRule="atLeast"/>
              <w:rPr>
                <w:rStyle w:val="Emphasis"/>
                <w:b/>
                <w:bCs/>
              </w:rPr>
            </w:pPr>
            <w:r w:rsidRPr="00770229">
              <w:rPr>
                <w:rStyle w:val="Emphasis"/>
                <w:rFonts w:cs="Arial"/>
              </w:rPr>
              <w:t>the provision of culturally</w:t>
            </w:r>
            <w:r w:rsidRPr="00770229">
              <w:rPr>
                <w:rFonts w:cs="Arial"/>
                <w:b/>
              </w:rPr>
              <w:t xml:space="preserve"> </w:t>
            </w:r>
            <w:r w:rsidRPr="00770229">
              <w:rPr>
                <w:rFonts w:cs="Arial"/>
              </w:rPr>
              <w:t>appropriate</w:t>
            </w:r>
            <w:r w:rsidRPr="00770229">
              <w:rPr>
                <w:rFonts w:cs="Arial"/>
                <w:b/>
              </w:rPr>
              <w:t xml:space="preserve"> </w:t>
            </w:r>
            <w:r w:rsidRPr="00770229">
              <w:rPr>
                <w:rStyle w:val="Emphasis"/>
                <w:rFonts w:cs="Arial"/>
              </w:rPr>
              <w:t>care</w:t>
            </w:r>
          </w:p>
          <w:p w:rsidR="009A7F87" w:rsidRPr="00770229" w:rsidRDefault="009A7F87" w:rsidP="009A7F87">
            <w:pPr>
              <w:pStyle w:val="TableBullet"/>
              <w:keepNext w:val="0"/>
              <w:numPr>
                <w:ilvl w:val="0"/>
                <w:numId w:val="24"/>
              </w:numPr>
              <w:spacing w:line="220" w:lineRule="atLeast"/>
            </w:pPr>
            <w:r w:rsidRPr="00770229">
              <w:t>the capacity of each recipient to pay for their own care</w:t>
            </w:r>
          </w:p>
          <w:p w:rsidR="009A7F87" w:rsidRPr="00770229" w:rsidRDefault="009A7F87" w:rsidP="009A7F87">
            <w:pPr>
              <w:pStyle w:val="TableBodyText"/>
              <w:keepNext w:val="0"/>
              <w:keepLines w:val="0"/>
              <w:spacing w:before="80" w:after="80"/>
              <w:jc w:val="left"/>
              <w:rPr>
                <w:szCs w:val="26"/>
              </w:rPr>
            </w:pPr>
            <w:r w:rsidRPr="00770229">
              <w:t>the geographic and physical location of services.</w:t>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2"/>
            <w:tcBorders>
              <w:top w:val="nil"/>
              <w:left w:val="nil"/>
              <w:bottom w:val="nil"/>
              <w:right w:val="nil"/>
            </w:tcBorders>
            <w:shd w:val="clear" w:color="auto" w:fill="auto"/>
          </w:tcPr>
          <w:p w:rsidR="009A7F87" w:rsidRPr="00EC22C8" w:rsidRDefault="009A7F87" w:rsidP="009A7F87">
            <w:pPr>
              <w:pStyle w:val="Note"/>
              <w:jc w:val="right"/>
            </w:pPr>
            <w:r>
              <w:t>(continued next page)</w:t>
            </w:r>
          </w:p>
        </w:tc>
      </w:tr>
      <w:tr w:rsidR="009A7F87" w:rsidRPr="0071369A" w:rsidTr="009A7F87">
        <w:tblPrEx>
          <w:tblBorders>
            <w:top w:val="none" w:sz="0" w:space="0" w:color="auto"/>
            <w:bottom w:val="none" w:sz="0" w:space="0" w:color="auto"/>
            <w:insideH w:val="none" w:sz="0" w:space="0" w:color="auto"/>
          </w:tblBorders>
        </w:tblPrEx>
        <w:tc>
          <w:tcPr>
            <w:tcW w:w="5000" w:type="pct"/>
            <w:gridSpan w:val="3"/>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1029"/>
        <w:gridCol w:w="1029"/>
        <w:gridCol w:w="1026"/>
      </w:tblGrid>
      <w:tr w:rsidR="009A7F87" w:rsidRPr="00770229" w:rsidTr="00144C20">
        <w:tc>
          <w:tcPr>
            <w:tcW w:w="5000" w:type="pct"/>
            <w:gridSpan w:val="6"/>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D86D0C" w:rsidRDefault="009A7F87" w:rsidP="009A7F87">
            <w:pPr>
              <w:pStyle w:val="Heading3"/>
              <w:rPr>
                <w:sz w:val="18"/>
                <w:szCs w:val="18"/>
              </w:rPr>
            </w:pPr>
            <w:r>
              <w:br w:type="page"/>
            </w:r>
            <w:r>
              <w:br w:type="page"/>
            </w:r>
            <w:r>
              <w:br w:type="page"/>
            </w:r>
            <w:r>
              <w:br w:type="page"/>
            </w:r>
            <w:r w:rsidRPr="00D86D0C">
              <w:rPr>
                <w:sz w:val="18"/>
                <w:szCs w:val="18"/>
              </w:rPr>
              <w:t>(continued)</w:t>
            </w:r>
          </w:p>
        </w:tc>
      </w:tr>
      <w:tr w:rsidR="009A7F87" w:rsidRPr="00770229" w:rsidTr="00144C20">
        <w:tblPrEx>
          <w:tblBorders>
            <w:top w:val="none" w:sz="0" w:space="0" w:color="auto"/>
            <w:bottom w:val="none" w:sz="0" w:space="0" w:color="auto"/>
            <w:insideH w:val="none" w:sz="0" w:space="0" w:color="auto"/>
          </w:tblBorders>
        </w:tblPrEx>
        <w:tc>
          <w:tcPr>
            <w:tcW w:w="5000" w:type="pct"/>
            <w:gridSpan w:val="6"/>
            <w:tcBorders>
              <w:top w:val="single" w:sz="12"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D86D0C"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D86D0C"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ColumnHeading"/>
              <w:keepNext w:val="0"/>
              <w:ind w:left="180"/>
              <w:jc w:val="left"/>
            </w:pPr>
          </w:p>
        </w:tc>
        <w:tc>
          <w:tcPr>
            <w:tcW w:w="2337" w:type="pct"/>
            <w:gridSpan w:val="4"/>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ColumnHeading"/>
              <w:keepNext w:val="0"/>
              <w:ind w:left="180"/>
              <w:jc w:val="center"/>
            </w:pPr>
            <w:r w:rsidRPr="00D86D0C">
              <w:t>Data Years</w:t>
            </w:r>
          </w:p>
        </w:tc>
      </w:tr>
      <w:tr w:rsidR="009A7F87" w:rsidRPr="00D86D0C"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D86D0C" w:rsidRDefault="009A7F87" w:rsidP="009A7F87">
            <w:pPr>
              <w:pStyle w:val="TableBodyText"/>
              <w:keepNext w:val="0"/>
              <w:spacing w:before="60" w:after="60"/>
              <w:ind w:left="0"/>
              <w:jc w:val="both"/>
              <w:rPr>
                <w:i/>
              </w:rPr>
            </w:pPr>
            <w:r w:rsidRPr="00D86D0C">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180"/>
              <w:jc w:val="left"/>
              <w:rPr>
                <w:i/>
              </w:rPr>
            </w:pPr>
            <w:r w:rsidRPr="00D86D0C">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2"/>
              <w:jc w:val="center"/>
              <w:rPr>
                <w:i/>
              </w:rPr>
            </w:pPr>
            <w:r w:rsidRPr="00D86D0C">
              <w:rPr>
                <w:i/>
              </w:rPr>
              <w:t>2008</w:t>
            </w:r>
            <w:r w:rsidRPr="00D86D0C">
              <w:rPr>
                <w:i/>
              </w:rPr>
              <w:noBreakHyphen/>
              <w:t>09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2"/>
              <w:jc w:val="center"/>
              <w:rPr>
                <w:i/>
              </w:rPr>
            </w:pPr>
            <w:r w:rsidRPr="00D86D0C">
              <w:rPr>
                <w:i/>
              </w:rPr>
              <w:t>2010</w:t>
            </w:r>
            <w:r w:rsidRPr="00D86D0C">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2"/>
              <w:jc w:val="center"/>
              <w:rPr>
                <w:i/>
              </w:rPr>
            </w:pPr>
            <w:r w:rsidRPr="00D86D0C">
              <w:rPr>
                <w:i/>
              </w:rPr>
              <w:t>2012</w:t>
            </w:r>
            <w:r w:rsidRPr="00D86D0C">
              <w:rPr>
                <w:i/>
              </w:rPr>
              <w:noBreakHyphen/>
              <w:t>13 Estimates</w:t>
            </w:r>
          </w:p>
        </w:tc>
        <w:tc>
          <w:tcPr>
            <w:tcW w:w="583" w:type="pct"/>
            <w:tcBorders>
              <w:top w:val="single" w:sz="6" w:space="0" w:color="808080" w:themeColor="background1" w:themeShade="80"/>
              <w:bottom w:val="single" w:sz="6" w:space="0" w:color="808080" w:themeColor="background1" w:themeShade="80"/>
            </w:tcBorders>
          </w:tcPr>
          <w:p w:rsidR="009A7F87" w:rsidRPr="00D86D0C" w:rsidRDefault="009A7F87" w:rsidP="009A7F87">
            <w:pPr>
              <w:pStyle w:val="TableBodyText"/>
              <w:keepNext w:val="0"/>
              <w:spacing w:before="60" w:after="60"/>
              <w:ind w:left="2"/>
              <w:jc w:val="center"/>
              <w:rPr>
                <w:i/>
              </w:rPr>
            </w:pPr>
            <w:r w:rsidRPr="00D86D0C">
              <w:rPr>
                <w:i/>
              </w:rPr>
              <w:t>2015</w:t>
            </w:r>
            <w:r w:rsidRPr="00D86D0C">
              <w:rPr>
                <w:i/>
              </w:rPr>
              <w:noBreakHyphen/>
              <w:t>16 Estimates</w:t>
            </w:r>
          </w:p>
        </w:tc>
      </w:tr>
      <w:tr w:rsidR="009A7F87" w:rsidRPr="00770229"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spacing w:before="60" w:after="60"/>
              <w:jc w:val="left"/>
            </w:pPr>
            <w:r w:rsidRPr="00770229">
              <w:t>Resident aged population</w:t>
            </w:r>
            <w:r w:rsidRPr="00770229">
              <w:br/>
              <w:t>(Aboriginal and Torres Strait Islander Australians aged 50 years or over and non</w:t>
            </w:r>
            <w:r w:rsidRPr="00770229">
              <w:noBreakHyphen/>
              <w:t>Indigenous Australians aged 70 years or over)</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1"/>
              <w:jc w:val="left"/>
            </w:pPr>
            <w:r w:rsidRPr="00770229">
              <w:t xml:space="preserve">ABS Estimates and Projections, Indigenous Australians, </w:t>
            </w:r>
            <w:r>
              <w:t>2001</w:t>
            </w:r>
            <w:r w:rsidRPr="00770229">
              <w:t xml:space="preserve"> to 2021 (cat. no. 3238.0); ABS Australian Demographic Statistics (cat. no. 3101.0)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0"/>
              <w:jc w:val="center"/>
            </w:pPr>
            <w:r>
              <w:t>June 2009</w:t>
            </w: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Pr="00770229" w:rsidRDefault="009A7F87" w:rsidP="009A7F87">
            <w:pPr>
              <w:pStyle w:val="TableBodyText"/>
              <w:keepNext w:val="0"/>
              <w:spacing w:before="60" w:after="60"/>
              <w:ind w:left="0"/>
              <w:jc w:val="center"/>
            </w:pPr>
            <w:r>
              <w:br/>
            </w: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tcBorders>
              <w:top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70229" w:rsidTr="009A7F87">
        <w:tblPrEx>
          <w:tblBorders>
            <w:top w:val="none" w:sz="0" w:space="0" w:color="auto"/>
            <w:bottom w:val="none" w:sz="0" w:space="0" w:color="auto"/>
            <w:insideH w:val="none" w:sz="0" w:space="0" w:color="auto"/>
          </w:tblBorders>
        </w:tblPrEx>
        <w:tc>
          <w:tcPr>
            <w:tcW w:w="849" w:type="pct"/>
            <w:shd w:val="clear" w:color="auto" w:fill="auto"/>
            <w:tcMar>
              <w:top w:w="57" w:type="dxa"/>
              <w:left w:w="113" w:type="dxa"/>
            </w:tcMar>
          </w:tcPr>
          <w:p w:rsidR="009A7F87" w:rsidRPr="00770229" w:rsidRDefault="009A7F87" w:rsidP="009A7F87">
            <w:pPr>
              <w:pStyle w:val="TableBodyText"/>
              <w:spacing w:before="60" w:after="60"/>
              <w:jc w:val="left"/>
            </w:pPr>
            <w:r w:rsidRPr="00770229">
              <w:t>People receiving permanent and respite residential aged care services</w:t>
            </w:r>
          </w:p>
        </w:tc>
        <w:tc>
          <w:tcPr>
            <w:tcW w:w="1814" w:type="pct"/>
            <w:shd w:val="clear" w:color="auto" w:fill="auto"/>
          </w:tcPr>
          <w:p w:rsidR="009A7F87" w:rsidRPr="00770229" w:rsidRDefault="009A7F87" w:rsidP="009A7F87">
            <w:pPr>
              <w:pStyle w:val="TableColumnHeading"/>
              <w:ind w:left="180"/>
              <w:jc w:val="left"/>
              <w:rPr>
                <w:i w:val="0"/>
              </w:rPr>
            </w:pPr>
            <w:r w:rsidRPr="00770229">
              <w:rPr>
                <w:i w:val="0"/>
              </w:rPr>
              <w:t>AIHW</w:t>
            </w:r>
            <w:r w:rsidRPr="00770229">
              <w:t xml:space="preserve"> Residential Aged Care in Australia 2009</w:t>
            </w:r>
            <w:r>
              <w:noBreakHyphen/>
            </w:r>
            <w:r w:rsidRPr="00770229">
              <w:t xml:space="preserve">10 </w:t>
            </w:r>
            <w:r w:rsidRPr="00770229">
              <w:rPr>
                <w:i w:val="0"/>
              </w:rPr>
              <w:t>(Cat. no. AGE 66)</w:t>
            </w:r>
          </w:p>
          <w:p w:rsidR="009A7F87" w:rsidRDefault="009A7F87" w:rsidP="009A7F87">
            <w:pPr>
              <w:pStyle w:val="TableColumnHeading"/>
              <w:ind w:left="180"/>
              <w:jc w:val="left"/>
              <w:rPr>
                <w:i w:val="0"/>
              </w:rPr>
            </w:pPr>
            <w:r w:rsidRPr="00770229">
              <w:rPr>
                <w:i w:val="0"/>
              </w:rPr>
              <w:t>Australian Government administrative data for aged care (unpublished) (for data years 2010</w:t>
            </w:r>
            <w:r w:rsidRPr="00770229">
              <w:rPr>
                <w:i w:val="0"/>
              </w:rPr>
              <w:noBreakHyphen/>
              <w:t>11</w:t>
            </w:r>
            <w:r>
              <w:rPr>
                <w:i w:val="0"/>
              </w:rPr>
              <w:t xml:space="preserve"> and</w:t>
            </w:r>
            <w:r w:rsidRPr="00770229">
              <w:rPr>
                <w:i w:val="0"/>
              </w:rPr>
              <w:t xml:space="preserve"> 2012</w:t>
            </w:r>
            <w:r>
              <w:rPr>
                <w:i w:val="0"/>
              </w:rPr>
              <w:noBreakHyphen/>
            </w:r>
            <w:r w:rsidRPr="00770229">
              <w:rPr>
                <w:i w:val="0"/>
              </w:rPr>
              <w:t xml:space="preserve">13) </w:t>
            </w:r>
          </w:p>
          <w:p w:rsidR="009A7F87" w:rsidRPr="00770229" w:rsidRDefault="009A7F87" w:rsidP="009A7F87">
            <w:pPr>
              <w:pStyle w:val="TableBodyText"/>
              <w:keepNext w:val="0"/>
              <w:spacing w:before="60" w:after="60"/>
              <w:ind w:left="181"/>
              <w:jc w:val="left"/>
            </w:pPr>
            <w:r w:rsidRPr="0049755A">
              <w:t>SCRGSP (2017) Report on Government Services 2017</w:t>
            </w:r>
            <w:r>
              <w:t xml:space="preserve"> </w:t>
            </w:r>
            <w:r w:rsidRPr="0020030F">
              <w:t>Department of Health (unpublished); Victorian and WA governments (unpublished)</w:t>
            </w:r>
            <w:r>
              <w:t xml:space="preserve"> </w:t>
            </w:r>
            <w:r>
              <w:br/>
              <w:t>(for 2015-16)</w:t>
            </w:r>
          </w:p>
        </w:tc>
        <w:tc>
          <w:tcPr>
            <w:tcW w:w="584" w:type="pct"/>
            <w:shd w:val="clear" w:color="auto" w:fill="auto"/>
            <w:vAlign w:val="center"/>
          </w:tcPr>
          <w:p w:rsidR="009A7F87" w:rsidRDefault="009A7F87" w:rsidP="009A7F87">
            <w:pPr>
              <w:pStyle w:val="TableBodyText"/>
              <w:keepNext w:val="0"/>
              <w:spacing w:before="60" w:after="60"/>
              <w:ind w:left="0"/>
              <w:jc w:val="center"/>
            </w:pPr>
            <w:r>
              <w:t>30 June 2009</w:t>
            </w: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Pr="00770229" w:rsidRDefault="009A7F87" w:rsidP="009A7F87">
            <w:pPr>
              <w:pStyle w:val="TableBodyText"/>
              <w:keepNext w:val="0"/>
              <w:spacing w:before="60" w:after="60"/>
              <w:ind w:left="0"/>
              <w:jc w:val="center"/>
            </w:pPr>
          </w:p>
        </w:tc>
        <w:tc>
          <w:tcPr>
            <w:tcW w:w="585" w:type="pct"/>
            <w:shd w:val="clear" w:color="auto" w:fill="auto"/>
            <w:vAlign w:val="center"/>
          </w:tcPr>
          <w:p w:rsidR="009A7F87" w:rsidRDefault="009A7F87" w:rsidP="009A7F87">
            <w:pPr>
              <w:pStyle w:val="TableBodyText"/>
              <w:spacing w:before="60" w:after="60"/>
              <w:ind w:left="2"/>
              <w:jc w:val="center"/>
            </w:pPr>
            <w:r>
              <w:t>30 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shd w:val="clear" w:color="auto" w:fill="auto"/>
            <w:vAlign w:val="center"/>
          </w:tcPr>
          <w:p w:rsidR="009A7F87" w:rsidRDefault="009A7F87" w:rsidP="009A7F87">
            <w:pPr>
              <w:pStyle w:val="TableBodyText"/>
              <w:spacing w:before="60" w:after="60"/>
              <w:ind w:left="2"/>
              <w:jc w:val="center"/>
            </w:pPr>
            <w:r>
              <w:t>30 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vAlign w:val="center"/>
          </w:tcPr>
          <w:p w:rsidR="009A7F87" w:rsidRDefault="009A7F87" w:rsidP="009A7F87">
            <w:pPr>
              <w:pStyle w:val="TableBodyText"/>
              <w:spacing w:before="60" w:after="60"/>
              <w:ind w:left="2"/>
              <w:jc w:val="center"/>
            </w:pPr>
            <w:r>
              <w:t>30 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44346B">
        <w:tblPrEx>
          <w:tblBorders>
            <w:top w:val="none" w:sz="0" w:space="0" w:color="auto"/>
            <w:bottom w:val="none" w:sz="0" w:space="0" w:color="auto"/>
            <w:insideH w:val="none" w:sz="0" w:space="0" w:color="auto"/>
          </w:tblBorders>
        </w:tblPrEx>
        <w:tc>
          <w:tcPr>
            <w:tcW w:w="849" w:type="pct"/>
            <w:shd w:val="clear" w:color="auto" w:fill="auto"/>
            <w:tcMar>
              <w:top w:w="57" w:type="dxa"/>
              <w:left w:w="113" w:type="dxa"/>
            </w:tcMar>
          </w:tcPr>
          <w:p w:rsidR="009A7F87" w:rsidRPr="00770229" w:rsidRDefault="009A7F87" w:rsidP="009A7F87">
            <w:pPr>
              <w:pStyle w:val="TableBodyText"/>
              <w:spacing w:before="60" w:after="60"/>
              <w:jc w:val="left"/>
            </w:pPr>
            <w:r w:rsidRPr="00770229">
              <w:t>People receiving home and community care services</w:t>
            </w:r>
          </w:p>
        </w:tc>
        <w:tc>
          <w:tcPr>
            <w:tcW w:w="1814" w:type="pct"/>
            <w:shd w:val="clear" w:color="auto" w:fill="auto"/>
          </w:tcPr>
          <w:p w:rsidR="009A7F87" w:rsidRPr="00770229" w:rsidRDefault="009A7F87" w:rsidP="009A7F87">
            <w:pPr>
              <w:pStyle w:val="TableBodyText"/>
              <w:keepNext w:val="0"/>
              <w:spacing w:before="60" w:after="60"/>
              <w:ind w:left="181"/>
              <w:jc w:val="left"/>
            </w:pPr>
            <w:proofErr w:type="spellStart"/>
            <w:r w:rsidRPr="00770229">
              <w:t>DoHA</w:t>
            </w:r>
            <w:proofErr w:type="spellEnd"/>
            <w:r w:rsidRPr="00770229">
              <w:t xml:space="preserve"> Home and Community Care Minimum Data Set (unpublished)</w:t>
            </w:r>
          </w:p>
        </w:tc>
        <w:tc>
          <w:tcPr>
            <w:tcW w:w="584" w:type="pct"/>
            <w:shd w:val="clear" w:color="auto" w:fill="auto"/>
            <w:vAlign w:val="center"/>
          </w:tcPr>
          <w:p w:rsidR="009A7F87" w:rsidRDefault="009A7F87" w:rsidP="009A7F87">
            <w:pPr>
              <w:pStyle w:val="TableBodyText"/>
              <w:keepNext w:val="0"/>
              <w:spacing w:before="60" w:after="60"/>
              <w:ind w:left="0"/>
              <w:jc w:val="center"/>
            </w:pPr>
            <w:r>
              <w:t>2008-09</w:t>
            </w:r>
          </w:p>
          <w:p w:rsidR="009A7F87" w:rsidRDefault="009A7F87" w:rsidP="009A7F87">
            <w:pPr>
              <w:pStyle w:val="TableBodyText"/>
              <w:keepNext w:val="0"/>
              <w:spacing w:before="60" w:after="60"/>
              <w:ind w:left="0"/>
              <w:jc w:val="center"/>
            </w:pPr>
          </w:p>
          <w:p w:rsidR="009A7F87" w:rsidRPr="00770229" w:rsidRDefault="009A7F87" w:rsidP="009A7F87">
            <w:pPr>
              <w:pStyle w:val="TableBodyText"/>
              <w:keepNext w:val="0"/>
              <w:spacing w:before="60" w:after="60"/>
              <w:ind w:left="0"/>
              <w:jc w:val="center"/>
            </w:pPr>
          </w:p>
        </w:tc>
        <w:tc>
          <w:tcPr>
            <w:tcW w:w="585" w:type="pct"/>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shd w:val="clear" w:color="auto" w:fill="auto"/>
            <w:vAlign w:val="center"/>
          </w:tcPr>
          <w:p w:rsidR="009A7F87" w:rsidRPr="002A600F" w:rsidRDefault="009A7F87" w:rsidP="009A7F87">
            <w:pPr>
              <w:pStyle w:val="TableBodyText"/>
              <w:spacing w:before="60" w:after="60"/>
              <w:ind w:left="2"/>
              <w:jc w:val="center"/>
            </w:pPr>
            <w:r w:rsidRPr="002A600F">
              <w:t>2012-13</w:t>
            </w:r>
          </w:p>
          <w:p w:rsidR="009A7F87" w:rsidRPr="002A600F" w:rsidRDefault="009A7F87" w:rsidP="009A7F87">
            <w:pPr>
              <w:pStyle w:val="TableBodyText"/>
              <w:spacing w:before="60" w:after="60"/>
              <w:ind w:left="2"/>
              <w:jc w:val="center"/>
            </w:pPr>
          </w:p>
          <w:p w:rsidR="009A7F87" w:rsidRPr="002A600F" w:rsidRDefault="009A7F87" w:rsidP="009A7F87">
            <w:pPr>
              <w:pStyle w:val="TableBodyText"/>
              <w:spacing w:before="60" w:after="60"/>
              <w:ind w:left="2"/>
              <w:jc w:val="center"/>
            </w:pPr>
          </w:p>
        </w:tc>
        <w:tc>
          <w:tcPr>
            <w:tcW w:w="583" w:type="pct"/>
            <w:vAlign w:val="center"/>
          </w:tcPr>
          <w:p w:rsidR="009A7F87" w:rsidRPr="002A600F" w:rsidRDefault="009A7F87" w:rsidP="009A7F87">
            <w:pPr>
              <w:pStyle w:val="TableBodyText"/>
              <w:spacing w:before="60" w:after="60"/>
              <w:ind w:left="2"/>
              <w:jc w:val="center"/>
            </w:pPr>
            <w:r w:rsidRPr="002A600F">
              <w:t>2012-13</w:t>
            </w:r>
          </w:p>
          <w:p w:rsidR="009A7F87" w:rsidRPr="002A600F" w:rsidRDefault="009A7F87" w:rsidP="009A7F87">
            <w:pPr>
              <w:pStyle w:val="TableBodyText"/>
              <w:spacing w:before="60" w:after="60"/>
              <w:ind w:left="2"/>
              <w:jc w:val="center"/>
            </w:pPr>
          </w:p>
          <w:p w:rsidR="009A7F87" w:rsidRPr="002A600F" w:rsidRDefault="009A7F87" w:rsidP="009A7F87">
            <w:pPr>
              <w:pStyle w:val="TableBodyText"/>
              <w:spacing w:before="60" w:after="60"/>
              <w:ind w:left="2"/>
              <w:jc w:val="center"/>
            </w:pP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spacing w:before="60" w:after="60"/>
              <w:jc w:val="left"/>
            </w:pPr>
            <w:r w:rsidRPr="00770229">
              <w:t>People receiving services provided under Community Aged Care Packages</w:t>
            </w:r>
          </w:p>
        </w:tc>
        <w:tc>
          <w:tcPr>
            <w:tcW w:w="1814" w:type="pct"/>
            <w:tcBorders>
              <w:bottom w:val="single" w:sz="6" w:space="0" w:color="808080" w:themeColor="background1" w:themeShade="80"/>
            </w:tcBorders>
            <w:shd w:val="clear" w:color="auto" w:fill="auto"/>
          </w:tcPr>
          <w:p w:rsidR="009A7F87" w:rsidRPr="00770229" w:rsidRDefault="009A7F87" w:rsidP="009A7F87">
            <w:pPr>
              <w:pStyle w:val="TableColumnHeading"/>
              <w:ind w:left="180"/>
              <w:jc w:val="left"/>
              <w:rPr>
                <w:i w:val="0"/>
              </w:rPr>
            </w:pPr>
            <w:r w:rsidRPr="00770229">
              <w:rPr>
                <w:i w:val="0"/>
              </w:rPr>
              <w:t>AIHW</w:t>
            </w:r>
            <w:r w:rsidRPr="00770229">
              <w:t xml:space="preserve"> Aged Care Packages in the Community 2008</w:t>
            </w:r>
            <w:r>
              <w:noBreakHyphen/>
            </w:r>
            <w:r w:rsidRPr="00770229">
              <w:t xml:space="preserve">09 </w:t>
            </w:r>
            <w:r w:rsidRPr="00770229">
              <w:rPr>
                <w:i w:val="0"/>
              </w:rPr>
              <w:t>(Cat. no. AGE 65)</w:t>
            </w:r>
          </w:p>
          <w:p w:rsidR="009A7F87" w:rsidRDefault="009A7F87" w:rsidP="009A7F87">
            <w:pPr>
              <w:pStyle w:val="TableColumnHeading"/>
              <w:ind w:left="180"/>
              <w:jc w:val="left"/>
              <w:rPr>
                <w:i w:val="0"/>
              </w:rPr>
            </w:pPr>
            <w:r w:rsidRPr="00770229">
              <w:rPr>
                <w:i w:val="0"/>
              </w:rPr>
              <w:t>Australian Government administrative data for aged care (unpublished) (for data years 2010</w:t>
            </w:r>
            <w:r w:rsidRPr="00770229">
              <w:rPr>
                <w:i w:val="0"/>
              </w:rPr>
              <w:noBreakHyphen/>
              <w:t>11</w:t>
            </w:r>
            <w:r>
              <w:rPr>
                <w:i w:val="0"/>
              </w:rPr>
              <w:t xml:space="preserve"> and</w:t>
            </w:r>
            <w:r w:rsidRPr="00770229">
              <w:rPr>
                <w:i w:val="0"/>
              </w:rPr>
              <w:t xml:space="preserve"> 2012</w:t>
            </w:r>
            <w:r>
              <w:rPr>
                <w:i w:val="0"/>
              </w:rPr>
              <w:noBreakHyphen/>
            </w:r>
            <w:r w:rsidRPr="00770229">
              <w:rPr>
                <w:i w:val="0"/>
              </w:rPr>
              <w:t>13)</w:t>
            </w:r>
          </w:p>
          <w:p w:rsidR="009A7F87" w:rsidRPr="00770229" w:rsidRDefault="009A7F87" w:rsidP="009A7F87">
            <w:pPr>
              <w:pStyle w:val="TableBodyText"/>
              <w:keepNext w:val="0"/>
              <w:spacing w:before="60" w:after="60"/>
              <w:ind w:left="181"/>
              <w:jc w:val="left"/>
            </w:pPr>
            <w:r w:rsidRPr="0049755A">
              <w:t>SCRGSP (2017) Report on Government Services 2017</w:t>
            </w:r>
            <w:r>
              <w:t xml:space="preserve"> </w:t>
            </w:r>
            <w:r w:rsidRPr="00332A68">
              <w:t xml:space="preserve">Department of Health (unpublished); Victorian and WA governments </w:t>
            </w:r>
            <w:r>
              <w:t>(for 2015</w:t>
            </w:r>
            <w:r>
              <w:noBreakHyphen/>
            </w:r>
            <w:r w:rsidRPr="00332A68">
              <w:t>16) (unpublished).</w:t>
            </w:r>
          </w:p>
        </w:tc>
        <w:tc>
          <w:tcPr>
            <w:tcW w:w="584"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0"/>
              <w:jc w:val="center"/>
            </w:pPr>
            <w:r>
              <w:t>30 June 2009</w:t>
            </w: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Pr="00770229" w:rsidRDefault="009A7F87" w:rsidP="009A7F87">
            <w:pPr>
              <w:pStyle w:val="TableBodyText"/>
              <w:keepNext w:val="0"/>
              <w:spacing w:before="60" w:after="60"/>
              <w:ind w:left="0"/>
              <w:jc w:val="center"/>
            </w:pPr>
          </w:p>
        </w:tc>
        <w:tc>
          <w:tcPr>
            <w:tcW w:w="585" w:type="pct"/>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30 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30 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tcBorders>
              <w:bottom w:val="single" w:sz="6" w:space="0" w:color="808080" w:themeColor="background1" w:themeShade="80"/>
            </w:tcBorders>
            <w:vAlign w:val="center"/>
          </w:tcPr>
          <w:p w:rsidR="009A7F87" w:rsidRDefault="009A7F87" w:rsidP="009A7F87">
            <w:pPr>
              <w:pStyle w:val="TableBodyText"/>
              <w:spacing w:before="60" w:after="60"/>
              <w:ind w:left="2"/>
              <w:jc w:val="center"/>
            </w:pPr>
            <w:r>
              <w:t>30 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44346B">
        <w:tblPrEx>
          <w:tblBorders>
            <w:top w:val="none" w:sz="0" w:space="0" w:color="auto"/>
            <w:bottom w:val="none" w:sz="0" w:space="0" w:color="auto"/>
            <w:insideH w:val="none" w:sz="0" w:space="0" w:color="auto"/>
          </w:tblBorders>
        </w:tblPrEx>
        <w:tc>
          <w:tcPr>
            <w:tcW w:w="5000" w:type="pct"/>
            <w:gridSpan w:val="6"/>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spacing w:before="60" w:after="60"/>
              <w:ind w:left="2"/>
            </w:pPr>
            <w:r>
              <w:t>(continued next page)</w:t>
            </w:r>
          </w:p>
        </w:tc>
      </w:tr>
      <w:tr w:rsidR="009A7F87" w:rsidRPr="0071369A" w:rsidTr="009A7F87">
        <w:tblPrEx>
          <w:tblBorders>
            <w:top w:val="none" w:sz="0" w:space="0" w:color="auto"/>
            <w:bottom w:val="none" w:sz="0" w:space="0" w:color="auto"/>
            <w:insideH w:val="none" w:sz="0" w:space="0" w:color="auto"/>
          </w:tblBorders>
        </w:tblPrEx>
        <w:tc>
          <w:tcPr>
            <w:tcW w:w="5000" w:type="pct"/>
            <w:gridSpan w:val="6"/>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9A7F87">
      <w:pPr>
        <w:pStyle w:val="BodyText"/>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1029"/>
        <w:gridCol w:w="1029"/>
        <w:gridCol w:w="1026"/>
      </w:tblGrid>
      <w:tr w:rsidR="009A7F87" w:rsidRPr="00770229" w:rsidTr="00144C20">
        <w:tc>
          <w:tcPr>
            <w:tcW w:w="5000" w:type="pct"/>
            <w:gridSpan w:val="6"/>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D86D0C" w:rsidRDefault="009A7F87" w:rsidP="009A7F87">
            <w:pPr>
              <w:pStyle w:val="Heading3"/>
              <w:rPr>
                <w:sz w:val="18"/>
                <w:szCs w:val="18"/>
              </w:rPr>
            </w:pPr>
            <w:r>
              <w:br w:type="page"/>
            </w:r>
            <w:r>
              <w:br w:type="page"/>
            </w:r>
            <w:r>
              <w:br w:type="page"/>
            </w:r>
            <w:r>
              <w:br w:type="page"/>
            </w:r>
            <w:r>
              <w:br w:type="page"/>
            </w:r>
            <w:r w:rsidRPr="00D86D0C">
              <w:rPr>
                <w:sz w:val="18"/>
                <w:szCs w:val="18"/>
              </w:rPr>
              <w:t>(continued)</w:t>
            </w:r>
          </w:p>
        </w:tc>
      </w:tr>
      <w:tr w:rsidR="009A7F87" w:rsidRPr="00D86D0C" w:rsidTr="00144C20">
        <w:tblPrEx>
          <w:tblBorders>
            <w:top w:val="none" w:sz="0" w:space="0" w:color="auto"/>
            <w:bottom w:val="none" w:sz="0" w:space="0" w:color="auto"/>
            <w:insideH w:val="none" w:sz="0" w:space="0" w:color="auto"/>
          </w:tblBorders>
        </w:tblPrEx>
        <w:tc>
          <w:tcPr>
            <w:tcW w:w="849" w:type="pct"/>
            <w:tcBorders>
              <w:top w:val="single" w:sz="12" w:space="0" w:color="808080" w:themeColor="background1" w:themeShade="80"/>
              <w:bottom w:val="single" w:sz="6" w:space="0" w:color="808080" w:themeColor="background1" w:themeShade="80"/>
            </w:tcBorders>
            <w:shd w:val="clear" w:color="auto" w:fill="auto"/>
            <w:tcMar>
              <w:top w:w="57" w:type="dxa"/>
              <w:left w:w="113" w:type="dxa"/>
            </w:tcMar>
          </w:tcPr>
          <w:p w:rsidR="009A7F87" w:rsidRPr="00D86D0C" w:rsidRDefault="009A7F87" w:rsidP="009A7F87">
            <w:pPr>
              <w:pStyle w:val="TableColumnHeading"/>
              <w:keepNext w:val="0"/>
              <w:jc w:val="left"/>
            </w:pPr>
          </w:p>
        </w:tc>
        <w:tc>
          <w:tcPr>
            <w:tcW w:w="1814" w:type="pct"/>
            <w:tcBorders>
              <w:top w:val="single" w:sz="12"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ColumnHeading"/>
              <w:keepNext w:val="0"/>
              <w:ind w:left="180"/>
              <w:jc w:val="left"/>
            </w:pPr>
          </w:p>
        </w:tc>
        <w:tc>
          <w:tcPr>
            <w:tcW w:w="2337" w:type="pct"/>
            <w:gridSpan w:val="4"/>
            <w:tcBorders>
              <w:top w:val="single" w:sz="12"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ColumnHeading"/>
              <w:keepNext w:val="0"/>
              <w:ind w:left="180"/>
              <w:jc w:val="center"/>
            </w:pPr>
            <w:r w:rsidRPr="00D86D0C">
              <w:t>Data Years</w:t>
            </w:r>
          </w:p>
        </w:tc>
      </w:tr>
      <w:tr w:rsidR="009A7F87" w:rsidRPr="00D86D0C"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D86D0C" w:rsidRDefault="009A7F87" w:rsidP="009A7F87">
            <w:pPr>
              <w:pStyle w:val="TableBodyText"/>
              <w:keepNext w:val="0"/>
              <w:spacing w:before="60" w:after="60"/>
              <w:ind w:left="0"/>
              <w:jc w:val="both"/>
              <w:rPr>
                <w:i/>
              </w:rPr>
            </w:pPr>
            <w:r w:rsidRPr="00D86D0C">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180"/>
              <w:jc w:val="left"/>
              <w:rPr>
                <w:i/>
              </w:rPr>
            </w:pPr>
            <w:r w:rsidRPr="00D86D0C">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2"/>
              <w:jc w:val="center"/>
              <w:rPr>
                <w:i/>
              </w:rPr>
            </w:pPr>
            <w:r w:rsidRPr="00D86D0C">
              <w:rPr>
                <w:i/>
              </w:rPr>
              <w:t>2008</w:t>
            </w:r>
            <w:r w:rsidRPr="00D86D0C">
              <w:rPr>
                <w:i/>
              </w:rPr>
              <w:noBreakHyphen/>
              <w:t>09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2"/>
              <w:jc w:val="center"/>
              <w:rPr>
                <w:i/>
              </w:rPr>
            </w:pPr>
            <w:r w:rsidRPr="00D86D0C">
              <w:rPr>
                <w:i/>
              </w:rPr>
              <w:t>2010</w:t>
            </w:r>
            <w:r w:rsidRPr="00D86D0C">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2"/>
              <w:jc w:val="center"/>
              <w:rPr>
                <w:i/>
              </w:rPr>
            </w:pPr>
            <w:r w:rsidRPr="00D86D0C">
              <w:rPr>
                <w:i/>
              </w:rPr>
              <w:t>2012</w:t>
            </w:r>
            <w:r w:rsidRPr="00D86D0C">
              <w:rPr>
                <w:i/>
              </w:rPr>
              <w:noBreakHyphen/>
              <w:t>13 Estimates</w:t>
            </w:r>
          </w:p>
        </w:tc>
        <w:tc>
          <w:tcPr>
            <w:tcW w:w="583" w:type="pct"/>
            <w:tcBorders>
              <w:top w:val="single" w:sz="6" w:space="0" w:color="808080" w:themeColor="background1" w:themeShade="80"/>
              <w:bottom w:val="single" w:sz="6" w:space="0" w:color="808080" w:themeColor="background1" w:themeShade="80"/>
            </w:tcBorders>
          </w:tcPr>
          <w:p w:rsidR="009A7F87" w:rsidRPr="00D86D0C" w:rsidRDefault="009A7F87" w:rsidP="009A7F87">
            <w:pPr>
              <w:pStyle w:val="TableBodyText"/>
              <w:keepNext w:val="0"/>
              <w:spacing w:before="60" w:after="60"/>
              <w:ind w:left="2"/>
              <w:jc w:val="center"/>
              <w:rPr>
                <w:i/>
              </w:rPr>
            </w:pPr>
            <w:r w:rsidRPr="00D86D0C">
              <w:rPr>
                <w:i/>
              </w:rPr>
              <w:t>2015</w:t>
            </w:r>
            <w:r w:rsidRPr="00D86D0C">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spacing w:before="60" w:after="60"/>
              <w:jc w:val="left"/>
            </w:pPr>
            <w:r w:rsidRPr="00770229">
              <w:t>People receiving services provided under EACH and EACH</w:t>
            </w:r>
            <w:r w:rsidRPr="00770229">
              <w:noBreakHyphen/>
              <w:t>D programs</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ColumnHeading"/>
              <w:ind w:left="180"/>
              <w:jc w:val="left"/>
              <w:rPr>
                <w:i w:val="0"/>
              </w:rPr>
            </w:pPr>
            <w:r w:rsidRPr="00770229">
              <w:rPr>
                <w:i w:val="0"/>
              </w:rPr>
              <w:t>AIHW</w:t>
            </w:r>
            <w:r w:rsidRPr="00770229">
              <w:t xml:space="preserve"> Aged Care Packages in the Community 2008</w:t>
            </w:r>
            <w:r>
              <w:noBreakHyphen/>
            </w:r>
            <w:r w:rsidRPr="00770229">
              <w:t xml:space="preserve">09 </w:t>
            </w:r>
            <w:r w:rsidRPr="00770229">
              <w:rPr>
                <w:i w:val="0"/>
              </w:rPr>
              <w:t>(Cat. no. AGE 65)</w:t>
            </w:r>
          </w:p>
          <w:p w:rsidR="009A7F87" w:rsidRDefault="009A7F87" w:rsidP="009A7F87">
            <w:pPr>
              <w:pStyle w:val="TableColumnHeading"/>
              <w:ind w:left="180"/>
              <w:jc w:val="left"/>
              <w:rPr>
                <w:i w:val="0"/>
              </w:rPr>
            </w:pPr>
            <w:r w:rsidRPr="00770229">
              <w:rPr>
                <w:i w:val="0"/>
              </w:rPr>
              <w:t>Australian Government administrative data for aged care (unpublished) (for data years 2010</w:t>
            </w:r>
            <w:r w:rsidRPr="00770229">
              <w:rPr>
                <w:i w:val="0"/>
              </w:rPr>
              <w:noBreakHyphen/>
              <w:t>11</w:t>
            </w:r>
            <w:r>
              <w:rPr>
                <w:i w:val="0"/>
              </w:rPr>
              <w:t xml:space="preserve"> and</w:t>
            </w:r>
            <w:r w:rsidRPr="00770229">
              <w:rPr>
                <w:i w:val="0"/>
              </w:rPr>
              <w:t xml:space="preserve"> 2012</w:t>
            </w:r>
            <w:r>
              <w:rPr>
                <w:i w:val="0"/>
              </w:rPr>
              <w:noBreakHyphen/>
            </w:r>
            <w:r w:rsidRPr="00770229">
              <w:rPr>
                <w:i w:val="0"/>
              </w:rPr>
              <w:t>13)</w:t>
            </w:r>
          </w:p>
          <w:p w:rsidR="009A7F87" w:rsidRPr="00770229" w:rsidRDefault="009A7F87" w:rsidP="009A7F87">
            <w:pPr>
              <w:pStyle w:val="TableBodyText"/>
              <w:keepNext w:val="0"/>
              <w:spacing w:before="60" w:after="60"/>
              <w:ind w:left="181"/>
              <w:jc w:val="left"/>
            </w:pPr>
            <w:r w:rsidRPr="0049755A">
              <w:t>SCRGSP (2017) Report on Government Services 2017</w:t>
            </w:r>
            <w:r>
              <w:t xml:space="preserve"> </w:t>
            </w:r>
            <w:r w:rsidRPr="00332A68">
              <w:t xml:space="preserve">Department of Health (unpublished); Victorian and WA governments </w:t>
            </w:r>
            <w:r>
              <w:t>(for 2015</w:t>
            </w:r>
            <w:r>
              <w:noBreakHyphen/>
            </w:r>
            <w:r w:rsidRPr="00332A68">
              <w:t>16) (unpublished)</w:t>
            </w:r>
            <w:r>
              <w:t>.</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0"/>
              <w:jc w:val="center"/>
            </w:pPr>
            <w:r>
              <w:t>30 June 2009</w:t>
            </w: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Pr="00770229" w:rsidRDefault="009A7F87" w:rsidP="009A7F87">
            <w:pPr>
              <w:pStyle w:val="TableBodyText"/>
              <w:keepNext w:val="0"/>
              <w:spacing w:before="60" w:after="60"/>
              <w:ind w:left="0"/>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30 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30 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tcBorders>
              <w:top w:val="single" w:sz="6" w:space="0" w:color="808080" w:themeColor="background1" w:themeShade="80"/>
            </w:tcBorders>
            <w:vAlign w:val="center"/>
          </w:tcPr>
          <w:p w:rsidR="009A7F87" w:rsidRDefault="009A7F87" w:rsidP="009A7F87">
            <w:pPr>
              <w:pStyle w:val="TableBodyText"/>
              <w:spacing w:before="60" w:after="60"/>
              <w:ind w:left="2"/>
              <w:jc w:val="center"/>
            </w:pPr>
            <w:r>
              <w:t>30 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spacing w:before="60" w:after="60"/>
              <w:jc w:val="left"/>
            </w:pPr>
            <w:r w:rsidRPr="00770229">
              <w:t>People receiving services provided under the Transition Care Program</w:t>
            </w:r>
          </w:p>
        </w:tc>
        <w:tc>
          <w:tcPr>
            <w:tcW w:w="1814" w:type="pct"/>
            <w:tcBorders>
              <w:bottom w:val="single" w:sz="6" w:space="0" w:color="808080" w:themeColor="background1" w:themeShade="80"/>
            </w:tcBorders>
            <w:shd w:val="clear" w:color="auto" w:fill="auto"/>
          </w:tcPr>
          <w:p w:rsidR="009A7F87" w:rsidRDefault="009A7F87" w:rsidP="009A7F87">
            <w:pPr>
              <w:pStyle w:val="TableColumnHeading"/>
              <w:ind w:left="180"/>
              <w:jc w:val="left"/>
              <w:rPr>
                <w:i w:val="0"/>
              </w:rPr>
            </w:pPr>
            <w:r w:rsidRPr="00770229">
              <w:rPr>
                <w:i w:val="0"/>
              </w:rPr>
              <w:t>Australian Government administrative data for aged care (unpublished)</w:t>
            </w:r>
          </w:p>
          <w:p w:rsidR="009A7F87" w:rsidRPr="00770229" w:rsidRDefault="009A7F87" w:rsidP="009A7F87">
            <w:pPr>
              <w:pStyle w:val="TableBodyText"/>
              <w:keepNext w:val="0"/>
              <w:spacing w:before="60" w:after="60"/>
              <w:ind w:left="181"/>
              <w:jc w:val="left"/>
            </w:pPr>
            <w:r w:rsidRPr="0049755A">
              <w:t>SCRGSP (2017) Report on Government Services 2017</w:t>
            </w:r>
            <w:r>
              <w:t xml:space="preserve"> </w:t>
            </w:r>
            <w:r w:rsidRPr="00332A68">
              <w:t>Department of Health (unpublished); Victorian and WA governments (for 2015</w:t>
            </w:r>
            <w:r>
              <w:noBreakHyphen/>
            </w:r>
            <w:r w:rsidRPr="00332A68">
              <w:t>16) (unpublished).</w:t>
            </w:r>
          </w:p>
        </w:tc>
        <w:tc>
          <w:tcPr>
            <w:tcW w:w="584"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0"/>
              <w:jc w:val="center"/>
            </w:pPr>
            <w:r>
              <w:t>30 June 2009</w:t>
            </w: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Pr="00770229" w:rsidRDefault="009A7F87" w:rsidP="009A7F87">
            <w:pPr>
              <w:pStyle w:val="TableBodyText"/>
              <w:keepNext w:val="0"/>
              <w:spacing w:before="60" w:after="60"/>
              <w:ind w:left="0"/>
              <w:jc w:val="center"/>
            </w:pPr>
            <w:r>
              <w:br/>
            </w:r>
          </w:p>
        </w:tc>
        <w:tc>
          <w:tcPr>
            <w:tcW w:w="585" w:type="pct"/>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30 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30 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tcBorders>
              <w:bottom w:val="single" w:sz="6" w:space="0" w:color="808080" w:themeColor="background1" w:themeShade="80"/>
            </w:tcBorders>
            <w:vAlign w:val="center"/>
          </w:tcPr>
          <w:p w:rsidR="009A7F87" w:rsidRDefault="009A7F87" w:rsidP="009A7F87">
            <w:pPr>
              <w:pStyle w:val="TableBodyText"/>
              <w:spacing w:before="60" w:after="60"/>
              <w:ind w:left="2"/>
              <w:jc w:val="center"/>
            </w:pPr>
            <w:r>
              <w:t>30 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1369A" w:rsidTr="0044346B">
        <w:tblPrEx>
          <w:tblBorders>
            <w:top w:val="none" w:sz="0" w:space="0" w:color="auto"/>
            <w:bottom w:val="none" w:sz="0" w:space="0" w:color="auto"/>
            <w:insideH w:val="none" w:sz="0" w:space="0" w:color="auto"/>
          </w:tblBorders>
        </w:tblPrEx>
        <w:tc>
          <w:tcPr>
            <w:tcW w:w="5000" w:type="pct"/>
            <w:gridSpan w:val="6"/>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9A7F87">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503"/>
        <w:gridCol w:w="3189"/>
        <w:gridCol w:w="1026"/>
        <w:gridCol w:w="600"/>
        <w:gridCol w:w="427"/>
        <w:gridCol w:w="1027"/>
        <w:gridCol w:w="1024"/>
      </w:tblGrid>
      <w:tr w:rsidR="009A7F87" w:rsidRPr="00770229" w:rsidTr="00144C20">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t>0</w:t>
            </w:r>
            <w:r>
              <w:t>623</w:t>
            </w:r>
            <w:r w:rsidRPr="00770229">
              <w:t xml:space="preserve"> Welfare services for people with a disability</w:t>
            </w:r>
          </w:p>
        </w:tc>
      </w:tr>
      <w:tr w:rsidR="009A7F87" w:rsidRPr="00770229" w:rsidTr="00144C20">
        <w:tblPrEx>
          <w:tblBorders>
            <w:top w:val="none" w:sz="0" w:space="0" w:color="auto"/>
            <w:bottom w:val="none" w:sz="0" w:space="0" w:color="auto"/>
            <w:insideH w:val="none" w:sz="0" w:space="0" w:color="auto"/>
          </w:tblBorders>
          <w:tblCellMar>
            <w:left w:w="108" w:type="dxa"/>
            <w:right w:w="108" w:type="dxa"/>
          </w:tblCellMar>
        </w:tblPrEx>
        <w:tc>
          <w:tcPr>
            <w:tcW w:w="359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09" w:type="pct"/>
            <w:gridSpan w:val="3"/>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ullet"/>
              <w:numPr>
                <w:ilvl w:val="0"/>
                <w:numId w:val="0"/>
              </w:numPr>
              <w:spacing w:before="40"/>
            </w:pPr>
            <w:r w:rsidRPr="00770229">
              <w:t>Welfare services for people with a disability are provided on the basis of functional disability of the recipients. The determination of functional disability and need (and who makes the determination) is dependent on the welfare program.</w:t>
            </w:r>
          </w:p>
          <w:p w:rsidR="009A7F87" w:rsidRPr="00770229" w:rsidRDefault="009A7F87" w:rsidP="009A7F87">
            <w:pPr>
              <w:pStyle w:val="TableBullet"/>
              <w:numPr>
                <w:ilvl w:val="0"/>
                <w:numId w:val="0"/>
              </w:numPr>
              <w:spacing w:before="40"/>
            </w:pPr>
            <w:r w:rsidRPr="00770229">
              <w:t>Welfare services for people with a disability can be grouped under four categories:</w:t>
            </w:r>
          </w:p>
          <w:p w:rsidR="009A7F87" w:rsidRPr="00770229" w:rsidRDefault="009A7F87" w:rsidP="009A7F87">
            <w:pPr>
              <w:pStyle w:val="TableBullet"/>
              <w:numPr>
                <w:ilvl w:val="0"/>
                <w:numId w:val="24"/>
              </w:numPr>
              <w:spacing w:before="40" w:line="220" w:lineRule="atLeast"/>
              <w:rPr>
                <w:i/>
              </w:rPr>
            </w:pPr>
            <w:r w:rsidRPr="00770229">
              <w:rPr>
                <w:i/>
              </w:rPr>
              <w:t xml:space="preserve">accommodation support — </w:t>
            </w:r>
            <w:r w:rsidRPr="00770229">
              <w:t>services that support a person with disability to remain in their existing accommodation, or to move to more suitable or appropriate accommodation. Including group homes, attendant/personal care, special residential facilities, and in home support</w:t>
            </w:r>
          </w:p>
          <w:p w:rsidR="009A7F87" w:rsidRPr="00770229" w:rsidRDefault="009A7F87" w:rsidP="009A7F87">
            <w:pPr>
              <w:pStyle w:val="TableBullet"/>
              <w:numPr>
                <w:ilvl w:val="0"/>
                <w:numId w:val="24"/>
              </w:numPr>
              <w:spacing w:before="40" w:line="220" w:lineRule="atLeast"/>
            </w:pPr>
            <w:r w:rsidRPr="00770229">
              <w:rPr>
                <w:i/>
              </w:rPr>
              <w:t>community support —</w:t>
            </w:r>
            <w:r>
              <w:rPr>
                <w:i/>
              </w:rPr>
              <w:t xml:space="preserve"> </w:t>
            </w:r>
            <w:r w:rsidRPr="00770229">
              <w:t>services that support a person with disability to live in a non</w:t>
            </w:r>
            <w:r>
              <w:noBreakHyphen/>
            </w:r>
            <w:r w:rsidRPr="00770229">
              <w:t>institutional setting, such as therapy support, behaviour/specialist intervention and counselling</w:t>
            </w:r>
          </w:p>
          <w:p w:rsidR="009A7F87" w:rsidRPr="00770229" w:rsidRDefault="009A7F87" w:rsidP="009A7F87">
            <w:pPr>
              <w:pStyle w:val="TableBullet"/>
              <w:numPr>
                <w:ilvl w:val="0"/>
                <w:numId w:val="24"/>
              </w:numPr>
              <w:spacing w:line="220" w:lineRule="atLeast"/>
            </w:pPr>
            <w:r w:rsidRPr="00770229">
              <w:rPr>
                <w:i/>
              </w:rPr>
              <w:t>community access</w:t>
            </w:r>
            <w:r w:rsidRPr="00770229">
              <w:t xml:space="preserve"> —</w:t>
            </w:r>
            <w:r>
              <w:t xml:space="preserve"> </w:t>
            </w:r>
            <w:r w:rsidRPr="00770229">
              <w:t>services to provide opportunities for people with disability to gain and use their abilities to enjoy their full potential for social independence. People who do not attend school, or who are not employed full</w:t>
            </w:r>
            <w:r w:rsidRPr="00770229">
              <w:noBreakHyphen/>
              <w:t>time, are the main users of these services. The category includes learning and life skills development and recreation programs</w:t>
            </w:r>
          </w:p>
          <w:p w:rsidR="009A7F87" w:rsidRPr="00770229" w:rsidRDefault="009A7F87" w:rsidP="009A7F87">
            <w:pPr>
              <w:pStyle w:val="TableBullet"/>
              <w:numPr>
                <w:ilvl w:val="0"/>
                <w:numId w:val="24"/>
              </w:numPr>
              <w:spacing w:line="220" w:lineRule="atLeast"/>
            </w:pPr>
            <w:r w:rsidRPr="00770229">
              <w:rPr>
                <w:i/>
              </w:rPr>
              <w:t>other disability support</w:t>
            </w:r>
            <w:r w:rsidRPr="00770229">
              <w:t xml:space="preserve"> — include services related to respite care, employment, and advocacy, information, research, and training.</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szCs w:val="26"/>
              </w:rPr>
            </w:pPr>
            <w:r w:rsidRPr="00770229">
              <w:rPr>
                <w:szCs w:val="26"/>
              </w:rPr>
              <w:t>The cost drivers for the different types of disability support are dependent on the number of people with disability receiving government support or access programs (as either accommodation, community or other support), the service mix provided to these recipients, the location of accommodation support and the extent of care required by recipients.</w:t>
            </w:r>
          </w:p>
        </w:tc>
      </w:tr>
      <w:tr w:rsidR="009A7F87" w:rsidRPr="00770229" w:rsidTr="0093701F">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D86D0C" w:rsidTr="0093701F">
        <w:tblPrEx>
          <w:tblBorders>
            <w:top w:val="none" w:sz="0" w:space="0" w:color="auto"/>
            <w:bottom w:val="none" w:sz="0" w:space="0" w:color="auto"/>
            <w:insideH w:val="none" w:sz="0" w:space="0" w:color="auto"/>
          </w:tblBorders>
        </w:tblPrEx>
        <w:tc>
          <w:tcPr>
            <w:tcW w:w="854"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D86D0C" w:rsidRDefault="009A7F87" w:rsidP="009A7F87">
            <w:pPr>
              <w:pStyle w:val="TableColumnHeading"/>
              <w:keepNext w:val="0"/>
              <w:jc w:val="left"/>
            </w:pPr>
          </w:p>
        </w:tc>
        <w:tc>
          <w:tcPr>
            <w:tcW w:w="1813"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ColumnHeading"/>
              <w:keepNext w:val="0"/>
              <w:ind w:left="180"/>
              <w:jc w:val="left"/>
            </w:pPr>
          </w:p>
        </w:tc>
        <w:tc>
          <w:tcPr>
            <w:tcW w:w="2333" w:type="pct"/>
            <w:gridSpan w:val="5"/>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ColumnHeading"/>
              <w:keepNext w:val="0"/>
              <w:ind w:left="180"/>
              <w:jc w:val="center"/>
            </w:pPr>
            <w:r w:rsidRPr="00D86D0C">
              <w:t>Data Years</w:t>
            </w:r>
          </w:p>
        </w:tc>
      </w:tr>
      <w:tr w:rsidR="009A7F87" w:rsidRPr="00D86D0C" w:rsidTr="0093701F">
        <w:tblPrEx>
          <w:tblBorders>
            <w:top w:val="none" w:sz="0" w:space="0" w:color="auto"/>
            <w:bottom w:val="none" w:sz="0" w:space="0" w:color="auto"/>
            <w:insideH w:val="none" w:sz="0" w:space="0" w:color="auto"/>
          </w:tblBorders>
        </w:tblPrEx>
        <w:tc>
          <w:tcPr>
            <w:tcW w:w="854"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D86D0C" w:rsidRDefault="009A7F87" w:rsidP="009A7F87">
            <w:pPr>
              <w:pStyle w:val="TableBodyText"/>
              <w:keepNext w:val="0"/>
              <w:spacing w:before="60" w:after="60"/>
              <w:ind w:left="0"/>
              <w:jc w:val="both"/>
              <w:rPr>
                <w:i/>
              </w:rPr>
            </w:pPr>
            <w:r w:rsidRPr="00D86D0C">
              <w:rPr>
                <w:i/>
              </w:rPr>
              <w:br/>
              <w:t>Measure</w:t>
            </w:r>
          </w:p>
        </w:tc>
        <w:tc>
          <w:tcPr>
            <w:tcW w:w="1813"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180"/>
              <w:jc w:val="left"/>
              <w:rPr>
                <w:i/>
              </w:rPr>
            </w:pPr>
            <w:r w:rsidRPr="00D86D0C">
              <w:rPr>
                <w:i/>
              </w:rPr>
              <w:br/>
              <w:t>Data source</w:t>
            </w:r>
          </w:p>
        </w:tc>
        <w:tc>
          <w:tcPr>
            <w:tcW w:w="583"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2"/>
              <w:jc w:val="center"/>
              <w:rPr>
                <w:i/>
              </w:rPr>
            </w:pPr>
            <w:r w:rsidRPr="00D86D0C">
              <w:rPr>
                <w:i/>
              </w:rPr>
              <w:t>2008</w:t>
            </w:r>
            <w:r w:rsidRPr="00D86D0C">
              <w:rPr>
                <w:i/>
              </w:rPr>
              <w:noBreakHyphen/>
              <w:t>09 Estimates</w:t>
            </w:r>
          </w:p>
        </w:tc>
        <w:tc>
          <w:tcPr>
            <w:tcW w:w="584" w:type="pct"/>
            <w:gridSpan w:val="2"/>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2"/>
              <w:jc w:val="center"/>
              <w:rPr>
                <w:i/>
              </w:rPr>
            </w:pPr>
            <w:r w:rsidRPr="00D86D0C">
              <w:rPr>
                <w:i/>
              </w:rPr>
              <w:t>2010</w:t>
            </w:r>
            <w:r w:rsidRPr="00D86D0C">
              <w:rPr>
                <w:i/>
              </w:rPr>
              <w:noBreakHyphen/>
              <w:t>11 Estimates</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D86D0C" w:rsidRDefault="009A7F87" w:rsidP="009A7F87">
            <w:pPr>
              <w:pStyle w:val="TableBodyText"/>
              <w:keepNext w:val="0"/>
              <w:spacing w:before="60" w:after="60"/>
              <w:ind w:left="2"/>
              <w:jc w:val="center"/>
              <w:rPr>
                <w:i/>
              </w:rPr>
            </w:pPr>
            <w:r w:rsidRPr="00D86D0C">
              <w:rPr>
                <w:i/>
              </w:rPr>
              <w:t>2012</w:t>
            </w:r>
            <w:r w:rsidRPr="00D86D0C">
              <w:rPr>
                <w:i/>
              </w:rPr>
              <w:noBreakHyphen/>
              <w:t>13 Estimates</w:t>
            </w:r>
          </w:p>
        </w:tc>
        <w:tc>
          <w:tcPr>
            <w:tcW w:w="582" w:type="pct"/>
            <w:tcBorders>
              <w:top w:val="single" w:sz="6" w:space="0" w:color="808080" w:themeColor="background1" w:themeShade="80"/>
              <w:bottom w:val="single" w:sz="6" w:space="0" w:color="808080" w:themeColor="background1" w:themeShade="80"/>
            </w:tcBorders>
          </w:tcPr>
          <w:p w:rsidR="009A7F87" w:rsidRPr="00D86D0C" w:rsidRDefault="009A7F87" w:rsidP="009A7F87">
            <w:pPr>
              <w:pStyle w:val="TableBodyText"/>
              <w:keepNext w:val="0"/>
              <w:spacing w:before="60" w:after="60"/>
              <w:ind w:left="2"/>
              <w:jc w:val="center"/>
              <w:rPr>
                <w:i/>
              </w:rPr>
            </w:pPr>
            <w:r w:rsidRPr="00D86D0C">
              <w:rPr>
                <w:i/>
              </w:rPr>
              <w:t>2015</w:t>
            </w:r>
            <w:r w:rsidRPr="00D86D0C">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54"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spacing w:before="60" w:after="60"/>
              <w:jc w:val="left"/>
            </w:pPr>
            <w:r w:rsidRPr="00770229">
              <w:t>Recipients of accommodation support services</w:t>
            </w:r>
          </w:p>
        </w:tc>
        <w:tc>
          <w:tcPr>
            <w:tcW w:w="1813"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1"/>
              <w:jc w:val="left"/>
            </w:pPr>
            <w:r w:rsidRPr="00770229">
              <w:t xml:space="preserve">AIHW </w:t>
            </w:r>
            <w:r w:rsidRPr="00025163">
              <w:t>Disability Services National Minimum Data Set</w:t>
            </w:r>
            <w:r>
              <w:t>;</w:t>
            </w:r>
            <w:r w:rsidRPr="00025163">
              <w:t xml:space="preserve"> </w:t>
            </w:r>
            <w:r w:rsidRPr="00770229">
              <w:t>Commonwealth State/Territory Disability Agreement National Minimum Data Set (unpublished)</w:t>
            </w:r>
            <w:r>
              <w:t xml:space="preserve">; </w:t>
            </w:r>
            <w:r w:rsidRPr="00F51291">
              <w:t>SCRGSP (2017) Report on Government Services 2017</w:t>
            </w:r>
          </w:p>
        </w:tc>
        <w:tc>
          <w:tcPr>
            <w:tcW w:w="583"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0"/>
              <w:jc w:val="center"/>
            </w:pPr>
            <w:r>
              <w:t>2008-09</w:t>
            </w: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Pr="00770229" w:rsidRDefault="009A7F87" w:rsidP="009A7F87">
            <w:pPr>
              <w:pStyle w:val="TableBodyText"/>
              <w:keepNext w:val="0"/>
              <w:spacing w:before="60" w:after="60"/>
              <w:ind w:left="0"/>
              <w:jc w:val="center"/>
            </w:pPr>
            <w:r>
              <w:br/>
            </w:r>
          </w:p>
        </w:tc>
        <w:tc>
          <w:tcPr>
            <w:tcW w:w="584"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2011-12</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2" w:type="pct"/>
            <w:tcBorders>
              <w:top w:val="single" w:sz="6" w:space="0" w:color="808080" w:themeColor="background1" w:themeShade="80"/>
            </w:tcBorders>
            <w:vAlign w:val="center"/>
          </w:tcPr>
          <w:p w:rsidR="009A7F87" w:rsidRDefault="009A7F87" w:rsidP="009A7F87">
            <w:pPr>
              <w:pStyle w:val="TableBodyText"/>
              <w:spacing w:before="60" w:after="60"/>
              <w:ind w:left="2"/>
              <w:jc w:val="center"/>
            </w:pPr>
            <w:r>
              <w:t>2014-15</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70229" w:rsidTr="0044346B">
        <w:tblPrEx>
          <w:tblBorders>
            <w:top w:val="none" w:sz="0" w:space="0" w:color="auto"/>
            <w:bottom w:val="none" w:sz="0" w:space="0" w:color="auto"/>
            <w:insideH w:val="none" w:sz="0" w:space="0" w:color="auto"/>
          </w:tblBorders>
        </w:tblPrEx>
        <w:tc>
          <w:tcPr>
            <w:tcW w:w="854" w:type="pct"/>
            <w:tcBorders>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spacing w:before="60" w:after="60"/>
              <w:jc w:val="left"/>
            </w:pPr>
            <w:r w:rsidRPr="00770229">
              <w:t>Recipients of community support services</w:t>
            </w:r>
          </w:p>
        </w:tc>
        <w:tc>
          <w:tcPr>
            <w:tcW w:w="1813" w:type="pct"/>
            <w:tcBorders>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1"/>
              <w:jc w:val="left"/>
            </w:pPr>
            <w:r w:rsidRPr="00770229">
              <w:t xml:space="preserve">AIHW </w:t>
            </w:r>
            <w:r w:rsidRPr="00025163">
              <w:t>Disability Services National Minimum Data Set</w:t>
            </w:r>
            <w:r>
              <w:t>;</w:t>
            </w:r>
            <w:r w:rsidRPr="00025163">
              <w:t xml:space="preserve"> </w:t>
            </w:r>
            <w:r w:rsidRPr="00770229">
              <w:t>Commonwealth State/Territory Disability Agreement National Minimum Data Set (unpublished)</w:t>
            </w:r>
            <w:r>
              <w:t xml:space="preserve">; </w:t>
            </w:r>
            <w:r w:rsidRPr="00F51291">
              <w:t>SCRGSP (2017) Report on Government Services 2017</w:t>
            </w:r>
          </w:p>
        </w:tc>
        <w:tc>
          <w:tcPr>
            <w:tcW w:w="583"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0"/>
              <w:jc w:val="center"/>
            </w:pPr>
            <w:r>
              <w:t>2008-09</w:t>
            </w: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Pr="00770229" w:rsidRDefault="009A7F87" w:rsidP="009A7F87">
            <w:pPr>
              <w:pStyle w:val="TableBodyText"/>
              <w:keepNext w:val="0"/>
              <w:spacing w:before="60" w:after="60"/>
              <w:ind w:left="0"/>
              <w:jc w:val="center"/>
            </w:pPr>
            <w:r>
              <w:br/>
            </w:r>
          </w:p>
        </w:tc>
        <w:tc>
          <w:tcPr>
            <w:tcW w:w="584" w:type="pct"/>
            <w:gridSpan w:val="2"/>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4" w:type="pct"/>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2011-12</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2" w:type="pct"/>
            <w:tcBorders>
              <w:bottom w:val="single" w:sz="6" w:space="0" w:color="808080" w:themeColor="background1" w:themeShade="80"/>
            </w:tcBorders>
            <w:vAlign w:val="center"/>
          </w:tcPr>
          <w:p w:rsidR="009A7F87" w:rsidRDefault="009A7F87" w:rsidP="009A7F87">
            <w:pPr>
              <w:pStyle w:val="TableBodyText"/>
              <w:spacing w:before="60" w:after="60"/>
              <w:ind w:left="2"/>
              <w:jc w:val="center"/>
            </w:pPr>
            <w:r>
              <w:t>2014-15</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Tr="0044346B">
        <w:tblPrEx>
          <w:tblBorders>
            <w:left w:val="single" w:sz="6" w:space="0" w:color="auto"/>
            <w:right w:val="single" w:sz="6" w:space="0" w:color="auto"/>
            <w:insideH w:val="none" w:sz="0" w:space="0" w:color="auto"/>
          </w:tblBorders>
          <w:tblCellMar>
            <w:left w:w="142" w:type="dxa"/>
            <w:right w:w="142" w:type="dxa"/>
          </w:tblCellMar>
        </w:tblPrEx>
        <w:tc>
          <w:tcPr>
            <w:tcW w:w="4997" w:type="pct"/>
            <w:gridSpan w:val="7"/>
            <w:tcBorders>
              <w:top w:val="single" w:sz="6" w:space="0" w:color="808080" w:themeColor="background1" w:themeShade="80"/>
              <w:left w:val="nil"/>
              <w:bottom w:val="nil"/>
              <w:right w:val="nil"/>
            </w:tcBorders>
            <w:shd w:val="clear" w:color="auto" w:fill="auto"/>
          </w:tcPr>
          <w:p w:rsidR="009A7F87" w:rsidRPr="00EC22C8" w:rsidRDefault="009A7F87" w:rsidP="009A7F87">
            <w:pPr>
              <w:pStyle w:val="Note"/>
              <w:jc w:val="right"/>
            </w:pPr>
            <w:r>
              <w:t>(continued next page)</w:t>
            </w:r>
          </w:p>
        </w:tc>
      </w:tr>
      <w:tr w:rsidR="009A7F87" w:rsidRPr="0071369A" w:rsidTr="009A7F87">
        <w:tblPrEx>
          <w:tblBorders>
            <w:top w:val="none" w:sz="0" w:space="0" w:color="auto"/>
            <w:bottom w:val="none" w:sz="0" w:space="0" w:color="auto"/>
            <w:insideH w:val="none" w:sz="0" w:space="0" w:color="auto"/>
          </w:tblBorders>
        </w:tblPrEx>
        <w:tc>
          <w:tcPr>
            <w:tcW w:w="5000" w:type="pct"/>
            <w:gridSpan w:val="7"/>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9A7F87">
      <w:pPr>
        <w:pStyle w:val="BodyText"/>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1029"/>
        <w:gridCol w:w="1029"/>
        <w:gridCol w:w="1026"/>
      </w:tblGrid>
      <w:tr w:rsidR="009A7F87" w:rsidRPr="00770229" w:rsidTr="00144C20">
        <w:tc>
          <w:tcPr>
            <w:tcW w:w="5000" w:type="pct"/>
            <w:gridSpan w:val="6"/>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990847" w:rsidRDefault="009A7F87" w:rsidP="009A7F87">
            <w:pPr>
              <w:pStyle w:val="Heading3"/>
              <w:rPr>
                <w:sz w:val="18"/>
                <w:szCs w:val="18"/>
              </w:rPr>
            </w:pPr>
            <w:r>
              <w:br w:type="page"/>
            </w:r>
            <w:r>
              <w:br w:type="page"/>
            </w:r>
            <w:r>
              <w:br w:type="page"/>
            </w:r>
            <w:r>
              <w:br w:type="page"/>
            </w:r>
            <w:r>
              <w:br w:type="page"/>
            </w:r>
            <w:r>
              <w:br w:type="page"/>
            </w:r>
            <w:r w:rsidRPr="00990847">
              <w:rPr>
                <w:sz w:val="18"/>
                <w:szCs w:val="18"/>
              </w:rPr>
              <w:t>(continued)</w:t>
            </w:r>
          </w:p>
        </w:tc>
      </w:tr>
      <w:tr w:rsidR="009A7F87" w:rsidRPr="00990847" w:rsidTr="00144C20">
        <w:tblPrEx>
          <w:tblBorders>
            <w:top w:val="none" w:sz="0" w:space="0" w:color="auto"/>
            <w:bottom w:val="none" w:sz="0" w:space="0" w:color="auto"/>
            <w:insideH w:val="none" w:sz="0" w:space="0" w:color="auto"/>
          </w:tblBorders>
        </w:tblPrEx>
        <w:tc>
          <w:tcPr>
            <w:tcW w:w="849" w:type="pct"/>
            <w:tcBorders>
              <w:top w:val="single" w:sz="12" w:space="0" w:color="808080" w:themeColor="background1" w:themeShade="80"/>
              <w:bottom w:val="single" w:sz="6" w:space="0" w:color="808080" w:themeColor="background1" w:themeShade="80"/>
            </w:tcBorders>
            <w:shd w:val="clear" w:color="auto" w:fill="auto"/>
            <w:tcMar>
              <w:top w:w="57" w:type="dxa"/>
              <w:left w:w="113" w:type="dxa"/>
            </w:tcMar>
          </w:tcPr>
          <w:p w:rsidR="009A7F87" w:rsidRPr="00990847" w:rsidRDefault="009A7F87" w:rsidP="009A7F87">
            <w:pPr>
              <w:pStyle w:val="TableColumnHeading"/>
              <w:keepNext w:val="0"/>
              <w:jc w:val="left"/>
            </w:pPr>
          </w:p>
        </w:tc>
        <w:tc>
          <w:tcPr>
            <w:tcW w:w="1814" w:type="pct"/>
            <w:tcBorders>
              <w:top w:val="single" w:sz="12" w:space="0" w:color="808080" w:themeColor="background1" w:themeShade="80"/>
              <w:bottom w:val="single" w:sz="6" w:space="0" w:color="808080" w:themeColor="background1" w:themeShade="80"/>
            </w:tcBorders>
            <w:shd w:val="clear" w:color="auto" w:fill="auto"/>
          </w:tcPr>
          <w:p w:rsidR="009A7F87" w:rsidRPr="00990847" w:rsidRDefault="009A7F87" w:rsidP="009A7F87">
            <w:pPr>
              <w:pStyle w:val="TableColumnHeading"/>
              <w:keepNext w:val="0"/>
              <w:ind w:left="180"/>
              <w:jc w:val="left"/>
            </w:pPr>
          </w:p>
        </w:tc>
        <w:tc>
          <w:tcPr>
            <w:tcW w:w="2337" w:type="pct"/>
            <w:gridSpan w:val="4"/>
            <w:tcBorders>
              <w:top w:val="single" w:sz="12" w:space="0" w:color="808080" w:themeColor="background1" w:themeShade="80"/>
              <w:bottom w:val="single" w:sz="6" w:space="0" w:color="808080" w:themeColor="background1" w:themeShade="80"/>
            </w:tcBorders>
            <w:shd w:val="clear" w:color="auto" w:fill="auto"/>
          </w:tcPr>
          <w:p w:rsidR="009A7F87" w:rsidRPr="00990847" w:rsidRDefault="009A7F87" w:rsidP="009A7F87">
            <w:pPr>
              <w:pStyle w:val="TableColumnHeading"/>
              <w:keepNext w:val="0"/>
              <w:ind w:left="180"/>
              <w:jc w:val="center"/>
            </w:pPr>
            <w:r w:rsidRPr="00990847">
              <w:t>Data Years</w:t>
            </w:r>
          </w:p>
        </w:tc>
      </w:tr>
      <w:tr w:rsidR="009A7F87" w:rsidRPr="00990847"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990847" w:rsidRDefault="009A7F87" w:rsidP="009A7F87">
            <w:pPr>
              <w:pStyle w:val="TableBodyText"/>
              <w:keepNext w:val="0"/>
              <w:spacing w:before="60" w:after="60"/>
              <w:ind w:left="0"/>
              <w:jc w:val="both"/>
              <w:rPr>
                <w:i/>
              </w:rPr>
            </w:pPr>
            <w:r w:rsidRPr="00990847">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990847" w:rsidRDefault="009A7F87" w:rsidP="009A7F87">
            <w:pPr>
              <w:pStyle w:val="TableBodyText"/>
              <w:keepNext w:val="0"/>
              <w:spacing w:before="60" w:after="60"/>
              <w:ind w:left="180"/>
              <w:jc w:val="left"/>
              <w:rPr>
                <w:i/>
              </w:rPr>
            </w:pPr>
            <w:r w:rsidRPr="00990847">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990847" w:rsidRDefault="009A7F87" w:rsidP="009A7F87">
            <w:pPr>
              <w:pStyle w:val="TableBodyText"/>
              <w:keepNext w:val="0"/>
              <w:spacing w:before="60" w:after="60"/>
              <w:ind w:left="2"/>
              <w:jc w:val="center"/>
              <w:rPr>
                <w:i/>
              </w:rPr>
            </w:pPr>
            <w:r w:rsidRPr="00990847">
              <w:rPr>
                <w:i/>
              </w:rPr>
              <w:t>2008</w:t>
            </w:r>
            <w:r w:rsidRPr="00990847">
              <w:rPr>
                <w:i/>
              </w:rPr>
              <w:noBreakHyphen/>
              <w:t>09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990847" w:rsidRDefault="009A7F87" w:rsidP="009A7F87">
            <w:pPr>
              <w:pStyle w:val="TableBodyText"/>
              <w:keepNext w:val="0"/>
              <w:spacing w:before="60" w:after="60"/>
              <w:ind w:left="2"/>
              <w:jc w:val="center"/>
              <w:rPr>
                <w:i/>
              </w:rPr>
            </w:pPr>
            <w:r w:rsidRPr="00990847">
              <w:rPr>
                <w:i/>
              </w:rPr>
              <w:t>2010</w:t>
            </w:r>
            <w:r w:rsidRPr="00990847">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990847" w:rsidRDefault="009A7F87" w:rsidP="009A7F87">
            <w:pPr>
              <w:pStyle w:val="TableBodyText"/>
              <w:keepNext w:val="0"/>
              <w:spacing w:before="60" w:after="60"/>
              <w:ind w:left="2"/>
              <w:jc w:val="center"/>
              <w:rPr>
                <w:i/>
              </w:rPr>
            </w:pPr>
            <w:r w:rsidRPr="00990847">
              <w:rPr>
                <w:i/>
              </w:rPr>
              <w:t>2012</w:t>
            </w:r>
            <w:r w:rsidRPr="00990847">
              <w:rPr>
                <w:i/>
              </w:rPr>
              <w:noBreakHyphen/>
              <w:t>13 Estimates</w:t>
            </w:r>
          </w:p>
        </w:tc>
        <w:tc>
          <w:tcPr>
            <w:tcW w:w="583" w:type="pct"/>
            <w:tcBorders>
              <w:top w:val="single" w:sz="6" w:space="0" w:color="808080" w:themeColor="background1" w:themeShade="80"/>
              <w:bottom w:val="single" w:sz="6" w:space="0" w:color="808080" w:themeColor="background1" w:themeShade="80"/>
            </w:tcBorders>
          </w:tcPr>
          <w:p w:rsidR="009A7F87" w:rsidRPr="00990847" w:rsidRDefault="009A7F87" w:rsidP="009A7F87">
            <w:pPr>
              <w:pStyle w:val="TableBodyText"/>
              <w:keepNext w:val="0"/>
              <w:spacing w:before="60" w:after="60"/>
              <w:ind w:left="2"/>
              <w:jc w:val="center"/>
              <w:rPr>
                <w:i/>
              </w:rPr>
            </w:pPr>
            <w:r w:rsidRPr="00990847">
              <w:rPr>
                <w:i/>
              </w:rPr>
              <w:t>2015</w:t>
            </w:r>
            <w:r w:rsidRPr="00990847">
              <w:rPr>
                <w:i/>
              </w:rPr>
              <w:noBreakHyphen/>
              <w:t>16 Estimates</w:t>
            </w:r>
          </w:p>
        </w:tc>
      </w:tr>
      <w:tr w:rsidR="009A7F87" w:rsidRPr="00770229"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spacing w:before="60" w:after="60"/>
              <w:jc w:val="left"/>
            </w:pPr>
            <w:r w:rsidRPr="00770229">
              <w:t>Recipients of community access services</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1"/>
              <w:jc w:val="left"/>
            </w:pPr>
            <w:r w:rsidRPr="00770229">
              <w:t xml:space="preserve">AIHW Commonwealth State/Territory Disability Agreement National Minimum Data Set </w:t>
            </w:r>
            <w:r>
              <w:t xml:space="preserve">(unpublished); </w:t>
            </w:r>
            <w:r w:rsidRPr="00F51291">
              <w:t>SCRGSP (2017) Report on Government Services 2017</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0"/>
              <w:jc w:val="center"/>
            </w:pPr>
            <w:r>
              <w:t>2008-09</w:t>
            </w: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Pr="00770229" w:rsidRDefault="009A7F87" w:rsidP="009A7F87">
            <w:pPr>
              <w:pStyle w:val="TableBodyText"/>
              <w:keepNext w:val="0"/>
              <w:spacing w:before="60" w:after="60"/>
              <w:ind w:left="0"/>
              <w:jc w:val="center"/>
            </w:pPr>
            <w:r>
              <w:br/>
            </w: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2011-12</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tcBorders>
              <w:top w:val="single" w:sz="6" w:space="0" w:color="808080" w:themeColor="background1" w:themeShade="80"/>
            </w:tcBorders>
            <w:vAlign w:val="center"/>
          </w:tcPr>
          <w:p w:rsidR="009A7F87" w:rsidRDefault="009A7F87" w:rsidP="009A7F87">
            <w:pPr>
              <w:pStyle w:val="TableBodyText"/>
              <w:spacing w:before="60" w:after="60"/>
              <w:ind w:left="2"/>
              <w:jc w:val="center"/>
            </w:pPr>
            <w:r>
              <w:t>2014-15</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70229" w:rsidTr="009A7F87">
        <w:tblPrEx>
          <w:tblBorders>
            <w:top w:val="none" w:sz="0" w:space="0" w:color="auto"/>
            <w:bottom w:val="none" w:sz="0" w:space="0" w:color="auto"/>
            <w:insideH w:val="none" w:sz="0" w:space="0" w:color="auto"/>
          </w:tblBorders>
        </w:tblPrEx>
        <w:tc>
          <w:tcPr>
            <w:tcW w:w="849" w:type="pct"/>
            <w:shd w:val="clear" w:color="auto" w:fill="auto"/>
            <w:tcMar>
              <w:top w:w="57" w:type="dxa"/>
              <w:left w:w="113" w:type="dxa"/>
            </w:tcMar>
          </w:tcPr>
          <w:p w:rsidR="009A7F87" w:rsidRPr="00770229" w:rsidRDefault="009A7F87" w:rsidP="009A7F87">
            <w:pPr>
              <w:pStyle w:val="TableBodyText"/>
              <w:spacing w:before="60" w:after="60"/>
              <w:jc w:val="left"/>
            </w:pPr>
            <w:r w:rsidRPr="00770229">
              <w:t>Recipients of respite services</w:t>
            </w:r>
          </w:p>
        </w:tc>
        <w:tc>
          <w:tcPr>
            <w:tcW w:w="1814" w:type="pct"/>
            <w:shd w:val="clear" w:color="auto" w:fill="auto"/>
          </w:tcPr>
          <w:p w:rsidR="009A7F87" w:rsidRPr="00770229" w:rsidRDefault="009A7F87" w:rsidP="009A7F87">
            <w:pPr>
              <w:pStyle w:val="TableBodyText"/>
              <w:keepNext w:val="0"/>
              <w:spacing w:before="60" w:after="60"/>
              <w:ind w:left="181"/>
              <w:jc w:val="left"/>
            </w:pPr>
            <w:r w:rsidRPr="00770229">
              <w:t>AIHW Commonwealth State/Territory Disability Agreement National Minimum Data Set (unpublished)</w:t>
            </w:r>
            <w:r>
              <w:t xml:space="preserve">; </w:t>
            </w:r>
            <w:r w:rsidRPr="00F51291">
              <w:t>SCRGSP (2017) Report on Government Services 2017</w:t>
            </w:r>
          </w:p>
        </w:tc>
        <w:tc>
          <w:tcPr>
            <w:tcW w:w="584" w:type="pct"/>
            <w:shd w:val="clear" w:color="auto" w:fill="auto"/>
            <w:vAlign w:val="center"/>
          </w:tcPr>
          <w:p w:rsidR="009A7F87" w:rsidRDefault="009A7F87" w:rsidP="009A7F87">
            <w:pPr>
              <w:pStyle w:val="TableBodyText"/>
              <w:keepNext w:val="0"/>
              <w:spacing w:before="60" w:after="60"/>
              <w:ind w:left="0"/>
              <w:jc w:val="center"/>
            </w:pPr>
            <w:r>
              <w:t>2008-09</w:t>
            </w: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r>
              <w:br/>
            </w:r>
          </w:p>
        </w:tc>
        <w:tc>
          <w:tcPr>
            <w:tcW w:w="585" w:type="pct"/>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c>
          <w:tcPr>
            <w:tcW w:w="585" w:type="pct"/>
            <w:shd w:val="clear" w:color="auto" w:fill="auto"/>
            <w:vAlign w:val="center"/>
          </w:tcPr>
          <w:p w:rsidR="009A7F87" w:rsidRDefault="009A7F87" w:rsidP="009A7F87">
            <w:pPr>
              <w:pStyle w:val="TableBodyText"/>
              <w:spacing w:before="60" w:after="60"/>
              <w:ind w:left="2"/>
              <w:jc w:val="center"/>
            </w:pPr>
            <w:r>
              <w:t>2011-12</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c>
          <w:tcPr>
            <w:tcW w:w="583" w:type="pct"/>
            <w:vAlign w:val="center"/>
          </w:tcPr>
          <w:p w:rsidR="009A7F87" w:rsidRDefault="009A7F87" w:rsidP="009A7F87">
            <w:pPr>
              <w:pStyle w:val="TableBodyText"/>
              <w:spacing w:before="60" w:after="60"/>
              <w:ind w:left="2"/>
              <w:jc w:val="center"/>
            </w:pPr>
            <w:r>
              <w:t>2014-15</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r>
      <w:tr w:rsidR="009A7F87" w:rsidRPr="00770229" w:rsidTr="0044346B">
        <w:tblPrEx>
          <w:tblBorders>
            <w:top w:val="none" w:sz="0" w:space="0" w:color="auto"/>
            <w:bottom w:val="none" w:sz="0" w:space="0" w:color="auto"/>
            <w:insideH w:val="none" w:sz="0" w:space="0" w:color="auto"/>
          </w:tblBorders>
        </w:tblPrEx>
        <w:tc>
          <w:tcPr>
            <w:tcW w:w="849" w:type="pct"/>
            <w:shd w:val="clear" w:color="auto" w:fill="auto"/>
            <w:tcMar>
              <w:top w:w="57" w:type="dxa"/>
              <w:left w:w="113" w:type="dxa"/>
            </w:tcMar>
          </w:tcPr>
          <w:p w:rsidR="009A7F87" w:rsidRPr="00770229" w:rsidRDefault="009A7F87" w:rsidP="009A7F87">
            <w:pPr>
              <w:pStyle w:val="TableBodyText"/>
              <w:spacing w:before="60" w:after="60"/>
              <w:jc w:val="left"/>
            </w:pPr>
            <w:r w:rsidRPr="00770229">
              <w:t>Aboriginal and Torres Strait Islander share of disability employment services (Australian Government only)</w:t>
            </w:r>
          </w:p>
        </w:tc>
        <w:tc>
          <w:tcPr>
            <w:tcW w:w="1814" w:type="pct"/>
            <w:shd w:val="clear" w:color="auto" w:fill="auto"/>
          </w:tcPr>
          <w:p w:rsidR="009A7F87" w:rsidRPr="00770229" w:rsidRDefault="009A7F87" w:rsidP="009A7F87">
            <w:pPr>
              <w:pStyle w:val="TableBodyText"/>
              <w:keepNext w:val="0"/>
              <w:spacing w:before="60" w:after="60"/>
              <w:ind w:left="181"/>
              <w:jc w:val="left"/>
            </w:pPr>
            <w:r w:rsidRPr="00770229">
              <w:t>Australian Government administrative data (unpublished)</w:t>
            </w:r>
          </w:p>
        </w:tc>
        <w:tc>
          <w:tcPr>
            <w:tcW w:w="584" w:type="pct"/>
            <w:shd w:val="clear" w:color="auto" w:fill="auto"/>
            <w:vAlign w:val="center"/>
          </w:tcPr>
          <w:p w:rsidR="009A7F87" w:rsidRDefault="009A7F87" w:rsidP="009A7F87">
            <w:pPr>
              <w:pStyle w:val="TableBodyText"/>
              <w:keepNext w:val="0"/>
              <w:spacing w:before="60" w:after="60"/>
              <w:ind w:left="0"/>
              <w:jc w:val="center"/>
            </w:pPr>
            <w:r>
              <w:t>June 2009</w:t>
            </w: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r>
              <w:br/>
            </w:r>
          </w:p>
        </w:tc>
        <w:tc>
          <w:tcPr>
            <w:tcW w:w="585" w:type="pct"/>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c>
          <w:tcPr>
            <w:tcW w:w="585" w:type="pct"/>
            <w:shd w:val="clear" w:color="auto" w:fill="auto"/>
            <w:vAlign w:val="center"/>
          </w:tcPr>
          <w:p w:rsidR="009A7F87" w:rsidRDefault="009A7F87" w:rsidP="009A7F87">
            <w:pPr>
              <w:pStyle w:val="TableBodyText"/>
              <w:spacing w:before="60" w:after="60"/>
              <w:ind w:left="2"/>
              <w:jc w:val="center"/>
            </w:pPr>
            <w:r>
              <w:t>2012-13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c>
          <w:tcPr>
            <w:tcW w:w="583" w:type="pct"/>
            <w:vAlign w:val="center"/>
          </w:tcPr>
          <w:p w:rsidR="009A7F87" w:rsidRDefault="009A7F87" w:rsidP="009A7F87">
            <w:pPr>
              <w:pStyle w:val="TableBodyText"/>
              <w:spacing w:before="60" w:after="60"/>
              <w:ind w:left="2"/>
              <w:jc w:val="center"/>
            </w:pPr>
            <w:r>
              <w:t>2015-16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spacing w:before="60" w:after="60"/>
              <w:jc w:val="left"/>
            </w:pPr>
            <w:r w:rsidRPr="00770229">
              <w:t>Recipients of employment services</w:t>
            </w:r>
          </w:p>
        </w:tc>
        <w:tc>
          <w:tcPr>
            <w:tcW w:w="1814" w:type="pct"/>
            <w:tcBorders>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1"/>
              <w:jc w:val="left"/>
            </w:pPr>
            <w:r w:rsidRPr="00770229">
              <w:t>AIHW Commonwealth State/Territory Disability Agreement National Minimum Data Set (unpublished)</w:t>
            </w:r>
            <w:r>
              <w:t xml:space="preserve">; </w:t>
            </w:r>
            <w:r w:rsidRPr="00F51291">
              <w:t>SCRGSP (2017) Report on Government Services 2017</w:t>
            </w:r>
          </w:p>
        </w:tc>
        <w:tc>
          <w:tcPr>
            <w:tcW w:w="584"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0"/>
              <w:jc w:val="center"/>
            </w:pPr>
            <w:r>
              <w:t>2008-09</w:t>
            </w: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r>
              <w:br/>
            </w:r>
          </w:p>
        </w:tc>
        <w:tc>
          <w:tcPr>
            <w:tcW w:w="585" w:type="pct"/>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c>
          <w:tcPr>
            <w:tcW w:w="585" w:type="pct"/>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2011-12</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c>
          <w:tcPr>
            <w:tcW w:w="583" w:type="pct"/>
            <w:tcBorders>
              <w:bottom w:val="single" w:sz="6" w:space="0" w:color="808080" w:themeColor="background1" w:themeShade="80"/>
            </w:tcBorders>
            <w:vAlign w:val="center"/>
          </w:tcPr>
          <w:p w:rsidR="009A7F87" w:rsidRDefault="009A7F87" w:rsidP="009A7F87">
            <w:pPr>
              <w:pStyle w:val="TableBodyText"/>
              <w:spacing w:before="60" w:after="60"/>
              <w:ind w:left="2"/>
              <w:jc w:val="center"/>
            </w:pPr>
            <w:r>
              <w:t>2014-15</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r>
      <w:tr w:rsidR="009A7F87" w:rsidRPr="0071369A" w:rsidTr="0044346B">
        <w:tblPrEx>
          <w:tblBorders>
            <w:top w:val="none" w:sz="0" w:space="0" w:color="auto"/>
            <w:bottom w:val="none" w:sz="0" w:space="0" w:color="auto"/>
            <w:insideH w:val="none" w:sz="0" w:space="0" w:color="auto"/>
          </w:tblBorders>
        </w:tblPrEx>
        <w:tc>
          <w:tcPr>
            <w:tcW w:w="5000" w:type="pct"/>
            <w:gridSpan w:val="6"/>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9A7F87">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517"/>
        <w:gridCol w:w="3187"/>
        <w:gridCol w:w="1023"/>
        <w:gridCol w:w="598"/>
        <w:gridCol w:w="423"/>
        <w:gridCol w:w="1025"/>
        <w:gridCol w:w="1023"/>
      </w:tblGrid>
      <w:tr w:rsidR="009A7F87" w:rsidRPr="00770229" w:rsidTr="00144C20">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t>0</w:t>
            </w:r>
            <w:r>
              <w:t>629.1</w:t>
            </w:r>
            <w:r w:rsidRPr="00770229">
              <w:t xml:space="preserve"> Homeless persons’ assistance for people other than youth</w:t>
            </w:r>
          </w:p>
        </w:tc>
      </w:tr>
      <w:tr w:rsidR="009A7F87" w:rsidRPr="00770229" w:rsidTr="00144C20">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3"/>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Homeless persons’ assistance for people other than youth includes transitional supported accommodation, health, employment, and counselling services. For homeless persons’ assistance, ‘other than youth’ is defined as assistance provided to homeless people that are aged 25 years and over. </w:t>
            </w:r>
          </w:p>
          <w:p w:rsidR="009A7F87" w:rsidRPr="00770229" w:rsidRDefault="009A7F87" w:rsidP="009A7F87">
            <w:pPr>
              <w:pStyle w:val="TableBodyText"/>
              <w:keepNext w:val="0"/>
              <w:keepLines w:val="0"/>
              <w:spacing w:before="80" w:after="80"/>
              <w:jc w:val="left"/>
            </w:pPr>
            <w:r w:rsidRPr="00770229">
              <w:t>Homeless persons’ assistance for people other than youth is a sub</w:t>
            </w:r>
            <w:r w:rsidRPr="00770229">
              <w:noBreakHyphen/>
              <w:t xml:space="preserve">category of welfare services not elsewhere classified (GPC 0621). </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7045A0">
              <w:rPr>
                <w:b/>
              </w:rPr>
              <w:t>http://www.pc.gov.au/ier2017/</w:t>
            </w:r>
            <w:r w:rsidRPr="00770229">
              <w:rPr>
                <w:b/>
              </w:rPr>
              <w:t>).</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szCs w:val="26"/>
              </w:rPr>
            </w:pPr>
            <w:r w:rsidRPr="00770229">
              <w:rPr>
                <w:szCs w:val="26"/>
              </w:rPr>
              <w:t>Costs of h</w:t>
            </w:r>
            <w:r w:rsidRPr="00770229">
              <w:rPr>
                <w:rFonts w:ascii="ArialMT" w:hAnsi="ArialMT" w:cs="ArialMT"/>
              </w:rPr>
              <w:t>omeless persons’ assistance</w:t>
            </w:r>
            <w:r w:rsidRPr="00770229">
              <w:rPr>
                <w:szCs w:val="26"/>
              </w:rPr>
              <w:t xml:space="preserve"> are driven by the number of people aged 25 years and over receiving h</w:t>
            </w:r>
            <w:r w:rsidRPr="00770229">
              <w:rPr>
                <w:rFonts w:ascii="ArialMT" w:hAnsi="ArialMT" w:cs="ArialMT"/>
              </w:rPr>
              <w:t>omeless persons’ assistance</w:t>
            </w:r>
            <w:r w:rsidRPr="00770229">
              <w:rPr>
                <w:szCs w:val="26"/>
              </w:rPr>
              <w:t>, as well as the average cost of assistance.</w:t>
            </w:r>
          </w:p>
        </w:tc>
      </w:tr>
      <w:tr w:rsidR="009A7F87" w:rsidRPr="00770229" w:rsidTr="0093701F">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990847"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990847"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990847" w:rsidRDefault="009A7F87" w:rsidP="009A7F87">
            <w:pPr>
              <w:pStyle w:val="TableColumnHeading"/>
              <w:keepNext w:val="0"/>
              <w:ind w:left="180"/>
              <w:jc w:val="left"/>
            </w:pPr>
          </w:p>
        </w:tc>
        <w:tc>
          <w:tcPr>
            <w:tcW w:w="2337" w:type="pct"/>
            <w:gridSpan w:val="5"/>
            <w:tcBorders>
              <w:top w:val="single" w:sz="6" w:space="0" w:color="808080" w:themeColor="background1" w:themeShade="80"/>
              <w:bottom w:val="single" w:sz="6" w:space="0" w:color="808080" w:themeColor="background1" w:themeShade="80"/>
            </w:tcBorders>
            <w:shd w:val="clear" w:color="auto" w:fill="auto"/>
          </w:tcPr>
          <w:p w:rsidR="009A7F87" w:rsidRPr="00990847" w:rsidRDefault="009A7F87" w:rsidP="009A7F87">
            <w:pPr>
              <w:pStyle w:val="TableColumnHeading"/>
              <w:keepNext w:val="0"/>
              <w:ind w:left="180"/>
              <w:jc w:val="center"/>
            </w:pPr>
            <w:r w:rsidRPr="00990847">
              <w:t>Data Years</w:t>
            </w:r>
          </w:p>
        </w:tc>
      </w:tr>
      <w:tr w:rsidR="009A7F87" w:rsidRPr="00990847"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990847" w:rsidRDefault="009A7F87" w:rsidP="009A7F87">
            <w:pPr>
              <w:pStyle w:val="TableBodyText"/>
              <w:keepNext w:val="0"/>
              <w:spacing w:before="60" w:after="60"/>
              <w:ind w:left="0"/>
              <w:jc w:val="both"/>
              <w:rPr>
                <w:i/>
              </w:rPr>
            </w:pPr>
            <w:r w:rsidRPr="00990847">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990847" w:rsidRDefault="009A7F87" w:rsidP="009A7F87">
            <w:pPr>
              <w:pStyle w:val="TableBodyText"/>
              <w:keepNext w:val="0"/>
              <w:spacing w:before="60" w:after="60"/>
              <w:ind w:left="180"/>
              <w:jc w:val="left"/>
              <w:rPr>
                <w:i/>
              </w:rPr>
            </w:pPr>
            <w:r w:rsidRPr="00990847">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990847" w:rsidRDefault="009A7F87" w:rsidP="009A7F87">
            <w:pPr>
              <w:pStyle w:val="TableBodyText"/>
              <w:keepNext w:val="0"/>
              <w:spacing w:before="60" w:after="60"/>
              <w:ind w:left="2"/>
              <w:jc w:val="center"/>
              <w:rPr>
                <w:i/>
              </w:rPr>
            </w:pPr>
            <w:r w:rsidRPr="00990847">
              <w:rPr>
                <w:i/>
              </w:rPr>
              <w:t>2008</w:t>
            </w:r>
            <w:r w:rsidRPr="00990847">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990847" w:rsidRDefault="009A7F87" w:rsidP="009A7F87">
            <w:pPr>
              <w:pStyle w:val="TableBodyText"/>
              <w:keepNext w:val="0"/>
              <w:spacing w:before="60" w:after="60"/>
              <w:ind w:left="2"/>
              <w:jc w:val="center"/>
              <w:rPr>
                <w:i/>
              </w:rPr>
            </w:pPr>
            <w:r w:rsidRPr="00990847">
              <w:rPr>
                <w:i/>
              </w:rPr>
              <w:t>2010</w:t>
            </w:r>
            <w:r w:rsidRPr="00990847">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990847" w:rsidRDefault="009A7F87" w:rsidP="009A7F87">
            <w:pPr>
              <w:pStyle w:val="TableBodyText"/>
              <w:keepNext w:val="0"/>
              <w:spacing w:before="60" w:after="60"/>
              <w:ind w:left="2"/>
              <w:jc w:val="center"/>
              <w:rPr>
                <w:i/>
              </w:rPr>
            </w:pPr>
            <w:r w:rsidRPr="00990847">
              <w:rPr>
                <w:i/>
              </w:rPr>
              <w:t>2012</w:t>
            </w:r>
            <w:r w:rsidRPr="00990847">
              <w:rPr>
                <w:i/>
              </w:rPr>
              <w:noBreakHyphen/>
              <w:t>13 Estimates</w:t>
            </w:r>
          </w:p>
        </w:tc>
        <w:tc>
          <w:tcPr>
            <w:tcW w:w="583" w:type="pct"/>
            <w:tcBorders>
              <w:top w:val="single" w:sz="6" w:space="0" w:color="808080" w:themeColor="background1" w:themeShade="80"/>
              <w:bottom w:val="single" w:sz="6" w:space="0" w:color="808080" w:themeColor="background1" w:themeShade="80"/>
            </w:tcBorders>
          </w:tcPr>
          <w:p w:rsidR="009A7F87" w:rsidRPr="00990847" w:rsidRDefault="009A7F87" w:rsidP="009A7F87">
            <w:pPr>
              <w:pStyle w:val="TableBodyText"/>
              <w:keepNext w:val="0"/>
              <w:spacing w:before="60" w:after="60"/>
              <w:ind w:left="2"/>
              <w:jc w:val="center"/>
              <w:rPr>
                <w:i/>
              </w:rPr>
            </w:pPr>
            <w:r w:rsidRPr="00990847">
              <w:rPr>
                <w:i/>
              </w:rPr>
              <w:t>2015</w:t>
            </w:r>
            <w:r w:rsidRPr="00990847">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Supported periods for Supported Accommodation Assistance Program (SAAP) clients aged 25 years and over</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AIHW Supported Accommodation Assistance Program Client Collection (unpublished)</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tcBorders>
              <w:top w:val="single" w:sz="6" w:space="0" w:color="808080" w:themeColor="background1" w:themeShade="80"/>
            </w:tcBorders>
            <w:vAlign w:val="center"/>
          </w:tcPr>
          <w:p w:rsidR="009A7F87" w:rsidRDefault="009A7F87" w:rsidP="009A7F87">
            <w:pPr>
              <w:pStyle w:val="TableBodyText"/>
              <w:spacing w:before="60" w:after="60"/>
              <w:ind w:left="2"/>
              <w:jc w:val="center"/>
            </w:pPr>
            <w:r>
              <w:t>..</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after="60" w:line="240" w:lineRule="auto"/>
              <w:ind w:left="0"/>
              <w:jc w:val="left"/>
            </w:pPr>
            <w:r w:rsidRPr="00770229">
              <w:t>Supported periods for specialist homelessness services clients aged 25 years and over</w:t>
            </w:r>
          </w:p>
        </w:tc>
        <w:tc>
          <w:tcPr>
            <w:tcW w:w="1814" w:type="pct"/>
            <w:tcBorders>
              <w:bottom w:val="single" w:sz="6" w:space="0" w:color="808080" w:themeColor="background1" w:themeShade="80"/>
            </w:tcBorders>
            <w:shd w:val="clear" w:color="auto" w:fill="auto"/>
          </w:tcPr>
          <w:p w:rsidR="009A7F87" w:rsidRPr="00770229" w:rsidRDefault="009A7F87" w:rsidP="009A7F87">
            <w:pPr>
              <w:pStyle w:val="TableBodyText"/>
              <w:keepNext w:val="0"/>
              <w:spacing w:after="60" w:line="240" w:lineRule="auto"/>
              <w:ind w:left="180"/>
              <w:jc w:val="left"/>
            </w:pPr>
            <w:r w:rsidRPr="00770229">
              <w:t>AIHW Specialist Homelessness Services data collection (unpublished)</w:t>
            </w:r>
          </w:p>
        </w:tc>
        <w:tc>
          <w:tcPr>
            <w:tcW w:w="584"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after="60" w:line="240" w:lineRule="auto"/>
              <w:ind w:left="2"/>
              <w:jc w:val="center"/>
            </w:pPr>
            <w:r>
              <w:t>..</w:t>
            </w:r>
          </w:p>
          <w:p w:rsidR="009A7F87" w:rsidRDefault="009A7F87" w:rsidP="009A7F87">
            <w:pPr>
              <w:pStyle w:val="TableBodyText"/>
              <w:keepNext w:val="0"/>
              <w:spacing w:after="60" w:line="240" w:lineRule="auto"/>
              <w:ind w:left="2"/>
              <w:jc w:val="center"/>
            </w:pPr>
          </w:p>
          <w:p w:rsidR="009A7F87" w:rsidRDefault="009A7F87" w:rsidP="009A7F87">
            <w:pPr>
              <w:pStyle w:val="TableBodyText"/>
              <w:keepNext w:val="0"/>
              <w:spacing w:after="60" w:line="240" w:lineRule="auto"/>
              <w:ind w:left="2"/>
              <w:jc w:val="center"/>
            </w:pPr>
          </w:p>
          <w:p w:rsidR="009A7F87" w:rsidRDefault="009A7F87" w:rsidP="009A7F87">
            <w:pPr>
              <w:pStyle w:val="TableBodyText"/>
              <w:keepNext w:val="0"/>
              <w:spacing w:after="60" w:line="240" w:lineRule="auto"/>
              <w:ind w:left="2"/>
              <w:jc w:val="center"/>
            </w:pPr>
          </w:p>
          <w:p w:rsidR="009A7F87" w:rsidRPr="00770229" w:rsidRDefault="009A7F87" w:rsidP="009A7F87">
            <w:pPr>
              <w:pStyle w:val="TableBodyText"/>
              <w:keepNext w:val="0"/>
              <w:spacing w:after="60" w:line="240" w:lineRule="auto"/>
              <w:ind w:left="2"/>
              <w:jc w:val="center"/>
            </w:pPr>
          </w:p>
        </w:tc>
        <w:tc>
          <w:tcPr>
            <w:tcW w:w="585" w:type="pct"/>
            <w:gridSpan w:val="2"/>
            <w:tcBorders>
              <w:bottom w:val="single" w:sz="6" w:space="0" w:color="808080" w:themeColor="background1" w:themeShade="80"/>
            </w:tcBorders>
            <w:shd w:val="clear" w:color="auto" w:fill="auto"/>
            <w:vAlign w:val="center"/>
          </w:tcPr>
          <w:p w:rsidR="009A7F87" w:rsidRDefault="009A7F87" w:rsidP="009A7F87">
            <w:pPr>
              <w:pStyle w:val="TableBodyText"/>
              <w:spacing w:after="60" w:line="240" w:lineRule="auto"/>
              <w:ind w:left="2"/>
              <w:jc w:val="center"/>
            </w:pPr>
            <w:r>
              <w:t>..</w:t>
            </w:r>
          </w:p>
          <w:p w:rsidR="009A7F87" w:rsidRDefault="009A7F87" w:rsidP="009A7F87">
            <w:pPr>
              <w:pStyle w:val="TableBodyText"/>
              <w:spacing w:after="60" w:line="240" w:lineRule="auto"/>
              <w:ind w:left="2"/>
              <w:jc w:val="center"/>
            </w:pPr>
          </w:p>
          <w:p w:rsidR="009A7F87" w:rsidRDefault="009A7F87" w:rsidP="009A7F87">
            <w:pPr>
              <w:pStyle w:val="TableBodyText"/>
              <w:spacing w:after="60" w:line="240" w:lineRule="auto"/>
              <w:ind w:left="2"/>
              <w:jc w:val="center"/>
            </w:pPr>
          </w:p>
          <w:p w:rsidR="009A7F87" w:rsidRDefault="009A7F87" w:rsidP="009A7F87">
            <w:pPr>
              <w:pStyle w:val="TableBodyText"/>
              <w:spacing w:after="60" w:line="240" w:lineRule="auto"/>
              <w:ind w:left="2"/>
              <w:jc w:val="center"/>
            </w:pPr>
          </w:p>
          <w:p w:rsidR="009A7F87" w:rsidRPr="00770229" w:rsidRDefault="009A7F87" w:rsidP="009A7F87">
            <w:pPr>
              <w:pStyle w:val="TableBodyText"/>
              <w:spacing w:after="60" w:line="240" w:lineRule="auto"/>
              <w:ind w:left="2"/>
              <w:jc w:val="center"/>
            </w:pPr>
          </w:p>
        </w:tc>
        <w:tc>
          <w:tcPr>
            <w:tcW w:w="585" w:type="pct"/>
            <w:tcBorders>
              <w:bottom w:val="single" w:sz="6" w:space="0" w:color="808080" w:themeColor="background1" w:themeShade="80"/>
            </w:tcBorders>
            <w:shd w:val="clear" w:color="auto" w:fill="auto"/>
            <w:vAlign w:val="center"/>
          </w:tcPr>
          <w:p w:rsidR="009A7F87" w:rsidRDefault="009A7F87" w:rsidP="009A7F87">
            <w:pPr>
              <w:pStyle w:val="TableBodyText"/>
              <w:spacing w:after="60" w:line="240" w:lineRule="auto"/>
              <w:ind w:left="2"/>
              <w:jc w:val="center"/>
            </w:pPr>
            <w:r>
              <w:t>2012-13</w:t>
            </w:r>
          </w:p>
          <w:p w:rsidR="009A7F87" w:rsidRDefault="009A7F87" w:rsidP="009A7F87">
            <w:pPr>
              <w:pStyle w:val="TableBodyText"/>
              <w:spacing w:after="60" w:line="240" w:lineRule="auto"/>
              <w:ind w:left="2"/>
              <w:jc w:val="center"/>
            </w:pPr>
          </w:p>
          <w:p w:rsidR="009A7F87" w:rsidRDefault="009A7F87" w:rsidP="009A7F87">
            <w:pPr>
              <w:pStyle w:val="TableBodyText"/>
              <w:spacing w:after="60" w:line="240" w:lineRule="auto"/>
              <w:ind w:left="2"/>
              <w:jc w:val="center"/>
            </w:pPr>
          </w:p>
          <w:p w:rsidR="009A7F87" w:rsidRDefault="009A7F87" w:rsidP="009A7F87">
            <w:pPr>
              <w:pStyle w:val="TableBodyText"/>
              <w:spacing w:after="60" w:line="240" w:lineRule="auto"/>
              <w:ind w:left="2"/>
              <w:jc w:val="center"/>
            </w:pPr>
          </w:p>
          <w:p w:rsidR="009A7F87" w:rsidRPr="00770229" w:rsidRDefault="009A7F87" w:rsidP="009A7F87">
            <w:pPr>
              <w:pStyle w:val="TableBodyText"/>
              <w:spacing w:after="60" w:line="240" w:lineRule="auto"/>
              <w:ind w:left="2"/>
              <w:jc w:val="center"/>
            </w:pPr>
          </w:p>
        </w:tc>
        <w:tc>
          <w:tcPr>
            <w:tcW w:w="583" w:type="pct"/>
            <w:tcBorders>
              <w:bottom w:val="single" w:sz="6" w:space="0" w:color="808080" w:themeColor="background1" w:themeShade="80"/>
            </w:tcBorders>
            <w:vAlign w:val="center"/>
          </w:tcPr>
          <w:p w:rsidR="009A7F87" w:rsidRDefault="009A7F87" w:rsidP="009A7F87">
            <w:pPr>
              <w:pStyle w:val="TableBodyText"/>
              <w:spacing w:after="60" w:line="240" w:lineRule="auto"/>
              <w:ind w:left="2"/>
              <w:jc w:val="center"/>
            </w:pPr>
            <w:r>
              <w:t>2015-16</w:t>
            </w:r>
          </w:p>
          <w:p w:rsidR="009A7F87" w:rsidRDefault="009A7F87" w:rsidP="009A7F87">
            <w:pPr>
              <w:pStyle w:val="TableBodyText"/>
              <w:spacing w:after="60" w:line="240" w:lineRule="auto"/>
              <w:ind w:left="2"/>
              <w:jc w:val="center"/>
            </w:pPr>
          </w:p>
          <w:p w:rsidR="009A7F87" w:rsidRDefault="009A7F87" w:rsidP="009A7F87">
            <w:pPr>
              <w:pStyle w:val="TableBodyText"/>
              <w:spacing w:after="60" w:line="240" w:lineRule="auto"/>
              <w:ind w:left="2"/>
              <w:jc w:val="center"/>
            </w:pPr>
          </w:p>
          <w:p w:rsidR="009A7F87" w:rsidRDefault="009A7F87" w:rsidP="009A7F87">
            <w:pPr>
              <w:pStyle w:val="TableBodyText"/>
              <w:spacing w:after="60" w:line="240" w:lineRule="auto"/>
              <w:ind w:left="2"/>
              <w:jc w:val="center"/>
            </w:pPr>
          </w:p>
          <w:p w:rsidR="009A7F87" w:rsidRPr="00770229" w:rsidRDefault="009A7F87" w:rsidP="009A7F87">
            <w:pPr>
              <w:pStyle w:val="TableBodyText"/>
              <w:spacing w:after="60" w:line="240" w:lineRule="auto"/>
              <w:ind w:left="2"/>
              <w:jc w:val="center"/>
            </w:pPr>
          </w:p>
        </w:tc>
      </w:tr>
      <w:tr w:rsidR="009A7F87" w:rsidRPr="0071369A" w:rsidTr="0044346B">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9A7F87">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503"/>
        <w:gridCol w:w="3189"/>
        <w:gridCol w:w="1026"/>
        <w:gridCol w:w="600"/>
        <w:gridCol w:w="427"/>
        <w:gridCol w:w="1027"/>
        <w:gridCol w:w="1024"/>
      </w:tblGrid>
      <w:tr w:rsidR="009A7F87" w:rsidRPr="00770229" w:rsidTr="00144C20">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144C20">
            <w:pPr>
              <w:pStyle w:val="Heading3"/>
              <w:spacing w:before="500"/>
            </w:pPr>
            <w:r w:rsidRPr="00770229">
              <w:br w:type="page"/>
              <w:t>0</w:t>
            </w:r>
            <w:r>
              <w:t>629.2</w:t>
            </w:r>
            <w:r w:rsidRPr="00770229">
              <w:t xml:space="preserve"> Other welfare services</w:t>
            </w:r>
          </w:p>
        </w:tc>
      </w:tr>
      <w:tr w:rsidR="009A7F87" w:rsidRPr="00770229" w:rsidTr="00144C20">
        <w:tblPrEx>
          <w:tblBorders>
            <w:top w:val="none" w:sz="0" w:space="0" w:color="auto"/>
            <w:bottom w:val="none" w:sz="0" w:space="0" w:color="auto"/>
            <w:insideH w:val="none" w:sz="0" w:space="0" w:color="auto"/>
          </w:tblBorders>
          <w:tblCellMar>
            <w:left w:w="108" w:type="dxa"/>
            <w:right w:w="108" w:type="dxa"/>
          </w:tblCellMar>
        </w:tblPrEx>
        <w:tc>
          <w:tcPr>
            <w:tcW w:w="359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09" w:type="pct"/>
            <w:gridSpan w:val="3"/>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60"/>
              <w:jc w:val="left"/>
              <w:rPr>
                <w:b/>
                <w:i/>
                <w:sz w:val="24"/>
              </w:rPr>
            </w:pPr>
            <w:r w:rsidRPr="00770229">
              <w:rPr>
                <w:b/>
                <w:sz w:val="24"/>
              </w:rPr>
              <w:t>Service description</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Welfare services not elsewhere classified can be grouped under five categories:</w:t>
            </w:r>
          </w:p>
          <w:p w:rsidR="009A7F87" w:rsidRPr="00770229" w:rsidRDefault="009A7F87" w:rsidP="009A7F87">
            <w:pPr>
              <w:pStyle w:val="TableBullet"/>
              <w:numPr>
                <w:ilvl w:val="0"/>
                <w:numId w:val="24"/>
              </w:numPr>
              <w:spacing w:line="220" w:lineRule="atLeast"/>
              <w:rPr>
                <w:i/>
              </w:rPr>
            </w:pPr>
            <w:r w:rsidRPr="00770229">
              <w:rPr>
                <w:i/>
              </w:rPr>
              <w:t xml:space="preserve">Indigenous advancement programs — </w:t>
            </w:r>
            <w:r w:rsidRPr="00770229">
              <w:t>general or whole of community Indigenous support</w:t>
            </w:r>
          </w:p>
          <w:p w:rsidR="009A7F87" w:rsidRPr="00770229" w:rsidRDefault="009A7F87" w:rsidP="009A7F87">
            <w:pPr>
              <w:pStyle w:val="TableBullet"/>
              <w:numPr>
                <w:ilvl w:val="0"/>
                <w:numId w:val="24"/>
              </w:numPr>
              <w:spacing w:line="220" w:lineRule="atLeast"/>
            </w:pPr>
            <w:r w:rsidRPr="00770229">
              <w:rPr>
                <w:i/>
              </w:rPr>
              <w:t>superannuation support programs</w:t>
            </w:r>
            <w:r w:rsidRPr="00770229">
              <w:t xml:space="preserve"> — the Australian Government Superannuation Co</w:t>
            </w:r>
            <w:r w:rsidRPr="00770229">
              <w:noBreakHyphen/>
              <w:t>contribution Scheme makes a financial contribution to low income earners’ superannuation accounts</w:t>
            </w:r>
          </w:p>
          <w:p w:rsidR="009A7F87" w:rsidRPr="00770229" w:rsidRDefault="009A7F87" w:rsidP="009A7F87">
            <w:pPr>
              <w:pStyle w:val="TableBullet"/>
              <w:numPr>
                <w:ilvl w:val="0"/>
                <w:numId w:val="24"/>
              </w:numPr>
              <w:spacing w:line="220" w:lineRule="atLeast"/>
            </w:pPr>
            <w:r w:rsidRPr="00770229">
              <w:rPr>
                <w:rFonts w:ascii="ArialMT" w:hAnsi="ArialMT" w:cs="ArialMT"/>
                <w:i/>
              </w:rPr>
              <w:t>financial assistance and concessions</w:t>
            </w:r>
            <w:r w:rsidRPr="00770229">
              <w:rPr>
                <w:rFonts w:ascii="ArialMT" w:hAnsi="ArialMT" w:cs="ArialMT"/>
              </w:rPr>
              <w:t xml:space="preserve"> — price concessions to people with special needs, where eligibility does not include an income test</w:t>
            </w:r>
          </w:p>
          <w:p w:rsidR="009A7F87" w:rsidRPr="00770229" w:rsidRDefault="009A7F87" w:rsidP="009A7F87">
            <w:pPr>
              <w:pStyle w:val="TableBullet"/>
              <w:numPr>
                <w:ilvl w:val="0"/>
                <w:numId w:val="24"/>
              </w:numPr>
              <w:spacing w:line="220" w:lineRule="atLeast"/>
            </w:pPr>
            <w:r w:rsidRPr="00770229">
              <w:rPr>
                <w:i/>
              </w:rPr>
              <w:t>community welfare and support</w:t>
            </w:r>
            <w:r w:rsidRPr="00770229">
              <w:t xml:space="preserve"> — welfare and support programs covering areas such as support for women, citizenship, and social cohesion</w:t>
            </w:r>
          </w:p>
          <w:p w:rsidR="009A7F87" w:rsidRPr="00770229" w:rsidRDefault="009A7F87" w:rsidP="009A7F87">
            <w:pPr>
              <w:pStyle w:val="TableBullet"/>
              <w:numPr>
                <w:ilvl w:val="0"/>
                <w:numId w:val="24"/>
              </w:numPr>
              <w:spacing w:line="220" w:lineRule="atLeast"/>
            </w:pPr>
            <w:r w:rsidRPr="00770229">
              <w:rPr>
                <w:i/>
              </w:rPr>
              <w:t>tax bonus</w:t>
            </w:r>
            <w:r w:rsidRPr="00770229">
              <w:t xml:space="preserve"> — one</w:t>
            </w:r>
            <w:r w:rsidRPr="00770229">
              <w:noBreakHyphen/>
              <w:t>off payments related to the Australian Government global financial crisis stimulus bonus for working families package.</w:t>
            </w:r>
          </w:p>
          <w:p w:rsidR="009A7F87" w:rsidRPr="00770229" w:rsidRDefault="009A7F87" w:rsidP="009A7F87">
            <w:pPr>
              <w:pStyle w:val="TableBodyText"/>
              <w:keepNext w:val="0"/>
              <w:keepLines w:val="0"/>
              <w:spacing w:before="80" w:after="80"/>
              <w:jc w:val="left"/>
            </w:pPr>
            <w:r w:rsidRPr="00770229">
              <w:t>Other welfare services is a sub</w:t>
            </w:r>
            <w:r w:rsidRPr="00770229">
              <w:noBreakHyphen/>
              <w:t xml:space="preserve">category of welfare services not elsewhere classified (GPC 0621). </w:t>
            </w:r>
          </w:p>
          <w:p w:rsidR="009A7F87" w:rsidRPr="00770229" w:rsidRDefault="009A7F87" w:rsidP="009A7F87">
            <w:pPr>
              <w:pStyle w:val="TableBodyText"/>
              <w:jc w:val="left"/>
              <w:rPr>
                <w:b/>
                <w:sz w:val="24"/>
              </w:rPr>
            </w:pPr>
            <w:r w:rsidRPr="00770229">
              <w:rPr>
                <w:b/>
              </w:rPr>
              <w:t xml:space="preserve">A detailed definition of expenditure included under this </w:t>
            </w:r>
            <w:r w:rsidRPr="00610B59">
              <w:rPr>
                <w:b/>
              </w:rPr>
              <w:t>category is provided in the 2017 Report Expenditure Data Manual (http://www.pc.gov.au/ier2017).</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60"/>
              <w:jc w:val="left"/>
              <w:rPr>
                <w:b/>
                <w:i/>
                <w:sz w:val="24"/>
              </w:rPr>
            </w:pPr>
            <w:r w:rsidRPr="00770229">
              <w:rPr>
                <w:b/>
                <w:sz w:val="24"/>
              </w:rPr>
              <w:t xml:space="preserve">Cost drivers </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The key cost driver of expenditure on </w:t>
            </w:r>
            <w:r w:rsidRPr="00770229">
              <w:rPr>
                <w:szCs w:val="26"/>
              </w:rPr>
              <w:t>Indigenous advancement programs is the number of Aboriginal and Torres Strait Islander Australians.</w:t>
            </w:r>
          </w:p>
          <w:p w:rsidR="009A7F87" w:rsidRPr="00770229" w:rsidRDefault="009A7F87" w:rsidP="009A7F87">
            <w:pPr>
              <w:pStyle w:val="TableBodyText"/>
              <w:keepNext w:val="0"/>
              <w:keepLines w:val="0"/>
              <w:spacing w:before="80" w:after="80"/>
              <w:jc w:val="left"/>
            </w:pPr>
            <w:r w:rsidRPr="00770229">
              <w:t xml:space="preserve">Expenditure on </w:t>
            </w:r>
            <w:r w:rsidRPr="00770229">
              <w:rPr>
                <w:szCs w:val="26"/>
              </w:rPr>
              <w:t xml:space="preserve">Indigenous advancement programs </w:t>
            </w:r>
            <w:r w:rsidRPr="00770229">
              <w:t>is solely provided to Aboriginal and Torres Strait Islander Australians. As such, all expenditure is classified as Indigenous specific. Accordingly, there is no mainstream expenditure for this category, and no apportionment between Indigenous and non</w:t>
            </w:r>
            <w:r w:rsidRPr="00770229">
              <w:noBreakHyphen/>
              <w:t>Indigenous expenditure is required.</w:t>
            </w:r>
          </w:p>
          <w:p w:rsidR="009A7F87" w:rsidRPr="00770229" w:rsidRDefault="009A7F87" w:rsidP="009A7F87">
            <w:pPr>
              <w:pStyle w:val="TableBodyText"/>
              <w:keepNext w:val="0"/>
              <w:spacing w:before="60" w:after="60"/>
              <w:jc w:val="left"/>
              <w:rPr>
                <w:szCs w:val="26"/>
              </w:rPr>
            </w:pPr>
            <w:r w:rsidRPr="00770229">
              <w:rPr>
                <w:szCs w:val="26"/>
              </w:rPr>
              <w:t>For superannuation support, costs are driven by the number of people eligible for superannuation support programs, as well as the level of assistance provided.</w:t>
            </w:r>
          </w:p>
          <w:p w:rsidR="009A7F87" w:rsidRPr="00770229" w:rsidRDefault="009A7F87" w:rsidP="009A7F87">
            <w:pPr>
              <w:pStyle w:val="TableBodyText"/>
              <w:keepNext w:val="0"/>
              <w:spacing w:before="60" w:after="60"/>
              <w:jc w:val="left"/>
              <w:rPr>
                <w:szCs w:val="26"/>
              </w:rPr>
            </w:pPr>
            <w:r w:rsidRPr="00770229">
              <w:rPr>
                <w:szCs w:val="26"/>
              </w:rPr>
              <w:t xml:space="preserve">Costs of financial </w:t>
            </w:r>
            <w:r w:rsidRPr="00770229">
              <w:rPr>
                <w:rFonts w:ascii="ArialMT" w:hAnsi="ArialMT" w:cs="ArialMT"/>
              </w:rPr>
              <w:t>assistance</w:t>
            </w:r>
            <w:r w:rsidRPr="00770229">
              <w:rPr>
                <w:szCs w:val="26"/>
              </w:rPr>
              <w:t xml:space="preserve"> and concessions are driven by the number of people receiving </w:t>
            </w:r>
            <w:r w:rsidRPr="00770229">
              <w:rPr>
                <w:rFonts w:ascii="ArialMT" w:hAnsi="ArialMT" w:cs="ArialMT"/>
              </w:rPr>
              <w:t>assistance</w:t>
            </w:r>
            <w:r w:rsidRPr="00770229">
              <w:rPr>
                <w:szCs w:val="26"/>
              </w:rPr>
              <w:t>, as well as the average cost of assistance.</w:t>
            </w:r>
          </w:p>
          <w:p w:rsidR="009A7F87" w:rsidRPr="00770229" w:rsidRDefault="009A7F87" w:rsidP="009A7F87">
            <w:pPr>
              <w:pStyle w:val="TableBodyText"/>
              <w:keepNext w:val="0"/>
              <w:keepLines w:val="0"/>
              <w:spacing w:before="80" w:after="80"/>
              <w:jc w:val="left"/>
              <w:rPr>
                <w:szCs w:val="26"/>
              </w:rPr>
            </w:pPr>
            <w:r w:rsidRPr="00770229">
              <w:rPr>
                <w:szCs w:val="26"/>
              </w:rPr>
              <w:t>The main cost driver for community welfare and support is the resident population.</w:t>
            </w:r>
          </w:p>
        </w:tc>
      </w:tr>
      <w:tr w:rsidR="009A7F87" w:rsidRPr="00770229" w:rsidTr="0093701F">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jc w:val="left"/>
              <w:rPr>
                <w:b/>
                <w:i/>
                <w:sz w:val="24"/>
                <w:szCs w:val="24"/>
              </w:rPr>
            </w:pPr>
            <w:r w:rsidRPr="00770229">
              <w:rPr>
                <w:b/>
                <w:sz w:val="24"/>
                <w:szCs w:val="24"/>
              </w:rPr>
              <w:t>Service use measures</w:t>
            </w:r>
          </w:p>
        </w:tc>
      </w:tr>
      <w:tr w:rsidR="009A7F87" w:rsidRPr="00990847" w:rsidTr="0093701F">
        <w:tblPrEx>
          <w:tblBorders>
            <w:top w:val="none" w:sz="0" w:space="0" w:color="auto"/>
            <w:bottom w:val="none" w:sz="0" w:space="0" w:color="auto"/>
            <w:insideH w:val="none" w:sz="0" w:space="0" w:color="auto"/>
          </w:tblBorders>
        </w:tblPrEx>
        <w:tc>
          <w:tcPr>
            <w:tcW w:w="854"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990847" w:rsidRDefault="009A7F87" w:rsidP="009A7F87">
            <w:pPr>
              <w:pStyle w:val="TableColumnHeading"/>
              <w:keepNext w:val="0"/>
              <w:jc w:val="left"/>
            </w:pPr>
          </w:p>
        </w:tc>
        <w:tc>
          <w:tcPr>
            <w:tcW w:w="1813" w:type="pct"/>
            <w:tcBorders>
              <w:top w:val="single" w:sz="6" w:space="0" w:color="808080" w:themeColor="background1" w:themeShade="80"/>
              <w:bottom w:val="single" w:sz="6" w:space="0" w:color="808080" w:themeColor="background1" w:themeShade="80"/>
            </w:tcBorders>
            <w:shd w:val="clear" w:color="auto" w:fill="auto"/>
          </w:tcPr>
          <w:p w:rsidR="009A7F87" w:rsidRPr="00990847" w:rsidRDefault="009A7F87" w:rsidP="009A7F87">
            <w:pPr>
              <w:pStyle w:val="TableColumnHeading"/>
              <w:keepNext w:val="0"/>
              <w:ind w:left="180"/>
              <w:jc w:val="left"/>
            </w:pPr>
          </w:p>
        </w:tc>
        <w:tc>
          <w:tcPr>
            <w:tcW w:w="2333" w:type="pct"/>
            <w:gridSpan w:val="5"/>
            <w:tcBorders>
              <w:top w:val="single" w:sz="6" w:space="0" w:color="808080" w:themeColor="background1" w:themeShade="80"/>
              <w:bottom w:val="single" w:sz="6" w:space="0" w:color="808080" w:themeColor="background1" w:themeShade="80"/>
            </w:tcBorders>
            <w:shd w:val="clear" w:color="auto" w:fill="auto"/>
          </w:tcPr>
          <w:p w:rsidR="009A7F87" w:rsidRPr="00990847" w:rsidRDefault="009A7F87" w:rsidP="009A7F87">
            <w:pPr>
              <w:pStyle w:val="TableColumnHeading"/>
              <w:keepNext w:val="0"/>
              <w:ind w:left="180"/>
              <w:jc w:val="center"/>
            </w:pPr>
            <w:r w:rsidRPr="00990847">
              <w:t>Data Years</w:t>
            </w:r>
          </w:p>
        </w:tc>
      </w:tr>
      <w:tr w:rsidR="009A7F87" w:rsidRPr="00990847" w:rsidTr="0093701F">
        <w:tblPrEx>
          <w:tblBorders>
            <w:top w:val="none" w:sz="0" w:space="0" w:color="auto"/>
            <w:bottom w:val="none" w:sz="0" w:space="0" w:color="auto"/>
            <w:insideH w:val="none" w:sz="0" w:space="0" w:color="auto"/>
          </w:tblBorders>
        </w:tblPrEx>
        <w:tc>
          <w:tcPr>
            <w:tcW w:w="854"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990847" w:rsidRDefault="009A7F87" w:rsidP="009A7F87">
            <w:pPr>
              <w:pStyle w:val="TableBodyText"/>
              <w:keepNext w:val="0"/>
              <w:spacing w:before="60" w:after="60"/>
              <w:ind w:left="0"/>
              <w:jc w:val="both"/>
              <w:rPr>
                <w:i/>
              </w:rPr>
            </w:pPr>
            <w:r w:rsidRPr="00990847">
              <w:rPr>
                <w:i/>
              </w:rPr>
              <w:br/>
              <w:t>Measure</w:t>
            </w:r>
          </w:p>
        </w:tc>
        <w:tc>
          <w:tcPr>
            <w:tcW w:w="1813" w:type="pct"/>
            <w:tcBorders>
              <w:top w:val="single" w:sz="6" w:space="0" w:color="808080" w:themeColor="background1" w:themeShade="80"/>
              <w:bottom w:val="single" w:sz="6" w:space="0" w:color="808080" w:themeColor="background1" w:themeShade="80"/>
            </w:tcBorders>
            <w:shd w:val="clear" w:color="auto" w:fill="auto"/>
          </w:tcPr>
          <w:p w:rsidR="009A7F87" w:rsidRPr="00990847" w:rsidRDefault="009A7F87" w:rsidP="009A7F87">
            <w:pPr>
              <w:pStyle w:val="TableBodyText"/>
              <w:keepNext w:val="0"/>
              <w:spacing w:before="60" w:after="60"/>
              <w:ind w:left="180"/>
              <w:jc w:val="left"/>
              <w:rPr>
                <w:i/>
              </w:rPr>
            </w:pPr>
            <w:r w:rsidRPr="00990847">
              <w:rPr>
                <w:i/>
              </w:rPr>
              <w:br/>
              <w:t>Data source</w:t>
            </w:r>
          </w:p>
        </w:tc>
        <w:tc>
          <w:tcPr>
            <w:tcW w:w="583" w:type="pct"/>
            <w:tcBorders>
              <w:top w:val="single" w:sz="6" w:space="0" w:color="808080" w:themeColor="background1" w:themeShade="80"/>
              <w:bottom w:val="single" w:sz="6" w:space="0" w:color="808080" w:themeColor="background1" w:themeShade="80"/>
            </w:tcBorders>
            <w:shd w:val="clear" w:color="auto" w:fill="auto"/>
          </w:tcPr>
          <w:p w:rsidR="009A7F87" w:rsidRPr="00990847" w:rsidRDefault="009A7F87" w:rsidP="009A7F87">
            <w:pPr>
              <w:pStyle w:val="TableBodyText"/>
              <w:keepNext w:val="0"/>
              <w:spacing w:before="60" w:after="60"/>
              <w:ind w:left="2"/>
              <w:jc w:val="center"/>
              <w:rPr>
                <w:i/>
              </w:rPr>
            </w:pPr>
            <w:r w:rsidRPr="00990847">
              <w:rPr>
                <w:i/>
              </w:rPr>
              <w:t>2008</w:t>
            </w:r>
            <w:r w:rsidRPr="00990847">
              <w:rPr>
                <w:i/>
              </w:rPr>
              <w:noBreakHyphen/>
              <w:t>09 Estimates</w:t>
            </w:r>
          </w:p>
        </w:tc>
        <w:tc>
          <w:tcPr>
            <w:tcW w:w="584" w:type="pct"/>
            <w:gridSpan w:val="2"/>
            <w:tcBorders>
              <w:top w:val="single" w:sz="6" w:space="0" w:color="808080" w:themeColor="background1" w:themeShade="80"/>
              <w:bottom w:val="single" w:sz="6" w:space="0" w:color="808080" w:themeColor="background1" w:themeShade="80"/>
            </w:tcBorders>
            <w:shd w:val="clear" w:color="auto" w:fill="auto"/>
          </w:tcPr>
          <w:p w:rsidR="009A7F87" w:rsidRPr="00990847" w:rsidRDefault="009A7F87" w:rsidP="009A7F87">
            <w:pPr>
              <w:pStyle w:val="TableBodyText"/>
              <w:keepNext w:val="0"/>
              <w:spacing w:before="60" w:after="60"/>
              <w:ind w:left="2"/>
              <w:jc w:val="center"/>
              <w:rPr>
                <w:i/>
              </w:rPr>
            </w:pPr>
            <w:r w:rsidRPr="00990847">
              <w:rPr>
                <w:i/>
              </w:rPr>
              <w:t>2010</w:t>
            </w:r>
            <w:r w:rsidRPr="00990847">
              <w:rPr>
                <w:i/>
              </w:rPr>
              <w:noBreakHyphen/>
              <w:t>11 Estimates</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990847" w:rsidRDefault="009A7F87" w:rsidP="009A7F87">
            <w:pPr>
              <w:pStyle w:val="TableBodyText"/>
              <w:keepNext w:val="0"/>
              <w:spacing w:before="60" w:after="60"/>
              <w:ind w:left="2"/>
              <w:jc w:val="center"/>
              <w:rPr>
                <w:i/>
              </w:rPr>
            </w:pPr>
            <w:r w:rsidRPr="00990847">
              <w:rPr>
                <w:i/>
              </w:rPr>
              <w:t>2012</w:t>
            </w:r>
            <w:r w:rsidRPr="00990847">
              <w:rPr>
                <w:i/>
              </w:rPr>
              <w:noBreakHyphen/>
              <w:t>13 Estimates</w:t>
            </w:r>
          </w:p>
        </w:tc>
        <w:tc>
          <w:tcPr>
            <w:tcW w:w="582" w:type="pct"/>
            <w:tcBorders>
              <w:top w:val="single" w:sz="6" w:space="0" w:color="808080" w:themeColor="background1" w:themeShade="80"/>
              <w:bottom w:val="single" w:sz="6" w:space="0" w:color="808080" w:themeColor="background1" w:themeShade="80"/>
            </w:tcBorders>
          </w:tcPr>
          <w:p w:rsidR="009A7F87" w:rsidRPr="00990847" w:rsidRDefault="009A7F87" w:rsidP="009A7F87">
            <w:pPr>
              <w:pStyle w:val="TableBodyText"/>
              <w:keepNext w:val="0"/>
              <w:spacing w:before="60" w:after="60"/>
              <w:ind w:left="2"/>
              <w:jc w:val="center"/>
              <w:rPr>
                <w:i/>
              </w:rPr>
            </w:pPr>
            <w:r w:rsidRPr="00990847">
              <w:rPr>
                <w:i/>
              </w:rPr>
              <w:t>2015</w:t>
            </w:r>
            <w:r w:rsidRPr="00990847">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54"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spacing w:before="60" w:after="60"/>
              <w:jc w:val="left"/>
            </w:pPr>
            <w:r w:rsidRPr="00770229">
              <w:t>Census population that qualify for super contribution</w:t>
            </w:r>
          </w:p>
        </w:tc>
        <w:tc>
          <w:tcPr>
            <w:tcW w:w="1813"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1"/>
              <w:jc w:val="left"/>
            </w:pPr>
            <w:r w:rsidRPr="00770229">
              <w:t>ABS Census of Population and Housing — Gross individual income</w:t>
            </w:r>
            <w:r>
              <w:t xml:space="preserve"> (weekly) by Indigenous status</w:t>
            </w:r>
          </w:p>
        </w:tc>
        <w:tc>
          <w:tcPr>
            <w:tcW w:w="583"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0"/>
              <w:jc w:val="center"/>
            </w:pPr>
            <w:r>
              <w:t>August 2006</w:t>
            </w:r>
          </w:p>
          <w:p w:rsidR="009A7F87" w:rsidRDefault="009A7F87" w:rsidP="009A7F87">
            <w:pPr>
              <w:pStyle w:val="TableBodyText"/>
              <w:keepNext w:val="0"/>
              <w:spacing w:before="60" w:after="60"/>
              <w:ind w:left="0"/>
              <w:jc w:val="center"/>
            </w:pPr>
          </w:p>
          <w:p w:rsidR="009A7F87" w:rsidRPr="00770229" w:rsidRDefault="009A7F87" w:rsidP="009A7F87">
            <w:pPr>
              <w:pStyle w:val="TableBodyText"/>
              <w:keepNext w:val="0"/>
              <w:spacing w:before="60" w:after="60"/>
              <w:ind w:left="0"/>
              <w:jc w:val="center"/>
            </w:pPr>
            <w:r>
              <w:br/>
            </w:r>
          </w:p>
        </w:tc>
        <w:tc>
          <w:tcPr>
            <w:tcW w:w="584"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August 2006</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August 2011</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2" w:type="pct"/>
            <w:tcBorders>
              <w:top w:val="single" w:sz="6" w:space="0" w:color="808080" w:themeColor="background1" w:themeShade="80"/>
            </w:tcBorders>
            <w:vAlign w:val="center"/>
          </w:tcPr>
          <w:p w:rsidR="009A7F87" w:rsidRDefault="009A7F87" w:rsidP="009A7F87">
            <w:pPr>
              <w:pStyle w:val="TableBodyText"/>
              <w:spacing w:before="60" w:after="60"/>
              <w:ind w:left="2"/>
              <w:jc w:val="center"/>
            </w:pPr>
            <w:r>
              <w:t>August 2011</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70229" w:rsidTr="0044346B">
        <w:tblPrEx>
          <w:tblBorders>
            <w:top w:val="none" w:sz="0" w:space="0" w:color="auto"/>
            <w:bottom w:val="none" w:sz="0" w:space="0" w:color="auto"/>
            <w:insideH w:val="none" w:sz="0" w:space="0" w:color="auto"/>
          </w:tblBorders>
        </w:tblPrEx>
        <w:tc>
          <w:tcPr>
            <w:tcW w:w="854" w:type="pct"/>
            <w:tcBorders>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spacing w:before="60"/>
              <w:jc w:val="left"/>
            </w:pPr>
            <w:r w:rsidRPr="00770229">
              <w:t>Australian Government concession card holders</w:t>
            </w:r>
          </w:p>
        </w:tc>
        <w:tc>
          <w:tcPr>
            <w:tcW w:w="1813" w:type="pct"/>
            <w:tcBorders>
              <w:bottom w:val="single" w:sz="6" w:space="0" w:color="808080" w:themeColor="background1" w:themeShade="80"/>
            </w:tcBorders>
            <w:shd w:val="clear" w:color="auto" w:fill="auto"/>
          </w:tcPr>
          <w:p w:rsidR="009A7F87" w:rsidRPr="00770229" w:rsidRDefault="009A7F87" w:rsidP="009A7F87">
            <w:pPr>
              <w:pStyle w:val="TableBodyText"/>
              <w:keepNext w:val="0"/>
              <w:spacing w:before="60"/>
              <w:ind w:left="181"/>
              <w:jc w:val="left"/>
            </w:pPr>
            <w:r w:rsidRPr="00770229">
              <w:t>Australian Government administrative data for income support payments (unpublished)</w:t>
            </w:r>
          </w:p>
        </w:tc>
        <w:tc>
          <w:tcPr>
            <w:tcW w:w="583"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0"/>
              <w:jc w:val="center"/>
            </w:pPr>
            <w:r>
              <w:t>30 June 2009</w:t>
            </w:r>
          </w:p>
          <w:p w:rsidR="009A7F87" w:rsidRDefault="009A7F87" w:rsidP="009A7F87">
            <w:pPr>
              <w:pStyle w:val="TableBodyText"/>
              <w:keepNext w:val="0"/>
              <w:spacing w:before="60"/>
              <w:ind w:left="0"/>
              <w:jc w:val="center"/>
            </w:pPr>
            <w:r>
              <w:br/>
            </w:r>
          </w:p>
        </w:tc>
        <w:tc>
          <w:tcPr>
            <w:tcW w:w="584" w:type="pct"/>
            <w:gridSpan w:val="2"/>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30 June 2011</w:t>
            </w:r>
          </w:p>
          <w:p w:rsidR="009A7F87" w:rsidRDefault="009A7F87" w:rsidP="009A7F87">
            <w:pPr>
              <w:pStyle w:val="TableBodyText"/>
              <w:keepNext w:val="0"/>
              <w:spacing w:before="60"/>
              <w:ind w:left="0"/>
              <w:jc w:val="center"/>
            </w:pPr>
            <w:r>
              <w:br/>
            </w:r>
          </w:p>
        </w:tc>
        <w:tc>
          <w:tcPr>
            <w:tcW w:w="584"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ind w:left="0"/>
              <w:jc w:val="center"/>
            </w:pPr>
            <w:r>
              <w:t>June 2013</w:t>
            </w:r>
            <w:r>
              <w:br/>
            </w:r>
            <w:r>
              <w:br/>
            </w:r>
            <w:r>
              <w:br/>
            </w:r>
          </w:p>
        </w:tc>
        <w:tc>
          <w:tcPr>
            <w:tcW w:w="582" w:type="pct"/>
            <w:tcBorders>
              <w:bottom w:val="single" w:sz="6" w:space="0" w:color="808080" w:themeColor="background1" w:themeShade="80"/>
            </w:tcBorders>
            <w:vAlign w:val="center"/>
          </w:tcPr>
          <w:p w:rsidR="009A7F87" w:rsidRDefault="009A7F87" w:rsidP="009A7F87">
            <w:pPr>
              <w:pStyle w:val="TableBodyText"/>
              <w:keepNext w:val="0"/>
              <w:spacing w:before="60"/>
              <w:ind w:left="0"/>
              <w:jc w:val="center"/>
            </w:pPr>
            <w:r>
              <w:t>June 2016</w:t>
            </w:r>
            <w:r>
              <w:br/>
            </w:r>
            <w:r>
              <w:br/>
            </w:r>
            <w:r>
              <w:br/>
            </w:r>
          </w:p>
        </w:tc>
      </w:tr>
      <w:tr w:rsidR="009A7F87" w:rsidTr="0044346B">
        <w:tblPrEx>
          <w:tblBorders>
            <w:left w:val="single" w:sz="6" w:space="0" w:color="auto"/>
            <w:right w:val="single" w:sz="6" w:space="0" w:color="auto"/>
            <w:insideH w:val="none" w:sz="0" w:space="0" w:color="auto"/>
          </w:tblBorders>
          <w:tblCellMar>
            <w:left w:w="142" w:type="dxa"/>
            <w:right w:w="142" w:type="dxa"/>
          </w:tblCellMar>
        </w:tblPrEx>
        <w:tc>
          <w:tcPr>
            <w:tcW w:w="5000" w:type="pct"/>
            <w:gridSpan w:val="7"/>
            <w:tcBorders>
              <w:top w:val="single" w:sz="6" w:space="0" w:color="808080" w:themeColor="background1" w:themeShade="80"/>
              <w:left w:val="nil"/>
              <w:bottom w:val="nil"/>
              <w:right w:val="nil"/>
            </w:tcBorders>
            <w:shd w:val="clear" w:color="auto" w:fill="auto"/>
          </w:tcPr>
          <w:p w:rsidR="009A7F87" w:rsidRPr="00EC22C8" w:rsidRDefault="009A7F87" w:rsidP="009A7F87">
            <w:pPr>
              <w:pStyle w:val="Note"/>
              <w:jc w:val="right"/>
            </w:pPr>
            <w:r>
              <w:t>(continued next page)</w:t>
            </w:r>
          </w:p>
        </w:tc>
      </w:tr>
      <w:tr w:rsidR="009A7F87" w:rsidRPr="0071369A" w:rsidTr="009A7F87">
        <w:tblPrEx>
          <w:tblBorders>
            <w:top w:val="none" w:sz="0" w:space="0" w:color="auto"/>
            <w:bottom w:val="none" w:sz="0" w:space="0" w:color="auto"/>
            <w:insideH w:val="none" w:sz="0" w:space="0" w:color="auto"/>
          </w:tblBorders>
        </w:tblPrEx>
        <w:tc>
          <w:tcPr>
            <w:tcW w:w="5000" w:type="pct"/>
            <w:gridSpan w:val="7"/>
            <w:tcBorders>
              <w:bottom w:val="single" w:sz="12" w:space="0" w:color="78A22F" w:themeColor="accent1"/>
            </w:tcBorders>
            <w:shd w:val="clear" w:color="auto" w:fill="auto"/>
            <w:tcMar>
              <w:top w:w="57" w:type="dxa"/>
              <w:left w:w="113" w:type="dxa"/>
            </w:tcMar>
          </w:tcPr>
          <w:p w:rsidR="009A7F87" w:rsidRPr="00AE6BD7" w:rsidRDefault="009A7F87" w:rsidP="009A7F87">
            <w:pPr>
              <w:pStyle w:val="Box"/>
              <w:spacing w:before="0" w:line="120" w:lineRule="exact"/>
              <w:rPr>
                <w:sz w:val="6"/>
                <w:szCs w:val="6"/>
              </w:rPr>
            </w:pPr>
          </w:p>
        </w:tc>
      </w:tr>
    </w:tbl>
    <w:p w:rsidR="009A7F87" w:rsidRDefault="009A7F87" w:rsidP="009A7F87">
      <w:pPr>
        <w:pStyle w:val="BodyText"/>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1029"/>
        <w:gridCol w:w="1029"/>
        <w:gridCol w:w="1019"/>
        <w:gridCol w:w="7"/>
      </w:tblGrid>
      <w:tr w:rsidR="009A7F87" w:rsidRPr="00770229" w:rsidTr="00144C20">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990847" w:rsidRDefault="009A7F87" w:rsidP="009A7F87">
            <w:pPr>
              <w:pStyle w:val="Heading3"/>
              <w:rPr>
                <w:sz w:val="18"/>
                <w:szCs w:val="18"/>
              </w:rPr>
            </w:pPr>
            <w:r>
              <w:br w:type="page"/>
            </w:r>
            <w:r>
              <w:br w:type="page"/>
            </w:r>
            <w:r>
              <w:br w:type="page"/>
            </w:r>
            <w:r>
              <w:br w:type="page"/>
            </w:r>
            <w:r>
              <w:br w:type="page"/>
            </w:r>
            <w:r>
              <w:br w:type="page"/>
            </w:r>
            <w:r>
              <w:br w:type="page"/>
            </w:r>
            <w:r w:rsidRPr="00990847">
              <w:rPr>
                <w:sz w:val="18"/>
                <w:szCs w:val="18"/>
              </w:rPr>
              <w:t>(continued)</w:t>
            </w:r>
          </w:p>
        </w:tc>
      </w:tr>
      <w:tr w:rsidR="009A7F87" w:rsidRPr="009D52D2" w:rsidTr="00144C20">
        <w:tblPrEx>
          <w:tblBorders>
            <w:top w:val="none" w:sz="0" w:space="0" w:color="auto"/>
            <w:bottom w:val="none" w:sz="0" w:space="0" w:color="auto"/>
            <w:insideH w:val="none" w:sz="0" w:space="0" w:color="auto"/>
          </w:tblBorders>
        </w:tblPrEx>
        <w:tc>
          <w:tcPr>
            <w:tcW w:w="849" w:type="pct"/>
            <w:tcBorders>
              <w:top w:val="single" w:sz="12" w:space="0" w:color="808080" w:themeColor="background1" w:themeShade="80"/>
              <w:bottom w:val="single" w:sz="6" w:space="0" w:color="808080" w:themeColor="background1" w:themeShade="80"/>
            </w:tcBorders>
            <w:shd w:val="clear" w:color="auto" w:fill="auto"/>
            <w:tcMar>
              <w:top w:w="57" w:type="dxa"/>
              <w:left w:w="113" w:type="dxa"/>
            </w:tcMar>
          </w:tcPr>
          <w:p w:rsidR="009A7F87" w:rsidRPr="009D52D2" w:rsidRDefault="009A7F87" w:rsidP="009A7F87">
            <w:pPr>
              <w:pStyle w:val="TableColumnHeading"/>
              <w:keepNext w:val="0"/>
              <w:jc w:val="left"/>
            </w:pPr>
          </w:p>
        </w:tc>
        <w:tc>
          <w:tcPr>
            <w:tcW w:w="1814" w:type="pct"/>
            <w:tcBorders>
              <w:top w:val="single" w:sz="12" w:space="0" w:color="808080" w:themeColor="background1" w:themeShade="80"/>
              <w:bottom w:val="single" w:sz="6" w:space="0" w:color="808080" w:themeColor="background1" w:themeShade="80"/>
            </w:tcBorders>
            <w:shd w:val="clear" w:color="auto" w:fill="auto"/>
          </w:tcPr>
          <w:p w:rsidR="009A7F87" w:rsidRPr="009D52D2" w:rsidRDefault="009A7F87" w:rsidP="009A7F87">
            <w:pPr>
              <w:pStyle w:val="TableColumnHeading"/>
              <w:keepNext w:val="0"/>
              <w:ind w:left="180"/>
              <w:jc w:val="left"/>
            </w:pPr>
          </w:p>
        </w:tc>
        <w:tc>
          <w:tcPr>
            <w:tcW w:w="2337" w:type="pct"/>
            <w:gridSpan w:val="5"/>
            <w:tcBorders>
              <w:top w:val="single" w:sz="12" w:space="0" w:color="808080" w:themeColor="background1" w:themeShade="80"/>
              <w:bottom w:val="single" w:sz="6" w:space="0" w:color="808080" w:themeColor="background1" w:themeShade="80"/>
            </w:tcBorders>
            <w:shd w:val="clear" w:color="auto" w:fill="auto"/>
          </w:tcPr>
          <w:p w:rsidR="009A7F87" w:rsidRPr="009D52D2" w:rsidRDefault="009A7F87" w:rsidP="009A7F87">
            <w:pPr>
              <w:pStyle w:val="TableColumnHeading"/>
              <w:keepNext w:val="0"/>
              <w:ind w:left="180"/>
              <w:jc w:val="center"/>
            </w:pPr>
            <w:r w:rsidRPr="009D52D2">
              <w:t>Data Years</w:t>
            </w:r>
          </w:p>
        </w:tc>
      </w:tr>
      <w:tr w:rsidR="009A7F87" w:rsidRPr="009D52D2"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9D52D2" w:rsidRDefault="009A7F87" w:rsidP="009A7F87">
            <w:pPr>
              <w:pStyle w:val="TableBodyText"/>
              <w:keepNext w:val="0"/>
              <w:spacing w:before="60" w:after="60"/>
              <w:ind w:left="0"/>
              <w:jc w:val="both"/>
              <w:rPr>
                <w:i/>
              </w:rPr>
            </w:pPr>
            <w:r w:rsidRPr="009D52D2">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9D52D2" w:rsidRDefault="009A7F87" w:rsidP="009A7F87">
            <w:pPr>
              <w:pStyle w:val="TableBodyText"/>
              <w:keepNext w:val="0"/>
              <w:spacing w:before="60" w:after="60"/>
              <w:ind w:left="180"/>
              <w:jc w:val="left"/>
              <w:rPr>
                <w:i/>
              </w:rPr>
            </w:pPr>
            <w:r w:rsidRPr="009D52D2">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9D52D2" w:rsidRDefault="009A7F87" w:rsidP="009A7F87">
            <w:pPr>
              <w:pStyle w:val="TableBodyText"/>
              <w:keepNext w:val="0"/>
              <w:spacing w:before="60" w:after="60"/>
              <w:ind w:left="2"/>
              <w:jc w:val="center"/>
              <w:rPr>
                <w:i/>
              </w:rPr>
            </w:pPr>
            <w:r w:rsidRPr="009D52D2">
              <w:rPr>
                <w:i/>
              </w:rPr>
              <w:t>2008</w:t>
            </w:r>
            <w:r w:rsidRPr="009D52D2">
              <w:rPr>
                <w:i/>
              </w:rPr>
              <w:noBreakHyphen/>
              <w:t>09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9D52D2" w:rsidRDefault="009A7F87" w:rsidP="009A7F87">
            <w:pPr>
              <w:pStyle w:val="TableBodyText"/>
              <w:keepNext w:val="0"/>
              <w:spacing w:before="60" w:after="60"/>
              <w:ind w:left="2"/>
              <w:jc w:val="center"/>
              <w:rPr>
                <w:i/>
              </w:rPr>
            </w:pPr>
            <w:r w:rsidRPr="009D52D2">
              <w:rPr>
                <w:i/>
              </w:rPr>
              <w:t>2010</w:t>
            </w:r>
            <w:r w:rsidRPr="009D52D2">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9D52D2" w:rsidRDefault="009A7F87" w:rsidP="009A7F87">
            <w:pPr>
              <w:pStyle w:val="TableBodyText"/>
              <w:keepNext w:val="0"/>
              <w:spacing w:before="60" w:after="60"/>
              <w:ind w:left="2"/>
              <w:jc w:val="center"/>
              <w:rPr>
                <w:i/>
              </w:rPr>
            </w:pPr>
            <w:r w:rsidRPr="009D52D2">
              <w:rPr>
                <w:i/>
              </w:rPr>
              <w:t>2012</w:t>
            </w:r>
            <w:r w:rsidRPr="009D52D2">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9D52D2" w:rsidRDefault="009A7F87" w:rsidP="009A7F87">
            <w:pPr>
              <w:pStyle w:val="TableBodyText"/>
              <w:keepNext w:val="0"/>
              <w:spacing w:before="60" w:after="60"/>
              <w:ind w:left="2"/>
              <w:jc w:val="center"/>
              <w:rPr>
                <w:i/>
              </w:rPr>
            </w:pPr>
            <w:r w:rsidRPr="009D52D2">
              <w:rPr>
                <w:i/>
              </w:rPr>
              <w:t>2015</w:t>
            </w:r>
            <w:r w:rsidRPr="009D52D2">
              <w:rPr>
                <w:i/>
              </w:rPr>
              <w:noBreakHyphen/>
              <w:t>16 Estimates</w:t>
            </w:r>
          </w:p>
        </w:tc>
      </w:tr>
      <w:tr w:rsidR="009A7F87" w:rsidRPr="00770229"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spacing w:before="60" w:after="60"/>
              <w:jc w:val="left"/>
            </w:pPr>
            <w:r w:rsidRPr="00770229">
              <w:t>Census population that qualify for the tax bonus</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1"/>
              <w:jc w:val="left"/>
            </w:pPr>
            <w:r w:rsidRPr="00770229">
              <w:t>ABS Census of Population and Housing — Gross individual income (weekly) by I</w:t>
            </w:r>
            <w:r>
              <w:t>ndigenous status</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0"/>
              <w:jc w:val="center"/>
            </w:pPr>
            <w:r>
              <w:t>August 2006</w:t>
            </w:r>
          </w:p>
          <w:p w:rsidR="009A7F87" w:rsidRPr="00770229" w:rsidRDefault="009A7F87" w:rsidP="009A7F87">
            <w:pPr>
              <w:pStyle w:val="TableBodyText"/>
              <w:keepNext w:val="0"/>
              <w:spacing w:before="60" w:after="60"/>
              <w:ind w:left="0"/>
              <w:jc w:val="center"/>
            </w:pPr>
            <w:r>
              <w:br/>
            </w: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August 2006</w:t>
            </w: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August 2011</w:t>
            </w:r>
          </w:p>
          <w:p w:rsidR="009A7F87" w:rsidRPr="00770229" w:rsidRDefault="009A7F87" w:rsidP="009A7F87">
            <w:pPr>
              <w:pStyle w:val="TableBodyText"/>
              <w:spacing w:before="60" w:after="60"/>
              <w:ind w:left="2"/>
              <w:jc w:val="center"/>
            </w:pPr>
            <w:r>
              <w:br/>
            </w: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August 2011</w:t>
            </w:r>
          </w:p>
          <w:p w:rsidR="009A7F87" w:rsidRPr="00770229" w:rsidRDefault="009A7F87" w:rsidP="009A7F87">
            <w:pPr>
              <w:pStyle w:val="TableBodyText"/>
              <w:spacing w:before="60" w:after="60"/>
              <w:ind w:left="2"/>
              <w:jc w:val="center"/>
            </w:pPr>
            <w:r>
              <w:br/>
            </w:r>
          </w:p>
        </w:tc>
      </w:tr>
      <w:tr w:rsidR="009A7F87" w:rsidRPr="00770229" w:rsidTr="0044346B">
        <w:tblPrEx>
          <w:tblBorders>
            <w:top w:val="none" w:sz="0" w:space="0" w:color="auto"/>
            <w:bottom w:val="none" w:sz="0" w:space="0" w:color="auto"/>
            <w:insideH w:val="none" w:sz="0" w:space="0" w:color="auto"/>
          </w:tblBorders>
        </w:tblPrEx>
        <w:tc>
          <w:tcPr>
            <w:tcW w:w="849" w:type="pct"/>
            <w:shd w:val="clear" w:color="auto" w:fill="auto"/>
            <w:tcMar>
              <w:top w:w="57" w:type="dxa"/>
              <w:left w:w="113" w:type="dxa"/>
            </w:tcMar>
          </w:tcPr>
          <w:p w:rsidR="009A7F87" w:rsidRPr="00770229" w:rsidRDefault="009A7F87" w:rsidP="009A7F87">
            <w:pPr>
              <w:pStyle w:val="TableBodyText"/>
              <w:spacing w:before="60" w:after="60"/>
              <w:jc w:val="left"/>
            </w:pPr>
            <w:r w:rsidRPr="00770229">
              <w:t>Aboriginal and Torres Strait Islander population</w:t>
            </w:r>
          </w:p>
        </w:tc>
        <w:tc>
          <w:tcPr>
            <w:tcW w:w="1814" w:type="pct"/>
            <w:shd w:val="clear" w:color="auto" w:fill="auto"/>
          </w:tcPr>
          <w:p w:rsidR="009A7F87" w:rsidRPr="00770229" w:rsidRDefault="009A7F87" w:rsidP="009A7F87">
            <w:pPr>
              <w:pStyle w:val="TableBodyText"/>
              <w:keepNext w:val="0"/>
              <w:spacing w:before="60" w:after="60"/>
              <w:ind w:left="181"/>
              <w:jc w:val="left"/>
            </w:pPr>
            <w:r w:rsidRPr="00770229">
              <w:t xml:space="preserve">ABS Estimates and Projections, Indigenous Australians, </w:t>
            </w:r>
            <w:r>
              <w:t>2001</w:t>
            </w:r>
            <w:r w:rsidRPr="00770229">
              <w:t xml:space="preserve"> to 2021 (</w:t>
            </w:r>
            <w:r>
              <w:t>C</w:t>
            </w:r>
            <w:r w:rsidRPr="00770229">
              <w:t>at. no. 3238.0)</w:t>
            </w:r>
          </w:p>
        </w:tc>
        <w:tc>
          <w:tcPr>
            <w:tcW w:w="584" w:type="pct"/>
            <w:shd w:val="clear" w:color="auto" w:fill="auto"/>
            <w:vAlign w:val="center"/>
          </w:tcPr>
          <w:p w:rsidR="009A7F87" w:rsidRDefault="009A7F87" w:rsidP="009A7F87">
            <w:pPr>
              <w:pStyle w:val="TableBodyText"/>
              <w:keepNext w:val="0"/>
              <w:spacing w:before="60" w:after="60"/>
              <w:ind w:left="0"/>
              <w:jc w:val="center"/>
            </w:pPr>
            <w:r>
              <w:t>June 2009</w:t>
            </w:r>
          </w:p>
          <w:p w:rsidR="009A7F87" w:rsidRDefault="009A7F87" w:rsidP="009A7F87">
            <w:pPr>
              <w:pStyle w:val="TableBodyText"/>
              <w:keepNext w:val="0"/>
              <w:spacing w:before="60" w:after="60"/>
              <w:ind w:left="0"/>
              <w:jc w:val="center"/>
            </w:pPr>
          </w:p>
          <w:p w:rsidR="009A7F87" w:rsidRDefault="009A7F87" w:rsidP="009A7F87">
            <w:pPr>
              <w:pStyle w:val="TableBodyText"/>
              <w:keepNext w:val="0"/>
              <w:spacing w:before="60" w:after="60"/>
              <w:ind w:left="0"/>
              <w:jc w:val="center"/>
            </w:pPr>
          </w:p>
        </w:tc>
        <w:tc>
          <w:tcPr>
            <w:tcW w:w="585" w:type="pct"/>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c>
          <w:tcPr>
            <w:tcW w:w="585" w:type="pct"/>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c>
          <w:tcPr>
            <w:tcW w:w="583" w:type="pct"/>
            <w:gridSpan w:val="2"/>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spacing w:before="60" w:after="60"/>
              <w:jc w:val="left"/>
            </w:pPr>
            <w:r w:rsidRPr="00770229">
              <w:t>Resident population</w:t>
            </w:r>
            <w:r w:rsidRPr="00770229">
              <w:rPr>
                <w:rStyle w:val="NoteLabel"/>
              </w:rPr>
              <w:t>a</w:t>
            </w:r>
          </w:p>
        </w:tc>
        <w:tc>
          <w:tcPr>
            <w:tcW w:w="1814" w:type="pct"/>
            <w:tcBorders>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1"/>
              <w:jc w:val="left"/>
            </w:pPr>
            <w:r w:rsidRPr="00770229">
              <w:t>ABS Australian Demographic Statistics (Cat. no. 3101.0</w:t>
            </w:r>
            <w:r>
              <w:t>)</w:t>
            </w:r>
          </w:p>
        </w:tc>
        <w:tc>
          <w:tcPr>
            <w:tcW w:w="584"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0"/>
              <w:jc w:val="center"/>
            </w:pPr>
            <w:r>
              <w:t>June 2009</w:t>
            </w:r>
            <w:r>
              <w:br/>
            </w:r>
          </w:p>
        </w:tc>
        <w:tc>
          <w:tcPr>
            <w:tcW w:w="585" w:type="pct"/>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r>
              <w:br/>
            </w:r>
          </w:p>
        </w:tc>
        <w:tc>
          <w:tcPr>
            <w:tcW w:w="585" w:type="pct"/>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r>
              <w:br/>
            </w:r>
          </w:p>
        </w:tc>
        <w:tc>
          <w:tcPr>
            <w:tcW w:w="583" w:type="pct"/>
            <w:gridSpan w:val="2"/>
            <w:tcBorders>
              <w:bottom w:val="single" w:sz="6" w:space="0" w:color="808080" w:themeColor="background1" w:themeShade="80"/>
            </w:tcBorders>
            <w:vAlign w:val="center"/>
          </w:tcPr>
          <w:p w:rsidR="009A7F87" w:rsidRDefault="009A7F87" w:rsidP="009A7F87">
            <w:pPr>
              <w:pStyle w:val="TableBodyText"/>
              <w:spacing w:before="60" w:after="60"/>
              <w:ind w:left="2"/>
              <w:jc w:val="center"/>
            </w:pPr>
            <w:r>
              <w:t>June 2016</w:t>
            </w:r>
            <w:r>
              <w:br/>
            </w:r>
          </w:p>
        </w:tc>
      </w:tr>
      <w:tr w:rsidR="009A7F87" w:rsidTr="0044346B">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6"/>
            <w:tcBorders>
              <w:top w:val="nil"/>
              <w:left w:val="nil"/>
              <w:bottom w:val="single" w:sz="6" w:space="0" w:color="808080" w:themeColor="background1" w:themeShade="80"/>
              <w:right w:val="nil"/>
            </w:tcBorders>
            <w:shd w:val="clear" w:color="auto" w:fill="auto"/>
          </w:tcPr>
          <w:p w:rsidR="009A7F87" w:rsidRDefault="009A7F87" w:rsidP="009A7F87">
            <w:pPr>
              <w:pStyle w:val="Note"/>
              <w:rPr>
                <w:i/>
              </w:rPr>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7"/>
            <w:tcBorders>
              <w:top w:val="single" w:sz="4" w:space="0" w:color="265A9A" w:themeColor="background2"/>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9A7F87">
      <w:pPr>
        <w:pStyle w:val="BodyText"/>
      </w:pPr>
    </w:p>
    <w:p w:rsidR="009A7F87" w:rsidRDefault="009A7F87">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26"/>
      </w:tblGrid>
      <w:tr w:rsidR="009A7F87" w:rsidRPr="00770229" w:rsidTr="00760FFA">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t>0</w:t>
            </w:r>
            <w:r>
              <w:t>690</w:t>
            </w:r>
            <w:r w:rsidRPr="00770229">
              <w:t xml:space="preserve"> Social security and welfare </w:t>
            </w:r>
            <w:proofErr w:type="spellStart"/>
            <w:r w:rsidRPr="00770229">
              <w:t>nec</w:t>
            </w:r>
            <w:proofErr w:type="spellEnd"/>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3"/>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spacing w:before="60" w:after="60"/>
              <w:jc w:val="left"/>
            </w:pPr>
            <w:r w:rsidRPr="00770229">
              <w:t>Social security and welfare services not elsewhere classified predominantly include expenditure on social security payments and related services provided by the Australian Government.</w:t>
            </w:r>
          </w:p>
          <w:p w:rsidR="009A7F87" w:rsidRPr="00770229" w:rsidRDefault="009A7F87" w:rsidP="009A7F87">
            <w:pPr>
              <w:pStyle w:val="TableBodyText"/>
              <w:spacing w:before="60" w:after="60"/>
              <w:jc w:val="left"/>
              <w:rPr>
                <w:b/>
              </w:rPr>
            </w:pPr>
            <w:r w:rsidRPr="00770229">
              <w:t>Some states and territories also have expenditure on social security and welfare services not elsewhere classified. For example victims of crime programs — payments and services provided by the government and external providers to support victims in their recovery from the impacts of crime</w:t>
            </w:r>
            <w:r w:rsidRPr="00770229">
              <w:rPr>
                <w:b/>
              </w:rPr>
              <w:t>.</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szCs w:val="26"/>
              </w:rPr>
            </w:pPr>
            <w:r w:rsidRPr="00770229">
              <w:rPr>
                <w:szCs w:val="26"/>
              </w:rPr>
              <w:t>The main cost drivers of expenditure on social security and welfare not elsewhere classified are the number of people eligible for social security support, and the location of those individuals who receive social security assistance.</w:t>
            </w:r>
          </w:p>
        </w:tc>
      </w:tr>
      <w:tr w:rsidR="009A7F87" w:rsidRPr="00770229" w:rsidTr="0093701F">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9D52D2"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9D52D2"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9D52D2" w:rsidRDefault="009A7F87" w:rsidP="009A7F87">
            <w:pPr>
              <w:pStyle w:val="TableColumnHeading"/>
              <w:keepNext w:val="0"/>
              <w:ind w:left="180"/>
              <w:jc w:val="left"/>
            </w:pPr>
          </w:p>
        </w:tc>
        <w:tc>
          <w:tcPr>
            <w:tcW w:w="2337" w:type="pct"/>
            <w:gridSpan w:val="5"/>
            <w:tcBorders>
              <w:top w:val="single" w:sz="6" w:space="0" w:color="808080" w:themeColor="background1" w:themeShade="80"/>
              <w:bottom w:val="single" w:sz="6" w:space="0" w:color="808080" w:themeColor="background1" w:themeShade="80"/>
            </w:tcBorders>
            <w:shd w:val="clear" w:color="auto" w:fill="auto"/>
          </w:tcPr>
          <w:p w:rsidR="009A7F87" w:rsidRPr="009D52D2" w:rsidRDefault="009A7F87" w:rsidP="009A7F87">
            <w:pPr>
              <w:pStyle w:val="TableColumnHeading"/>
              <w:keepNext w:val="0"/>
              <w:ind w:left="180"/>
              <w:jc w:val="center"/>
            </w:pPr>
            <w:r w:rsidRPr="009D52D2">
              <w:t>Data Years</w:t>
            </w:r>
          </w:p>
        </w:tc>
      </w:tr>
      <w:tr w:rsidR="009A7F87" w:rsidRPr="009D52D2"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9D52D2" w:rsidRDefault="009A7F87" w:rsidP="009A7F87">
            <w:pPr>
              <w:pStyle w:val="TableBodyText"/>
              <w:keepNext w:val="0"/>
              <w:spacing w:before="60" w:after="60"/>
              <w:ind w:left="0"/>
              <w:jc w:val="both"/>
              <w:rPr>
                <w:i/>
              </w:rPr>
            </w:pPr>
            <w:r w:rsidRPr="009D52D2">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9D52D2" w:rsidRDefault="009A7F87" w:rsidP="009A7F87">
            <w:pPr>
              <w:pStyle w:val="TableBodyText"/>
              <w:keepNext w:val="0"/>
              <w:spacing w:before="60" w:after="60"/>
              <w:ind w:left="180"/>
              <w:jc w:val="left"/>
              <w:rPr>
                <w:i/>
              </w:rPr>
            </w:pPr>
            <w:r w:rsidRPr="009D52D2">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9D52D2" w:rsidRDefault="009A7F87" w:rsidP="009A7F87">
            <w:pPr>
              <w:pStyle w:val="TableBodyText"/>
              <w:keepNext w:val="0"/>
              <w:spacing w:before="60" w:after="60"/>
              <w:ind w:left="2"/>
              <w:jc w:val="center"/>
              <w:rPr>
                <w:i/>
              </w:rPr>
            </w:pPr>
            <w:r w:rsidRPr="009D52D2">
              <w:rPr>
                <w:i/>
              </w:rPr>
              <w:t>2008</w:t>
            </w:r>
            <w:r w:rsidRPr="009D52D2">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9D52D2" w:rsidRDefault="009A7F87" w:rsidP="009A7F87">
            <w:pPr>
              <w:pStyle w:val="TableBodyText"/>
              <w:keepNext w:val="0"/>
              <w:spacing w:before="60" w:after="60"/>
              <w:ind w:left="2"/>
              <w:jc w:val="center"/>
              <w:rPr>
                <w:i/>
              </w:rPr>
            </w:pPr>
            <w:r w:rsidRPr="009D52D2">
              <w:rPr>
                <w:i/>
              </w:rPr>
              <w:t>2010</w:t>
            </w:r>
            <w:r w:rsidRPr="009D52D2">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9D52D2" w:rsidRDefault="009A7F87" w:rsidP="009A7F87">
            <w:pPr>
              <w:pStyle w:val="TableBodyText"/>
              <w:keepNext w:val="0"/>
              <w:spacing w:before="60" w:after="60"/>
              <w:ind w:left="2"/>
              <w:jc w:val="center"/>
              <w:rPr>
                <w:i/>
              </w:rPr>
            </w:pPr>
            <w:r w:rsidRPr="009D52D2">
              <w:rPr>
                <w:i/>
              </w:rPr>
              <w:t>2012</w:t>
            </w:r>
            <w:r w:rsidRPr="009D52D2">
              <w:rPr>
                <w:i/>
              </w:rPr>
              <w:noBreakHyphen/>
              <w:t>13 Estimates</w:t>
            </w:r>
          </w:p>
        </w:tc>
        <w:tc>
          <w:tcPr>
            <w:tcW w:w="583" w:type="pct"/>
            <w:tcBorders>
              <w:top w:val="single" w:sz="6" w:space="0" w:color="808080" w:themeColor="background1" w:themeShade="80"/>
              <w:bottom w:val="single" w:sz="6" w:space="0" w:color="808080" w:themeColor="background1" w:themeShade="80"/>
            </w:tcBorders>
          </w:tcPr>
          <w:p w:rsidR="009A7F87" w:rsidRPr="009D52D2" w:rsidRDefault="009A7F87" w:rsidP="009A7F87">
            <w:pPr>
              <w:pStyle w:val="TableBodyText"/>
              <w:keepNext w:val="0"/>
              <w:spacing w:before="60" w:after="60"/>
              <w:ind w:left="2"/>
              <w:jc w:val="center"/>
              <w:rPr>
                <w:i/>
              </w:rPr>
            </w:pPr>
            <w:r w:rsidRPr="009D52D2">
              <w:rPr>
                <w:i/>
              </w:rPr>
              <w:t>2015</w:t>
            </w:r>
            <w:r w:rsidRPr="009D52D2">
              <w:rPr>
                <w:i/>
              </w:rPr>
              <w:noBreakHyphen/>
              <w:t>16 Estimates</w:t>
            </w:r>
          </w:p>
        </w:tc>
      </w:tr>
      <w:tr w:rsidR="009A7F87" w:rsidRPr="00770229"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Australian Government concession card holders</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Australian Government administrative data for income support payments (unpublished)</w:t>
            </w:r>
          </w:p>
        </w:tc>
        <w:tc>
          <w:tcPr>
            <w:tcW w:w="584"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30 June 2009</w:t>
            </w:r>
          </w:p>
          <w:p w:rsidR="009A7F87" w:rsidRPr="00770229" w:rsidRDefault="009A7F87" w:rsidP="009A7F87">
            <w:pPr>
              <w:pStyle w:val="TableBodyText"/>
              <w:keepNext w:val="0"/>
              <w:spacing w:before="60" w:after="60"/>
              <w:ind w:left="2"/>
              <w:jc w:val="center"/>
            </w:pPr>
            <w:r>
              <w:br/>
            </w:r>
          </w:p>
        </w:tc>
        <w:tc>
          <w:tcPr>
            <w:tcW w:w="585" w:type="pct"/>
            <w:gridSpan w:val="2"/>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30 June 2011</w:t>
            </w: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30 June 2013</w:t>
            </w:r>
          </w:p>
          <w:p w:rsidR="009A7F87" w:rsidRPr="00770229" w:rsidRDefault="009A7F87" w:rsidP="009A7F87">
            <w:pPr>
              <w:pStyle w:val="TableBodyText"/>
              <w:spacing w:before="60" w:after="60"/>
              <w:ind w:left="2"/>
              <w:jc w:val="center"/>
            </w:pPr>
            <w:r>
              <w:br/>
            </w:r>
          </w:p>
        </w:tc>
        <w:tc>
          <w:tcPr>
            <w:tcW w:w="583" w:type="pct"/>
            <w:tcBorders>
              <w:top w:val="single" w:sz="6" w:space="0" w:color="808080" w:themeColor="background1" w:themeShade="80"/>
              <w:bottom w:val="single" w:sz="6" w:space="0" w:color="808080" w:themeColor="background1" w:themeShade="80"/>
            </w:tcBorders>
            <w:vAlign w:val="center"/>
          </w:tcPr>
          <w:p w:rsidR="009A7F87" w:rsidRDefault="009A7F87" w:rsidP="009A7F87">
            <w:pPr>
              <w:pStyle w:val="TableBodyText"/>
              <w:spacing w:before="60" w:after="60"/>
              <w:ind w:left="2"/>
              <w:jc w:val="center"/>
            </w:pPr>
            <w:r>
              <w:t>30 June 2016</w:t>
            </w:r>
          </w:p>
          <w:p w:rsidR="009A7F87" w:rsidRPr="00770229" w:rsidRDefault="009A7F87" w:rsidP="009A7F87">
            <w:pPr>
              <w:pStyle w:val="TableBodyText"/>
              <w:spacing w:before="60" w:after="60"/>
              <w:ind w:left="2"/>
              <w:jc w:val="center"/>
            </w:pPr>
            <w:r>
              <w:br/>
            </w:r>
          </w:p>
        </w:tc>
      </w:tr>
      <w:tr w:rsidR="009A7F87" w:rsidRPr="0071369A" w:rsidTr="0093701F">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9A7F87">
      <w:pPr>
        <w:pStyle w:val="BodyText"/>
      </w:pPr>
    </w:p>
    <w:p w:rsidR="009A7F87" w:rsidRDefault="009A7F87" w:rsidP="009A7F87">
      <w:pPr>
        <w:sectPr w:rsidR="009A7F87" w:rsidSect="009A7F87">
          <w:headerReference w:type="even" r:id="rId115"/>
          <w:headerReference w:type="default" r:id="rId116"/>
          <w:footerReference w:type="even" r:id="rId117"/>
          <w:footerReference w:type="default" r:id="rId118"/>
          <w:footnotePr>
            <w:numRestart w:val="eachSect"/>
          </w:footnotePr>
          <w:type w:val="oddPage"/>
          <w:pgSz w:w="11907" w:h="16840" w:code="9"/>
          <w:pgMar w:top="1985" w:right="1304" w:bottom="1247" w:left="1814" w:header="1701" w:footer="397" w:gutter="0"/>
          <w:pgNumType w:chapSep="period"/>
          <w:cols w:space="720"/>
          <w:docGrid w:linePitch="326"/>
        </w:sectPr>
      </w:pPr>
    </w:p>
    <w:p w:rsidR="009A7F87" w:rsidRDefault="009A7F87">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9A7F87">
        <w:tc>
          <w:tcPr>
            <w:tcW w:w="6634" w:type="dxa"/>
            <w:tcBorders>
              <w:top w:val="single" w:sz="6" w:space="0" w:color="auto"/>
            </w:tcBorders>
          </w:tcPr>
          <w:p w:rsidR="009A7F87" w:rsidRDefault="009A7F87">
            <w:pPr>
              <w:pStyle w:val="PartDivider"/>
            </w:pPr>
          </w:p>
        </w:tc>
        <w:tc>
          <w:tcPr>
            <w:tcW w:w="2155" w:type="dxa"/>
            <w:tcBorders>
              <w:top w:val="single" w:sz="24" w:space="0" w:color="auto"/>
            </w:tcBorders>
          </w:tcPr>
          <w:p w:rsidR="009A7F87" w:rsidRDefault="009A7F87">
            <w:pPr>
              <w:pStyle w:val="PartDivider"/>
            </w:pPr>
          </w:p>
        </w:tc>
      </w:tr>
    </w:tbl>
    <w:p w:rsidR="009A7F87" w:rsidRDefault="009A7F87">
      <w:pPr>
        <w:pStyle w:val="PartDivider"/>
      </w:pPr>
    </w:p>
    <w:p w:rsidR="009A7F87" w:rsidRDefault="009A7F87" w:rsidP="009A7F87">
      <w:pPr>
        <w:pStyle w:val="PartTitle"/>
        <w:spacing w:after="240"/>
      </w:pPr>
      <w:r>
        <w:t>GPC 07</w:t>
      </w:r>
    </w:p>
    <w:p w:rsidR="009A7F87" w:rsidRDefault="009A7F87" w:rsidP="009A7F87">
      <w:pPr>
        <w:pStyle w:val="PartTitle"/>
        <w:spacing w:after="240"/>
      </w:pPr>
      <w:r>
        <w:t>housing and community amenities</w:t>
      </w:r>
    </w:p>
    <w:p w:rsidR="009A7F87" w:rsidRDefault="009A7F87" w:rsidP="009A7F87">
      <w:pPr>
        <w:pStyle w:val="BodyText"/>
        <w:rPr>
          <w:sz w:val="52"/>
        </w:rPr>
      </w:pPr>
      <w:r>
        <w:br w:type="page"/>
      </w:r>
    </w:p>
    <w:p w:rsidR="009A7F87" w:rsidRPr="003755C6" w:rsidRDefault="009A7F87" w:rsidP="009A7F87">
      <w:pPr>
        <w:rPr>
          <w:szCs w:val="20"/>
        </w:rPr>
      </w:pPr>
    </w:p>
    <w:p w:rsidR="009A7F87" w:rsidRDefault="009A7F87" w:rsidP="009A7F87">
      <w:pPr>
        <w:sectPr w:rsidR="009A7F87" w:rsidSect="009A7F87">
          <w:headerReference w:type="even" r:id="rId119"/>
          <w:headerReference w:type="default" r:id="rId120"/>
          <w:footerReference w:type="even" r:id="rId121"/>
          <w:footerReference w:type="default" r:id="rId122"/>
          <w:footnotePr>
            <w:numRestart w:val="eachSect"/>
          </w:footnotePr>
          <w:type w:val="oddPage"/>
          <w:pgSz w:w="11907" w:h="16840" w:code="9"/>
          <w:pgMar w:top="1985" w:right="1304" w:bottom="1247" w:left="1814" w:header="1701" w:footer="397" w:gutter="0"/>
          <w:pgNumType w:chapSep="period"/>
          <w:cols w:space="720"/>
          <w:docGrid w:linePitch="326"/>
        </w:sectPr>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26"/>
      </w:tblGrid>
      <w:tr w:rsidR="009A7F87" w:rsidRPr="00770229" w:rsidTr="00760FFA">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r>
            <w:r>
              <w:t>0711.1</w:t>
            </w:r>
            <w:r w:rsidRPr="00770229">
              <w:t xml:space="preserve"> Home purchase and home ownership assistance</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3"/>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In Australia, government expenditure on home purchase and home ownership assistance is mainly in the areas of financial assistance to make home ownership achievable (typically for first home buyers) through grants and concessions.</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szCs w:val="26"/>
              </w:rPr>
            </w:pPr>
            <w:r w:rsidRPr="00770229">
              <w:t xml:space="preserve">The key cost drivers of expenditure on </w:t>
            </w:r>
            <w:r w:rsidRPr="00770229">
              <w:rPr>
                <w:szCs w:val="26"/>
              </w:rPr>
              <w:t xml:space="preserve">home purchase assistance </w:t>
            </w:r>
            <w:r w:rsidRPr="00770229">
              <w:t>are the number of first home buyers, the number of applications approved, and the level of assistance provided. This data is not available by Indigenous status so the number of dwellings identified as ‘being purchased’ is used as a proxy.</w:t>
            </w:r>
          </w:p>
        </w:tc>
      </w:tr>
      <w:tr w:rsidR="009A7F87" w:rsidRPr="00770229" w:rsidTr="0093701F">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545198"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545198"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545198" w:rsidRDefault="009A7F87" w:rsidP="009A7F87">
            <w:pPr>
              <w:pStyle w:val="TableColumnHeading"/>
              <w:keepNext w:val="0"/>
              <w:ind w:left="180"/>
              <w:jc w:val="left"/>
            </w:pPr>
          </w:p>
        </w:tc>
        <w:tc>
          <w:tcPr>
            <w:tcW w:w="2337" w:type="pct"/>
            <w:gridSpan w:val="5"/>
            <w:tcBorders>
              <w:top w:val="single" w:sz="6" w:space="0" w:color="808080" w:themeColor="background1" w:themeShade="80"/>
              <w:bottom w:val="single" w:sz="6" w:space="0" w:color="808080" w:themeColor="background1" w:themeShade="80"/>
            </w:tcBorders>
            <w:shd w:val="clear" w:color="auto" w:fill="auto"/>
          </w:tcPr>
          <w:p w:rsidR="009A7F87" w:rsidRPr="00545198" w:rsidRDefault="009A7F87" w:rsidP="009A7F87">
            <w:pPr>
              <w:pStyle w:val="TableColumnHeading"/>
              <w:keepNext w:val="0"/>
              <w:ind w:left="180"/>
              <w:jc w:val="center"/>
            </w:pPr>
            <w:r w:rsidRPr="00545198">
              <w:t>Data Years</w:t>
            </w:r>
          </w:p>
        </w:tc>
      </w:tr>
      <w:tr w:rsidR="009A7F87" w:rsidRPr="00545198"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545198" w:rsidRDefault="009A7F87" w:rsidP="009A7F87">
            <w:pPr>
              <w:pStyle w:val="TableBodyText"/>
              <w:keepNext w:val="0"/>
              <w:spacing w:before="60" w:after="60"/>
              <w:ind w:left="0"/>
              <w:jc w:val="both"/>
              <w:rPr>
                <w:i/>
              </w:rPr>
            </w:pPr>
            <w:r w:rsidRPr="00545198">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545198" w:rsidRDefault="009A7F87" w:rsidP="009A7F87">
            <w:pPr>
              <w:pStyle w:val="TableBodyText"/>
              <w:keepNext w:val="0"/>
              <w:spacing w:before="60" w:after="60"/>
              <w:ind w:left="180"/>
              <w:jc w:val="left"/>
              <w:rPr>
                <w:i/>
              </w:rPr>
            </w:pPr>
            <w:r w:rsidRPr="00545198">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545198" w:rsidRDefault="009A7F87" w:rsidP="009A7F87">
            <w:pPr>
              <w:pStyle w:val="TableBodyText"/>
              <w:keepNext w:val="0"/>
              <w:spacing w:before="60" w:after="60"/>
              <w:ind w:left="2"/>
              <w:jc w:val="center"/>
              <w:rPr>
                <w:i/>
              </w:rPr>
            </w:pPr>
            <w:r w:rsidRPr="00545198">
              <w:rPr>
                <w:i/>
              </w:rPr>
              <w:t>2008</w:t>
            </w:r>
            <w:r w:rsidRPr="00545198">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545198" w:rsidRDefault="009A7F87" w:rsidP="009A7F87">
            <w:pPr>
              <w:pStyle w:val="TableBodyText"/>
              <w:keepNext w:val="0"/>
              <w:spacing w:before="60" w:after="60"/>
              <w:ind w:left="2"/>
              <w:jc w:val="center"/>
              <w:rPr>
                <w:i/>
              </w:rPr>
            </w:pPr>
            <w:r w:rsidRPr="00545198">
              <w:rPr>
                <w:i/>
              </w:rPr>
              <w:t>2010</w:t>
            </w:r>
            <w:r w:rsidRPr="00545198">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545198" w:rsidRDefault="009A7F87" w:rsidP="009A7F87">
            <w:pPr>
              <w:pStyle w:val="TableBodyText"/>
              <w:keepNext w:val="0"/>
              <w:spacing w:before="60" w:after="60"/>
              <w:ind w:left="2"/>
              <w:jc w:val="center"/>
              <w:rPr>
                <w:i/>
              </w:rPr>
            </w:pPr>
            <w:r w:rsidRPr="00545198">
              <w:rPr>
                <w:i/>
              </w:rPr>
              <w:t>2012</w:t>
            </w:r>
            <w:r w:rsidRPr="00545198">
              <w:rPr>
                <w:i/>
              </w:rPr>
              <w:noBreakHyphen/>
              <w:t>13 Estimates</w:t>
            </w:r>
          </w:p>
        </w:tc>
        <w:tc>
          <w:tcPr>
            <w:tcW w:w="583" w:type="pct"/>
            <w:tcBorders>
              <w:top w:val="single" w:sz="6" w:space="0" w:color="808080" w:themeColor="background1" w:themeShade="80"/>
              <w:bottom w:val="single" w:sz="6" w:space="0" w:color="808080" w:themeColor="background1" w:themeShade="80"/>
            </w:tcBorders>
          </w:tcPr>
          <w:p w:rsidR="009A7F87" w:rsidRPr="00545198" w:rsidRDefault="009A7F87" w:rsidP="009A7F87">
            <w:pPr>
              <w:pStyle w:val="TableBodyText"/>
              <w:keepNext w:val="0"/>
              <w:spacing w:before="60" w:after="60"/>
              <w:ind w:left="2"/>
              <w:jc w:val="center"/>
              <w:rPr>
                <w:i/>
              </w:rPr>
            </w:pPr>
            <w:r w:rsidRPr="00545198">
              <w:rPr>
                <w:i/>
              </w:rPr>
              <w:t>2015</w:t>
            </w:r>
            <w:r w:rsidRPr="00545198">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Dwellings being purchased</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State and Territory administrative data except for Tasmania, the ACT and the NT for which data were sourced from AIHW Home purchase assistance collection, Housing Assistance in Australia</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2007-08</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2012-13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tcBorders>
              <w:top w:val="single" w:sz="6" w:space="0" w:color="808080" w:themeColor="background1" w:themeShade="80"/>
            </w:tcBorders>
            <w:vAlign w:val="center"/>
          </w:tcPr>
          <w:p w:rsidR="009A7F87" w:rsidRDefault="009A7F87" w:rsidP="009A7F87">
            <w:pPr>
              <w:pStyle w:val="TableBodyText"/>
              <w:spacing w:before="60" w:after="60"/>
              <w:ind w:left="2"/>
              <w:jc w:val="center"/>
            </w:pPr>
            <w:r>
              <w:t>..</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6" w:space="0" w:color="808080" w:themeColor="background1" w:themeShade="80"/>
            </w:tcBorders>
            <w:shd w:val="clear" w:color="auto" w:fill="auto"/>
            <w:tcMar>
              <w:top w:w="57" w:type="dxa"/>
              <w:left w:w="113" w:type="dxa"/>
            </w:tcMar>
          </w:tcPr>
          <w:p w:rsidR="009A7F87" w:rsidRPr="00CA2D32" w:rsidRDefault="009A7F87" w:rsidP="009A7F87">
            <w:pPr>
              <w:pStyle w:val="TableBodyText"/>
              <w:keepNext w:val="0"/>
              <w:spacing w:before="60" w:after="60"/>
              <w:ind w:left="0"/>
              <w:jc w:val="left"/>
              <w:rPr>
                <w:highlight w:val="yellow"/>
              </w:rPr>
            </w:pPr>
          </w:p>
        </w:tc>
        <w:tc>
          <w:tcPr>
            <w:tcW w:w="1814" w:type="pct"/>
            <w:tcBorders>
              <w:bottom w:val="single" w:sz="6" w:space="0" w:color="808080" w:themeColor="background1" w:themeShade="80"/>
            </w:tcBorders>
            <w:shd w:val="clear" w:color="auto" w:fill="auto"/>
          </w:tcPr>
          <w:p w:rsidR="009A7F87" w:rsidRPr="00770229" w:rsidRDefault="009A7F87" w:rsidP="00944F69">
            <w:pPr>
              <w:pStyle w:val="TableColumnHeading"/>
              <w:ind w:left="180"/>
              <w:jc w:val="left"/>
            </w:pPr>
            <w:r w:rsidRPr="00745F44">
              <w:rPr>
                <w:i w:val="0"/>
              </w:rPr>
              <w:t>State and Territory administrative data except for Tasmania, and the NT for which data were sourced from ABS 2014-15 National Aboriginal and Torres Strait Islander Social Survey (Cat. no. 4714.0)</w:t>
            </w:r>
            <w:r w:rsidR="00944F69">
              <w:rPr>
                <w:i w:val="0"/>
              </w:rPr>
              <w:t xml:space="preserve">; and </w:t>
            </w:r>
            <w:r w:rsidRPr="00745F44">
              <w:t xml:space="preserve">ABS </w:t>
            </w:r>
            <w:r w:rsidRPr="006943F6">
              <w:t>(unpublished)</w:t>
            </w:r>
            <w:r w:rsidRPr="00745F44">
              <w:t xml:space="preserve"> General Social Survey 2014</w:t>
            </w:r>
          </w:p>
        </w:tc>
        <w:tc>
          <w:tcPr>
            <w:tcW w:w="584"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3" w:type="pct"/>
            <w:tcBorders>
              <w:bottom w:val="single" w:sz="6" w:space="0" w:color="808080" w:themeColor="background1" w:themeShade="80"/>
            </w:tcBorders>
          </w:tcPr>
          <w:p w:rsidR="009A7F87" w:rsidRPr="00770229" w:rsidRDefault="009A7F87" w:rsidP="009A7F87">
            <w:pPr>
              <w:pStyle w:val="TableBodyText"/>
              <w:keepNext w:val="0"/>
              <w:spacing w:before="60" w:after="60"/>
              <w:ind w:left="2"/>
              <w:jc w:val="center"/>
            </w:pPr>
            <w:r>
              <w:t>2015-16</w:t>
            </w:r>
          </w:p>
        </w:tc>
      </w:tr>
      <w:tr w:rsidR="009A7F87" w:rsidRPr="0071369A" w:rsidTr="0044346B">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120072">
      <w:pPr>
        <w:pStyle w:val="BodyText"/>
      </w:pPr>
    </w:p>
    <w:p w:rsidR="009A7F87" w:rsidRDefault="009A7F87" w:rsidP="00120072">
      <w:pPr>
        <w:pStyle w:val="BodyText"/>
      </w:pPr>
    </w:p>
    <w:p w:rsidR="009A7F87" w:rsidRDefault="009A7F87" w:rsidP="00120072">
      <w:pPr>
        <w:pStyle w:val="BodyText"/>
      </w:pPr>
    </w:p>
    <w:p w:rsidR="009A7F87" w:rsidRDefault="009A7F87" w:rsidP="00120072">
      <w:pPr>
        <w:pStyle w:val="BodyText"/>
      </w:pPr>
    </w:p>
    <w:p w:rsidR="009A7F87" w:rsidRDefault="009A7F87" w:rsidP="00120072">
      <w:pPr>
        <w:pStyle w:val="BodyText"/>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26"/>
      </w:tblGrid>
      <w:tr w:rsidR="009A7F87" w:rsidRPr="00770229" w:rsidTr="00760FFA">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711.2</w:t>
            </w:r>
            <w:r w:rsidRPr="00770229">
              <w:t xml:space="preserve"> Social housing</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3"/>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In Australia, government expenditure on social housing is mainly in the areas of:</w:t>
            </w:r>
          </w:p>
          <w:p w:rsidR="009A7F87" w:rsidRPr="00770229" w:rsidRDefault="009A7F87" w:rsidP="009A7F87">
            <w:pPr>
              <w:pStyle w:val="TableBullet"/>
              <w:spacing w:line="220" w:lineRule="atLeast"/>
            </w:pPr>
            <w:r w:rsidRPr="00770229">
              <w:rPr>
                <w:i/>
              </w:rPr>
              <w:t>public housing</w:t>
            </w:r>
            <w:r w:rsidRPr="00770229">
              <w:t xml:space="preserve"> — dwellings owned (or leased) and managed by State and Territory housing authorities to provide affordable rental accommodation </w:t>
            </w:r>
          </w:p>
          <w:p w:rsidR="009A7F87" w:rsidRPr="00770229" w:rsidRDefault="009A7F87" w:rsidP="009A7F87">
            <w:pPr>
              <w:pStyle w:val="TableBullet"/>
              <w:spacing w:line="220" w:lineRule="atLeast"/>
            </w:pPr>
            <w:r w:rsidRPr="00770229">
              <w:rPr>
                <w:i/>
              </w:rPr>
              <w:t>community housing</w:t>
            </w:r>
            <w:r w:rsidRPr="00770229">
              <w:t xml:space="preserve"> — rental housing provided for low to moderate income or special needs households, managed by community</w:t>
            </w:r>
            <w:r>
              <w:noBreakHyphen/>
            </w:r>
            <w:r w:rsidRPr="00770229">
              <w:t xml:space="preserve">based organisations that are at least partly subsidised by government </w:t>
            </w:r>
          </w:p>
          <w:p w:rsidR="009A7F87" w:rsidRPr="00770229" w:rsidRDefault="009A7F87" w:rsidP="009A7F87">
            <w:pPr>
              <w:pStyle w:val="TableBullet"/>
              <w:spacing w:line="220" w:lineRule="atLeast"/>
            </w:pPr>
            <w:r w:rsidRPr="00770229">
              <w:rPr>
                <w:i/>
              </w:rPr>
              <w:t>Indigenous Community Housing</w:t>
            </w:r>
            <w:r w:rsidRPr="00770229">
              <w:t xml:space="preserve"> — where government expenditure on Indigenous Community Housing can be separately identified, this should be defined as Indigenous Specific Expenditure</w:t>
            </w:r>
          </w:p>
          <w:p w:rsidR="009A7F87" w:rsidRPr="00770229" w:rsidRDefault="009A7F87" w:rsidP="009A7F87">
            <w:pPr>
              <w:pStyle w:val="TableBullet"/>
              <w:spacing w:line="220" w:lineRule="atLeast"/>
            </w:pPr>
            <w:r w:rsidRPr="00770229">
              <w:rPr>
                <w:i/>
              </w:rPr>
              <w:t>State Owned and Managed Indigenous housing)</w:t>
            </w:r>
            <w:r w:rsidRPr="00770229">
              <w:t xml:space="preserve"> — State owned and managed housing targeted at Aboriginal and Torres Strait Islander households — where government expenditure on SOMIH is separately identified, this should be defined as Indigenous Specific Expenditure.</w:t>
            </w:r>
          </w:p>
          <w:p w:rsidR="009A7F87" w:rsidRPr="00770229" w:rsidRDefault="009A7F87" w:rsidP="009A7F87">
            <w:pPr>
              <w:pStyle w:val="TableBodyText"/>
              <w:keepNext w:val="0"/>
              <w:keepLines w:val="0"/>
              <w:spacing w:before="80" w:after="80"/>
              <w:jc w:val="left"/>
            </w:pPr>
            <w:r w:rsidRPr="00770229">
              <w:t xml:space="preserve">Expenditure on </w:t>
            </w:r>
            <w:r w:rsidRPr="00770229">
              <w:rPr>
                <w:i/>
              </w:rPr>
              <w:t>Indigenous Community Housing</w:t>
            </w:r>
            <w:r w:rsidRPr="00770229">
              <w:t xml:space="preserve"> and </w:t>
            </w:r>
            <w:r w:rsidRPr="00770229">
              <w:rPr>
                <w:i/>
              </w:rPr>
              <w:t>State Owned and Managed Indigenous housing</w:t>
            </w:r>
            <w:r w:rsidRPr="00770229">
              <w:t xml:space="preserve"> is assumed to be solely provided to Aboriginal and Torres Strait Islander Australians. As such, all expenditure is classified as Indigenous specific. Accordingly, there is no mainstream expenditure for this category, and no apportionment between Indigenous and non</w:t>
            </w:r>
            <w:r w:rsidRPr="00770229">
              <w:noBreakHyphen/>
              <w:t>Indigenous expenditure is required.</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sidRPr="00770229">
              <w:t>The key cost drivers of expenditure on public housing are the stock of public housing, and the cost of administration, provision, support and operation, per dwelling.</w:t>
            </w:r>
          </w:p>
          <w:p w:rsidR="009A7F87" w:rsidRPr="00770229" w:rsidRDefault="009A7F87" w:rsidP="009A7F87">
            <w:pPr>
              <w:pStyle w:val="TableBodyText"/>
              <w:keepNext w:val="0"/>
              <w:keepLines w:val="0"/>
              <w:spacing w:before="80" w:after="80"/>
              <w:jc w:val="left"/>
              <w:rPr>
                <w:szCs w:val="26"/>
              </w:rPr>
            </w:pPr>
            <w:r w:rsidRPr="00770229">
              <w:t>The key cost drivers of expenditure on community housing are the stock of community housing, and the cost of administration, provision, support and operation, per dwelling.</w:t>
            </w:r>
          </w:p>
        </w:tc>
      </w:tr>
      <w:tr w:rsidR="009A7F87" w:rsidRPr="00770229" w:rsidTr="0093701F">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545198"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545198"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545198" w:rsidRDefault="009A7F87" w:rsidP="009A7F87">
            <w:pPr>
              <w:pStyle w:val="TableColumnHeading"/>
              <w:keepNext w:val="0"/>
              <w:ind w:left="180"/>
              <w:jc w:val="left"/>
            </w:pPr>
          </w:p>
        </w:tc>
        <w:tc>
          <w:tcPr>
            <w:tcW w:w="2337" w:type="pct"/>
            <w:gridSpan w:val="5"/>
            <w:tcBorders>
              <w:top w:val="single" w:sz="6" w:space="0" w:color="808080" w:themeColor="background1" w:themeShade="80"/>
              <w:bottom w:val="single" w:sz="6" w:space="0" w:color="808080" w:themeColor="background1" w:themeShade="80"/>
            </w:tcBorders>
            <w:shd w:val="clear" w:color="auto" w:fill="auto"/>
          </w:tcPr>
          <w:p w:rsidR="009A7F87" w:rsidRPr="00545198" w:rsidRDefault="009A7F87" w:rsidP="009A7F87">
            <w:pPr>
              <w:pStyle w:val="TableColumnHeading"/>
              <w:keepNext w:val="0"/>
              <w:ind w:left="180"/>
              <w:jc w:val="center"/>
            </w:pPr>
            <w:r w:rsidRPr="00545198">
              <w:t>Data Years</w:t>
            </w:r>
          </w:p>
        </w:tc>
      </w:tr>
      <w:tr w:rsidR="009A7F87" w:rsidRPr="00545198"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545198" w:rsidRDefault="009A7F87" w:rsidP="009A7F87">
            <w:pPr>
              <w:pStyle w:val="TableBodyText"/>
              <w:keepNext w:val="0"/>
              <w:spacing w:before="60" w:after="60"/>
              <w:ind w:left="0"/>
              <w:jc w:val="both"/>
              <w:rPr>
                <w:i/>
              </w:rPr>
            </w:pPr>
            <w:r w:rsidRPr="00545198">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545198" w:rsidRDefault="009A7F87" w:rsidP="009A7F87">
            <w:pPr>
              <w:pStyle w:val="TableBodyText"/>
              <w:keepNext w:val="0"/>
              <w:spacing w:before="60" w:after="60"/>
              <w:ind w:left="180"/>
              <w:jc w:val="left"/>
              <w:rPr>
                <w:i/>
              </w:rPr>
            </w:pPr>
            <w:r w:rsidRPr="00545198">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545198" w:rsidRDefault="009A7F87" w:rsidP="009A7F87">
            <w:pPr>
              <w:pStyle w:val="TableBodyText"/>
              <w:keepNext w:val="0"/>
              <w:spacing w:before="60" w:after="60"/>
              <w:ind w:left="2"/>
              <w:jc w:val="center"/>
              <w:rPr>
                <w:i/>
              </w:rPr>
            </w:pPr>
            <w:r w:rsidRPr="00545198">
              <w:rPr>
                <w:i/>
              </w:rPr>
              <w:t>2008</w:t>
            </w:r>
            <w:r w:rsidRPr="00545198">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545198" w:rsidRDefault="009A7F87" w:rsidP="009A7F87">
            <w:pPr>
              <w:pStyle w:val="TableBodyText"/>
              <w:keepNext w:val="0"/>
              <w:spacing w:before="60" w:after="60"/>
              <w:ind w:left="2"/>
              <w:jc w:val="center"/>
              <w:rPr>
                <w:i/>
              </w:rPr>
            </w:pPr>
            <w:r w:rsidRPr="00545198">
              <w:rPr>
                <w:i/>
              </w:rPr>
              <w:t>2010</w:t>
            </w:r>
            <w:r w:rsidRPr="00545198">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545198" w:rsidRDefault="009A7F87" w:rsidP="009A7F87">
            <w:pPr>
              <w:pStyle w:val="TableBodyText"/>
              <w:keepNext w:val="0"/>
              <w:spacing w:before="60" w:after="60"/>
              <w:ind w:left="2"/>
              <w:jc w:val="center"/>
              <w:rPr>
                <w:i/>
              </w:rPr>
            </w:pPr>
            <w:r w:rsidRPr="00545198">
              <w:rPr>
                <w:i/>
              </w:rPr>
              <w:t>2012</w:t>
            </w:r>
            <w:r w:rsidRPr="00545198">
              <w:rPr>
                <w:i/>
              </w:rPr>
              <w:noBreakHyphen/>
              <w:t>13 Estimates</w:t>
            </w:r>
          </w:p>
        </w:tc>
        <w:tc>
          <w:tcPr>
            <w:tcW w:w="583" w:type="pct"/>
            <w:tcBorders>
              <w:top w:val="single" w:sz="6" w:space="0" w:color="808080" w:themeColor="background1" w:themeShade="80"/>
              <w:bottom w:val="single" w:sz="6" w:space="0" w:color="808080" w:themeColor="background1" w:themeShade="80"/>
            </w:tcBorders>
          </w:tcPr>
          <w:p w:rsidR="009A7F87" w:rsidRPr="00545198" w:rsidRDefault="009A7F87" w:rsidP="009A7F87">
            <w:pPr>
              <w:pStyle w:val="TableBodyText"/>
              <w:keepNext w:val="0"/>
              <w:spacing w:before="60" w:after="60"/>
              <w:ind w:left="2"/>
              <w:jc w:val="center"/>
              <w:rPr>
                <w:i/>
              </w:rPr>
            </w:pPr>
            <w:r w:rsidRPr="00545198">
              <w:rPr>
                <w:i/>
              </w:rPr>
              <w:t>2015</w:t>
            </w:r>
            <w:r w:rsidRPr="00545198">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Households that rent public housing</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AIHW Public Rental Housing, National Social Housing Survey (NSHS), Housing Assistance in Australia</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tcBorders>
              <w:top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Households that rent community housing</w:t>
            </w:r>
          </w:p>
        </w:tc>
        <w:tc>
          <w:tcPr>
            <w:tcW w:w="1814" w:type="pct"/>
            <w:tcBorders>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AIHW Community Housing, National Social Housing Survey (NSHS), Housing Assistance in Australia</w:t>
            </w:r>
          </w:p>
        </w:tc>
        <w:tc>
          <w:tcPr>
            <w:tcW w:w="584"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2011</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2013</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3" w:type="pct"/>
            <w:tcBorders>
              <w:bottom w:val="single" w:sz="6" w:space="0" w:color="808080" w:themeColor="background1" w:themeShade="80"/>
            </w:tcBorders>
          </w:tcPr>
          <w:p w:rsidR="009A7F87" w:rsidRPr="00770229" w:rsidRDefault="009A7F87" w:rsidP="009A7F87">
            <w:pPr>
              <w:pStyle w:val="TableBodyText"/>
              <w:keepNext w:val="0"/>
              <w:spacing w:before="100" w:after="60"/>
              <w:ind w:left="0"/>
              <w:jc w:val="center"/>
            </w:pPr>
            <w:r>
              <w:t>June 2016</w:t>
            </w:r>
          </w:p>
        </w:tc>
      </w:tr>
      <w:tr w:rsidR="009A7F87" w:rsidRPr="0071369A" w:rsidTr="0044346B">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26"/>
      </w:tblGrid>
      <w:tr w:rsidR="009A7F87" w:rsidRPr="00770229" w:rsidTr="00760FFA">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711.3</w:t>
            </w:r>
            <w:r w:rsidRPr="00770229">
              <w:t xml:space="preserve"> Rental market assistance</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3"/>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In Australia, government expenditure on </w:t>
            </w:r>
            <w:r w:rsidRPr="00770229">
              <w:rPr>
                <w:i/>
              </w:rPr>
              <w:t>rental market assistance</w:t>
            </w:r>
            <w:r w:rsidRPr="00770229">
              <w:t xml:space="preserve"> is generally in the form of financial assistance to people in the private rental market, which include one</w:t>
            </w:r>
            <w:r w:rsidRPr="00770229">
              <w:noBreakHyphen/>
              <w:t>off or ongoing payments to support households to meet rental payments, relocation costs, and bond guarantees. For example, the Australian Government Commonwealth Rent Assistance Scheme.</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szCs w:val="26"/>
              </w:rPr>
            </w:pPr>
            <w:r w:rsidRPr="00770229">
              <w:t xml:space="preserve">The key cost drivers of expenditure on housing </w:t>
            </w:r>
            <w:r w:rsidRPr="00770229">
              <w:rPr>
                <w:szCs w:val="26"/>
              </w:rPr>
              <w:t>rental assistance</w:t>
            </w:r>
            <w:r w:rsidRPr="00770229">
              <w:t xml:space="preserve"> are the number of households receiving rent assistance and the level of rental assistance provided.</w:t>
            </w:r>
          </w:p>
        </w:tc>
      </w:tr>
      <w:tr w:rsidR="009A7F87" w:rsidRPr="00770229" w:rsidTr="0093701F">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D13AE5"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D13AE5"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D13AE5" w:rsidRDefault="009A7F87" w:rsidP="009A7F87">
            <w:pPr>
              <w:pStyle w:val="TableColumnHeading"/>
              <w:keepNext w:val="0"/>
              <w:ind w:left="180"/>
              <w:jc w:val="left"/>
            </w:pPr>
          </w:p>
        </w:tc>
        <w:tc>
          <w:tcPr>
            <w:tcW w:w="2337" w:type="pct"/>
            <w:gridSpan w:val="5"/>
            <w:tcBorders>
              <w:top w:val="single" w:sz="6" w:space="0" w:color="808080" w:themeColor="background1" w:themeShade="80"/>
              <w:bottom w:val="single" w:sz="6" w:space="0" w:color="808080" w:themeColor="background1" w:themeShade="80"/>
            </w:tcBorders>
            <w:shd w:val="clear" w:color="auto" w:fill="auto"/>
          </w:tcPr>
          <w:p w:rsidR="009A7F87" w:rsidRPr="00D13AE5" w:rsidRDefault="009A7F87" w:rsidP="009A7F87">
            <w:pPr>
              <w:pStyle w:val="TableColumnHeading"/>
              <w:keepNext w:val="0"/>
              <w:ind w:left="180"/>
              <w:jc w:val="center"/>
            </w:pPr>
            <w:r w:rsidRPr="00D13AE5">
              <w:t>Data Years</w:t>
            </w:r>
          </w:p>
        </w:tc>
      </w:tr>
      <w:tr w:rsidR="009A7F87" w:rsidRPr="00D13AE5"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D13AE5" w:rsidRDefault="009A7F87" w:rsidP="009A7F87">
            <w:pPr>
              <w:pStyle w:val="TableBodyText"/>
              <w:keepNext w:val="0"/>
              <w:spacing w:before="60" w:after="60"/>
              <w:ind w:left="0"/>
              <w:jc w:val="both"/>
              <w:rPr>
                <w:i/>
              </w:rPr>
            </w:pPr>
            <w:r w:rsidRPr="00D13AE5">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D13AE5" w:rsidRDefault="009A7F87" w:rsidP="009A7F87">
            <w:pPr>
              <w:pStyle w:val="TableBodyText"/>
              <w:keepNext w:val="0"/>
              <w:spacing w:before="60" w:after="60"/>
              <w:ind w:left="180"/>
              <w:jc w:val="left"/>
              <w:rPr>
                <w:i/>
              </w:rPr>
            </w:pPr>
            <w:r w:rsidRPr="00D13AE5">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D13AE5" w:rsidRDefault="009A7F87" w:rsidP="009A7F87">
            <w:pPr>
              <w:pStyle w:val="TableBodyText"/>
              <w:keepNext w:val="0"/>
              <w:spacing w:before="60" w:after="60"/>
              <w:ind w:left="2"/>
              <w:jc w:val="center"/>
              <w:rPr>
                <w:i/>
              </w:rPr>
            </w:pPr>
            <w:r w:rsidRPr="00D13AE5">
              <w:rPr>
                <w:i/>
              </w:rPr>
              <w:t>2008</w:t>
            </w:r>
            <w:r w:rsidRPr="00D13AE5">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D13AE5" w:rsidRDefault="009A7F87" w:rsidP="009A7F87">
            <w:pPr>
              <w:pStyle w:val="TableBodyText"/>
              <w:keepNext w:val="0"/>
              <w:spacing w:before="60" w:after="60"/>
              <w:ind w:left="2"/>
              <w:jc w:val="center"/>
              <w:rPr>
                <w:i/>
              </w:rPr>
            </w:pPr>
            <w:r w:rsidRPr="00D13AE5">
              <w:rPr>
                <w:i/>
              </w:rPr>
              <w:t>2010</w:t>
            </w:r>
            <w:r w:rsidRPr="00D13AE5">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D13AE5" w:rsidRDefault="009A7F87" w:rsidP="009A7F87">
            <w:pPr>
              <w:pStyle w:val="TableBodyText"/>
              <w:keepNext w:val="0"/>
              <w:spacing w:before="60" w:after="60"/>
              <w:ind w:left="2"/>
              <w:jc w:val="center"/>
              <w:rPr>
                <w:i/>
              </w:rPr>
            </w:pPr>
            <w:r w:rsidRPr="00D13AE5">
              <w:rPr>
                <w:i/>
              </w:rPr>
              <w:t>2012</w:t>
            </w:r>
            <w:r w:rsidRPr="00D13AE5">
              <w:rPr>
                <w:i/>
              </w:rPr>
              <w:noBreakHyphen/>
              <w:t>13 Estimates</w:t>
            </w:r>
          </w:p>
        </w:tc>
        <w:tc>
          <w:tcPr>
            <w:tcW w:w="583" w:type="pct"/>
            <w:tcBorders>
              <w:top w:val="single" w:sz="6" w:space="0" w:color="808080" w:themeColor="background1" w:themeShade="80"/>
              <w:bottom w:val="single" w:sz="6" w:space="0" w:color="808080" w:themeColor="background1" w:themeShade="80"/>
            </w:tcBorders>
          </w:tcPr>
          <w:p w:rsidR="009A7F87" w:rsidRPr="00D13AE5" w:rsidRDefault="009A7F87" w:rsidP="009A7F87">
            <w:pPr>
              <w:pStyle w:val="TableBodyText"/>
              <w:keepNext w:val="0"/>
              <w:spacing w:before="60" w:after="60"/>
              <w:ind w:left="2"/>
              <w:jc w:val="center"/>
              <w:rPr>
                <w:i/>
              </w:rPr>
            </w:pPr>
            <w:r w:rsidRPr="00D13AE5">
              <w:rPr>
                <w:i/>
              </w:rPr>
              <w:t>2015</w:t>
            </w:r>
            <w:r w:rsidRPr="00D13AE5">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Households receiving rental assistance</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State and Territory administrative data (unpublished)</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r>
              <w:br/>
            </w: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2012-13</w:t>
            </w:r>
          </w:p>
          <w:p w:rsidR="009A7F87" w:rsidRPr="00770229" w:rsidRDefault="009A7F87" w:rsidP="009A7F87">
            <w:pPr>
              <w:pStyle w:val="TableBodyText"/>
              <w:spacing w:before="60" w:after="60"/>
              <w:ind w:left="2"/>
              <w:jc w:val="center"/>
            </w:pPr>
            <w:r>
              <w:br/>
            </w:r>
          </w:p>
        </w:tc>
        <w:tc>
          <w:tcPr>
            <w:tcW w:w="583" w:type="pct"/>
            <w:tcBorders>
              <w:top w:val="single" w:sz="6" w:space="0" w:color="808080" w:themeColor="background1" w:themeShade="80"/>
            </w:tcBorders>
            <w:vAlign w:val="center"/>
          </w:tcPr>
          <w:p w:rsidR="009A7F87" w:rsidRDefault="009A7F87" w:rsidP="009A7F87">
            <w:pPr>
              <w:pStyle w:val="TableBodyText"/>
              <w:spacing w:before="60" w:after="60"/>
              <w:ind w:left="2"/>
              <w:jc w:val="center"/>
            </w:pPr>
            <w:r>
              <w:t>2015-16</w:t>
            </w:r>
          </w:p>
          <w:p w:rsidR="009A7F87" w:rsidRPr="00770229" w:rsidRDefault="009A7F87" w:rsidP="009A7F87">
            <w:pPr>
              <w:pStyle w:val="TableBodyText"/>
              <w:spacing w:before="60" w:after="60"/>
              <w:ind w:left="2"/>
              <w:jc w:val="center"/>
            </w:pPr>
            <w:r>
              <w:br/>
            </w: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Commonwealth Rent assistance recipients</w:t>
            </w:r>
          </w:p>
        </w:tc>
        <w:tc>
          <w:tcPr>
            <w:tcW w:w="1814" w:type="pct"/>
            <w:tcBorders>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Australian Government administrative data (unpublished)</w:t>
            </w:r>
          </w:p>
        </w:tc>
        <w:tc>
          <w:tcPr>
            <w:tcW w:w="584"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2011</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2013</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3" w:type="pct"/>
            <w:tcBorders>
              <w:bottom w:val="single" w:sz="6" w:space="0" w:color="808080" w:themeColor="background1" w:themeShade="80"/>
            </w:tcBorders>
          </w:tcPr>
          <w:p w:rsidR="009A7F87" w:rsidRPr="00770229" w:rsidRDefault="009A7F87" w:rsidP="009A7F87">
            <w:pPr>
              <w:pStyle w:val="TableBodyText"/>
              <w:keepNext w:val="0"/>
              <w:spacing w:before="100" w:after="60"/>
              <w:ind w:left="0"/>
              <w:jc w:val="center"/>
            </w:pPr>
            <w:r>
              <w:t>June 2016</w:t>
            </w:r>
          </w:p>
        </w:tc>
      </w:tr>
      <w:tr w:rsidR="009A7F87" w:rsidRPr="0071369A" w:rsidTr="0044346B">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711.4</w:t>
            </w:r>
            <w:r w:rsidRPr="00770229">
              <w:t xml:space="preserve"> Defence housing</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In Australia, government expenditure on defence housing is provided for serving members of the Australian Defence Force and their families.</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szCs w:val="26"/>
              </w:rPr>
            </w:pPr>
            <w:r w:rsidRPr="00770229">
              <w:t>The key cost drivers of expenditure on defence housing are the number of serving members of the Australian Defence Force that require housing, the size of their families, and the location of that housing. It is assumed that the costs associated with this expenditure are driven by the population on a uniform basis.</w:t>
            </w:r>
          </w:p>
        </w:tc>
      </w:tr>
      <w:tr w:rsidR="009A7F87" w:rsidRPr="00770229" w:rsidTr="0093701F">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D13AE5"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D13AE5"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D13AE5"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D13AE5" w:rsidRDefault="009A7F87" w:rsidP="009A7F87">
            <w:pPr>
              <w:pStyle w:val="TableColumnHeading"/>
              <w:keepNext w:val="0"/>
              <w:ind w:left="180"/>
              <w:jc w:val="center"/>
            </w:pPr>
            <w:r w:rsidRPr="00D13AE5">
              <w:t>Data Years</w:t>
            </w:r>
          </w:p>
        </w:tc>
      </w:tr>
      <w:tr w:rsidR="009A7F87" w:rsidRPr="00D13AE5"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D13AE5" w:rsidRDefault="009A7F87" w:rsidP="009A7F87">
            <w:pPr>
              <w:pStyle w:val="TableBodyText"/>
              <w:keepNext w:val="0"/>
              <w:spacing w:before="60" w:after="60"/>
              <w:ind w:left="0"/>
              <w:jc w:val="both"/>
              <w:rPr>
                <w:rStyle w:val="NoteLabel"/>
                <w:i/>
              </w:rPr>
            </w:pPr>
            <w:r w:rsidRPr="00D13AE5">
              <w:rPr>
                <w:i/>
              </w:rPr>
              <w:br/>
              <w:t>Measure</w:t>
            </w:r>
            <w:r w:rsidRPr="00944F69">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D13AE5" w:rsidRDefault="009A7F87" w:rsidP="009A7F87">
            <w:pPr>
              <w:pStyle w:val="TableBodyText"/>
              <w:keepNext w:val="0"/>
              <w:spacing w:before="60" w:after="60"/>
              <w:ind w:left="180"/>
              <w:jc w:val="left"/>
              <w:rPr>
                <w:i/>
              </w:rPr>
            </w:pPr>
            <w:r w:rsidRPr="00D13AE5">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D13AE5" w:rsidRDefault="009A7F87" w:rsidP="009A7F87">
            <w:pPr>
              <w:pStyle w:val="TableBodyText"/>
              <w:keepNext w:val="0"/>
              <w:spacing w:before="60" w:after="60"/>
              <w:ind w:left="2"/>
              <w:jc w:val="center"/>
              <w:rPr>
                <w:i/>
              </w:rPr>
            </w:pPr>
            <w:r w:rsidRPr="00D13AE5">
              <w:rPr>
                <w:i/>
              </w:rPr>
              <w:t>2008</w:t>
            </w:r>
            <w:r w:rsidRPr="00D13AE5">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D13AE5" w:rsidRDefault="009A7F87" w:rsidP="009A7F87">
            <w:pPr>
              <w:pStyle w:val="TableBodyText"/>
              <w:keepNext w:val="0"/>
              <w:spacing w:before="60" w:after="60"/>
              <w:ind w:left="2"/>
              <w:jc w:val="center"/>
              <w:rPr>
                <w:i/>
              </w:rPr>
            </w:pPr>
            <w:r w:rsidRPr="00D13AE5">
              <w:rPr>
                <w:i/>
              </w:rPr>
              <w:t>2010</w:t>
            </w:r>
            <w:r w:rsidRPr="00D13AE5">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D13AE5" w:rsidRDefault="009A7F87" w:rsidP="009A7F87">
            <w:pPr>
              <w:pStyle w:val="TableBodyText"/>
              <w:keepNext w:val="0"/>
              <w:spacing w:before="60" w:after="60"/>
              <w:ind w:left="2"/>
              <w:jc w:val="center"/>
              <w:rPr>
                <w:i/>
              </w:rPr>
            </w:pPr>
            <w:r w:rsidRPr="00D13AE5">
              <w:rPr>
                <w:i/>
              </w:rPr>
              <w:t>2012</w:t>
            </w:r>
            <w:r w:rsidRPr="00D13AE5">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D13AE5" w:rsidRDefault="009A7F87" w:rsidP="009A7F87">
            <w:pPr>
              <w:pStyle w:val="TableBodyText"/>
              <w:keepNext w:val="0"/>
              <w:spacing w:before="60" w:after="60"/>
              <w:ind w:left="2"/>
              <w:jc w:val="center"/>
              <w:rPr>
                <w:i/>
              </w:rPr>
            </w:pPr>
            <w:r w:rsidRPr="00D13AE5">
              <w:rPr>
                <w:i/>
              </w:rPr>
              <w:t>2015</w:t>
            </w:r>
            <w:r w:rsidRPr="00D13AE5">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DC593E">
              <w:t>(Cat. no. 3101.0)</w:t>
            </w:r>
          </w:p>
        </w:tc>
        <w:tc>
          <w:tcPr>
            <w:tcW w:w="584"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80" w:after="60"/>
              <w:ind w:left="0"/>
              <w:jc w:val="center"/>
            </w:pPr>
            <w:r>
              <w:t>June 2009</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80" w:after="60"/>
              <w:ind w:left="0"/>
              <w:jc w:val="center"/>
            </w:pPr>
            <w:r>
              <w:t>June 2011</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80" w:after="60"/>
              <w:ind w:left="0"/>
              <w:jc w:val="center"/>
            </w:pPr>
            <w:r>
              <w:t>June 2013</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3" w:type="pct"/>
            <w:gridSpan w:val="2"/>
            <w:tcBorders>
              <w:bottom w:val="single" w:sz="6" w:space="0" w:color="808080" w:themeColor="background1" w:themeShade="80"/>
            </w:tcBorders>
          </w:tcPr>
          <w:p w:rsidR="009A7F87" w:rsidRPr="00770229" w:rsidRDefault="009A7F87" w:rsidP="009A7F87">
            <w:pPr>
              <w:pStyle w:val="TableBodyText"/>
              <w:keepNext w:val="0"/>
              <w:spacing w:before="100" w:after="60"/>
              <w:ind w:left="0"/>
              <w:jc w:val="center"/>
            </w:pPr>
            <w:r>
              <w:t>June 2016</w:t>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0E2C75" w:rsidRDefault="009A7F87" w:rsidP="009A7F87">
            <w:pPr>
              <w:pStyle w:val="TableBodyText"/>
              <w:keepNext w:val="0"/>
              <w:keepLines w:val="0"/>
              <w:spacing w:before="80" w:after="80"/>
              <w:jc w:val="both"/>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712.0</w:t>
            </w:r>
            <w:r w:rsidRPr="00770229">
              <w:t xml:space="preserve"> Community development</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In Australia, State and Territory governments aim to build partnerships with Aboriginal and Torres Strait Islander communities to deliver programs and services that meet the needs of Aboriginal and Torres Strait Islander Australians, primarily in remote communities. Aboriginal community development includes programs that support reconciliation, Indigenous advisory councils, and research.</w:t>
            </w:r>
          </w:p>
          <w:p w:rsidR="009A7F87" w:rsidRPr="00770229" w:rsidRDefault="009A7F87" w:rsidP="009A7F87">
            <w:pPr>
              <w:pStyle w:val="TableBodyText"/>
              <w:keepNext w:val="0"/>
              <w:keepLines w:val="0"/>
              <w:spacing w:before="80" w:after="80"/>
              <w:jc w:val="left"/>
            </w:pPr>
            <w:r w:rsidRPr="00770229">
              <w:t>Governments also share responsibility for providing programs that support regional development, urban renewal and systems for land use, and planning and urban design.</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A key cost driver of expenditure on community development is the location of the communities that are being developed. However, given the range of services provided by government under other community development, it is difficult to link costs closely with a particular service area or cohort of service users. </w:t>
            </w:r>
          </w:p>
          <w:p w:rsidR="009A7F87" w:rsidRPr="00770229" w:rsidRDefault="009A7F87" w:rsidP="009A7F87">
            <w:pPr>
              <w:pStyle w:val="TableBodyText"/>
              <w:keepNext w:val="0"/>
              <w:keepLines w:val="0"/>
              <w:spacing w:before="80" w:after="80"/>
              <w:jc w:val="left"/>
              <w:rPr>
                <w:szCs w:val="26"/>
              </w:rPr>
            </w:pPr>
            <w:r w:rsidRPr="00770229">
              <w:t>It is assumed that the costs associated with this expenditure are driven by the population on a uniform basis.</w:t>
            </w:r>
          </w:p>
        </w:tc>
      </w:tr>
      <w:tr w:rsidR="009A7F87" w:rsidRPr="00770229" w:rsidTr="0093701F">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D13AE5"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D13AE5"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D13AE5"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D13AE5" w:rsidRDefault="009A7F87" w:rsidP="009A7F87">
            <w:pPr>
              <w:pStyle w:val="TableColumnHeading"/>
              <w:keepNext w:val="0"/>
              <w:ind w:left="180"/>
              <w:jc w:val="center"/>
            </w:pPr>
            <w:r w:rsidRPr="00D13AE5">
              <w:t>Data Years</w:t>
            </w:r>
          </w:p>
        </w:tc>
      </w:tr>
      <w:tr w:rsidR="009A7F87" w:rsidRPr="00D13AE5"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D13AE5" w:rsidRDefault="009A7F87" w:rsidP="009A7F87">
            <w:pPr>
              <w:pStyle w:val="TableBodyText"/>
              <w:keepNext w:val="0"/>
              <w:spacing w:before="60" w:after="60"/>
              <w:ind w:left="0"/>
              <w:jc w:val="both"/>
              <w:rPr>
                <w:rStyle w:val="NoteLabel"/>
                <w:i/>
              </w:rPr>
            </w:pPr>
            <w:r w:rsidRPr="00D13AE5">
              <w:rPr>
                <w:i/>
              </w:rPr>
              <w:br/>
              <w:t>Measure</w:t>
            </w:r>
            <w:r w:rsidRPr="00944F69">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D13AE5" w:rsidRDefault="009A7F87" w:rsidP="009A7F87">
            <w:pPr>
              <w:pStyle w:val="TableBodyText"/>
              <w:keepNext w:val="0"/>
              <w:spacing w:before="60" w:after="60"/>
              <w:ind w:left="180"/>
              <w:jc w:val="left"/>
              <w:rPr>
                <w:i/>
              </w:rPr>
            </w:pPr>
            <w:r w:rsidRPr="00D13AE5">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D13AE5" w:rsidRDefault="009A7F87" w:rsidP="009A7F87">
            <w:pPr>
              <w:pStyle w:val="TableBodyText"/>
              <w:keepNext w:val="0"/>
              <w:spacing w:before="60" w:after="60"/>
              <w:ind w:left="2"/>
              <w:jc w:val="center"/>
              <w:rPr>
                <w:i/>
              </w:rPr>
            </w:pPr>
            <w:r w:rsidRPr="00D13AE5">
              <w:rPr>
                <w:i/>
              </w:rPr>
              <w:t>2008</w:t>
            </w:r>
            <w:r w:rsidRPr="00D13AE5">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D13AE5" w:rsidRDefault="009A7F87" w:rsidP="009A7F87">
            <w:pPr>
              <w:pStyle w:val="TableBodyText"/>
              <w:keepNext w:val="0"/>
              <w:spacing w:before="60" w:after="60"/>
              <w:ind w:left="2"/>
              <w:jc w:val="center"/>
              <w:rPr>
                <w:i/>
              </w:rPr>
            </w:pPr>
            <w:r w:rsidRPr="00D13AE5">
              <w:rPr>
                <w:i/>
              </w:rPr>
              <w:t>2010</w:t>
            </w:r>
            <w:r w:rsidRPr="00D13AE5">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D13AE5" w:rsidRDefault="009A7F87" w:rsidP="009A7F87">
            <w:pPr>
              <w:pStyle w:val="TableBodyText"/>
              <w:keepNext w:val="0"/>
              <w:spacing w:before="60" w:after="60"/>
              <w:ind w:left="2"/>
              <w:jc w:val="center"/>
              <w:rPr>
                <w:i/>
              </w:rPr>
            </w:pPr>
            <w:r w:rsidRPr="00D13AE5">
              <w:rPr>
                <w:i/>
              </w:rPr>
              <w:t>2012</w:t>
            </w:r>
            <w:r w:rsidRPr="00D13AE5">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D13AE5" w:rsidRDefault="009A7F87" w:rsidP="009A7F87">
            <w:pPr>
              <w:pStyle w:val="TableBodyText"/>
              <w:keepNext w:val="0"/>
              <w:spacing w:before="60" w:after="60"/>
              <w:ind w:left="2"/>
              <w:jc w:val="center"/>
              <w:rPr>
                <w:i/>
              </w:rPr>
            </w:pPr>
            <w:r w:rsidRPr="00D13AE5">
              <w:rPr>
                <w:i/>
              </w:rPr>
              <w:t>2015</w:t>
            </w:r>
            <w:r w:rsidRPr="00D13AE5">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t>Resident population</w:t>
            </w:r>
          </w:p>
        </w:tc>
        <w:tc>
          <w:tcPr>
            <w:tcW w:w="1814" w:type="pct"/>
            <w:tcBorders>
              <w:bottom w:val="single" w:sz="6" w:space="0" w:color="808080" w:themeColor="background1" w:themeShade="80"/>
            </w:tcBorders>
            <w:shd w:val="clear" w:color="auto" w:fill="auto"/>
          </w:tcPr>
          <w:p w:rsidR="009A7F87" w:rsidRPr="009C04DE" w:rsidRDefault="009A7F87" w:rsidP="009A7F87">
            <w:pPr>
              <w:pStyle w:val="TableBodyText"/>
              <w:keepNext w:val="0"/>
              <w:spacing w:before="60" w:after="60"/>
              <w:ind w:left="180"/>
              <w:jc w:val="left"/>
            </w:pPr>
            <w:r>
              <w:t xml:space="preserve">ABS </w:t>
            </w:r>
            <w:r>
              <w:rPr>
                <w:i/>
              </w:rPr>
              <w:t>Australian Demographic Statistics</w:t>
            </w:r>
            <w:r>
              <w:t xml:space="preserve"> (Cat. no. 3101.0)</w:t>
            </w:r>
          </w:p>
        </w:tc>
        <w:tc>
          <w:tcPr>
            <w:tcW w:w="584" w:type="pct"/>
            <w:tcBorders>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r>
              <w:br/>
            </w:r>
          </w:p>
        </w:tc>
        <w:tc>
          <w:tcPr>
            <w:tcW w:w="585" w:type="pct"/>
            <w:gridSpan w:val="2"/>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r>
              <w:br/>
            </w:r>
          </w:p>
        </w:tc>
        <w:tc>
          <w:tcPr>
            <w:tcW w:w="585" w:type="pct"/>
            <w:tcBorders>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r>
              <w:br/>
            </w:r>
          </w:p>
        </w:tc>
        <w:tc>
          <w:tcPr>
            <w:tcW w:w="583" w:type="pct"/>
            <w:gridSpan w:val="2"/>
            <w:tcBorders>
              <w:bottom w:val="single" w:sz="6" w:space="0" w:color="808080" w:themeColor="background1" w:themeShade="80"/>
            </w:tcBorders>
            <w:vAlign w:val="center"/>
          </w:tcPr>
          <w:p w:rsidR="009A7F87" w:rsidRDefault="009A7F87" w:rsidP="009A7F87">
            <w:pPr>
              <w:pStyle w:val="TableBodyText"/>
              <w:spacing w:before="60" w:after="60"/>
              <w:ind w:left="2"/>
              <w:jc w:val="center"/>
            </w:pPr>
            <w:r>
              <w:t>June 2016</w:t>
            </w: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0E2C75" w:rsidRDefault="009A7F87" w:rsidP="009A7F87">
            <w:pPr>
              <w:pStyle w:val="TableBodyText"/>
              <w:keepNext w:val="0"/>
              <w:keepLines w:val="0"/>
              <w:spacing w:before="80" w:after="80"/>
              <w:jc w:val="both"/>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spacing w:before="440"/>
              <w:ind w:hanging="79"/>
            </w:pPr>
            <w:r w:rsidRPr="00770229">
              <w:br w:type="page"/>
              <w:t>0</w:t>
            </w:r>
            <w:r>
              <w:t>720.0</w:t>
            </w:r>
            <w:r w:rsidRPr="00770229">
              <w:t xml:space="preserve"> Water supply</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40"/>
              <w:jc w:val="left"/>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40"/>
              <w:jc w:val="left"/>
            </w:pPr>
            <w:r>
              <w:rPr>
                <w:b/>
              </w:rPr>
              <w:t>31 August 2017</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40" w:after="80"/>
              <w:jc w:val="left"/>
              <w:rPr>
                <w:b/>
                <w:i/>
                <w:sz w:val="24"/>
              </w:rPr>
            </w:pPr>
            <w:r w:rsidRPr="00770229">
              <w:rPr>
                <w:b/>
                <w:sz w:val="24"/>
              </w:rPr>
              <w:t>Service description</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40"/>
              <w:jc w:val="left"/>
            </w:pPr>
            <w:r w:rsidRPr="00770229">
              <w:t>In Australia, the State and Territory governments are responsible for the operation of water supply systems and research into the conservation, collection and purification of water in remote Aboriginal and Torres Strait Islander communities. Expenditure on Aboriginal community water supply occurs in Queensland, Western Australia and the Northern Territory.</w:t>
            </w:r>
          </w:p>
          <w:p w:rsidR="009A7F87" w:rsidRPr="00770229" w:rsidRDefault="009A7F87" w:rsidP="009A7F87">
            <w:pPr>
              <w:pStyle w:val="TableBodyText"/>
              <w:keepNext w:val="0"/>
              <w:keepLines w:val="0"/>
              <w:spacing w:before="40"/>
              <w:jc w:val="left"/>
            </w:pPr>
            <w:r w:rsidRPr="00770229">
              <w:t>Expenditure on other water supply can be categorised as either:</w:t>
            </w:r>
          </w:p>
          <w:p w:rsidR="009A7F87" w:rsidRPr="00770229" w:rsidRDefault="009A7F87" w:rsidP="009A7F87">
            <w:pPr>
              <w:pStyle w:val="TableBullet"/>
              <w:spacing w:line="220" w:lineRule="atLeast"/>
            </w:pPr>
            <w:r w:rsidRPr="00770229">
              <w:t xml:space="preserve">industry regulation and support — </w:t>
            </w:r>
            <w:r w:rsidRPr="00770229">
              <w:rPr>
                <w:szCs w:val="26"/>
              </w:rPr>
              <w:t xml:space="preserve">in Australia, State and Territory governments are responsible for the management and regulation of freshwater </w:t>
            </w:r>
            <w:r w:rsidRPr="00770229">
              <w:t>resources</w:t>
            </w:r>
            <w:r w:rsidRPr="00770229">
              <w:rPr>
                <w:szCs w:val="26"/>
              </w:rPr>
              <w:t>, including domestic water supply, and related public health issues</w:t>
            </w:r>
          </w:p>
          <w:p w:rsidR="009A7F87" w:rsidRPr="00770229" w:rsidRDefault="009A7F87" w:rsidP="009A7F87">
            <w:pPr>
              <w:pStyle w:val="TableBullet"/>
              <w:spacing w:line="220" w:lineRule="atLeast"/>
            </w:pPr>
            <w:r w:rsidRPr="00770229">
              <w:t>community service obligations (excluding household concessions) — access to water services is essential for maintaining a basic standard of living. As a consequence, water retailers are sometimes required to provide services to some customers in a manner that the retailer may not choose if acting on a purely commercial basis. The government compensates water retailers for their community service obligations, which may include:</w:t>
            </w:r>
          </w:p>
          <w:p w:rsidR="009A7F87" w:rsidRPr="003F6296" w:rsidRDefault="009A7F87" w:rsidP="009A7F87">
            <w:pPr>
              <w:pStyle w:val="TableBullet2"/>
              <w:rPr>
                <w:sz w:val="18"/>
                <w:szCs w:val="18"/>
              </w:rPr>
            </w:pPr>
            <w:r w:rsidRPr="003F6296">
              <w:rPr>
                <w:rStyle w:val="TableBullet2Char"/>
                <w:sz w:val="18"/>
                <w:szCs w:val="18"/>
              </w:rPr>
              <w:t>universal service access</w:t>
            </w:r>
            <w:r w:rsidRPr="003F6296">
              <w:rPr>
                <w:sz w:val="18"/>
                <w:szCs w:val="18"/>
              </w:rPr>
              <w:t xml:space="preserve"> — for example, providing services to locations where the full cost of infrastructure cannot be recovered because of low service density</w:t>
            </w:r>
          </w:p>
          <w:p w:rsidR="009A7F87" w:rsidRPr="003F6296" w:rsidRDefault="009A7F87" w:rsidP="009A7F87">
            <w:pPr>
              <w:pStyle w:val="TableBullet2"/>
              <w:rPr>
                <w:sz w:val="18"/>
                <w:szCs w:val="18"/>
              </w:rPr>
            </w:pPr>
            <w:r w:rsidRPr="003F6296">
              <w:rPr>
                <w:sz w:val="18"/>
                <w:szCs w:val="18"/>
              </w:rPr>
              <w:t>universal price maintenance — for example, to maintain price parity between urban and rural customers.</w:t>
            </w:r>
          </w:p>
          <w:p w:rsidR="009A7F87" w:rsidRPr="00770229" w:rsidRDefault="009A7F87" w:rsidP="009A7F87">
            <w:pPr>
              <w:pStyle w:val="TableBodyText"/>
              <w:keepNext w:val="0"/>
              <w:keepLines w:val="0"/>
              <w:spacing w:before="4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40" w:after="80"/>
              <w:jc w:val="left"/>
              <w:rPr>
                <w:b/>
                <w:i/>
                <w:sz w:val="24"/>
              </w:rPr>
            </w:pPr>
            <w:r w:rsidRPr="00770229">
              <w:rPr>
                <w:b/>
                <w:sz w:val="24"/>
              </w:rPr>
              <w:t xml:space="preserve">Cost drivers </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40" w:after="80"/>
              <w:jc w:val="left"/>
            </w:pPr>
            <w:r w:rsidRPr="00770229">
              <w:t xml:space="preserve">The key cost drivers of water supply and expenditure on regulation and support services to the water industry cannot be linked closely with a particular service area or cohort of service users. Therefore, it is assumed that the costs associated with this expenditure are driven by the population on a uniform basis. </w:t>
            </w:r>
          </w:p>
          <w:p w:rsidR="009A7F87" w:rsidRPr="00770229" w:rsidRDefault="009A7F87" w:rsidP="009A7F87">
            <w:pPr>
              <w:pStyle w:val="TableBodyText"/>
              <w:keepNext w:val="0"/>
              <w:keepLines w:val="0"/>
              <w:spacing w:before="80" w:after="80"/>
              <w:jc w:val="left"/>
              <w:rPr>
                <w:szCs w:val="26"/>
              </w:rPr>
            </w:pPr>
            <w:r w:rsidRPr="00770229">
              <w:t>The key cost drivers of expenditure on the water industry’s community service obligations are the number of people that receive discounted water and the value of the discount received.</w:t>
            </w:r>
          </w:p>
        </w:tc>
      </w:tr>
      <w:tr w:rsidR="009A7F87" w:rsidRPr="00770229" w:rsidTr="0093701F">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40" w:after="80"/>
              <w:jc w:val="left"/>
              <w:rPr>
                <w:b/>
                <w:i/>
                <w:sz w:val="24"/>
                <w:szCs w:val="24"/>
              </w:rPr>
            </w:pPr>
            <w:r w:rsidRPr="00770229">
              <w:rPr>
                <w:b/>
                <w:sz w:val="24"/>
                <w:szCs w:val="24"/>
              </w:rPr>
              <w:t>Service use measures</w:t>
            </w:r>
          </w:p>
        </w:tc>
      </w:tr>
      <w:tr w:rsidR="009A7F87" w:rsidRPr="00D13AE5"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D13AE5" w:rsidRDefault="009A7F87" w:rsidP="009A7F87">
            <w:pPr>
              <w:pStyle w:val="TableColumnHeading"/>
              <w:keepNext w:val="0"/>
              <w:spacing w:before="40" w:after="4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D13AE5" w:rsidRDefault="009A7F87" w:rsidP="009A7F87">
            <w:pPr>
              <w:pStyle w:val="TableColumnHeading"/>
              <w:keepNext w:val="0"/>
              <w:spacing w:before="40" w:after="40"/>
              <w:ind w:left="181"/>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D13AE5" w:rsidRDefault="009A7F87" w:rsidP="009A7F87">
            <w:pPr>
              <w:pStyle w:val="TableColumnHeading"/>
              <w:keepNext w:val="0"/>
              <w:spacing w:before="40" w:after="40"/>
              <w:ind w:left="181"/>
              <w:jc w:val="center"/>
            </w:pPr>
            <w:r w:rsidRPr="00D13AE5">
              <w:t>Data Years</w:t>
            </w:r>
          </w:p>
        </w:tc>
      </w:tr>
      <w:tr w:rsidR="009A7F87" w:rsidRPr="00D13AE5"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D13AE5" w:rsidRDefault="009A7F87" w:rsidP="009A7F87">
            <w:pPr>
              <w:pStyle w:val="TableBodyText"/>
              <w:keepNext w:val="0"/>
              <w:spacing w:before="40"/>
              <w:ind w:left="0"/>
              <w:jc w:val="both"/>
              <w:rPr>
                <w:rStyle w:val="NoteLabel"/>
                <w:i/>
              </w:rPr>
            </w:pPr>
            <w:r w:rsidRPr="00D13AE5">
              <w:rPr>
                <w:i/>
              </w:rPr>
              <w:br/>
              <w:t>Measure</w:t>
            </w:r>
            <w:r w:rsidRPr="00944F69">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D13AE5" w:rsidRDefault="009A7F87" w:rsidP="009A7F87">
            <w:pPr>
              <w:pStyle w:val="TableBodyText"/>
              <w:keepNext w:val="0"/>
              <w:spacing w:before="40"/>
              <w:ind w:left="181"/>
              <w:jc w:val="left"/>
              <w:rPr>
                <w:i/>
              </w:rPr>
            </w:pPr>
            <w:r w:rsidRPr="00D13AE5">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D13AE5" w:rsidRDefault="009A7F87" w:rsidP="009A7F87">
            <w:pPr>
              <w:pStyle w:val="TableBodyText"/>
              <w:keepNext w:val="0"/>
              <w:spacing w:before="40"/>
              <w:ind w:left="0"/>
              <w:jc w:val="center"/>
              <w:rPr>
                <w:i/>
              </w:rPr>
            </w:pPr>
            <w:r w:rsidRPr="00D13AE5">
              <w:rPr>
                <w:i/>
              </w:rPr>
              <w:t>2008</w:t>
            </w:r>
            <w:r w:rsidRPr="00D13AE5">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D13AE5" w:rsidRDefault="009A7F87" w:rsidP="009A7F87">
            <w:pPr>
              <w:pStyle w:val="TableBodyText"/>
              <w:keepNext w:val="0"/>
              <w:spacing w:before="40"/>
              <w:ind w:left="0"/>
              <w:jc w:val="center"/>
              <w:rPr>
                <w:i/>
              </w:rPr>
            </w:pPr>
            <w:r w:rsidRPr="00D13AE5">
              <w:rPr>
                <w:i/>
              </w:rPr>
              <w:t>2010</w:t>
            </w:r>
            <w:r w:rsidRPr="00D13AE5">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D13AE5" w:rsidRDefault="009A7F87" w:rsidP="009A7F87">
            <w:pPr>
              <w:pStyle w:val="TableBodyText"/>
              <w:keepNext w:val="0"/>
              <w:spacing w:before="40"/>
              <w:ind w:left="0"/>
              <w:jc w:val="center"/>
              <w:rPr>
                <w:i/>
              </w:rPr>
            </w:pPr>
            <w:r w:rsidRPr="00D13AE5">
              <w:rPr>
                <w:i/>
              </w:rPr>
              <w:t>2012</w:t>
            </w:r>
            <w:r w:rsidRPr="00D13AE5">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D13AE5" w:rsidRDefault="009A7F87" w:rsidP="009A7F87">
            <w:pPr>
              <w:pStyle w:val="TableBodyText"/>
              <w:keepNext w:val="0"/>
              <w:spacing w:before="40"/>
              <w:ind w:left="0"/>
              <w:jc w:val="center"/>
              <w:rPr>
                <w:i/>
              </w:rPr>
            </w:pPr>
            <w:r w:rsidRPr="00D13AE5">
              <w:rPr>
                <w:i/>
              </w:rPr>
              <w:t>2015</w:t>
            </w:r>
            <w:r w:rsidRPr="00D13AE5">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02295C" w:rsidRDefault="009A7F87" w:rsidP="009A7F87">
            <w:pPr>
              <w:pStyle w:val="TableBodyText"/>
              <w:keepNext w:val="0"/>
              <w:spacing w:before="60"/>
              <w:ind w:left="0"/>
              <w:jc w:val="left"/>
              <w:rPr>
                <w:rStyle w:val="NoteLabel"/>
              </w:rPr>
            </w:pPr>
            <w:r w:rsidRPr="00770229">
              <w:t xml:space="preserve">Resident </w:t>
            </w:r>
            <w:r>
              <w:t>population</w:t>
            </w:r>
            <w:r>
              <w:rPr>
                <w:rStyle w:val="NoteLabel"/>
              </w:rPr>
              <w:t>b</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ind w:left="181"/>
              <w:jc w:val="left"/>
            </w:pPr>
            <w:r w:rsidRPr="00770229">
              <w:t>ABS Australian Demographic Statistics (Cat. no. 3101.0)</w:t>
            </w:r>
          </w:p>
        </w:tc>
        <w:tc>
          <w:tcPr>
            <w:tcW w:w="584" w:type="pct"/>
            <w:tcBorders>
              <w:top w:val="single" w:sz="6"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t>June 2009</w:t>
            </w:r>
            <w:r>
              <w:br/>
            </w:r>
          </w:p>
        </w:tc>
        <w:tc>
          <w:tcPr>
            <w:tcW w:w="585" w:type="pct"/>
            <w:gridSpan w:val="2"/>
            <w:tcBorders>
              <w:top w:val="single" w:sz="6" w:space="0" w:color="808080" w:themeColor="background1" w:themeShade="80"/>
            </w:tcBorders>
            <w:shd w:val="clear" w:color="auto" w:fill="auto"/>
            <w:vAlign w:val="center"/>
          </w:tcPr>
          <w:p w:rsidR="009A7F87" w:rsidRPr="00770229" w:rsidRDefault="009A7F87" w:rsidP="009A7F87">
            <w:pPr>
              <w:pStyle w:val="TableBodyText"/>
              <w:spacing w:before="60" w:after="60"/>
              <w:ind w:left="2"/>
              <w:jc w:val="center"/>
            </w:pPr>
            <w:r>
              <w:t>June 2011</w:t>
            </w:r>
            <w:r>
              <w:br/>
            </w:r>
          </w:p>
        </w:tc>
        <w:tc>
          <w:tcPr>
            <w:tcW w:w="585" w:type="pct"/>
            <w:tcBorders>
              <w:top w:val="single" w:sz="6" w:space="0" w:color="808080" w:themeColor="background1" w:themeShade="80"/>
            </w:tcBorders>
            <w:shd w:val="clear" w:color="auto" w:fill="auto"/>
            <w:vAlign w:val="center"/>
          </w:tcPr>
          <w:p w:rsidR="009A7F87" w:rsidRPr="00770229" w:rsidRDefault="009A7F87" w:rsidP="009A7F87">
            <w:pPr>
              <w:pStyle w:val="TableBodyText"/>
              <w:spacing w:before="60" w:after="60"/>
              <w:ind w:left="2"/>
              <w:jc w:val="center"/>
            </w:pPr>
            <w:r>
              <w:t>June 2013</w:t>
            </w:r>
            <w:r>
              <w:br/>
            </w:r>
          </w:p>
        </w:tc>
        <w:tc>
          <w:tcPr>
            <w:tcW w:w="583" w:type="pct"/>
            <w:gridSpan w:val="2"/>
            <w:tcBorders>
              <w:top w:val="single" w:sz="6" w:space="0" w:color="808080" w:themeColor="background1" w:themeShade="80"/>
            </w:tcBorders>
            <w:vAlign w:val="center"/>
          </w:tcPr>
          <w:p w:rsidR="009A7F87" w:rsidRPr="00770229" w:rsidRDefault="009A7F87" w:rsidP="009A7F87">
            <w:pPr>
              <w:pStyle w:val="TableBodyText"/>
              <w:spacing w:before="60" w:after="60"/>
              <w:ind w:left="2"/>
              <w:jc w:val="center"/>
            </w:pPr>
            <w:r>
              <w:t>June 2016</w:t>
            </w:r>
            <w:r>
              <w:br/>
            </w: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ind w:left="0"/>
              <w:jc w:val="left"/>
            </w:pPr>
            <w:r>
              <w:t>Aboriginal and Torres Strait Islander 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ind w:left="181"/>
              <w:jc w:val="left"/>
            </w:pPr>
            <w:r>
              <w:t xml:space="preserve">ABS Estimates and Projections, Aboriginal and Torres Strait Islander Australians, 2001–2026 </w:t>
            </w:r>
            <w:r>
              <w:br/>
              <w:t>(Cat. no. 3238.0)</w:t>
            </w:r>
          </w:p>
        </w:tc>
        <w:tc>
          <w:tcPr>
            <w:tcW w:w="584" w:type="pct"/>
            <w:tcBorders>
              <w:bottom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r>
              <w:br/>
            </w:r>
          </w:p>
        </w:tc>
        <w:tc>
          <w:tcPr>
            <w:tcW w:w="585" w:type="pct"/>
            <w:gridSpan w:val="2"/>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c>
          <w:tcPr>
            <w:tcW w:w="585" w:type="pct"/>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c>
          <w:tcPr>
            <w:tcW w:w="583" w:type="pct"/>
            <w:gridSpan w:val="2"/>
            <w:tcBorders>
              <w:bottom w:val="single" w:sz="4"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0E2C75" w:rsidRDefault="009A7F87" w:rsidP="009A7F87">
            <w:pPr>
              <w:pStyle w:val="TableBodyText"/>
              <w:keepNext w:val="0"/>
              <w:keepLines w:val="0"/>
              <w:spacing w:before="40" w:after="0"/>
              <w:jc w:val="both"/>
            </w:pPr>
            <w:r w:rsidRPr="00770229">
              <w:rPr>
                <w:rStyle w:val="NoteLabel"/>
              </w:rPr>
              <w:t>a</w:t>
            </w:r>
            <w:r w:rsidR="009F14B3">
              <w:rPr>
                <w:rStyle w:val="NoteLabel"/>
              </w:rPr>
              <w:t>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r w:rsidRPr="00770229">
              <w:rPr>
                <w:i/>
              </w:rPr>
              <w:t xml:space="preserve"> </w:t>
            </w:r>
            <w:r w:rsidRPr="00944F69">
              <w:t>b</w:t>
            </w:r>
            <w:r w:rsidR="00944F69">
              <w:t> </w:t>
            </w:r>
            <w:r w:rsidRPr="00944F69">
              <w:t>For</w:t>
            </w:r>
            <w:r w:rsidRPr="00770229">
              <w:rPr>
                <w:i/>
              </w:rPr>
              <w:t xml:space="preserve"> </w:t>
            </w:r>
            <w:r w:rsidRPr="00770229">
              <w:t>industry regulation and support</w:t>
            </w:r>
            <w:r>
              <w:t xml:space="preserve">. </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Pr="00397DEF" w:rsidRDefault="009A7F87" w:rsidP="009A7F87">
            <w:pPr>
              <w:pStyle w:val="Box"/>
              <w:spacing w:before="0" w:line="240" w:lineRule="auto"/>
              <w:rPr>
                <w:sz w:val="2"/>
                <w:szCs w:val="2"/>
              </w:rPr>
            </w:pPr>
          </w:p>
        </w:tc>
      </w:tr>
    </w:tbl>
    <w:p w:rsidR="009A7F87" w:rsidRDefault="009A7F87" w:rsidP="00120072">
      <w:pPr>
        <w:pStyle w:val="BodyText"/>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br w:type="page"/>
            </w:r>
            <w:r w:rsidRPr="00770229">
              <w:br w:type="page"/>
              <w:t>0</w:t>
            </w:r>
            <w:r>
              <w:t>730.0</w:t>
            </w:r>
            <w:r w:rsidRPr="00770229">
              <w:t xml:space="preserve"> Sanitation services and protection of the environment</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In Australia, State and Territory governments administer and regulate the collection and disposal of household garbage, the collection, treatment and disposal of sewerage, and urban stormwater drainage, including Aboriginal community sanitation services.</w:t>
            </w:r>
          </w:p>
          <w:p w:rsidR="009A7F87" w:rsidRPr="00770229" w:rsidRDefault="009A7F87" w:rsidP="009A7F87">
            <w:pPr>
              <w:pStyle w:val="TableBodyText"/>
              <w:keepNext w:val="0"/>
              <w:keepLines w:val="0"/>
              <w:spacing w:before="80" w:after="80"/>
              <w:jc w:val="left"/>
              <w:rPr>
                <w:lang w:val="en"/>
              </w:rPr>
            </w:pPr>
            <w:r w:rsidRPr="00770229">
              <w:rPr>
                <w:lang w:val="en"/>
              </w:rPr>
              <w:t xml:space="preserve">The </w:t>
            </w:r>
            <w:r w:rsidRPr="00770229">
              <w:t>Australian</w:t>
            </w:r>
            <w:r w:rsidRPr="00770229">
              <w:rPr>
                <w:lang w:val="en"/>
              </w:rPr>
              <w:t xml:space="preserve">, State and Territory governments provide programs to protect and conserve the environment, respond to climate change and regulate, and manage natural resources (such as forests and marine ecosystems). State and territory governments also monitor environmental quality and provide programs to manage and reduce household and industry waste, including Aboriginal community environmental services </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The key cost drivers of expenditure on sanitation and protection of the environment are numerous. Given the range of services provided by government in this category, it is difficult to link costs closely with a particular service area or cohort of service users. </w:t>
            </w:r>
          </w:p>
          <w:p w:rsidR="009A7F87" w:rsidRPr="00770229" w:rsidRDefault="009A7F87" w:rsidP="009A7F87">
            <w:pPr>
              <w:pStyle w:val="TableBodyText"/>
              <w:keepNext w:val="0"/>
              <w:keepLines w:val="0"/>
              <w:spacing w:before="80" w:after="80"/>
              <w:jc w:val="left"/>
              <w:rPr>
                <w:szCs w:val="26"/>
              </w:rPr>
            </w:pPr>
            <w:r w:rsidRPr="00770229">
              <w:t>It is assumed that the costs associated with this expenditure are driven by the population on a uniform basis.</w:t>
            </w:r>
          </w:p>
        </w:tc>
      </w:tr>
      <w:tr w:rsidR="009A7F87" w:rsidRPr="00770229" w:rsidTr="0093701F">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F75D0D"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F75D0D"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F75D0D"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F75D0D" w:rsidRDefault="009A7F87" w:rsidP="009A7F87">
            <w:pPr>
              <w:pStyle w:val="TableColumnHeading"/>
              <w:keepNext w:val="0"/>
              <w:ind w:left="180"/>
              <w:jc w:val="center"/>
            </w:pPr>
            <w:r w:rsidRPr="00F75D0D">
              <w:t>Data Years</w:t>
            </w:r>
          </w:p>
        </w:tc>
      </w:tr>
      <w:tr w:rsidR="009A7F87" w:rsidRPr="00F75D0D"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F75D0D" w:rsidRDefault="009A7F87" w:rsidP="009A7F87">
            <w:pPr>
              <w:pStyle w:val="TableBodyText"/>
              <w:keepNext w:val="0"/>
              <w:spacing w:before="60" w:after="60"/>
              <w:ind w:left="0"/>
              <w:jc w:val="both"/>
              <w:rPr>
                <w:rStyle w:val="NoteLabel"/>
                <w:i/>
              </w:rPr>
            </w:pPr>
            <w:r w:rsidRPr="00F75D0D">
              <w:rPr>
                <w:i/>
              </w:rPr>
              <w:br/>
              <w:t>Measure</w:t>
            </w:r>
            <w:r w:rsidRPr="00944F69">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F75D0D" w:rsidRDefault="009A7F87" w:rsidP="009A7F87">
            <w:pPr>
              <w:pStyle w:val="TableBodyText"/>
              <w:keepNext w:val="0"/>
              <w:spacing w:before="60" w:after="60"/>
              <w:ind w:left="180"/>
              <w:jc w:val="left"/>
              <w:rPr>
                <w:i/>
              </w:rPr>
            </w:pPr>
            <w:r w:rsidRPr="00F75D0D">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F75D0D" w:rsidRDefault="009A7F87" w:rsidP="009A7F87">
            <w:pPr>
              <w:pStyle w:val="TableBodyText"/>
              <w:keepNext w:val="0"/>
              <w:spacing w:before="60" w:after="60"/>
              <w:ind w:left="2"/>
              <w:jc w:val="center"/>
              <w:rPr>
                <w:i/>
              </w:rPr>
            </w:pPr>
            <w:r w:rsidRPr="00F75D0D">
              <w:rPr>
                <w:i/>
              </w:rPr>
              <w:t>2008</w:t>
            </w:r>
            <w:r w:rsidRPr="00F75D0D">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F75D0D" w:rsidRDefault="009A7F87" w:rsidP="009A7F87">
            <w:pPr>
              <w:pStyle w:val="TableBodyText"/>
              <w:keepNext w:val="0"/>
              <w:spacing w:before="60" w:after="60"/>
              <w:ind w:left="2"/>
              <w:jc w:val="center"/>
              <w:rPr>
                <w:i/>
              </w:rPr>
            </w:pPr>
            <w:r w:rsidRPr="00F75D0D">
              <w:rPr>
                <w:i/>
              </w:rPr>
              <w:t>2010</w:t>
            </w:r>
            <w:r w:rsidRPr="00F75D0D">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F75D0D" w:rsidRDefault="009A7F87" w:rsidP="009A7F87">
            <w:pPr>
              <w:pStyle w:val="TableBodyText"/>
              <w:keepNext w:val="0"/>
              <w:spacing w:before="60" w:after="60"/>
              <w:ind w:left="2"/>
              <w:jc w:val="center"/>
              <w:rPr>
                <w:i/>
              </w:rPr>
            </w:pPr>
            <w:r w:rsidRPr="00F75D0D">
              <w:rPr>
                <w:i/>
              </w:rPr>
              <w:t>2012</w:t>
            </w:r>
            <w:r w:rsidRPr="00F75D0D">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F75D0D" w:rsidRDefault="009A7F87" w:rsidP="009A7F87">
            <w:pPr>
              <w:pStyle w:val="TableBodyText"/>
              <w:keepNext w:val="0"/>
              <w:spacing w:before="60" w:after="60"/>
              <w:ind w:left="2"/>
              <w:jc w:val="center"/>
              <w:rPr>
                <w:i/>
              </w:rPr>
            </w:pPr>
            <w:r w:rsidRPr="00F75D0D">
              <w:rPr>
                <w:i/>
              </w:rPr>
              <w:t>2015</w:t>
            </w:r>
            <w:r w:rsidRPr="00F75D0D">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t>Resident population</w:t>
            </w:r>
          </w:p>
        </w:tc>
        <w:tc>
          <w:tcPr>
            <w:tcW w:w="1814" w:type="pct"/>
            <w:tcBorders>
              <w:bottom w:val="single" w:sz="4" w:space="0" w:color="808080" w:themeColor="background1" w:themeShade="80"/>
            </w:tcBorders>
            <w:shd w:val="clear" w:color="auto" w:fill="auto"/>
          </w:tcPr>
          <w:p w:rsidR="009A7F87" w:rsidRPr="00CF6FF1" w:rsidRDefault="009A7F87" w:rsidP="009A7F87">
            <w:pPr>
              <w:pStyle w:val="TableBodyText"/>
              <w:keepNext w:val="0"/>
              <w:spacing w:before="60" w:after="60"/>
              <w:ind w:left="180"/>
              <w:jc w:val="left"/>
            </w:pPr>
            <w:r>
              <w:t xml:space="preserve">ABS </w:t>
            </w:r>
            <w:r>
              <w:rPr>
                <w:i/>
              </w:rPr>
              <w:t>Australian Demographic Statistics</w:t>
            </w:r>
            <w:r>
              <w:t xml:space="preserve"> (Cat. no. 3101.0)</w:t>
            </w:r>
          </w:p>
        </w:tc>
        <w:tc>
          <w:tcPr>
            <w:tcW w:w="584" w:type="pct"/>
            <w:tcBorders>
              <w:bottom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r>
              <w:br/>
            </w:r>
          </w:p>
        </w:tc>
        <w:tc>
          <w:tcPr>
            <w:tcW w:w="585" w:type="pct"/>
            <w:gridSpan w:val="2"/>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r>
              <w:br/>
            </w:r>
          </w:p>
        </w:tc>
        <w:tc>
          <w:tcPr>
            <w:tcW w:w="585" w:type="pct"/>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r>
              <w:br/>
            </w:r>
          </w:p>
        </w:tc>
        <w:tc>
          <w:tcPr>
            <w:tcW w:w="583" w:type="pct"/>
            <w:gridSpan w:val="2"/>
            <w:tcBorders>
              <w:bottom w:val="single" w:sz="4" w:space="0" w:color="808080" w:themeColor="background1" w:themeShade="80"/>
            </w:tcBorders>
            <w:vAlign w:val="center"/>
          </w:tcPr>
          <w:p w:rsidR="009A7F87" w:rsidRDefault="009A7F87" w:rsidP="009A7F87">
            <w:pPr>
              <w:pStyle w:val="TableBodyText"/>
              <w:spacing w:before="60" w:after="60"/>
              <w:ind w:left="2"/>
              <w:jc w:val="center"/>
            </w:pPr>
            <w:r>
              <w:t>June 2016</w:t>
            </w: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0E2C75" w:rsidRDefault="009A7F87" w:rsidP="009A7F87">
            <w:pPr>
              <w:pStyle w:val="TableBodyText"/>
              <w:keepNext w:val="0"/>
              <w:keepLines w:val="0"/>
              <w:spacing w:before="80" w:after="80"/>
              <w:jc w:val="both"/>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9A7F87">
      <w:pPr>
        <w:pStyle w:val="BodyText"/>
      </w:pPr>
    </w:p>
    <w:p w:rsidR="009A7F87" w:rsidRDefault="009A7F87">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br w:type="page"/>
            </w:r>
            <w:r w:rsidRPr="00770229">
              <w:br w:type="page"/>
              <w:t>0</w:t>
            </w:r>
            <w:r>
              <w:t>790.0</w:t>
            </w:r>
            <w:r w:rsidRPr="00770229">
              <w:t xml:space="preserve"> Community amenities</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Community amenities, including Aboriginal community amenities, include street lighting and other small constructions (such as public toilets, pedestrian malls, bus shelters, and water fountains).</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The key cost drivers of expenditure on community amenities are numerous and include the location of the community and the population that lives and visits the community. Given the range of services provided by government under other community amenities, it is difficult to link costs closely with a particular service area or cohort of service users. </w:t>
            </w:r>
          </w:p>
          <w:p w:rsidR="009A7F87" w:rsidRPr="00770229" w:rsidRDefault="009A7F87" w:rsidP="009A7F87">
            <w:pPr>
              <w:pStyle w:val="TableBodyText"/>
              <w:keepNext w:val="0"/>
              <w:keepLines w:val="0"/>
              <w:spacing w:before="80" w:after="80"/>
              <w:jc w:val="left"/>
              <w:rPr>
                <w:szCs w:val="26"/>
              </w:rPr>
            </w:pPr>
            <w:r w:rsidRPr="00770229">
              <w:t>It is assumed that the costs associated with this expenditure are driven by the population on a uniform basis.</w:t>
            </w:r>
          </w:p>
        </w:tc>
      </w:tr>
      <w:tr w:rsidR="009A7F87" w:rsidRPr="00770229" w:rsidTr="0093701F">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F75D0D"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F75D0D"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F75D0D"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F75D0D" w:rsidRDefault="009A7F87" w:rsidP="009A7F87">
            <w:pPr>
              <w:pStyle w:val="TableColumnHeading"/>
              <w:keepNext w:val="0"/>
              <w:ind w:left="180"/>
              <w:jc w:val="center"/>
            </w:pPr>
            <w:r w:rsidRPr="00F75D0D">
              <w:t>Data Years</w:t>
            </w:r>
          </w:p>
        </w:tc>
      </w:tr>
      <w:tr w:rsidR="009A7F87" w:rsidRPr="00F75D0D"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F75D0D" w:rsidRDefault="009A7F87" w:rsidP="009A7F87">
            <w:pPr>
              <w:pStyle w:val="TableBodyText"/>
              <w:keepNext w:val="0"/>
              <w:spacing w:before="60" w:after="60"/>
              <w:ind w:left="0"/>
              <w:jc w:val="both"/>
              <w:rPr>
                <w:rStyle w:val="NoteLabel"/>
                <w:i/>
              </w:rPr>
            </w:pPr>
            <w:r w:rsidRPr="00F75D0D">
              <w:rPr>
                <w:i/>
              </w:rPr>
              <w:br/>
              <w:t>Measure</w:t>
            </w:r>
            <w:r w:rsidRPr="00944F69">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F75D0D" w:rsidRDefault="009A7F87" w:rsidP="009A7F87">
            <w:pPr>
              <w:pStyle w:val="TableBodyText"/>
              <w:keepNext w:val="0"/>
              <w:spacing w:before="60" w:after="60"/>
              <w:ind w:left="180"/>
              <w:jc w:val="left"/>
              <w:rPr>
                <w:i/>
              </w:rPr>
            </w:pPr>
            <w:r w:rsidRPr="00F75D0D">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F75D0D" w:rsidRDefault="009A7F87" w:rsidP="009A7F87">
            <w:pPr>
              <w:pStyle w:val="TableBodyText"/>
              <w:keepNext w:val="0"/>
              <w:spacing w:before="60" w:after="60"/>
              <w:ind w:left="2"/>
              <w:jc w:val="center"/>
              <w:rPr>
                <w:i/>
              </w:rPr>
            </w:pPr>
            <w:r w:rsidRPr="00F75D0D">
              <w:rPr>
                <w:i/>
              </w:rPr>
              <w:t>2008</w:t>
            </w:r>
            <w:r w:rsidRPr="00F75D0D">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F75D0D" w:rsidRDefault="009A7F87" w:rsidP="009A7F87">
            <w:pPr>
              <w:pStyle w:val="TableBodyText"/>
              <w:keepNext w:val="0"/>
              <w:spacing w:before="60" w:after="60"/>
              <w:ind w:left="2"/>
              <w:jc w:val="center"/>
              <w:rPr>
                <w:i/>
              </w:rPr>
            </w:pPr>
            <w:r w:rsidRPr="00F75D0D">
              <w:rPr>
                <w:i/>
              </w:rPr>
              <w:t>2010</w:t>
            </w:r>
            <w:r w:rsidRPr="00F75D0D">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F75D0D" w:rsidRDefault="009A7F87" w:rsidP="009A7F87">
            <w:pPr>
              <w:pStyle w:val="TableBodyText"/>
              <w:keepNext w:val="0"/>
              <w:spacing w:before="60" w:after="60"/>
              <w:ind w:left="2"/>
              <w:jc w:val="center"/>
              <w:rPr>
                <w:i/>
              </w:rPr>
            </w:pPr>
            <w:r w:rsidRPr="00F75D0D">
              <w:rPr>
                <w:i/>
              </w:rPr>
              <w:t>2012</w:t>
            </w:r>
            <w:r w:rsidRPr="00F75D0D">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F75D0D" w:rsidRDefault="009A7F87" w:rsidP="009A7F87">
            <w:pPr>
              <w:pStyle w:val="TableBodyText"/>
              <w:keepNext w:val="0"/>
              <w:spacing w:before="60" w:after="60"/>
              <w:ind w:left="2"/>
              <w:jc w:val="center"/>
              <w:rPr>
                <w:i/>
              </w:rPr>
            </w:pPr>
            <w:r w:rsidRPr="00F75D0D">
              <w:rPr>
                <w:i/>
              </w:rPr>
              <w:t>2015</w:t>
            </w:r>
            <w:r w:rsidRPr="00F75D0D">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t>Resident population</w:t>
            </w:r>
          </w:p>
        </w:tc>
        <w:tc>
          <w:tcPr>
            <w:tcW w:w="1814" w:type="pct"/>
            <w:tcBorders>
              <w:bottom w:val="single" w:sz="4" w:space="0" w:color="808080" w:themeColor="background1" w:themeShade="80"/>
            </w:tcBorders>
            <w:shd w:val="clear" w:color="auto" w:fill="auto"/>
          </w:tcPr>
          <w:p w:rsidR="009A7F87" w:rsidRPr="00587D57" w:rsidRDefault="009A7F87" w:rsidP="009A7F87">
            <w:pPr>
              <w:pStyle w:val="TableBodyText"/>
              <w:keepNext w:val="0"/>
              <w:spacing w:before="60" w:after="60"/>
              <w:ind w:left="180"/>
              <w:jc w:val="left"/>
            </w:pPr>
            <w:r>
              <w:t xml:space="preserve">ABS </w:t>
            </w:r>
            <w:r>
              <w:rPr>
                <w:i/>
              </w:rPr>
              <w:t>Australian Demographic Statistics</w:t>
            </w:r>
            <w:r>
              <w:t xml:space="preserve"> (Cat. no. 3101.0)</w:t>
            </w:r>
          </w:p>
        </w:tc>
        <w:tc>
          <w:tcPr>
            <w:tcW w:w="584" w:type="pct"/>
            <w:tcBorders>
              <w:bottom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r>
              <w:br/>
            </w:r>
          </w:p>
        </w:tc>
        <w:tc>
          <w:tcPr>
            <w:tcW w:w="585" w:type="pct"/>
            <w:gridSpan w:val="2"/>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r>
              <w:br/>
            </w:r>
          </w:p>
        </w:tc>
        <w:tc>
          <w:tcPr>
            <w:tcW w:w="585" w:type="pct"/>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r>
              <w:br/>
            </w:r>
          </w:p>
        </w:tc>
        <w:tc>
          <w:tcPr>
            <w:tcW w:w="583" w:type="pct"/>
            <w:gridSpan w:val="2"/>
            <w:tcBorders>
              <w:bottom w:val="single" w:sz="4" w:space="0" w:color="808080" w:themeColor="background1" w:themeShade="80"/>
            </w:tcBorders>
            <w:vAlign w:val="center"/>
          </w:tcPr>
          <w:p w:rsidR="009A7F87" w:rsidRDefault="009A7F87" w:rsidP="009A7F87">
            <w:pPr>
              <w:pStyle w:val="TableBodyText"/>
              <w:spacing w:before="60" w:after="60"/>
              <w:ind w:left="2"/>
              <w:jc w:val="center"/>
            </w:pPr>
            <w:r>
              <w:t>June 2016</w:t>
            </w: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0E2C75" w:rsidRDefault="009A7F87" w:rsidP="009A7F87">
            <w:pPr>
              <w:pStyle w:val="TableBodyText"/>
              <w:keepNext w:val="0"/>
              <w:keepLines w:val="0"/>
              <w:spacing w:before="80" w:after="80"/>
              <w:jc w:val="both"/>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sectPr w:rsidR="009A7F87" w:rsidSect="009A7F87">
          <w:headerReference w:type="even" r:id="rId123"/>
          <w:headerReference w:type="default" r:id="rId124"/>
          <w:footerReference w:type="even" r:id="rId125"/>
          <w:footerReference w:type="default" r:id="rId126"/>
          <w:footnotePr>
            <w:numRestart w:val="eachSect"/>
          </w:footnotePr>
          <w:type w:val="oddPage"/>
          <w:pgSz w:w="11907" w:h="16840" w:code="9"/>
          <w:pgMar w:top="1985" w:right="1304" w:bottom="1247" w:left="1814" w:header="1701" w:footer="397" w:gutter="0"/>
          <w:pgNumType w:chapSep="period"/>
          <w:cols w:space="720"/>
          <w:docGrid w:linePitch="326"/>
        </w:sectPr>
      </w:pPr>
    </w:p>
    <w:p w:rsidR="009A7F87" w:rsidRDefault="009A7F87">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9A7F87">
        <w:tc>
          <w:tcPr>
            <w:tcW w:w="6634" w:type="dxa"/>
            <w:tcBorders>
              <w:top w:val="single" w:sz="6" w:space="0" w:color="auto"/>
            </w:tcBorders>
          </w:tcPr>
          <w:p w:rsidR="009A7F87" w:rsidRDefault="009A7F87">
            <w:pPr>
              <w:pStyle w:val="PartDivider"/>
            </w:pPr>
          </w:p>
        </w:tc>
        <w:tc>
          <w:tcPr>
            <w:tcW w:w="2155" w:type="dxa"/>
            <w:tcBorders>
              <w:top w:val="single" w:sz="24" w:space="0" w:color="auto"/>
            </w:tcBorders>
          </w:tcPr>
          <w:p w:rsidR="009A7F87" w:rsidRDefault="009A7F87">
            <w:pPr>
              <w:pStyle w:val="PartDivider"/>
            </w:pPr>
          </w:p>
        </w:tc>
      </w:tr>
    </w:tbl>
    <w:p w:rsidR="009A7F87" w:rsidRDefault="009A7F87">
      <w:pPr>
        <w:pStyle w:val="PartDivider"/>
      </w:pPr>
    </w:p>
    <w:p w:rsidR="009A7F87" w:rsidRDefault="009A7F87" w:rsidP="009A7F87">
      <w:pPr>
        <w:pStyle w:val="PartTitle"/>
        <w:spacing w:after="240"/>
      </w:pPr>
      <w:r>
        <w:t>GPC 08</w:t>
      </w:r>
    </w:p>
    <w:p w:rsidR="009A7F87" w:rsidRDefault="009A7F87" w:rsidP="009A7F87">
      <w:pPr>
        <w:pStyle w:val="PartTitle"/>
        <w:spacing w:after="240"/>
      </w:pPr>
      <w:r>
        <w:t>recreation and culture</w:t>
      </w:r>
    </w:p>
    <w:p w:rsidR="009A7F87" w:rsidRDefault="009A7F87" w:rsidP="009A7F87">
      <w:pPr>
        <w:pStyle w:val="BodyText"/>
        <w:rPr>
          <w:sz w:val="52"/>
        </w:rPr>
      </w:pPr>
      <w:r>
        <w:br w:type="page"/>
      </w:r>
    </w:p>
    <w:p w:rsidR="009A7F87" w:rsidRPr="003755C6" w:rsidRDefault="009A7F87" w:rsidP="009A7F87">
      <w:pPr>
        <w:rPr>
          <w:szCs w:val="20"/>
        </w:rPr>
      </w:pPr>
    </w:p>
    <w:p w:rsidR="009A7F87" w:rsidRDefault="009A7F87" w:rsidP="009A7F87">
      <w:pPr>
        <w:sectPr w:rsidR="009A7F87" w:rsidSect="009A7F87">
          <w:headerReference w:type="even" r:id="rId127"/>
          <w:headerReference w:type="default" r:id="rId128"/>
          <w:footerReference w:type="even" r:id="rId129"/>
          <w:footerReference w:type="default" r:id="rId130"/>
          <w:footnotePr>
            <w:numRestart w:val="eachSect"/>
          </w:footnotePr>
          <w:type w:val="oddPage"/>
          <w:pgSz w:w="11907" w:h="16840" w:code="9"/>
          <w:pgMar w:top="1985" w:right="1304" w:bottom="1247" w:left="1814" w:header="1701" w:footer="397" w:gutter="0"/>
          <w:pgNumType w:chapSep="period"/>
          <w:cols w:space="720"/>
          <w:docGrid w:linePitch="326"/>
        </w:sectPr>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t>0</w:t>
            </w:r>
            <w:r>
              <w:t>8</w:t>
            </w:r>
            <w:r w:rsidRPr="00770229">
              <w:t>11 National parks and wildlife</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Governments provide programs to conserve a range of habitats and species, and preserve and maintain historic buildings as part of the national estate.</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A key cost driver of expenditure on national parks and wildlife is the number of visitors to national parks. However, national parks and wildlife are preserved and maintained for all Australians. </w:t>
            </w:r>
          </w:p>
          <w:p w:rsidR="009A7F87" w:rsidRPr="00770229" w:rsidRDefault="009A7F87" w:rsidP="009A7F87">
            <w:pPr>
              <w:pStyle w:val="TableBodyText"/>
              <w:keepNext w:val="0"/>
              <w:keepLines w:val="0"/>
              <w:spacing w:before="80" w:after="80"/>
              <w:jc w:val="left"/>
              <w:rPr>
                <w:szCs w:val="26"/>
              </w:rPr>
            </w:pPr>
            <w:r w:rsidRPr="00770229">
              <w:t>It is assumed that the costs associated with this expenditure are driven by the population on a uniform basis.</w:t>
            </w:r>
          </w:p>
        </w:tc>
      </w:tr>
      <w:tr w:rsidR="009A7F87" w:rsidRPr="00770229" w:rsidTr="0093701F">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5F6D91"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5F6D91"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ColumnHeading"/>
              <w:keepNext w:val="0"/>
              <w:ind w:left="180"/>
              <w:jc w:val="center"/>
            </w:pPr>
            <w:r w:rsidRPr="005F6D91">
              <w:t>Data Years</w:t>
            </w:r>
          </w:p>
        </w:tc>
      </w:tr>
      <w:tr w:rsidR="009A7F87" w:rsidRPr="005F6D91"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5F6D91" w:rsidRDefault="009A7F87" w:rsidP="009A7F87">
            <w:pPr>
              <w:pStyle w:val="TableBodyText"/>
              <w:keepNext w:val="0"/>
              <w:spacing w:before="60" w:after="60"/>
              <w:ind w:left="0"/>
              <w:jc w:val="both"/>
              <w:rPr>
                <w:i/>
              </w:rPr>
            </w:pPr>
            <w:r w:rsidRPr="005F6D91">
              <w:rPr>
                <w:i/>
              </w:rPr>
              <w:br/>
              <w:t>Measure</w:t>
            </w:r>
            <w:r w:rsidRPr="00944F69">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BodyText"/>
              <w:keepNext w:val="0"/>
              <w:spacing w:before="60" w:after="60"/>
              <w:ind w:left="180"/>
              <w:jc w:val="left"/>
              <w:rPr>
                <w:i/>
              </w:rPr>
            </w:pPr>
            <w:r w:rsidRPr="005F6D91">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BodyText"/>
              <w:keepNext w:val="0"/>
              <w:spacing w:before="60" w:after="60"/>
              <w:ind w:left="2"/>
              <w:jc w:val="center"/>
              <w:rPr>
                <w:i/>
              </w:rPr>
            </w:pPr>
            <w:r w:rsidRPr="005F6D91">
              <w:rPr>
                <w:i/>
              </w:rPr>
              <w:t>2008</w:t>
            </w:r>
            <w:r w:rsidRPr="005F6D91">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BodyText"/>
              <w:keepNext w:val="0"/>
              <w:spacing w:before="60" w:after="60"/>
              <w:ind w:left="2"/>
              <w:jc w:val="center"/>
              <w:rPr>
                <w:i/>
              </w:rPr>
            </w:pPr>
            <w:r w:rsidRPr="005F6D91">
              <w:rPr>
                <w:i/>
              </w:rPr>
              <w:t>2010</w:t>
            </w:r>
            <w:r w:rsidRPr="005F6D91">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BodyText"/>
              <w:keepNext w:val="0"/>
              <w:spacing w:before="60" w:after="60"/>
              <w:ind w:left="2"/>
              <w:jc w:val="center"/>
              <w:rPr>
                <w:i/>
              </w:rPr>
            </w:pPr>
            <w:r w:rsidRPr="005F6D91">
              <w:rPr>
                <w:i/>
              </w:rPr>
              <w:t>2012</w:t>
            </w:r>
            <w:r w:rsidRPr="005F6D91">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5F6D91" w:rsidRDefault="009A7F87" w:rsidP="009A7F87">
            <w:pPr>
              <w:pStyle w:val="TableBodyText"/>
              <w:keepNext w:val="0"/>
              <w:spacing w:before="60" w:after="60"/>
              <w:ind w:left="2"/>
              <w:jc w:val="center"/>
              <w:rPr>
                <w:i/>
              </w:rPr>
            </w:pPr>
            <w:r w:rsidRPr="005F6D91">
              <w:rPr>
                <w:i/>
              </w:rPr>
              <w:t>2015</w:t>
            </w:r>
            <w:r w:rsidRPr="005F6D91">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0C1987">
              <w:t>(Cat. no. 3101.0)</w:t>
            </w:r>
          </w:p>
        </w:tc>
        <w:tc>
          <w:tcPr>
            <w:tcW w:w="584"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2009</w:t>
            </w:r>
            <w:r>
              <w:br/>
            </w:r>
          </w:p>
        </w:tc>
        <w:tc>
          <w:tcPr>
            <w:tcW w:w="585" w:type="pct"/>
            <w:gridSpan w:val="2"/>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2011</w:t>
            </w:r>
            <w:r>
              <w:br/>
            </w:r>
          </w:p>
        </w:tc>
        <w:tc>
          <w:tcPr>
            <w:tcW w:w="585"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0"/>
              <w:jc w:val="center"/>
            </w:pPr>
            <w:r w:rsidRPr="00770229">
              <w:t>June 2013</w:t>
            </w:r>
            <w:r>
              <w:br/>
            </w:r>
          </w:p>
        </w:tc>
        <w:tc>
          <w:tcPr>
            <w:tcW w:w="583" w:type="pct"/>
            <w:gridSpan w:val="2"/>
            <w:tcBorders>
              <w:bottom w:val="single" w:sz="4" w:space="0" w:color="808080" w:themeColor="background1" w:themeShade="80"/>
            </w:tcBorders>
          </w:tcPr>
          <w:p w:rsidR="009A7F87" w:rsidRPr="00770229" w:rsidRDefault="009A7F87" w:rsidP="009A7F87">
            <w:pPr>
              <w:pStyle w:val="TableBodyText"/>
              <w:keepNext w:val="0"/>
              <w:spacing w:before="60" w:after="60"/>
              <w:ind w:left="0"/>
              <w:jc w:val="center"/>
            </w:pPr>
            <w:r>
              <w:t xml:space="preserve">June </w:t>
            </w:r>
            <w:r w:rsidRPr="00FF7A3F">
              <w:t>2016</w:t>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Default="009A7F87" w:rsidP="009A7F87">
            <w:pPr>
              <w:pStyle w:val="Note"/>
              <w:rPr>
                <w:i/>
              </w:rPr>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8</w:t>
            </w:r>
            <w:r w:rsidRPr="00770229">
              <w:t xml:space="preserve">19 Recreation facilities and services </w:t>
            </w:r>
            <w:proofErr w:type="spellStart"/>
            <w:r w:rsidRPr="00770229">
              <w:t>nec</w:t>
            </w:r>
            <w:proofErr w:type="spellEnd"/>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In Australia, State and Territory governments regulate recreational facilities and services, such as recreational parks and gardens, sporting grounds, the gaming and racing industries, and establish sport institutes and authorities that manage facilities. The Australian Government also provides sport and recreation programs, and supports teams and sporting events through the Australian Sports Commission.</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The key cost drivers of expenditure on recreation facilities and services not elsewhere classified are as varied as the facilities and services they include. As a consequence, the cost drivers cannot be linked closely with a particular service area or cohort of service users. </w:t>
            </w:r>
          </w:p>
          <w:p w:rsidR="009A7F87" w:rsidRPr="00770229" w:rsidRDefault="009A7F87" w:rsidP="009A7F87">
            <w:pPr>
              <w:pStyle w:val="TableBodyText"/>
              <w:keepNext w:val="0"/>
              <w:keepLines w:val="0"/>
              <w:spacing w:before="80" w:after="80"/>
              <w:jc w:val="left"/>
              <w:rPr>
                <w:szCs w:val="26"/>
              </w:rPr>
            </w:pPr>
            <w:r w:rsidRPr="00770229">
              <w:t>It is assumed that the costs associated with this expenditure are driven by the population on a uniform basis.</w:t>
            </w:r>
          </w:p>
        </w:tc>
      </w:tr>
      <w:tr w:rsidR="009A7F87" w:rsidRPr="00770229" w:rsidTr="0093701F">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5F6D91"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5F6D91"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ColumnHeading"/>
              <w:keepNext w:val="0"/>
              <w:ind w:left="180"/>
              <w:jc w:val="center"/>
            </w:pPr>
            <w:r w:rsidRPr="005F6D91">
              <w:t>Data Years</w:t>
            </w:r>
          </w:p>
        </w:tc>
      </w:tr>
      <w:tr w:rsidR="009A7F87" w:rsidRPr="005F6D91"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5F6D91" w:rsidRDefault="009A7F87" w:rsidP="009A7F87">
            <w:pPr>
              <w:pStyle w:val="TableBodyText"/>
              <w:keepNext w:val="0"/>
              <w:spacing w:before="60" w:after="60"/>
              <w:ind w:left="0"/>
              <w:jc w:val="both"/>
              <w:rPr>
                <w:i/>
              </w:rPr>
            </w:pPr>
            <w:r w:rsidRPr="005F6D91">
              <w:rPr>
                <w:i/>
              </w:rPr>
              <w:br/>
              <w:t>Measure</w:t>
            </w:r>
            <w:r w:rsidRPr="00944F69">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BodyText"/>
              <w:keepNext w:val="0"/>
              <w:spacing w:before="60" w:after="60"/>
              <w:ind w:left="180"/>
              <w:jc w:val="left"/>
              <w:rPr>
                <w:i/>
              </w:rPr>
            </w:pPr>
            <w:r w:rsidRPr="005F6D91">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BodyText"/>
              <w:keepNext w:val="0"/>
              <w:spacing w:before="60" w:after="60"/>
              <w:ind w:left="2"/>
              <w:jc w:val="center"/>
              <w:rPr>
                <w:i/>
              </w:rPr>
            </w:pPr>
            <w:r w:rsidRPr="005F6D91">
              <w:rPr>
                <w:i/>
              </w:rPr>
              <w:t>2008</w:t>
            </w:r>
            <w:r w:rsidRPr="005F6D91">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BodyText"/>
              <w:keepNext w:val="0"/>
              <w:spacing w:before="60" w:after="60"/>
              <w:ind w:left="2"/>
              <w:jc w:val="center"/>
              <w:rPr>
                <w:i/>
              </w:rPr>
            </w:pPr>
            <w:r w:rsidRPr="005F6D91">
              <w:rPr>
                <w:i/>
              </w:rPr>
              <w:t>2010</w:t>
            </w:r>
            <w:r w:rsidRPr="005F6D91">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BodyText"/>
              <w:keepNext w:val="0"/>
              <w:spacing w:before="60" w:after="60"/>
              <w:ind w:left="2"/>
              <w:jc w:val="center"/>
              <w:rPr>
                <w:i/>
              </w:rPr>
            </w:pPr>
            <w:r w:rsidRPr="005F6D91">
              <w:rPr>
                <w:i/>
              </w:rPr>
              <w:t>2012</w:t>
            </w:r>
            <w:r w:rsidRPr="005F6D91">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5F6D91" w:rsidRDefault="009A7F87" w:rsidP="009A7F87">
            <w:pPr>
              <w:pStyle w:val="TableBodyText"/>
              <w:keepNext w:val="0"/>
              <w:spacing w:before="60" w:after="60"/>
              <w:ind w:left="2"/>
              <w:jc w:val="center"/>
              <w:rPr>
                <w:i/>
              </w:rPr>
            </w:pPr>
            <w:r w:rsidRPr="005F6D91">
              <w:rPr>
                <w:i/>
              </w:rPr>
              <w:t>2015</w:t>
            </w:r>
            <w:r w:rsidRPr="005F6D91">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0C1987">
              <w:t>(Cat. no. 3101.0)</w:t>
            </w:r>
          </w:p>
        </w:tc>
        <w:tc>
          <w:tcPr>
            <w:tcW w:w="584"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2009</w:t>
            </w:r>
            <w:r>
              <w:br/>
            </w:r>
          </w:p>
        </w:tc>
        <w:tc>
          <w:tcPr>
            <w:tcW w:w="585" w:type="pct"/>
            <w:gridSpan w:val="2"/>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t>June 2011</w:t>
            </w:r>
            <w:r>
              <w:br/>
            </w:r>
          </w:p>
        </w:tc>
        <w:tc>
          <w:tcPr>
            <w:tcW w:w="585"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t>June 2013</w:t>
            </w:r>
            <w:r>
              <w:br/>
            </w:r>
          </w:p>
        </w:tc>
        <w:tc>
          <w:tcPr>
            <w:tcW w:w="583" w:type="pct"/>
            <w:gridSpan w:val="2"/>
            <w:tcBorders>
              <w:bottom w:val="single" w:sz="4" w:space="0" w:color="808080" w:themeColor="background1" w:themeShade="80"/>
            </w:tcBorders>
          </w:tcPr>
          <w:p w:rsidR="009A7F87" w:rsidRPr="00770229" w:rsidRDefault="009A7F87" w:rsidP="009A7F87">
            <w:pPr>
              <w:pStyle w:val="TableBodyText"/>
              <w:keepNext w:val="0"/>
              <w:spacing w:before="60" w:after="60"/>
              <w:ind w:left="2"/>
              <w:jc w:val="center"/>
            </w:pPr>
            <w:r>
              <w:t>June 2016</w:t>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Default="009A7F87" w:rsidP="009A7F87">
            <w:pPr>
              <w:pStyle w:val="Note"/>
              <w:rPr>
                <w:i/>
              </w:rPr>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120072">
      <w:pPr>
        <w:pStyle w:val="BodyText"/>
      </w:pPr>
    </w:p>
    <w:p w:rsidR="009A7F87" w:rsidRDefault="009A7F87" w:rsidP="00120072">
      <w:pPr>
        <w:pStyle w:val="BodyText"/>
      </w:pPr>
    </w:p>
    <w:p w:rsidR="009A7F87" w:rsidRDefault="009A7F87" w:rsidP="00120072">
      <w:pPr>
        <w:pStyle w:val="BodyText"/>
      </w:pPr>
    </w:p>
    <w:p w:rsidR="009A7F87" w:rsidRDefault="009A7F87" w:rsidP="00120072">
      <w:pPr>
        <w:pStyle w:val="BodyText"/>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820</w:t>
            </w:r>
            <w:r w:rsidRPr="00770229">
              <w:t xml:space="preserve"> Cultural facilities and services</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Australian, State and Territory governments provide programs that support cultural development and the arts industry. Programs include provision for botanical gardens, public libraries, facilities for creative and performing arts, museums, and art galleries.</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The key cost drivers of expenditure on cultural facilities and services are as varied as the facilities and services they include. As a consequence, the cost drivers cannot be linked closely with a particular service area or cohort of service users. </w:t>
            </w:r>
          </w:p>
          <w:p w:rsidR="009A7F87" w:rsidRPr="00770229" w:rsidRDefault="009A7F87" w:rsidP="009A7F87">
            <w:pPr>
              <w:pStyle w:val="TableBodyText"/>
              <w:keepNext w:val="0"/>
              <w:keepLines w:val="0"/>
              <w:spacing w:before="80" w:after="80"/>
              <w:jc w:val="left"/>
              <w:rPr>
                <w:szCs w:val="26"/>
              </w:rPr>
            </w:pPr>
            <w:r w:rsidRPr="00770229">
              <w:t>It is assumed that the costs associated with this expenditure are driven by the population on a uniform basis.</w:t>
            </w:r>
          </w:p>
        </w:tc>
      </w:tr>
      <w:tr w:rsidR="009A7F87" w:rsidRPr="00770229" w:rsidTr="0093701F">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5F6D91"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5F6D91"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ColumnHeading"/>
              <w:keepNext w:val="0"/>
              <w:ind w:left="180"/>
              <w:jc w:val="center"/>
            </w:pPr>
            <w:r w:rsidRPr="005F6D91">
              <w:t>Data Years</w:t>
            </w:r>
          </w:p>
        </w:tc>
      </w:tr>
      <w:tr w:rsidR="009A7F87" w:rsidRPr="005F6D91"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5F6D91" w:rsidRDefault="009A7F87" w:rsidP="009A7F87">
            <w:pPr>
              <w:pStyle w:val="TableBodyText"/>
              <w:keepNext w:val="0"/>
              <w:spacing w:before="60" w:after="60"/>
              <w:ind w:left="0"/>
              <w:jc w:val="both"/>
              <w:rPr>
                <w:i/>
              </w:rPr>
            </w:pPr>
            <w:r w:rsidRPr="005F6D91">
              <w:rPr>
                <w:i/>
              </w:rPr>
              <w:br/>
              <w:t>Measure</w:t>
            </w:r>
            <w:r w:rsidRPr="00944F69">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BodyText"/>
              <w:keepNext w:val="0"/>
              <w:spacing w:before="60" w:after="60"/>
              <w:ind w:left="180"/>
              <w:jc w:val="left"/>
              <w:rPr>
                <w:i/>
              </w:rPr>
            </w:pPr>
            <w:r w:rsidRPr="005F6D91">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BodyText"/>
              <w:keepNext w:val="0"/>
              <w:spacing w:before="60" w:after="60"/>
              <w:ind w:left="2"/>
              <w:jc w:val="center"/>
              <w:rPr>
                <w:i/>
              </w:rPr>
            </w:pPr>
            <w:r w:rsidRPr="005F6D91">
              <w:rPr>
                <w:i/>
              </w:rPr>
              <w:t>2008</w:t>
            </w:r>
            <w:r w:rsidRPr="005F6D91">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BodyText"/>
              <w:keepNext w:val="0"/>
              <w:spacing w:before="60" w:after="60"/>
              <w:ind w:left="2"/>
              <w:jc w:val="center"/>
              <w:rPr>
                <w:i/>
              </w:rPr>
            </w:pPr>
            <w:r w:rsidRPr="005F6D91">
              <w:rPr>
                <w:i/>
              </w:rPr>
              <w:t>2010</w:t>
            </w:r>
            <w:r w:rsidRPr="005F6D91">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BodyText"/>
              <w:keepNext w:val="0"/>
              <w:spacing w:before="60" w:after="60"/>
              <w:ind w:left="2"/>
              <w:jc w:val="center"/>
              <w:rPr>
                <w:i/>
              </w:rPr>
            </w:pPr>
            <w:r w:rsidRPr="005F6D91">
              <w:rPr>
                <w:i/>
              </w:rPr>
              <w:t>2012</w:t>
            </w:r>
            <w:r w:rsidRPr="005F6D91">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5F6D91" w:rsidRDefault="009A7F87" w:rsidP="009A7F87">
            <w:pPr>
              <w:pStyle w:val="TableBodyText"/>
              <w:keepNext w:val="0"/>
              <w:spacing w:before="60" w:after="60"/>
              <w:ind w:left="2"/>
              <w:jc w:val="center"/>
              <w:rPr>
                <w:i/>
              </w:rPr>
            </w:pPr>
            <w:r w:rsidRPr="005F6D91">
              <w:rPr>
                <w:i/>
              </w:rPr>
              <w:t>2015</w:t>
            </w:r>
            <w:r w:rsidRPr="005F6D91">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br/>
            </w:r>
            <w:r w:rsidRPr="00770229">
              <w:t>(Cat.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0C1987">
              <w:t>(Cat. no. 3101.0)</w:t>
            </w:r>
          </w:p>
        </w:tc>
        <w:tc>
          <w:tcPr>
            <w:tcW w:w="584"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2009</w:t>
            </w:r>
            <w:r>
              <w:br/>
            </w:r>
          </w:p>
        </w:tc>
        <w:tc>
          <w:tcPr>
            <w:tcW w:w="585" w:type="pct"/>
            <w:gridSpan w:val="2"/>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t>June 2011</w:t>
            </w:r>
            <w:r>
              <w:br/>
            </w:r>
          </w:p>
        </w:tc>
        <w:tc>
          <w:tcPr>
            <w:tcW w:w="585"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t>June 2013</w:t>
            </w:r>
            <w:r>
              <w:br/>
            </w:r>
          </w:p>
        </w:tc>
        <w:tc>
          <w:tcPr>
            <w:tcW w:w="583" w:type="pct"/>
            <w:gridSpan w:val="2"/>
            <w:tcBorders>
              <w:bottom w:val="single" w:sz="4" w:space="0" w:color="808080" w:themeColor="background1" w:themeShade="80"/>
            </w:tcBorders>
          </w:tcPr>
          <w:p w:rsidR="009A7F87" w:rsidRPr="00770229" w:rsidRDefault="009A7F87" w:rsidP="009A7F87">
            <w:pPr>
              <w:pStyle w:val="TableBodyText"/>
              <w:keepNext w:val="0"/>
              <w:spacing w:before="60" w:after="60"/>
              <w:ind w:left="2"/>
              <w:jc w:val="center"/>
            </w:pPr>
            <w:r>
              <w:t>June 2016</w:t>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A77698" w:rsidRDefault="009A7F87" w:rsidP="009A7F87">
            <w:pPr>
              <w:pStyle w:val="TableBodyText"/>
              <w:keepNext w:val="0"/>
              <w:keepLines w:val="0"/>
              <w:spacing w:before="80" w:after="80"/>
              <w:jc w:val="both"/>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830</w:t>
            </w:r>
            <w:r w:rsidRPr="00770229">
              <w:t xml:space="preserve"> Broadcasting and film production</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The Australian Government provides broadcasting services, such as the Australian Broadcasting Corporation and the Special Broadcasting Service Corporation and licenses community television on a trial basis. State and territory governments also provide programs that support the film and television industry.</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The key cost drivers of expenditure on broadcasting and film production are the broadcasting and film audience. However, broadcasting services and films are provided for all Australians. </w:t>
            </w:r>
          </w:p>
          <w:p w:rsidR="009A7F87" w:rsidRPr="00770229" w:rsidRDefault="009A7F87" w:rsidP="009A7F87">
            <w:pPr>
              <w:pStyle w:val="TableBodyText"/>
              <w:keepNext w:val="0"/>
              <w:keepLines w:val="0"/>
              <w:spacing w:before="80" w:after="80"/>
              <w:jc w:val="left"/>
              <w:rPr>
                <w:szCs w:val="26"/>
              </w:rPr>
            </w:pPr>
            <w:r w:rsidRPr="00770229">
              <w:t>It is assumed that the costs associated with this expenditure are driven by the population on a uniform basis.</w:t>
            </w:r>
          </w:p>
        </w:tc>
      </w:tr>
      <w:tr w:rsidR="009A7F87" w:rsidRPr="00770229" w:rsidTr="0093701F">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5F6D91"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5F6D91"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ColumnHeading"/>
              <w:keepNext w:val="0"/>
              <w:ind w:left="180"/>
              <w:jc w:val="center"/>
            </w:pPr>
            <w:r w:rsidRPr="005F6D91">
              <w:t>Data Years</w:t>
            </w:r>
          </w:p>
        </w:tc>
      </w:tr>
      <w:tr w:rsidR="009A7F87" w:rsidRPr="005F6D91"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5F6D91" w:rsidRDefault="009A7F87" w:rsidP="009A7F87">
            <w:pPr>
              <w:pStyle w:val="TableBodyText"/>
              <w:keepNext w:val="0"/>
              <w:spacing w:before="60" w:after="60"/>
              <w:ind w:left="0"/>
              <w:jc w:val="both"/>
              <w:rPr>
                <w:i/>
              </w:rPr>
            </w:pPr>
            <w:r w:rsidRPr="005F6D91">
              <w:rPr>
                <w:i/>
              </w:rPr>
              <w:br/>
              <w:t>Measure</w:t>
            </w:r>
            <w:r w:rsidRPr="00944F69">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BodyText"/>
              <w:keepNext w:val="0"/>
              <w:spacing w:before="60" w:after="60"/>
              <w:ind w:left="180"/>
              <w:jc w:val="left"/>
              <w:rPr>
                <w:i/>
              </w:rPr>
            </w:pPr>
            <w:r w:rsidRPr="005F6D91">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BodyText"/>
              <w:keepNext w:val="0"/>
              <w:spacing w:before="60" w:after="60"/>
              <w:ind w:left="2"/>
              <w:jc w:val="center"/>
              <w:rPr>
                <w:i/>
              </w:rPr>
            </w:pPr>
            <w:r w:rsidRPr="005F6D91">
              <w:rPr>
                <w:i/>
              </w:rPr>
              <w:t>2008</w:t>
            </w:r>
            <w:r w:rsidRPr="005F6D91">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BodyText"/>
              <w:keepNext w:val="0"/>
              <w:spacing w:before="60" w:after="60"/>
              <w:ind w:left="2"/>
              <w:jc w:val="center"/>
              <w:rPr>
                <w:i/>
              </w:rPr>
            </w:pPr>
            <w:r w:rsidRPr="005F6D91">
              <w:rPr>
                <w:i/>
              </w:rPr>
              <w:t>2010</w:t>
            </w:r>
            <w:r w:rsidRPr="005F6D91">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BodyText"/>
              <w:keepNext w:val="0"/>
              <w:spacing w:before="60" w:after="60"/>
              <w:ind w:left="2"/>
              <w:jc w:val="center"/>
              <w:rPr>
                <w:i/>
              </w:rPr>
            </w:pPr>
            <w:r w:rsidRPr="005F6D91">
              <w:rPr>
                <w:i/>
              </w:rPr>
              <w:t>2012</w:t>
            </w:r>
            <w:r w:rsidRPr="005F6D91">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5F6D91" w:rsidRDefault="009A7F87" w:rsidP="009A7F87">
            <w:pPr>
              <w:pStyle w:val="TableBodyText"/>
              <w:keepNext w:val="0"/>
              <w:spacing w:before="60" w:after="60"/>
              <w:ind w:left="2"/>
              <w:jc w:val="center"/>
              <w:rPr>
                <w:i/>
              </w:rPr>
            </w:pPr>
            <w:r w:rsidRPr="005F6D91">
              <w:rPr>
                <w:i/>
              </w:rPr>
              <w:t>2015</w:t>
            </w:r>
            <w:r w:rsidRPr="005F6D91">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1"/>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w:t>
            </w:r>
            <w:r>
              <w:br/>
            </w:r>
            <w:r w:rsidRPr="00770229">
              <w:t>(Cat.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t>June 2009</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t>June 2011</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t>June 2013</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gridSpan w:val="2"/>
            <w:tcBorders>
              <w:top w:val="single" w:sz="6" w:space="0" w:color="808080" w:themeColor="background1" w:themeShade="80"/>
            </w:tcBorders>
            <w:vAlign w:val="center"/>
          </w:tcPr>
          <w:p w:rsidR="009A7F87" w:rsidRDefault="009A7F87" w:rsidP="009A7F87">
            <w:pPr>
              <w:pStyle w:val="TableBodyText"/>
              <w:keepNext w:val="0"/>
              <w:spacing w:after="60"/>
              <w:ind w:left="0"/>
              <w:jc w:val="center"/>
            </w:pPr>
            <w:r>
              <w:t>June 2016</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0C1987">
              <w:t>(Cat. no. 3101.0)</w:t>
            </w:r>
          </w:p>
        </w:tc>
        <w:tc>
          <w:tcPr>
            <w:tcW w:w="584"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2009</w:t>
            </w:r>
            <w:r>
              <w:br/>
            </w:r>
          </w:p>
        </w:tc>
        <w:tc>
          <w:tcPr>
            <w:tcW w:w="585" w:type="pct"/>
            <w:gridSpan w:val="2"/>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t>June 2011</w:t>
            </w:r>
            <w:r>
              <w:br/>
            </w:r>
          </w:p>
        </w:tc>
        <w:tc>
          <w:tcPr>
            <w:tcW w:w="585"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t>June 2013</w:t>
            </w:r>
            <w:r>
              <w:br/>
            </w:r>
          </w:p>
        </w:tc>
        <w:tc>
          <w:tcPr>
            <w:tcW w:w="583" w:type="pct"/>
            <w:gridSpan w:val="2"/>
            <w:tcBorders>
              <w:bottom w:val="single" w:sz="4" w:space="0" w:color="808080" w:themeColor="background1" w:themeShade="80"/>
            </w:tcBorders>
          </w:tcPr>
          <w:p w:rsidR="009A7F87" w:rsidRPr="00770229" w:rsidRDefault="009A7F87" w:rsidP="009A7F87">
            <w:pPr>
              <w:pStyle w:val="TableBodyText"/>
              <w:keepNext w:val="0"/>
              <w:spacing w:before="60" w:after="60"/>
              <w:ind w:left="2"/>
              <w:jc w:val="center"/>
            </w:pPr>
            <w:r>
              <w:t>June 2016</w:t>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A77698" w:rsidRDefault="009A7F87" w:rsidP="009A7F87">
            <w:pPr>
              <w:pStyle w:val="TableBodyText"/>
              <w:keepNext w:val="0"/>
              <w:keepLines w:val="0"/>
              <w:spacing w:before="80" w:after="80"/>
              <w:jc w:val="both"/>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890</w:t>
            </w:r>
            <w:r w:rsidRPr="00770229">
              <w:t xml:space="preserve"> Recreation and culture </w:t>
            </w:r>
            <w:proofErr w:type="spellStart"/>
            <w:r w:rsidRPr="00770229">
              <w:t>nec</w:t>
            </w:r>
            <w:proofErr w:type="spellEnd"/>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Australian, State and Territory government expenditure related to recreation and culture services that cannot be assigned to one of the preceding subgroups of </w:t>
            </w:r>
            <w:r w:rsidRPr="00770229">
              <w:rPr>
                <w:i/>
              </w:rPr>
              <w:t>national parks and wildlife</w:t>
            </w:r>
            <w:r w:rsidRPr="00770229">
              <w:t xml:space="preserve"> (GPC 0811), </w:t>
            </w:r>
            <w:r w:rsidRPr="00770229">
              <w:rPr>
                <w:i/>
              </w:rPr>
              <w:t xml:space="preserve">recreational facilities and services </w:t>
            </w:r>
            <w:proofErr w:type="spellStart"/>
            <w:r w:rsidRPr="00770229">
              <w:rPr>
                <w:i/>
              </w:rPr>
              <w:t>nec</w:t>
            </w:r>
            <w:proofErr w:type="spellEnd"/>
            <w:r w:rsidRPr="00770229">
              <w:t xml:space="preserve"> (GPC 0819), </w:t>
            </w:r>
            <w:r w:rsidRPr="00770229">
              <w:rPr>
                <w:i/>
              </w:rPr>
              <w:t>cultural facilities and services</w:t>
            </w:r>
            <w:r w:rsidRPr="00770229">
              <w:t xml:space="preserve"> (GPC 0820), or </w:t>
            </w:r>
            <w:r w:rsidRPr="00770229">
              <w:rPr>
                <w:i/>
              </w:rPr>
              <w:t>broadcasting and film production</w:t>
            </w:r>
            <w:r w:rsidRPr="00770229">
              <w:t xml:space="preserve"> (GPC 0830). </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The services provided by government in this category cannot be linked closely with a particular service area or cohort of service users. </w:t>
            </w:r>
          </w:p>
          <w:p w:rsidR="009A7F87" w:rsidRPr="00770229" w:rsidRDefault="009A7F87" w:rsidP="009A7F87">
            <w:pPr>
              <w:pStyle w:val="TableBodyText"/>
              <w:keepNext w:val="0"/>
              <w:keepLines w:val="0"/>
              <w:spacing w:before="80" w:after="80"/>
              <w:jc w:val="left"/>
              <w:rPr>
                <w:szCs w:val="26"/>
              </w:rPr>
            </w:pPr>
            <w:r w:rsidRPr="00770229">
              <w:t>It is assumed that the costs associated with this expenditure are driven by the population on a uniform basis.</w:t>
            </w:r>
          </w:p>
        </w:tc>
      </w:tr>
      <w:tr w:rsidR="009A7F87" w:rsidRPr="00770229" w:rsidTr="0093701F">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5F6D91"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5F6D91"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ColumnHeading"/>
              <w:keepNext w:val="0"/>
              <w:ind w:left="180"/>
              <w:jc w:val="center"/>
            </w:pPr>
            <w:r w:rsidRPr="005F6D91">
              <w:t>Data Years</w:t>
            </w:r>
          </w:p>
        </w:tc>
      </w:tr>
      <w:tr w:rsidR="009A7F87" w:rsidRPr="005F6D91"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5F6D91" w:rsidRDefault="009A7F87" w:rsidP="009A7F87">
            <w:pPr>
              <w:pStyle w:val="TableBodyText"/>
              <w:keepNext w:val="0"/>
              <w:spacing w:before="60" w:after="60"/>
              <w:ind w:left="0"/>
              <w:jc w:val="both"/>
              <w:rPr>
                <w:i/>
              </w:rPr>
            </w:pPr>
            <w:r w:rsidRPr="005F6D91">
              <w:rPr>
                <w:i/>
              </w:rPr>
              <w:br/>
              <w:t>Measure</w:t>
            </w:r>
            <w:r w:rsidRPr="00944F69">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BodyText"/>
              <w:keepNext w:val="0"/>
              <w:spacing w:before="60" w:after="60"/>
              <w:ind w:left="180"/>
              <w:jc w:val="left"/>
              <w:rPr>
                <w:i/>
              </w:rPr>
            </w:pPr>
            <w:r w:rsidRPr="005F6D91">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BodyText"/>
              <w:keepNext w:val="0"/>
              <w:spacing w:before="60" w:after="60"/>
              <w:ind w:left="2"/>
              <w:jc w:val="center"/>
              <w:rPr>
                <w:i/>
              </w:rPr>
            </w:pPr>
            <w:r w:rsidRPr="005F6D91">
              <w:rPr>
                <w:i/>
              </w:rPr>
              <w:t>2008</w:t>
            </w:r>
            <w:r w:rsidRPr="005F6D91">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BodyText"/>
              <w:keepNext w:val="0"/>
              <w:spacing w:before="60" w:after="60"/>
              <w:ind w:left="2"/>
              <w:jc w:val="center"/>
              <w:rPr>
                <w:i/>
              </w:rPr>
            </w:pPr>
            <w:r w:rsidRPr="005F6D91">
              <w:rPr>
                <w:i/>
              </w:rPr>
              <w:t>2010</w:t>
            </w:r>
            <w:r w:rsidRPr="005F6D91">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5F6D91" w:rsidRDefault="009A7F87" w:rsidP="009A7F87">
            <w:pPr>
              <w:pStyle w:val="TableBodyText"/>
              <w:keepNext w:val="0"/>
              <w:spacing w:before="60" w:after="60"/>
              <w:ind w:left="2"/>
              <w:jc w:val="center"/>
              <w:rPr>
                <w:i/>
              </w:rPr>
            </w:pPr>
            <w:r w:rsidRPr="005F6D91">
              <w:rPr>
                <w:i/>
              </w:rPr>
              <w:t>2012</w:t>
            </w:r>
            <w:r w:rsidRPr="005F6D91">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5F6D91" w:rsidRDefault="009A7F87" w:rsidP="009A7F87">
            <w:pPr>
              <w:pStyle w:val="TableBodyText"/>
              <w:keepNext w:val="0"/>
              <w:spacing w:before="60" w:after="60"/>
              <w:ind w:left="2"/>
              <w:jc w:val="center"/>
              <w:rPr>
                <w:i/>
              </w:rPr>
            </w:pPr>
            <w:r w:rsidRPr="005F6D91">
              <w:rPr>
                <w:i/>
              </w:rPr>
              <w:t>2015</w:t>
            </w:r>
            <w:r w:rsidRPr="005F6D91">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w:t>
            </w:r>
            <w:r>
              <w:br/>
            </w:r>
            <w:r w:rsidRPr="00770229">
              <w:t>(Cat.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t>June 2009</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t>June 2011</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t>June 2013</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gridSpan w:val="2"/>
            <w:tcBorders>
              <w:top w:val="single" w:sz="6" w:space="0" w:color="808080" w:themeColor="background1" w:themeShade="80"/>
            </w:tcBorders>
            <w:vAlign w:val="center"/>
          </w:tcPr>
          <w:p w:rsidR="009A7F87" w:rsidRDefault="009A7F87" w:rsidP="009A7F87">
            <w:pPr>
              <w:pStyle w:val="TableBodyText"/>
              <w:keepNext w:val="0"/>
              <w:spacing w:after="60"/>
              <w:ind w:left="0"/>
              <w:jc w:val="center"/>
            </w:pPr>
            <w:r>
              <w:t>June 2016</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0C1987">
              <w:t>(Cat. no. 3101.0)</w:t>
            </w:r>
          </w:p>
        </w:tc>
        <w:tc>
          <w:tcPr>
            <w:tcW w:w="584"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2009</w:t>
            </w:r>
            <w:r>
              <w:br/>
            </w:r>
          </w:p>
        </w:tc>
        <w:tc>
          <w:tcPr>
            <w:tcW w:w="585" w:type="pct"/>
            <w:gridSpan w:val="2"/>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t>June 2011</w:t>
            </w:r>
            <w:r>
              <w:br/>
            </w:r>
          </w:p>
        </w:tc>
        <w:tc>
          <w:tcPr>
            <w:tcW w:w="585"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t>June 2013</w:t>
            </w:r>
            <w:r>
              <w:br/>
            </w:r>
          </w:p>
        </w:tc>
        <w:tc>
          <w:tcPr>
            <w:tcW w:w="583" w:type="pct"/>
            <w:gridSpan w:val="2"/>
            <w:tcBorders>
              <w:bottom w:val="single" w:sz="4" w:space="0" w:color="808080" w:themeColor="background1" w:themeShade="80"/>
            </w:tcBorders>
          </w:tcPr>
          <w:p w:rsidR="009A7F87" w:rsidRPr="00770229" w:rsidRDefault="009A7F87" w:rsidP="009A7F87">
            <w:pPr>
              <w:pStyle w:val="TableBodyText"/>
              <w:keepNext w:val="0"/>
              <w:spacing w:before="60" w:after="60"/>
              <w:ind w:left="2"/>
              <w:jc w:val="center"/>
            </w:pPr>
            <w:r>
              <w:t>June 2016</w:t>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A77698" w:rsidRDefault="009A7F87" w:rsidP="009A7F87">
            <w:pPr>
              <w:pStyle w:val="TableBodyText"/>
              <w:keepNext w:val="0"/>
              <w:keepLines w:val="0"/>
              <w:spacing w:before="80" w:after="80"/>
              <w:jc w:val="both"/>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sectPr w:rsidR="009A7F87" w:rsidSect="009A7F87">
          <w:headerReference w:type="even" r:id="rId131"/>
          <w:headerReference w:type="default" r:id="rId132"/>
          <w:footerReference w:type="even" r:id="rId133"/>
          <w:footerReference w:type="default" r:id="rId134"/>
          <w:footnotePr>
            <w:numRestart w:val="eachSect"/>
          </w:footnotePr>
          <w:type w:val="oddPage"/>
          <w:pgSz w:w="11907" w:h="16840" w:code="9"/>
          <w:pgMar w:top="1985" w:right="1304" w:bottom="1247" w:left="1814" w:header="1701" w:footer="397" w:gutter="0"/>
          <w:pgNumType w:chapSep="period"/>
          <w:cols w:space="720"/>
          <w:docGrid w:linePitch="326"/>
        </w:sectPr>
      </w:pPr>
    </w:p>
    <w:p w:rsidR="009A7F87" w:rsidRDefault="009A7F87">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9A7F87">
        <w:tc>
          <w:tcPr>
            <w:tcW w:w="6634" w:type="dxa"/>
            <w:tcBorders>
              <w:top w:val="single" w:sz="6" w:space="0" w:color="auto"/>
            </w:tcBorders>
          </w:tcPr>
          <w:p w:rsidR="009A7F87" w:rsidRDefault="009A7F87">
            <w:pPr>
              <w:pStyle w:val="PartDivider"/>
            </w:pPr>
          </w:p>
        </w:tc>
        <w:tc>
          <w:tcPr>
            <w:tcW w:w="2155" w:type="dxa"/>
            <w:tcBorders>
              <w:top w:val="single" w:sz="24" w:space="0" w:color="auto"/>
            </w:tcBorders>
          </w:tcPr>
          <w:p w:rsidR="009A7F87" w:rsidRDefault="009A7F87">
            <w:pPr>
              <w:pStyle w:val="PartDivider"/>
            </w:pPr>
          </w:p>
        </w:tc>
      </w:tr>
    </w:tbl>
    <w:p w:rsidR="009A7F87" w:rsidRDefault="009A7F87">
      <w:pPr>
        <w:pStyle w:val="PartDivider"/>
      </w:pPr>
    </w:p>
    <w:p w:rsidR="009A7F87" w:rsidRDefault="009A7F87" w:rsidP="009A7F87">
      <w:pPr>
        <w:pStyle w:val="PartTitle"/>
        <w:spacing w:after="240"/>
      </w:pPr>
      <w:r>
        <w:t>GPC 09</w:t>
      </w:r>
    </w:p>
    <w:p w:rsidR="009A7F87" w:rsidRDefault="009A7F87" w:rsidP="009A7F87">
      <w:pPr>
        <w:pStyle w:val="PartTitle"/>
        <w:spacing w:after="240"/>
      </w:pPr>
      <w:r>
        <w:t>fuel and energy</w:t>
      </w:r>
    </w:p>
    <w:p w:rsidR="009A7F87" w:rsidRDefault="009A7F87" w:rsidP="009A7F87">
      <w:pPr>
        <w:pStyle w:val="BodyText"/>
        <w:rPr>
          <w:sz w:val="52"/>
        </w:rPr>
      </w:pPr>
      <w:r>
        <w:br w:type="page"/>
      </w:r>
    </w:p>
    <w:p w:rsidR="009A7F87" w:rsidRPr="003755C6" w:rsidRDefault="009A7F87" w:rsidP="009A7F87">
      <w:pPr>
        <w:rPr>
          <w:szCs w:val="20"/>
        </w:rPr>
      </w:pPr>
    </w:p>
    <w:p w:rsidR="009A7F87" w:rsidRDefault="009A7F87" w:rsidP="009A7F87">
      <w:pPr>
        <w:sectPr w:rsidR="009A7F87" w:rsidSect="009A7F87">
          <w:headerReference w:type="even" r:id="rId135"/>
          <w:headerReference w:type="default" r:id="rId136"/>
          <w:footerReference w:type="even" r:id="rId137"/>
          <w:footerReference w:type="default" r:id="rId138"/>
          <w:footnotePr>
            <w:numRestart w:val="eachSect"/>
          </w:footnotePr>
          <w:type w:val="oddPage"/>
          <w:pgSz w:w="11907" w:h="16840" w:code="9"/>
          <w:pgMar w:top="1985" w:right="1304" w:bottom="1247" w:left="1814" w:header="1701" w:footer="397" w:gutter="0"/>
          <w:pgNumType w:chapSep="period"/>
          <w:cols w:space="720"/>
          <w:docGrid w:linePitch="326"/>
        </w:sectPr>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t>0</w:t>
            </w:r>
            <w:r>
              <w:t>9</w:t>
            </w:r>
            <w:r w:rsidRPr="00770229">
              <w:t>11 Gas</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Gas industry programs and services can be categorised as either:</w:t>
            </w:r>
          </w:p>
          <w:p w:rsidR="009A7F87" w:rsidRPr="00770229" w:rsidRDefault="009A7F87" w:rsidP="009A7F87">
            <w:pPr>
              <w:pStyle w:val="TableBullet"/>
              <w:numPr>
                <w:ilvl w:val="0"/>
                <w:numId w:val="24"/>
              </w:numPr>
              <w:spacing w:line="220" w:lineRule="atLeast"/>
            </w:pPr>
            <w:r w:rsidRPr="00770229">
              <w:rPr>
                <w:i/>
              </w:rPr>
              <w:t>industry regulation and support</w:t>
            </w:r>
            <w:r w:rsidRPr="00770229">
              <w:t xml:space="preserve"> — the Australian, State and Territory governments provide a range of regulation and support services to the gas industry</w:t>
            </w:r>
          </w:p>
          <w:p w:rsidR="009A7F87" w:rsidRPr="00770229" w:rsidRDefault="009A7F87" w:rsidP="009A7F87">
            <w:pPr>
              <w:pStyle w:val="TableBullet"/>
              <w:numPr>
                <w:ilvl w:val="0"/>
                <w:numId w:val="24"/>
              </w:numPr>
              <w:spacing w:line="220" w:lineRule="atLeast"/>
            </w:pPr>
            <w:r w:rsidRPr="00770229">
              <w:rPr>
                <w:i/>
              </w:rPr>
              <w:t>community service obligations (excluding household concessions)</w:t>
            </w:r>
            <w:r w:rsidRPr="00770229">
              <w:t xml:space="preserve"> — access to gas services is essential for maintaining a basic standard of living. As a consequence, gas retailers are sometimes required to provide services to some customers in a manner that the retailer may not choose if acting on a purely commercial basis. The government compensates gas retailers for their community service obligations, which may include:</w:t>
            </w:r>
          </w:p>
          <w:p w:rsidR="009A7F87" w:rsidRPr="0052125E" w:rsidRDefault="009A7F87" w:rsidP="009A7F87">
            <w:pPr>
              <w:pStyle w:val="TableBullet2"/>
              <w:rPr>
                <w:sz w:val="18"/>
                <w:szCs w:val="18"/>
              </w:rPr>
            </w:pPr>
            <w:r w:rsidRPr="0052125E">
              <w:rPr>
                <w:i/>
                <w:sz w:val="18"/>
                <w:szCs w:val="18"/>
              </w:rPr>
              <w:t>universal service access</w:t>
            </w:r>
            <w:r w:rsidRPr="0052125E">
              <w:rPr>
                <w:sz w:val="18"/>
                <w:szCs w:val="18"/>
              </w:rPr>
              <w:t xml:space="preserve"> — for example, providing services to locations where the full cost of infrastructure cannot be recovered because of low service density</w:t>
            </w:r>
          </w:p>
          <w:p w:rsidR="009A7F87" w:rsidRPr="0052125E" w:rsidRDefault="009A7F87" w:rsidP="009A7F87">
            <w:pPr>
              <w:pStyle w:val="TableBullet2"/>
              <w:rPr>
                <w:sz w:val="18"/>
                <w:szCs w:val="18"/>
              </w:rPr>
            </w:pPr>
            <w:r w:rsidRPr="0052125E">
              <w:rPr>
                <w:i/>
                <w:sz w:val="18"/>
                <w:szCs w:val="18"/>
              </w:rPr>
              <w:t>universal price maintenance</w:t>
            </w:r>
            <w:r w:rsidRPr="0052125E">
              <w:rPr>
                <w:sz w:val="18"/>
                <w:szCs w:val="18"/>
              </w:rPr>
              <w:t xml:space="preserve"> — for example, to maintain price parity between urban and rural customers.</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The key cost drivers of expenditure on regulation and support services to the gas industry cannot be linked closely with a particular service area or cohort of service users. Therefore, it is assumed that the costs associated with this expenditure are driven by the population on a uniform basis. </w:t>
            </w:r>
          </w:p>
          <w:p w:rsidR="009A7F87" w:rsidRPr="00770229" w:rsidRDefault="009A7F87" w:rsidP="009A7F87">
            <w:pPr>
              <w:pStyle w:val="TableBodyText"/>
              <w:keepNext w:val="0"/>
              <w:keepLines w:val="0"/>
              <w:spacing w:before="80" w:after="80"/>
              <w:jc w:val="left"/>
              <w:rPr>
                <w:szCs w:val="26"/>
              </w:rPr>
            </w:pPr>
            <w:r w:rsidRPr="00770229">
              <w:t>The key cost drivers of expenditure on the gas industry’s community service obligations are the number of people that receive discounted gas and the value of the discount received.</w:t>
            </w:r>
          </w:p>
        </w:tc>
      </w:tr>
      <w:tr w:rsidR="009A7F87" w:rsidRPr="00770229" w:rsidTr="0093701F">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324A2E"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324A2E"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ColumnHeading"/>
              <w:keepNext w:val="0"/>
              <w:ind w:left="180"/>
              <w:jc w:val="center"/>
            </w:pPr>
            <w:r w:rsidRPr="00324A2E">
              <w:t>Data Years</w:t>
            </w:r>
          </w:p>
        </w:tc>
      </w:tr>
      <w:tr w:rsidR="009A7F87" w:rsidRPr="00324A2E"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324A2E" w:rsidRDefault="009A7F87" w:rsidP="009A7F87">
            <w:pPr>
              <w:pStyle w:val="TableBodyText"/>
              <w:keepNext w:val="0"/>
              <w:spacing w:before="60" w:after="60"/>
              <w:ind w:left="0"/>
              <w:jc w:val="both"/>
              <w:rPr>
                <w:i/>
              </w:rPr>
            </w:pPr>
            <w:r w:rsidRPr="00324A2E">
              <w:rPr>
                <w:i/>
              </w:rPr>
              <w:br/>
              <w:t>Measure</w:t>
            </w:r>
            <w:r w:rsidRPr="00944F69">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BodyText"/>
              <w:keepNext w:val="0"/>
              <w:spacing w:before="60" w:after="60"/>
              <w:ind w:left="180"/>
              <w:jc w:val="left"/>
              <w:rPr>
                <w:i/>
              </w:rPr>
            </w:pPr>
            <w:r w:rsidRPr="00324A2E">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BodyText"/>
              <w:keepNext w:val="0"/>
              <w:spacing w:before="60" w:after="60"/>
              <w:ind w:left="2"/>
              <w:jc w:val="center"/>
              <w:rPr>
                <w:i/>
              </w:rPr>
            </w:pPr>
            <w:r w:rsidRPr="00324A2E">
              <w:rPr>
                <w:i/>
              </w:rPr>
              <w:t>2008</w:t>
            </w:r>
            <w:r w:rsidRPr="00324A2E">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BodyText"/>
              <w:keepNext w:val="0"/>
              <w:spacing w:before="60" w:after="60"/>
              <w:ind w:left="2"/>
              <w:jc w:val="center"/>
              <w:rPr>
                <w:i/>
              </w:rPr>
            </w:pPr>
            <w:r w:rsidRPr="00324A2E">
              <w:rPr>
                <w:i/>
              </w:rPr>
              <w:t>2010</w:t>
            </w:r>
            <w:r w:rsidRPr="00324A2E">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BodyText"/>
              <w:keepNext w:val="0"/>
              <w:spacing w:before="60" w:after="60"/>
              <w:ind w:left="2"/>
              <w:jc w:val="center"/>
              <w:rPr>
                <w:i/>
              </w:rPr>
            </w:pPr>
            <w:r w:rsidRPr="00324A2E">
              <w:rPr>
                <w:i/>
              </w:rPr>
              <w:t>2012</w:t>
            </w:r>
            <w:r w:rsidRPr="00324A2E">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324A2E" w:rsidRDefault="009A7F87" w:rsidP="009A7F87">
            <w:pPr>
              <w:pStyle w:val="TableBodyText"/>
              <w:keepNext w:val="0"/>
              <w:spacing w:before="60" w:after="60"/>
              <w:ind w:left="2"/>
              <w:jc w:val="center"/>
              <w:rPr>
                <w:i/>
              </w:rPr>
            </w:pPr>
            <w:r w:rsidRPr="00324A2E">
              <w:rPr>
                <w:i/>
              </w:rPr>
              <w:t>2015</w:t>
            </w:r>
            <w:r w:rsidRPr="00324A2E">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br/>
            </w:r>
            <w:r w:rsidRPr="00770229">
              <w:t>(Cat.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543F66">
              <w:t>(Cat. no. 3101.0)</w:t>
            </w:r>
          </w:p>
        </w:tc>
        <w:tc>
          <w:tcPr>
            <w:tcW w:w="584"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2009</w:t>
            </w:r>
            <w:r>
              <w:br/>
            </w:r>
          </w:p>
        </w:tc>
        <w:tc>
          <w:tcPr>
            <w:tcW w:w="585" w:type="pct"/>
            <w:gridSpan w:val="2"/>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2011</w:t>
            </w:r>
            <w:r>
              <w:br/>
            </w:r>
          </w:p>
        </w:tc>
        <w:tc>
          <w:tcPr>
            <w:tcW w:w="585"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0"/>
              <w:jc w:val="center"/>
            </w:pPr>
            <w:r w:rsidRPr="00770229">
              <w:t>June 2013</w:t>
            </w:r>
            <w:r>
              <w:br/>
            </w:r>
          </w:p>
        </w:tc>
        <w:tc>
          <w:tcPr>
            <w:tcW w:w="583" w:type="pct"/>
            <w:gridSpan w:val="2"/>
            <w:tcBorders>
              <w:bottom w:val="single" w:sz="4" w:space="0" w:color="808080" w:themeColor="background1" w:themeShade="80"/>
            </w:tcBorders>
          </w:tcPr>
          <w:p w:rsidR="009A7F87" w:rsidRPr="00770229" w:rsidRDefault="009A7F87" w:rsidP="009A7F87">
            <w:pPr>
              <w:pStyle w:val="TableBodyText"/>
              <w:keepNext w:val="0"/>
              <w:spacing w:before="60" w:after="60"/>
              <w:ind w:left="0"/>
              <w:jc w:val="center"/>
            </w:pPr>
            <w:r>
              <w:t xml:space="preserve">June </w:t>
            </w:r>
            <w:r w:rsidRPr="00FF7A3F">
              <w:t>2016</w:t>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AE5146" w:rsidRDefault="009A7F87" w:rsidP="009A7F87">
            <w:pPr>
              <w:pStyle w:val="TableBodyText"/>
              <w:keepNext w:val="0"/>
              <w:keepLines w:val="0"/>
              <w:spacing w:before="80" w:after="80"/>
              <w:jc w:val="both"/>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9</w:t>
            </w:r>
            <w:r w:rsidRPr="00770229">
              <w:t xml:space="preserve">19 Fuel affairs and services </w:t>
            </w:r>
            <w:proofErr w:type="spellStart"/>
            <w:r w:rsidRPr="00770229">
              <w:t>nec</w:t>
            </w:r>
            <w:proofErr w:type="spellEnd"/>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Government services and programs can be categorised as either:</w:t>
            </w:r>
          </w:p>
          <w:p w:rsidR="009A7F87" w:rsidRPr="00770229" w:rsidRDefault="009A7F87" w:rsidP="009A7F87">
            <w:pPr>
              <w:pStyle w:val="TableBullet"/>
              <w:numPr>
                <w:ilvl w:val="0"/>
                <w:numId w:val="24"/>
              </w:numPr>
              <w:spacing w:line="220" w:lineRule="atLeast"/>
            </w:pPr>
            <w:r w:rsidRPr="00770229">
              <w:rPr>
                <w:i/>
              </w:rPr>
              <w:t>industry regulation and support</w:t>
            </w:r>
            <w:r w:rsidRPr="00770229">
              <w:t xml:space="preserve"> — the Australian, State and Territory governments regulate and support the coal, petroleum, nuclear and other industries (excluding gas).</w:t>
            </w:r>
          </w:p>
          <w:p w:rsidR="009A7F87" w:rsidRPr="00770229" w:rsidRDefault="009A7F87" w:rsidP="009A7F87">
            <w:pPr>
              <w:pStyle w:val="TableBullet"/>
              <w:numPr>
                <w:ilvl w:val="0"/>
                <w:numId w:val="24"/>
              </w:numPr>
              <w:spacing w:line="220" w:lineRule="atLeast"/>
            </w:pPr>
            <w:r w:rsidRPr="00770229">
              <w:rPr>
                <w:i/>
              </w:rPr>
              <w:t>fuel subsidies</w:t>
            </w:r>
            <w:r w:rsidRPr="00770229">
              <w:t xml:space="preserve"> — the Australian Government and Queensland Government offer fuel subsidy schemes. The Australian Government scheme is in the form of tax rebates to eligible businesses. The Queensland government scheme provides a rebate to fuel retailers, reducing the price of fuel for all Queensland road users — the Queensland scheme was abolished from 1 July 2009.</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The key cost drivers of expenditure on fuel industry regulation and support are varied and cannot be linked closely with a particular service area or cohort of service users. Therefore, it is assumed that the costs associated with this expenditure are driven by the population on a uniform basis.</w:t>
            </w:r>
          </w:p>
          <w:p w:rsidR="009A7F87" w:rsidRPr="00770229" w:rsidRDefault="009A7F87" w:rsidP="009A7F87">
            <w:pPr>
              <w:pStyle w:val="TableBodyText"/>
              <w:keepNext w:val="0"/>
              <w:keepLines w:val="0"/>
              <w:spacing w:before="80" w:after="80"/>
              <w:jc w:val="left"/>
              <w:rPr>
                <w:szCs w:val="26"/>
              </w:rPr>
            </w:pPr>
            <w:r w:rsidRPr="00770229">
              <w:t>The key cost drivers of expenditure on fuel subsidies for eligible businesses and/or households are the number of people that receive discounted fuel and the value of the discount received. It is difficult to identify the numbers of people that receive discounted fuel and its value, therefore it is assumed that the costs associated with this expenditure are driven by the population on a uniform basis.</w:t>
            </w:r>
          </w:p>
        </w:tc>
      </w:tr>
      <w:tr w:rsidR="009A7F87" w:rsidRPr="00770229" w:rsidTr="0093701F">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324A2E"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324A2E"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ColumnHeading"/>
              <w:keepNext w:val="0"/>
              <w:ind w:left="180"/>
              <w:jc w:val="center"/>
            </w:pPr>
            <w:r w:rsidRPr="00324A2E">
              <w:t>Data Years</w:t>
            </w:r>
          </w:p>
        </w:tc>
      </w:tr>
      <w:tr w:rsidR="009A7F87" w:rsidRPr="00324A2E"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324A2E" w:rsidRDefault="009A7F87" w:rsidP="009A7F87">
            <w:pPr>
              <w:pStyle w:val="TableBodyText"/>
              <w:keepNext w:val="0"/>
              <w:spacing w:before="60" w:after="60"/>
              <w:ind w:left="0"/>
              <w:jc w:val="both"/>
              <w:rPr>
                <w:i/>
              </w:rPr>
            </w:pPr>
            <w:r w:rsidRPr="00324A2E">
              <w:rPr>
                <w:i/>
              </w:rPr>
              <w:br/>
              <w:t>Measure</w:t>
            </w:r>
            <w:r w:rsidRPr="00944F69">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BodyText"/>
              <w:keepNext w:val="0"/>
              <w:spacing w:before="60" w:after="60"/>
              <w:ind w:left="180"/>
              <w:jc w:val="left"/>
              <w:rPr>
                <w:i/>
              </w:rPr>
            </w:pPr>
            <w:r w:rsidRPr="00324A2E">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BodyText"/>
              <w:keepNext w:val="0"/>
              <w:spacing w:before="60" w:after="60"/>
              <w:ind w:left="2"/>
              <w:jc w:val="center"/>
              <w:rPr>
                <w:i/>
              </w:rPr>
            </w:pPr>
            <w:r w:rsidRPr="00324A2E">
              <w:rPr>
                <w:i/>
              </w:rPr>
              <w:t>2008</w:t>
            </w:r>
            <w:r w:rsidRPr="00324A2E">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BodyText"/>
              <w:keepNext w:val="0"/>
              <w:spacing w:before="60" w:after="60"/>
              <w:ind w:left="2"/>
              <w:jc w:val="center"/>
              <w:rPr>
                <w:i/>
              </w:rPr>
            </w:pPr>
            <w:r w:rsidRPr="00324A2E">
              <w:rPr>
                <w:i/>
              </w:rPr>
              <w:t>2010</w:t>
            </w:r>
            <w:r w:rsidRPr="00324A2E">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BodyText"/>
              <w:keepNext w:val="0"/>
              <w:spacing w:before="60" w:after="60"/>
              <w:ind w:left="2"/>
              <w:jc w:val="center"/>
              <w:rPr>
                <w:i/>
              </w:rPr>
            </w:pPr>
            <w:r w:rsidRPr="00324A2E">
              <w:rPr>
                <w:i/>
              </w:rPr>
              <w:t>2012</w:t>
            </w:r>
            <w:r w:rsidRPr="00324A2E">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324A2E" w:rsidRDefault="009A7F87" w:rsidP="009A7F87">
            <w:pPr>
              <w:pStyle w:val="TableBodyText"/>
              <w:keepNext w:val="0"/>
              <w:spacing w:before="60" w:after="60"/>
              <w:ind w:left="2"/>
              <w:jc w:val="center"/>
              <w:rPr>
                <w:i/>
              </w:rPr>
            </w:pPr>
            <w:r w:rsidRPr="00324A2E">
              <w:rPr>
                <w:i/>
              </w:rPr>
              <w:t>2015</w:t>
            </w:r>
            <w:r w:rsidRPr="00324A2E">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543F66">
              <w:t>(Cat. no. 3101.0)</w:t>
            </w:r>
          </w:p>
        </w:tc>
        <w:tc>
          <w:tcPr>
            <w:tcW w:w="584"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2009</w:t>
            </w:r>
            <w:r>
              <w:br/>
            </w:r>
          </w:p>
        </w:tc>
        <w:tc>
          <w:tcPr>
            <w:tcW w:w="585" w:type="pct"/>
            <w:gridSpan w:val="2"/>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t>June 2011</w:t>
            </w:r>
            <w:r>
              <w:br/>
            </w:r>
          </w:p>
        </w:tc>
        <w:tc>
          <w:tcPr>
            <w:tcW w:w="585"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t>June 2013</w:t>
            </w:r>
            <w:r>
              <w:br/>
            </w:r>
          </w:p>
        </w:tc>
        <w:tc>
          <w:tcPr>
            <w:tcW w:w="583" w:type="pct"/>
            <w:gridSpan w:val="2"/>
            <w:tcBorders>
              <w:bottom w:val="single" w:sz="4" w:space="0" w:color="808080" w:themeColor="background1" w:themeShade="80"/>
            </w:tcBorders>
          </w:tcPr>
          <w:p w:rsidR="009A7F87" w:rsidRPr="00770229" w:rsidRDefault="009A7F87" w:rsidP="009A7F87">
            <w:pPr>
              <w:pStyle w:val="TableBodyText"/>
              <w:keepNext w:val="0"/>
              <w:spacing w:before="60" w:after="60"/>
              <w:ind w:left="2"/>
              <w:jc w:val="center"/>
            </w:pPr>
            <w:r>
              <w:t>June 2016</w:t>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Default="009A7F87" w:rsidP="009A7F87">
            <w:pPr>
              <w:pStyle w:val="Note"/>
              <w:rPr>
                <w:i/>
              </w:rPr>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r>
              <w:t>.</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120072">
      <w:pPr>
        <w:pStyle w:val="BodyText"/>
      </w:pPr>
    </w:p>
    <w:p w:rsidR="009A7F87" w:rsidRDefault="009A7F87" w:rsidP="00120072">
      <w:pPr>
        <w:pStyle w:val="BodyText"/>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6314"/>
        <w:gridCol w:w="2475"/>
        <w:gridCol w:w="7"/>
      </w:tblGrid>
      <w:tr w:rsidR="009A7F87" w:rsidRPr="00770229" w:rsidTr="00760FFA">
        <w:tc>
          <w:tcPr>
            <w:tcW w:w="5000" w:type="pct"/>
            <w:gridSpan w:val="3"/>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921</w:t>
            </w:r>
            <w:r w:rsidRPr="00770229">
              <w:t xml:space="preserve"> Aboriginal community electricity services</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2"/>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93701F">
        <w:tc>
          <w:tcPr>
            <w:tcW w:w="5000" w:type="pct"/>
            <w:gridSpan w:val="3"/>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93701F">
        <w:tc>
          <w:tcPr>
            <w:tcW w:w="5000" w:type="pct"/>
            <w:gridSpan w:val="3"/>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In Australia, only the Northern Territory Government provides Aboriginal community electricity services.</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93701F">
        <w:tc>
          <w:tcPr>
            <w:tcW w:w="5000" w:type="pct"/>
            <w:gridSpan w:val="3"/>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93701F">
        <w:tc>
          <w:tcPr>
            <w:tcW w:w="5000" w:type="pct"/>
            <w:gridSpan w:val="3"/>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szCs w:val="26"/>
              </w:rPr>
            </w:pPr>
            <w:r w:rsidRPr="00770229">
              <w:t>Expenditure on Aboriginal community electricity services is assumed to be solely provided to Aboriginal and Torres Strait Islander Australians. As such, all expenditure is classified as Indigenous specific. Accordingly, there is no mainstream expenditure for this category, and no apportionment between Indigenous and non</w:t>
            </w:r>
            <w:r w:rsidRPr="00770229">
              <w:noBreakHyphen/>
              <w:t>Indigenous expenditure is required.</w:t>
            </w:r>
          </w:p>
        </w:tc>
      </w:tr>
      <w:tr w:rsidR="009A7F87" w:rsidRPr="00770229" w:rsidTr="0093701F">
        <w:tblPrEx>
          <w:tblBorders>
            <w:top w:val="none" w:sz="0" w:space="0" w:color="auto"/>
            <w:bottom w:val="none" w:sz="0" w:space="0" w:color="auto"/>
            <w:insideH w:val="none" w:sz="0" w:space="0" w:color="auto"/>
          </w:tblBorders>
        </w:tblPrEx>
        <w:tc>
          <w:tcPr>
            <w:tcW w:w="5000" w:type="pct"/>
            <w:gridSpan w:val="3"/>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Tr="0093701F">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2"/>
            <w:tcBorders>
              <w:top w:val="single" w:sz="6" w:space="0" w:color="808080" w:themeColor="background1" w:themeShade="80"/>
              <w:left w:val="nil"/>
              <w:bottom w:val="single" w:sz="6" w:space="0" w:color="808080" w:themeColor="background1" w:themeShade="80"/>
              <w:right w:val="nil"/>
            </w:tcBorders>
            <w:shd w:val="clear" w:color="auto" w:fill="auto"/>
          </w:tcPr>
          <w:p w:rsidR="009A7F87" w:rsidRPr="00A77698" w:rsidRDefault="009A7F87" w:rsidP="009A7F87">
            <w:pPr>
              <w:pStyle w:val="TableBodyText"/>
              <w:keepNext w:val="0"/>
              <w:keepLines w:val="0"/>
              <w:spacing w:before="80" w:after="80"/>
              <w:jc w:val="both"/>
            </w:pPr>
            <w:r w:rsidRPr="00770229">
              <w:t>Expenditure allocated to this category is considered to be exclusively Indigenous.</w:t>
            </w:r>
          </w:p>
        </w:tc>
      </w:tr>
      <w:tr w:rsidR="009A7F87" w:rsidRPr="0071369A" w:rsidTr="009A7F87">
        <w:tblPrEx>
          <w:tblBorders>
            <w:top w:val="none" w:sz="0" w:space="0" w:color="auto"/>
            <w:bottom w:val="none" w:sz="0" w:space="0" w:color="auto"/>
            <w:insideH w:val="none" w:sz="0" w:space="0" w:color="auto"/>
          </w:tblBorders>
        </w:tblPrEx>
        <w:tc>
          <w:tcPr>
            <w:tcW w:w="5000" w:type="pct"/>
            <w:gridSpan w:val="3"/>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26"/>
      </w:tblGrid>
      <w:tr w:rsidR="009A7F87" w:rsidRPr="00770229" w:rsidTr="00760FFA">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922</w:t>
            </w:r>
            <w:r w:rsidRPr="00770229">
              <w:t xml:space="preserve"> Other electricity</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3"/>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Expenditure on other electricity can be categorised as either:</w:t>
            </w:r>
          </w:p>
          <w:p w:rsidR="009A7F87" w:rsidRPr="00770229" w:rsidRDefault="009A7F87" w:rsidP="009A7F87">
            <w:pPr>
              <w:pStyle w:val="TableBullet"/>
              <w:numPr>
                <w:ilvl w:val="0"/>
                <w:numId w:val="24"/>
              </w:numPr>
              <w:spacing w:line="220" w:lineRule="atLeast"/>
            </w:pPr>
            <w:r w:rsidRPr="00770229">
              <w:rPr>
                <w:i/>
              </w:rPr>
              <w:t>industry regulation and support</w:t>
            </w:r>
            <w:r w:rsidRPr="00770229">
              <w:t xml:space="preserve"> — the Australian, State and Territory governments provide a range of regulation and support services to the electricity industries</w:t>
            </w:r>
          </w:p>
          <w:p w:rsidR="009A7F87" w:rsidRPr="00770229" w:rsidRDefault="009A7F87" w:rsidP="009A7F87">
            <w:pPr>
              <w:pStyle w:val="TableBullet"/>
              <w:numPr>
                <w:ilvl w:val="0"/>
                <w:numId w:val="24"/>
              </w:numPr>
              <w:spacing w:line="220" w:lineRule="atLeast"/>
            </w:pPr>
            <w:r w:rsidRPr="00770229">
              <w:t>community service obligations (excluding household concessions) — access to electricity services is essential for maintaining a basic standard of living. As a consequence, electricity retailers are sometimes required to provide services to some customers in a manner that the retailer may not choose if acting on a purely commercial basis. The government compensates electricity retailers for their community service obligations, which may include:</w:t>
            </w:r>
          </w:p>
          <w:p w:rsidR="009A7F87" w:rsidRPr="00253A29" w:rsidRDefault="009A7F87" w:rsidP="009A7F87">
            <w:pPr>
              <w:pStyle w:val="TableBullet2"/>
              <w:rPr>
                <w:sz w:val="18"/>
                <w:szCs w:val="18"/>
              </w:rPr>
            </w:pPr>
            <w:r w:rsidRPr="00253A29">
              <w:rPr>
                <w:i/>
                <w:sz w:val="18"/>
                <w:szCs w:val="18"/>
              </w:rPr>
              <w:t>universal service access</w:t>
            </w:r>
            <w:r w:rsidRPr="00253A29">
              <w:rPr>
                <w:sz w:val="18"/>
                <w:szCs w:val="18"/>
              </w:rPr>
              <w:t xml:space="preserve"> — for example, providing services to locations where the full cost of infrastructure cannot be recovered because of low service density</w:t>
            </w:r>
          </w:p>
          <w:p w:rsidR="009A7F87" w:rsidRPr="00253A29" w:rsidRDefault="009A7F87" w:rsidP="009A7F87">
            <w:pPr>
              <w:pStyle w:val="TableBullet2"/>
              <w:rPr>
                <w:sz w:val="18"/>
                <w:szCs w:val="18"/>
              </w:rPr>
            </w:pPr>
            <w:r w:rsidRPr="00253A29">
              <w:rPr>
                <w:i/>
                <w:sz w:val="18"/>
                <w:szCs w:val="18"/>
              </w:rPr>
              <w:t>universal price maintenance</w:t>
            </w:r>
            <w:r w:rsidRPr="00253A29">
              <w:rPr>
                <w:sz w:val="18"/>
                <w:szCs w:val="18"/>
              </w:rPr>
              <w:t xml:space="preserve"> — for example, to maintain price parity between urban and rural customers.</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93701F">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The key cost drivers of expenditure on regulation and support services to the electricity industry cannot be linked closely with a particular service area or cohort of service users. Therefore, it is assumed that the costs associated with this expenditure are driven by the population on a uniform basis. </w:t>
            </w:r>
          </w:p>
          <w:p w:rsidR="009A7F87" w:rsidRPr="00770229" w:rsidRDefault="009A7F87" w:rsidP="009A7F87">
            <w:pPr>
              <w:pStyle w:val="TableBodyText"/>
              <w:keepNext w:val="0"/>
              <w:keepLines w:val="0"/>
              <w:spacing w:before="80" w:after="80"/>
              <w:jc w:val="left"/>
              <w:rPr>
                <w:szCs w:val="26"/>
              </w:rPr>
            </w:pPr>
            <w:r w:rsidRPr="00770229">
              <w:t>The key cost drivers of expenditure on the electricity industry’s community service obligations are the number of people that receive discounted electricity and the value of the discount received.</w:t>
            </w:r>
          </w:p>
        </w:tc>
      </w:tr>
      <w:tr w:rsidR="009A7F87" w:rsidRPr="00770229" w:rsidTr="0093701F">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324A2E"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324A2E"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ColumnHeading"/>
              <w:keepNext w:val="0"/>
              <w:ind w:left="180"/>
              <w:jc w:val="left"/>
            </w:pPr>
          </w:p>
        </w:tc>
        <w:tc>
          <w:tcPr>
            <w:tcW w:w="2337" w:type="pct"/>
            <w:gridSpan w:val="5"/>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ColumnHeading"/>
              <w:keepNext w:val="0"/>
              <w:ind w:left="180"/>
              <w:jc w:val="center"/>
            </w:pPr>
            <w:r w:rsidRPr="00324A2E">
              <w:t>Data Years</w:t>
            </w:r>
          </w:p>
        </w:tc>
      </w:tr>
      <w:tr w:rsidR="009A7F87" w:rsidRPr="00324A2E"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324A2E" w:rsidRDefault="009A7F87" w:rsidP="009A7F87">
            <w:pPr>
              <w:pStyle w:val="TableBodyText"/>
              <w:keepNext w:val="0"/>
              <w:spacing w:before="60" w:after="60"/>
              <w:ind w:left="0"/>
              <w:jc w:val="both"/>
              <w:rPr>
                <w:i/>
              </w:rPr>
            </w:pPr>
            <w:r w:rsidRPr="00324A2E">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BodyText"/>
              <w:keepNext w:val="0"/>
              <w:spacing w:before="60" w:after="60"/>
              <w:ind w:left="180"/>
              <w:jc w:val="left"/>
              <w:rPr>
                <w:i/>
              </w:rPr>
            </w:pPr>
            <w:r w:rsidRPr="00324A2E">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BodyText"/>
              <w:keepNext w:val="0"/>
              <w:spacing w:before="60" w:after="60"/>
              <w:ind w:left="2"/>
              <w:jc w:val="center"/>
              <w:rPr>
                <w:i/>
              </w:rPr>
            </w:pPr>
            <w:r w:rsidRPr="00324A2E">
              <w:rPr>
                <w:i/>
              </w:rPr>
              <w:t>2008</w:t>
            </w:r>
            <w:r w:rsidRPr="00324A2E">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BodyText"/>
              <w:keepNext w:val="0"/>
              <w:spacing w:before="60" w:after="60"/>
              <w:ind w:left="2"/>
              <w:jc w:val="center"/>
              <w:rPr>
                <w:i/>
              </w:rPr>
            </w:pPr>
            <w:r w:rsidRPr="00324A2E">
              <w:rPr>
                <w:i/>
              </w:rPr>
              <w:t>2010</w:t>
            </w:r>
            <w:r w:rsidRPr="00324A2E">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BodyText"/>
              <w:keepNext w:val="0"/>
              <w:spacing w:before="60" w:after="60"/>
              <w:ind w:left="2"/>
              <w:jc w:val="center"/>
              <w:rPr>
                <w:i/>
              </w:rPr>
            </w:pPr>
            <w:r w:rsidRPr="00324A2E">
              <w:rPr>
                <w:i/>
              </w:rPr>
              <w:t>2012</w:t>
            </w:r>
            <w:r w:rsidRPr="00324A2E">
              <w:rPr>
                <w:i/>
              </w:rPr>
              <w:noBreakHyphen/>
              <w:t>13 Estimates</w:t>
            </w:r>
          </w:p>
        </w:tc>
        <w:tc>
          <w:tcPr>
            <w:tcW w:w="583" w:type="pct"/>
            <w:tcBorders>
              <w:top w:val="single" w:sz="6" w:space="0" w:color="808080" w:themeColor="background1" w:themeShade="80"/>
              <w:bottom w:val="single" w:sz="6" w:space="0" w:color="808080" w:themeColor="background1" w:themeShade="80"/>
            </w:tcBorders>
          </w:tcPr>
          <w:p w:rsidR="009A7F87" w:rsidRPr="00324A2E" w:rsidRDefault="009A7F87" w:rsidP="009A7F87">
            <w:pPr>
              <w:pStyle w:val="TableBodyText"/>
              <w:keepNext w:val="0"/>
              <w:spacing w:before="60" w:after="60"/>
              <w:ind w:left="2"/>
              <w:jc w:val="center"/>
              <w:rPr>
                <w:i/>
              </w:rPr>
            </w:pPr>
            <w:r w:rsidRPr="00324A2E">
              <w:rPr>
                <w:i/>
              </w:rPr>
              <w:t>2015</w:t>
            </w:r>
            <w:r w:rsidRPr="00324A2E">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ABS Australian Demographic Statistics (</w:t>
            </w:r>
            <w:r>
              <w:t>C</w:t>
            </w:r>
            <w:r w:rsidRPr="00770229">
              <w:t>at. 3101.0)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tcBorders>
              <w:top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t>Aboriginal and Torres Strait Islander resident population</w:t>
            </w:r>
          </w:p>
        </w:tc>
        <w:tc>
          <w:tcPr>
            <w:tcW w:w="1814" w:type="pct"/>
            <w:tcBorders>
              <w:bottom w:val="single" w:sz="4" w:space="0" w:color="808080" w:themeColor="background1" w:themeShade="80"/>
            </w:tcBorders>
            <w:shd w:val="clear" w:color="auto" w:fill="auto"/>
          </w:tcPr>
          <w:p w:rsidR="009A7F87" w:rsidRPr="008779B4" w:rsidRDefault="009A7F87" w:rsidP="009A7F87">
            <w:pPr>
              <w:pStyle w:val="TableBodyText"/>
              <w:keepNext w:val="0"/>
              <w:spacing w:before="60" w:after="60"/>
              <w:ind w:left="180"/>
              <w:jc w:val="left"/>
            </w:pPr>
            <w:r>
              <w:t xml:space="preserve">ABS </w:t>
            </w:r>
            <w:r>
              <w:rPr>
                <w:i/>
              </w:rPr>
              <w:t xml:space="preserve">Estimates and Projections, Aboriginal and Torres Strait Islander Australians, 2001–2026 </w:t>
            </w:r>
            <w:r>
              <w:rPr>
                <w:i/>
              </w:rPr>
              <w:br/>
            </w:r>
            <w:r>
              <w:t>(Cat. no. 3238.0)</w:t>
            </w:r>
          </w:p>
        </w:tc>
        <w:tc>
          <w:tcPr>
            <w:tcW w:w="584" w:type="pct"/>
            <w:tcBorders>
              <w:bottom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tc>
        <w:tc>
          <w:tcPr>
            <w:tcW w:w="585" w:type="pct"/>
            <w:gridSpan w:val="2"/>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c>
          <w:tcPr>
            <w:tcW w:w="585" w:type="pct"/>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c>
          <w:tcPr>
            <w:tcW w:w="583" w:type="pct"/>
            <w:tcBorders>
              <w:bottom w:val="single" w:sz="4"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r>
      <w:tr w:rsidR="009A7F87" w:rsidRPr="0071369A" w:rsidTr="0044346B">
        <w:tblPrEx>
          <w:tblBorders>
            <w:top w:val="none" w:sz="0" w:space="0" w:color="auto"/>
            <w:bottom w:val="none" w:sz="0" w:space="0" w:color="auto"/>
            <w:insideH w:val="none" w:sz="0" w:space="0" w:color="auto"/>
          </w:tblBorders>
        </w:tblPrEx>
        <w:tc>
          <w:tcPr>
            <w:tcW w:w="5000" w:type="pct"/>
            <w:gridSpan w:val="7"/>
            <w:tcBorders>
              <w:top w:val="single" w:sz="4"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929</w:t>
            </w:r>
            <w:r w:rsidRPr="00770229">
              <w:t xml:space="preserve"> Other energy</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The Australian, State and Territory governments provide a range of regulation and support services to other energy industries other than electricity. This mainly relates to the production of heat in the form of steam, hot water or hot air such as solar heat not used for the generation of electricity.</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The key cost drivers of expenditure on other energy services not elsewhere classified are varied and cannot be linked closely with a particular service area or cohort of service users. </w:t>
            </w:r>
          </w:p>
          <w:p w:rsidR="009A7F87" w:rsidRPr="00770229" w:rsidRDefault="009A7F87" w:rsidP="009A7F87">
            <w:pPr>
              <w:pStyle w:val="TableBodyText"/>
              <w:keepNext w:val="0"/>
              <w:keepLines w:val="0"/>
              <w:spacing w:before="80" w:after="80"/>
              <w:jc w:val="left"/>
              <w:rPr>
                <w:szCs w:val="26"/>
              </w:rPr>
            </w:pPr>
            <w:r w:rsidRPr="00770229">
              <w:t>It is assumed that the costs associated with this expenditure are driven by the population on a uniform basis.</w:t>
            </w:r>
          </w:p>
        </w:tc>
      </w:tr>
      <w:tr w:rsidR="009A7F87" w:rsidRPr="00770229" w:rsidTr="0093701F">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324A2E"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324A2E"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ColumnHeading"/>
              <w:keepNext w:val="0"/>
              <w:ind w:left="180"/>
              <w:jc w:val="center"/>
            </w:pPr>
            <w:r w:rsidRPr="00324A2E">
              <w:t>Data Years</w:t>
            </w:r>
          </w:p>
        </w:tc>
      </w:tr>
      <w:tr w:rsidR="009A7F87" w:rsidRPr="00324A2E"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324A2E" w:rsidRDefault="009A7F87" w:rsidP="009A7F87">
            <w:pPr>
              <w:pStyle w:val="TableBodyText"/>
              <w:keepNext w:val="0"/>
              <w:spacing w:before="60" w:after="60"/>
              <w:ind w:left="0"/>
              <w:jc w:val="both"/>
              <w:rPr>
                <w:i/>
              </w:rPr>
            </w:pPr>
            <w:r w:rsidRPr="00324A2E">
              <w:rPr>
                <w:i/>
              </w:rPr>
              <w:br/>
              <w:t>Measure</w:t>
            </w:r>
            <w:r w:rsidRPr="00944F69">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BodyText"/>
              <w:keepNext w:val="0"/>
              <w:spacing w:before="60" w:after="60"/>
              <w:ind w:left="180"/>
              <w:jc w:val="left"/>
              <w:rPr>
                <w:i/>
              </w:rPr>
            </w:pPr>
            <w:r w:rsidRPr="00324A2E">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BodyText"/>
              <w:keepNext w:val="0"/>
              <w:spacing w:before="60" w:after="60"/>
              <w:ind w:left="2"/>
              <w:jc w:val="center"/>
              <w:rPr>
                <w:i/>
              </w:rPr>
            </w:pPr>
            <w:r w:rsidRPr="00324A2E">
              <w:rPr>
                <w:i/>
              </w:rPr>
              <w:t>2008</w:t>
            </w:r>
            <w:r w:rsidRPr="00324A2E">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BodyText"/>
              <w:keepNext w:val="0"/>
              <w:spacing w:before="60" w:after="60"/>
              <w:ind w:left="2"/>
              <w:jc w:val="center"/>
              <w:rPr>
                <w:i/>
              </w:rPr>
            </w:pPr>
            <w:r w:rsidRPr="00324A2E">
              <w:rPr>
                <w:i/>
              </w:rPr>
              <w:t>2010</w:t>
            </w:r>
            <w:r w:rsidRPr="00324A2E">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BodyText"/>
              <w:keepNext w:val="0"/>
              <w:spacing w:before="60" w:after="60"/>
              <w:ind w:left="2"/>
              <w:jc w:val="center"/>
              <w:rPr>
                <w:i/>
              </w:rPr>
            </w:pPr>
            <w:r w:rsidRPr="00324A2E">
              <w:rPr>
                <w:i/>
              </w:rPr>
              <w:t>2012</w:t>
            </w:r>
            <w:r w:rsidRPr="00324A2E">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324A2E" w:rsidRDefault="009A7F87" w:rsidP="009A7F87">
            <w:pPr>
              <w:pStyle w:val="TableBodyText"/>
              <w:keepNext w:val="0"/>
              <w:spacing w:before="60" w:after="60"/>
              <w:ind w:left="2"/>
              <w:jc w:val="center"/>
              <w:rPr>
                <w:i/>
              </w:rPr>
            </w:pPr>
            <w:r w:rsidRPr="00324A2E">
              <w:rPr>
                <w:i/>
              </w:rPr>
              <w:t>2015</w:t>
            </w:r>
            <w:r w:rsidRPr="00324A2E">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w:t>
            </w:r>
            <w:r>
              <w:br/>
            </w:r>
            <w:r w:rsidRPr="00770229">
              <w:t>(Cat.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t>June 2009</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t>June 2011</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t>June 2013</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gridSpan w:val="2"/>
            <w:tcBorders>
              <w:top w:val="single" w:sz="6" w:space="0" w:color="808080" w:themeColor="background1" w:themeShade="80"/>
            </w:tcBorders>
            <w:vAlign w:val="center"/>
          </w:tcPr>
          <w:p w:rsidR="009A7F87" w:rsidRDefault="009A7F87" w:rsidP="009A7F87">
            <w:pPr>
              <w:pStyle w:val="TableBodyText"/>
              <w:keepNext w:val="0"/>
              <w:spacing w:after="60"/>
              <w:ind w:left="0"/>
              <w:jc w:val="center"/>
            </w:pPr>
            <w:r>
              <w:t>June 2016</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543F66">
              <w:t>(Cat. no. 3101.0)</w:t>
            </w:r>
          </w:p>
        </w:tc>
        <w:tc>
          <w:tcPr>
            <w:tcW w:w="584"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2009</w:t>
            </w:r>
            <w:r>
              <w:br/>
            </w:r>
          </w:p>
        </w:tc>
        <w:tc>
          <w:tcPr>
            <w:tcW w:w="585" w:type="pct"/>
            <w:gridSpan w:val="2"/>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t>June 2011</w:t>
            </w:r>
            <w:r>
              <w:br/>
            </w:r>
          </w:p>
        </w:tc>
        <w:tc>
          <w:tcPr>
            <w:tcW w:w="585"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t>June 2013</w:t>
            </w:r>
            <w:r>
              <w:br/>
            </w:r>
          </w:p>
        </w:tc>
        <w:tc>
          <w:tcPr>
            <w:tcW w:w="583" w:type="pct"/>
            <w:gridSpan w:val="2"/>
            <w:tcBorders>
              <w:bottom w:val="single" w:sz="4" w:space="0" w:color="808080" w:themeColor="background1" w:themeShade="80"/>
            </w:tcBorders>
          </w:tcPr>
          <w:p w:rsidR="009A7F87" w:rsidRPr="00770229" w:rsidRDefault="009A7F87" w:rsidP="009A7F87">
            <w:pPr>
              <w:pStyle w:val="TableBodyText"/>
              <w:keepNext w:val="0"/>
              <w:spacing w:before="60" w:after="60"/>
              <w:ind w:left="2"/>
              <w:jc w:val="center"/>
            </w:pPr>
            <w:r>
              <w:t>June 2016</w:t>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A77698" w:rsidRDefault="009A7F87" w:rsidP="009A7F87">
            <w:pPr>
              <w:pStyle w:val="TableBodyText"/>
              <w:keepNext w:val="0"/>
              <w:keepLines w:val="0"/>
              <w:spacing w:before="80" w:after="80"/>
              <w:jc w:val="both"/>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ind w:hanging="82"/>
            </w:pPr>
            <w:r w:rsidRPr="00770229">
              <w:br w:type="page"/>
              <w:t>0</w:t>
            </w:r>
            <w:r>
              <w:t>990</w:t>
            </w:r>
            <w:r w:rsidRPr="00770229">
              <w:t xml:space="preserve"> Fuel and energy </w:t>
            </w:r>
            <w:proofErr w:type="spellStart"/>
            <w:r w:rsidRPr="00770229">
              <w:t>nec</w:t>
            </w:r>
            <w:proofErr w:type="spellEnd"/>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The Australian, State and Territory governments provide a range of regulation and support services to the fuel and energy industries.</w:t>
            </w:r>
          </w:p>
          <w:p w:rsidR="009A7F87" w:rsidRPr="00770229" w:rsidRDefault="009A7F87" w:rsidP="009A7F87">
            <w:pPr>
              <w:pStyle w:val="TableBodyText"/>
              <w:keepNext w:val="0"/>
              <w:keepLines w:val="0"/>
              <w:spacing w:before="80" w:after="80"/>
              <w:jc w:val="left"/>
              <w:rPr>
                <w:szCs w:val="26"/>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93701F">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The key cost drivers of expenditure on fuel and energy services not elsewhere classified are varied and cannot be linked closely with a particular service area or cohort of service users. </w:t>
            </w:r>
          </w:p>
          <w:p w:rsidR="009A7F87" w:rsidRPr="00770229" w:rsidRDefault="009A7F87" w:rsidP="009A7F87">
            <w:pPr>
              <w:pStyle w:val="TableBodyText"/>
              <w:keepNext w:val="0"/>
              <w:keepLines w:val="0"/>
              <w:spacing w:before="80" w:after="80"/>
              <w:jc w:val="left"/>
              <w:rPr>
                <w:szCs w:val="26"/>
              </w:rPr>
            </w:pPr>
            <w:r w:rsidRPr="00770229">
              <w:t>It is assumed that the costs associated with this expenditure are driven by the population on a uniform basis.</w:t>
            </w:r>
          </w:p>
        </w:tc>
      </w:tr>
      <w:tr w:rsidR="009A7F87" w:rsidRPr="00770229" w:rsidTr="0093701F">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324A2E"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324A2E"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ColumnHeading"/>
              <w:keepNext w:val="0"/>
              <w:ind w:left="180"/>
              <w:jc w:val="center"/>
            </w:pPr>
            <w:r w:rsidRPr="00324A2E">
              <w:t>Data Years</w:t>
            </w:r>
          </w:p>
        </w:tc>
      </w:tr>
      <w:tr w:rsidR="009A7F87" w:rsidRPr="00324A2E" w:rsidTr="0093701F">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324A2E" w:rsidRDefault="009A7F87" w:rsidP="009A7F87">
            <w:pPr>
              <w:pStyle w:val="TableBodyText"/>
              <w:keepNext w:val="0"/>
              <w:spacing w:before="60" w:after="60"/>
              <w:ind w:left="0"/>
              <w:jc w:val="both"/>
              <w:rPr>
                <w:i/>
              </w:rPr>
            </w:pPr>
            <w:r w:rsidRPr="00324A2E">
              <w:rPr>
                <w:i/>
              </w:rPr>
              <w:br/>
              <w:t>Measure</w:t>
            </w:r>
            <w:r w:rsidRPr="00944F69">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BodyText"/>
              <w:keepNext w:val="0"/>
              <w:spacing w:before="60" w:after="60"/>
              <w:ind w:left="180"/>
              <w:jc w:val="left"/>
              <w:rPr>
                <w:i/>
              </w:rPr>
            </w:pPr>
            <w:r w:rsidRPr="00324A2E">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BodyText"/>
              <w:keepNext w:val="0"/>
              <w:spacing w:before="60" w:after="60"/>
              <w:ind w:left="2"/>
              <w:jc w:val="center"/>
              <w:rPr>
                <w:i/>
              </w:rPr>
            </w:pPr>
            <w:r w:rsidRPr="00324A2E">
              <w:rPr>
                <w:i/>
              </w:rPr>
              <w:t>2008</w:t>
            </w:r>
            <w:r w:rsidRPr="00324A2E">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BodyText"/>
              <w:keepNext w:val="0"/>
              <w:spacing w:before="60" w:after="60"/>
              <w:ind w:left="2"/>
              <w:jc w:val="center"/>
              <w:rPr>
                <w:i/>
              </w:rPr>
            </w:pPr>
            <w:r w:rsidRPr="00324A2E">
              <w:rPr>
                <w:i/>
              </w:rPr>
              <w:t>2010</w:t>
            </w:r>
            <w:r w:rsidRPr="00324A2E">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324A2E" w:rsidRDefault="009A7F87" w:rsidP="009A7F87">
            <w:pPr>
              <w:pStyle w:val="TableBodyText"/>
              <w:keepNext w:val="0"/>
              <w:spacing w:before="60" w:after="60"/>
              <w:ind w:left="2"/>
              <w:jc w:val="center"/>
              <w:rPr>
                <w:i/>
              </w:rPr>
            </w:pPr>
            <w:r w:rsidRPr="00324A2E">
              <w:rPr>
                <w:i/>
              </w:rPr>
              <w:t>2012</w:t>
            </w:r>
            <w:r w:rsidRPr="00324A2E">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324A2E" w:rsidRDefault="009A7F87" w:rsidP="009A7F87">
            <w:pPr>
              <w:pStyle w:val="TableBodyText"/>
              <w:keepNext w:val="0"/>
              <w:spacing w:before="60" w:after="60"/>
              <w:ind w:left="2"/>
              <w:jc w:val="center"/>
              <w:rPr>
                <w:i/>
              </w:rPr>
            </w:pPr>
            <w:r w:rsidRPr="00324A2E">
              <w:rPr>
                <w:i/>
              </w:rPr>
              <w:t>2015</w:t>
            </w:r>
            <w:r w:rsidRPr="00324A2E">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w:t>
            </w:r>
            <w:r>
              <w:br/>
            </w:r>
            <w:r w:rsidRPr="00770229">
              <w:t>(Cat.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t>June 2009</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t>June 2011</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t>June 2013</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gridSpan w:val="2"/>
            <w:tcBorders>
              <w:top w:val="single" w:sz="6" w:space="0" w:color="808080" w:themeColor="background1" w:themeShade="80"/>
            </w:tcBorders>
            <w:vAlign w:val="center"/>
          </w:tcPr>
          <w:p w:rsidR="009A7F87" w:rsidRDefault="009A7F87" w:rsidP="009A7F87">
            <w:pPr>
              <w:pStyle w:val="TableBodyText"/>
              <w:keepNext w:val="0"/>
              <w:spacing w:after="60"/>
              <w:ind w:left="0"/>
              <w:jc w:val="center"/>
            </w:pPr>
            <w:r>
              <w:t>June 2016</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543F66">
              <w:t>(Cat. no. 3101.0)</w:t>
            </w:r>
          </w:p>
        </w:tc>
        <w:tc>
          <w:tcPr>
            <w:tcW w:w="584"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2009</w:t>
            </w:r>
            <w:r>
              <w:br/>
            </w:r>
          </w:p>
        </w:tc>
        <w:tc>
          <w:tcPr>
            <w:tcW w:w="585" w:type="pct"/>
            <w:gridSpan w:val="2"/>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t>June 2011</w:t>
            </w:r>
            <w:r>
              <w:br/>
            </w:r>
          </w:p>
        </w:tc>
        <w:tc>
          <w:tcPr>
            <w:tcW w:w="585"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t>June 2013</w:t>
            </w:r>
            <w:r>
              <w:br/>
            </w:r>
          </w:p>
        </w:tc>
        <w:tc>
          <w:tcPr>
            <w:tcW w:w="583" w:type="pct"/>
            <w:gridSpan w:val="2"/>
            <w:tcBorders>
              <w:bottom w:val="single" w:sz="4" w:space="0" w:color="808080" w:themeColor="background1" w:themeShade="80"/>
            </w:tcBorders>
          </w:tcPr>
          <w:p w:rsidR="009A7F87" w:rsidRPr="00770229" w:rsidRDefault="009A7F87" w:rsidP="009A7F87">
            <w:pPr>
              <w:pStyle w:val="TableBodyText"/>
              <w:keepNext w:val="0"/>
              <w:spacing w:before="60" w:after="60"/>
              <w:ind w:left="2"/>
              <w:jc w:val="center"/>
            </w:pPr>
            <w:r>
              <w:t>June 2016</w:t>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A77698" w:rsidRDefault="009A7F87" w:rsidP="009A7F87">
            <w:pPr>
              <w:pStyle w:val="TableBodyText"/>
              <w:keepNext w:val="0"/>
              <w:keepLines w:val="0"/>
              <w:spacing w:before="80" w:after="80"/>
              <w:jc w:val="both"/>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sectPr w:rsidR="009A7F87" w:rsidSect="009A7F87">
          <w:headerReference w:type="even" r:id="rId139"/>
          <w:headerReference w:type="default" r:id="rId140"/>
          <w:footerReference w:type="even" r:id="rId141"/>
          <w:footerReference w:type="default" r:id="rId142"/>
          <w:footnotePr>
            <w:numRestart w:val="eachSect"/>
          </w:footnotePr>
          <w:type w:val="oddPage"/>
          <w:pgSz w:w="11907" w:h="16840" w:code="9"/>
          <w:pgMar w:top="1985" w:right="1304" w:bottom="1247" w:left="1814" w:header="1701" w:footer="397" w:gutter="0"/>
          <w:pgNumType w:chapSep="period"/>
          <w:cols w:space="720"/>
          <w:docGrid w:linePitch="326"/>
        </w:sectPr>
      </w:pPr>
    </w:p>
    <w:p w:rsidR="009A7F87" w:rsidRDefault="009A7F87">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9A7F87">
        <w:tc>
          <w:tcPr>
            <w:tcW w:w="6634" w:type="dxa"/>
            <w:tcBorders>
              <w:top w:val="single" w:sz="6" w:space="0" w:color="auto"/>
            </w:tcBorders>
          </w:tcPr>
          <w:p w:rsidR="009A7F87" w:rsidRDefault="009A7F87">
            <w:pPr>
              <w:pStyle w:val="PartDivider"/>
            </w:pPr>
          </w:p>
        </w:tc>
        <w:tc>
          <w:tcPr>
            <w:tcW w:w="2155" w:type="dxa"/>
            <w:tcBorders>
              <w:top w:val="single" w:sz="24" w:space="0" w:color="auto"/>
            </w:tcBorders>
          </w:tcPr>
          <w:p w:rsidR="009A7F87" w:rsidRDefault="009A7F87">
            <w:pPr>
              <w:pStyle w:val="PartDivider"/>
            </w:pPr>
          </w:p>
        </w:tc>
      </w:tr>
    </w:tbl>
    <w:p w:rsidR="009A7F87" w:rsidRDefault="009A7F87">
      <w:pPr>
        <w:pStyle w:val="PartDivider"/>
      </w:pPr>
    </w:p>
    <w:p w:rsidR="009A7F87" w:rsidRDefault="009A7F87" w:rsidP="009A7F87">
      <w:pPr>
        <w:pStyle w:val="PartTitle"/>
        <w:spacing w:after="240"/>
      </w:pPr>
      <w:r>
        <w:t>GPC 10</w:t>
      </w:r>
    </w:p>
    <w:p w:rsidR="009A7F87" w:rsidRDefault="009A7F87" w:rsidP="009A7F87">
      <w:pPr>
        <w:pStyle w:val="PartTitle"/>
        <w:spacing w:after="240"/>
      </w:pPr>
      <w:r>
        <w:t>agriculture, forestry, fishing and hunting</w:t>
      </w:r>
    </w:p>
    <w:p w:rsidR="009A7F87" w:rsidRDefault="009A7F87" w:rsidP="009A7F87">
      <w:pPr>
        <w:pStyle w:val="BodyText"/>
        <w:rPr>
          <w:sz w:val="52"/>
        </w:rPr>
      </w:pPr>
      <w:r>
        <w:br w:type="page"/>
      </w:r>
    </w:p>
    <w:p w:rsidR="009A7F87" w:rsidRPr="003755C6" w:rsidRDefault="009A7F87" w:rsidP="009A7F87">
      <w:pPr>
        <w:rPr>
          <w:szCs w:val="20"/>
        </w:rPr>
      </w:pPr>
    </w:p>
    <w:p w:rsidR="009A7F87" w:rsidRDefault="009A7F87" w:rsidP="009A7F87">
      <w:pPr>
        <w:sectPr w:rsidR="009A7F87" w:rsidSect="009A7F87">
          <w:headerReference w:type="even" r:id="rId143"/>
          <w:headerReference w:type="default" r:id="rId144"/>
          <w:footerReference w:type="even" r:id="rId145"/>
          <w:footerReference w:type="default" r:id="rId146"/>
          <w:footnotePr>
            <w:numRestart w:val="eachSect"/>
          </w:footnotePr>
          <w:type w:val="oddPage"/>
          <w:pgSz w:w="11907" w:h="16840" w:code="9"/>
          <w:pgMar w:top="1985" w:right="1304" w:bottom="1247" w:left="1814" w:header="1701" w:footer="397" w:gutter="0"/>
          <w:pgNumType w:chapSep="period"/>
          <w:cols w:space="720"/>
          <w:docGrid w:linePitch="326"/>
        </w:sectPr>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r>
            <w:r>
              <w:t>1010</w:t>
            </w:r>
            <w:r w:rsidRPr="00770229">
              <w:t xml:space="preserve"> Agriculture</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The Australian, State and Territory governments undertake administrative, regulatory, planning, and management activities to support domestic agriculture. State and territory departments often work in conjunction with local government or community organisations to administer agricultural programs.</w:t>
            </w:r>
          </w:p>
          <w:p w:rsidR="009A7F87" w:rsidRPr="00770229" w:rsidRDefault="009A7F87" w:rsidP="009A7F87">
            <w:pPr>
              <w:pStyle w:val="TableBodyText"/>
              <w:spacing w:before="40"/>
              <w:jc w:val="left"/>
            </w:pPr>
            <w:r w:rsidRPr="00770229">
              <w:t>Agricultural programs include land and water resources management, support schemes, research and extension services, and financial support schemes such as export enhancement measures designed to increase the competitiveness of Australian agricultural products.</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sidRPr="00770229">
              <w:t xml:space="preserve">The key cost drivers of expenditure on agriculture are varied and cannot be linked closely with a particular service area or cohort of service users. </w:t>
            </w:r>
          </w:p>
          <w:p w:rsidR="009A7F87" w:rsidRPr="00770229" w:rsidRDefault="009A7F87" w:rsidP="009A7F87">
            <w:pPr>
              <w:pStyle w:val="TableBodyText"/>
              <w:keepNext w:val="0"/>
              <w:keepLines w:val="0"/>
              <w:spacing w:before="80" w:after="80"/>
              <w:jc w:val="left"/>
              <w:rPr>
                <w:szCs w:val="26"/>
              </w:rPr>
            </w:pPr>
            <w:r w:rsidRPr="00770229">
              <w:t>It is assumed that the costs associated with this expenditure are driven by the population on a uniform basis.</w:t>
            </w:r>
          </w:p>
        </w:tc>
      </w:tr>
      <w:tr w:rsidR="009A7F87" w:rsidRPr="00770229" w:rsidTr="00DE1DF1">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3B5BC1"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3B5BC1"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3B5BC1"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3B5BC1" w:rsidRDefault="009A7F87" w:rsidP="009A7F87">
            <w:pPr>
              <w:pStyle w:val="TableColumnHeading"/>
              <w:keepNext w:val="0"/>
              <w:ind w:left="180"/>
              <w:jc w:val="center"/>
            </w:pPr>
            <w:r w:rsidRPr="003B5BC1">
              <w:t>Data Years</w:t>
            </w:r>
          </w:p>
        </w:tc>
      </w:tr>
      <w:tr w:rsidR="009A7F87" w:rsidRPr="003B5BC1"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3B5BC1" w:rsidRDefault="009A7F87" w:rsidP="009A7F87">
            <w:pPr>
              <w:pStyle w:val="TableBodyText"/>
              <w:keepNext w:val="0"/>
              <w:spacing w:before="60" w:after="60"/>
              <w:ind w:left="0"/>
              <w:jc w:val="both"/>
              <w:rPr>
                <w:i/>
              </w:rPr>
            </w:pPr>
            <w:r w:rsidRPr="003B5BC1">
              <w:rPr>
                <w:i/>
              </w:rPr>
              <w:br/>
              <w:t>Measure</w:t>
            </w:r>
            <w:r w:rsidRPr="00944F69">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3B5BC1" w:rsidRDefault="009A7F87" w:rsidP="009A7F87">
            <w:pPr>
              <w:pStyle w:val="TableBodyText"/>
              <w:keepNext w:val="0"/>
              <w:spacing w:before="60" w:after="60"/>
              <w:ind w:left="180"/>
              <w:jc w:val="left"/>
              <w:rPr>
                <w:i/>
              </w:rPr>
            </w:pPr>
            <w:r w:rsidRPr="003B5BC1">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3B5BC1" w:rsidRDefault="009A7F87" w:rsidP="009A7F87">
            <w:pPr>
              <w:pStyle w:val="TableBodyText"/>
              <w:keepNext w:val="0"/>
              <w:spacing w:before="60" w:after="60"/>
              <w:ind w:left="2"/>
              <w:jc w:val="center"/>
              <w:rPr>
                <w:i/>
              </w:rPr>
            </w:pPr>
            <w:r w:rsidRPr="003B5BC1">
              <w:rPr>
                <w:i/>
              </w:rPr>
              <w:t>2008</w:t>
            </w:r>
            <w:r w:rsidRPr="003B5BC1">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3B5BC1" w:rsidRDefault="009A7F87" w:rsidP="009A7F87">
            <w:pPr>
              <w:pStyle w:val="TableBodyText"/>
              <w:keepNext w:val="0"/>
              <w:spacing w:before="60" w:after="60"/>
              <w:ind w:left="2"/>
              <w:jc w:val="center"/>
              <w:rPr>
                <w:i/>
              </w:rPr>
            </w:pPr>
            <w:r w:rsidRPr="003B5BC1">
              <w:rPr>
                <w:i/>
              </w:rPr>
              <w:t>2010</w:t>
            </w:r>
            <w:r w:rsidRPr="003B5BC1">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3B5BC1" w:rsidRDefault="009A7F87" w:rsidP="009A7F87">
            <w:pPr>
              <w:pStyle w:val="TableBodyText"/>
              <w:keepNext w:val="0"/>
              <w:spacing w:before="60" w:after="60"/>
              <w:ind w:left="2"/>
              <w:jc w:val="center"/>
              <w:rPr>
                <w:i/>
              </w:rPr>
            </w:pPr>
            <w:r w:rsidRPr="003B5BC1">
              <w:rPr>
                <w:i/>
              </w:rPr>
              <w:t>2012</w:t>
            </w:r>
            <w:r w:rsidRPr="003B5BC1">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3B5BC1" w:rsidRDefault="009A7F87" w:rsidP="009A7F87">
            <w:pPr>
              <w:pStyle w:val="TableBodyText"/>
              <w:keepNext w:val="0"/>
              <w:spacing w:before="60" w:after="60"/>
              <w:ind w:left="2"/>
              <w:jc w:val="center"/>
              <w:rPr>
                <w:i/>
              </w:rPr>
            </w:pPr>
            <w:r w:rsidRPr="003B5BC1">
              <w:rPr>
                <w:i/>
              </w:rPr>
              <w:t>2015</w:t>
            </w:r>
            <w:r w:rsidRPr="003B5BC1">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w:t>
            </w:r>
            <w:r>
              <w:br/>
            </w:r>
            <w:r w:rsidRPr="00770229">
              <w:t>(Cat.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t>Resident population</w:t>
            </w:r>
          </w:p>
        </w:tc>
        <w:tc>
          <w:tcPr>
            <w:tcW w:w="1814" w:type="pct"/>
            <w:tcBorders>
              <w:bottom w:val="single" w:sz="4" w:space="0" w:color="808080" w:themeColor="background1" w:themeShade="80"/>
            </w:tcBorders>
            <w:shd w:val="clear" w:color="auto" w:fill="auto"/>
          </w:tcPr>
          <w:p w:rsidR="009A7F87" w:rsidRPr="006C47C4" w:rsidRDefault="009A7F87" w:rsidP="009A7F87">
            <w:pPr>
              <w:pStyle w:val="TableBodyText"/>
              <w:keepNext w:val="0"/>
              <w:spacing w:before="60" w:after="60"/>
              <w:ind w:left="180"/>
              <w:jc w:val="left"/>
            </w:pPr>
            <w:r>
              <w:t xml:space="preserve">ABS </w:t>
            </w:r>
            <w:r>
              <w:rPr>
                <w:i/>
              </w:rPr>
              <w:t>Australian Demographic Statistics</w:t>
            </w:r>
            <w:r>
              <w:t xml:space="preserve"> (Cat. no. 3101.0)</w:t>
            </w:r>
          </w:p>
        </w:tc>
        <w:tc>
          <w:tcPr>
            <w:tcW w:w="584" w:type="pct"/>
            <w:tcBorders>
              <w:bottom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r>
              <w:br/>
            </w:r>
          </w:p>
        </w:tc>
        <w:tc>
          <w:tcPr>
            <w:tcW w:w="585" w:type="pct"/>
            <w:gridSpan w:val="2"/>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r>
              <w:br/>
            </w:r>
          </w:p>
        </w:tc>
        <w:tc>
          <w:tcPr>
            <w:tcW w:w="585" w:type="pct"/>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r>
              <w:br/>
            </w:r>
          </w:p>
        </w:tc>
        <w:tc>
          <w:tcPr>
            <w:tcW w:w="583" w:type="pct"/>
            <w:gridSpan w:val="2"/>
            <w:tcBorders>
              <w:bottom w:val="single" w:sz="4" w:space="0" w:color="808080" w:themeColor="background1" w:themeShade="80"/>
            </w:tcBorders>
            <w:vAlign w:val="center"/>
          </w:tcPr>
          <w:p w:rsidR="009A7F87" w:rsidRDefault="009A7F87" w:rsidP="009A7F87">
            <w:pPr>
              <w:pStyle w:val="TableBodyText"/>
              <w:spacing w:before="60" w:after="60"/>
              <w:ind w:left="2"/>
              <w:jc w:val="center"/>
            </w:pPr>
            <w:r>
              <w:t>June 2016</w:t>
            </w: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AE5146" w:rsidRDefault="009A7F87" w:rsidP="009A7F87">
            <w:pPr>
              <w:pStyle w:val="TableBodyText"/>
              <w:keepNext w:val="0"/>
              <w:keepLines w:val="0"/>
              <w:spacing w:before="80" w:after="80"/>
              <w:jc w:val="both"/>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Pr="00C52BBB" w:rsidRDefault="009A7F87" w:rsidP="009A7F87">
      <w:pPr>
        <w:pStyle w:val="BodyText"/>
      </w:pPr>
    </w:p>
    <w:p w:rsidR="009A7F87" w:rsidRDefault="009A7F87">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r>
            <w:r>
              <w:t>1020</w:t>
            </w:r>
            <w:r w:rsidRPr="00770229">
              <w:t xml:space="preserve"> Forestry, fishing and hunting</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i/>
              </w:rPr>
            </w:pPr>
            <w:r w:rsidRPr="00770229">
              <w:rPr>
                <w:i/>
              </w:rPr>
              <w:t xml:space="preserve">Forestry </w:t>
            </w:r>
          </w:p>
          <w:p w:rsidR="009A7F87" w:rsidRPr="00770229" w:rsidRDefault="009A7F87" w:rsidP="009A7F87">
            <w:pPr>
              <w:pStyle w:val="TableBodyText"/>
              <w:spacing w:before="60" w:after="60"/>
              <w:jc w:val="left"/>
            </w:pPr>
            <w:r w:rsidRPr="00770229">
              <w:t>In Australia, State and Territory governments provide for forest management. They also work with the Australian Government and forest industries on developing forest policy. Firefighting and protection services delivered to forests in non</w:t>
            </w:r>
            <w:r w:rsidRPr="00770229">
              <w:noBreakHyphen/>
              <w:t>urban areas are included as expenditure on forestry.</w:t>
            </w:r>
          </w:p>
          <w:p w:rsidR="009A7F87" w:rsidRPr="00770229" w:rsidRDefault="009A7F87" w:rsidP="009A7F87">
            <w:pPr>
              <w:pStyle w:val="TableBodyText"/>
              <w:spacing w:before="60" w:after="60"/>
              <w:jc w:val="left"/>
              <w:rPr>
                <w:i/>
              </w:rPr>
            </w:pPr>
            <w:r w:rsidRPr="00770229">
              <w:rPr>
                <w:i/>
              </w:rPr>
              <w:t>Fishing</w:t>
            </w:r>
          </w:p>
          <w:p w:rsidR="009A7F87" w:rsidRPr="00770229" w:rsidRDefault="009A7F87" w:rsidP="009A7F87">
            <w:pPr>
              <w:pStyle w:val="TableBodyText"/>
              <w:spacing w:before="60" w:after="60"/>
              <w:jc w:val="left"/>
            </w:pPr>
            <w:r w:rsidRPr="00770229">
              <w:t>Both the Australian Government  and State and Territory undertake commercial fishing management, with State and Territory departments assuming responsibility for recreational fishing.</w:t>
            </w:r>
          </w:p>
          <w:p w:rsidR="009A7F87" w:rsidRPr="00770229" w:rsidRDefault="009A7F87" w:rsidP="009A7F87">
            <w:pPr>
              <w:pStyle w:val="TableBodyText"/>
              <w:spacing w:before="60" w:after="60"/>
              <w:jc w:val="left"/>
              <w:rPr>
                <w:i/>
              </w:rPr>
            </w:pPr>
            <w:r w:rsidRPr="00770229">
              <w:rPr>
                <w:i/>
              </w:rPr>
              <w:t>Hunting</w:t>
            </w:r>
          </w:p>
          <w:p w:rsidR="009A7F87" w:rsidRPr="00770229" w:rsidRDefault="009A7F87" w:rsidP="009A7F87">
            <w:pPr>
              <w:pStyle w:val="TableBodyText"/>
              <w:spacing w:before="60" w:after="60"/>
              <w:jc w:val="left"/>
            </w:pPr>
            <w:r w:rsidRPr="00770229">
              <w:t>State and territory authorities oversee hunting activities, including permits issued to licensed hunters and provision of information to the public on legal hunting guidelines.</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The key cost drivers of expenditure on forestry, fishing and hunting are varied and cannot be linked closely with a particular service area or cohort of service users.</w:t>
            </w:r>
          </w:p>
          <w:p w:rsidR="009A7F87" w:rsidRPr="00770229" w:rsidRDefault="009A7F87" w:rsidP="009A7F87">
            <w:pPr>
              <w:pStyle w:val="TableBodyText"/>
              <w:keepNext w:val="0"/>
              <w:keepLines w:val="0"/>
              <w:spacing w:before="80" w:after="80"/>
              <w:jc w:val="left"/>
              <w:rPr>
                <w:szCs w:val="26"/>
              </w:rPr>
            </w:pPr>
            <w:r w:rsidRPr="00770229">
              <w:t>It is assumed that the costs associated with this expenditure are driven by the population on a uniform basis.</w:t>
            </w:r>
          </w:p>
        </w:tc>
      </w:tr>
      <w:tr w:rsidR="009A7F87" w:rsidRPr="00770229" w:rsidTr="00DE1DF1">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3B5BC1"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3B5BC1"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3B5BC1"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3B5BC1" w:rsidRDefault="009A7F87" w:rsidP="009A7F87">
            <w:pPr>
              <w:pStyle w:val="TableColumnHeading"/>
              <w:keepNext w:val="0"/>
              <w:ind w:left="180"/>
              <w:jc w:val="center"/>
            </w:pPr>
            <w:r w:rsidRPr="003B5BC1">
              <w:t>Data Years</w:t>
            </w:r>
          </w:p>
        </w:tc>
      </w:tr>
      <w:tr w:rsidR="009A7F87" w:rsidRPr="003B5BC1"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3B5BC1" w:rsidRDefault="009A7F87" w:rsidP="009A7F87">
            <w:pPr>
              <w:pStyle w:val="TableBodyText"/>
              <w:keepNext w:val="0"/>
              <w:spacing w:before="60" w:after="60"/>
              <w:ind w:left="0"/>
              <w:jc w:val="both"/>
              <w:rPr>
                <w:i/>
              </w:rPr>
            </w:pPr>
            <w:r w:rsidRPr="003B5BC1">
              <w:rPr>
                <w:i/>
              </w:rPr>
              <w:br/>
              <w:t>Measure</w:t>
            </w:r>
            <w:r w:rsidRPr="00944F69">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3B5BC1" w:rsidRDefault="009A7F87" w:rsidP="009A7F87">
            <w:pPr>
              <w:pStyle w:val="TableBodyText"/>
              <w:keepNext w:val="0"/>
              <w:spacing w:before="60" w:after="60"/>
              <w:ind w:left="180"/>
              <w:jc w:val="left"/>
              <w:rPr>
                <w:i/>
              </w:rPr>
            </w:pPr>
            <w:r w:rsidRPr="003B5BC1">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3B5BC1" w:rsidRDefault="009A7F87" w:rsidP="009A7F87">
            <w:pPr>
              <w:pStyle w:val="TableBodyText"/>
              <w:keepNext w:val="0"/>
              <w:spacing w:before="60" w:after="60"/>
              <w:ind w:left="2"/>
              <w:jc w:val="center"/>
              <w:rPr>
                <w:i/>
              </w:rPr>
            </w:pPr>
            <w:r w:rsidRPr="003B5BC1">
              <w:rPr>
                <w:i/>
              </w:rPr>
              <w:t>2008</w:t>
            </w:r>
            <w:r w:rsidRPr="003B5BC1">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3B5BC1" w:rsidRDefault="009A7F87" w:rsidP="009A7F87">
            <w:pPr>
              <w:pStyle w:val="TableBodyText"/>
              <w:keepNext w:val="0"/>
              <w:spacing w:before="60" w:after="60"/>
              <w:ind w:left="2"/>
              <w:jc w:val="center"/>
              <w:rPr>
                <w:i/>
              </w:rPr>
            </w:pPr>
            <w:r w:rsidRPr="003B5BC1">
              <w:rPr>
                <w:i/>
              </w:rPr>
              <w:t>2010</w:t>
            </w:r>
            <w:r w:rsidRPr="003B5BC1">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3B5BC1" w:rsidRDefault="009A7F87" w:rsidP="009A7F87">
            <w:pPr>
              <w:pStyle w:val="TableBodyText"/>
              <w:keepNext w:val="0"/>
              <w:spacing w:before="60" w:after="60"/>
              <w:ind w:left="2"/>
              <w:jc w:val="center"/>
              <w:rPr>
                <w:i/>
              </w:rPr>
            </w:pPr>
            <w:r w:rsidRPr="003B5BC1">
              <w:rPr>
                <w:i/>
              </w:rPr>
              <w:t>2012</w:t>
            </w:r>
            <w:r w:rsidRPr="003B5BC1">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3B5BC1" w:rsidRDefault="009A7F87" w:rsidP="009A7F87">
            <w:pPr>
              <w:pStyle w:val="TableBodyText"/>
              <w:keepNext w:val="0"/>
              <w:spacing w:before="60" w:after="60"/>
              <w:ind w:left="2"/>
              <w:jc w:val="center"/>
              <w:rPr>
                <w:i/>
              </w:rPr>
            </w:pPr>
            <w:r w:rsidRPr="003B5BC1">
              <w:rPr>
                <w:i/>
              </w:rPr>
              <w:t>2015</w:t>
            </w:r>
            <w:r w:rsidRPr="003B5BC1">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w:t>
            </w:r>
            <w:r>
              <w:br/>
            </w:r>
            <w:r w:rsidRPr="00770229">
              <w:t>(Cat.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5528D1">
              <w:t>(Cat. no. 3101.0)</w:t>
            </w:r>
          </w:p>
        </w:tc>
        <w:tc>
          <w:tcPr>
            <w:tcW w:w="584"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2009</w:t>
            </w:r>
            <w:r>
              <w:br/>
            </w:r>
          </w:p>
        </w:tc>
        <w:tc>
          <w:tcPr>
            <w:tcW w:w="585" w:type="pct"/>
            <w:gridSpan w:val="2"/>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2011</w:t>
            </w:r>
            <w:r>
              <w:br/>
            </w:r>
          </w:p>
        </w:tc>
        <w:tc>
          <w:tcPr>
            <w:tcW w:w="585"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0"/>
              <w:jc w:val="center"/>
            </w:pPr>
            <w:r w:rsidRPr="00770229">
              <w:t>June 2013</w:t>
            </w:r>
            <w:r>
              <w:br/>
            </w:r>
          </w:p>
        </w:tc>
        <w:tc>
          <w:tcPr>
            <w:tcW w:w="583" w:type="pct"/>
            <w:gridSpan w:val="2"/>
            <w:tcBorders>
              <w:bottom w:val="single" w:sz="4" w:space="0" w:color="808080" w:themeColor="background1" w:themeShade="80"/>
            </w:tcBorders>
          </w:tcPr>
          <w:p w:rsidR="009A7F87" w:rsidRPr="00770229" w:rsidRDefault="009A7F87" w:rsidP="009A7F87">
            <w:pPr>
              <w:pStyle w:val="TableBodyText"/>
              <w:keepNext w:val="0"/>
              <w:spacing w:before="60" w:after="60"/>
              <w:ind w:left="0"/>
              <w:jc w:val="center"/>
            </w:pPr>
            <w:r>
              <w:t xml:space="preserve">June </w:t>
            </w:r>
            <w:r w:rsidRPr="00FF7A3F">
              <w:t>2016</w:t>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AE5146" w:rsidRDefault="009A7F87" w:rsidP="009A7F87">
            <w:pPr>
              <w:pStyle w:val="TableBodyText"/>
              <w:keepNext w:val="0"/>
              <w:keepLines w:val="0"/>
              <w:spacing w:before="80" w:after="80"/>
              <w:jc w:val="both"/>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9A7F87">
      <w:pPr>
        <w:pStyle w:val="BodyText"/>
      </w:pPr>
    </w:p>
    <w:p w:rsidR="009A7F87" w:rsidRDefault="009A7F87" w:rsidP="009A7F87">
      <w:pPr>
        <w:sectPr w:rsidR="009A7F87" w:rsidSect="009A7F87">
          <w:headerReference w:type="even" r:id="rId147"/>
          <w:headerReference w:type="default" r:id="rId148"/>
          <w:footerReference w:type="even" r:id="rId149"/>
          <w:footerReference w:type="default" r:id="rId150"/>
          <w:footnotePr>
            <w:numRestart w:val="eachSect"/>
          </w:footnotePr>
          <w:type w:val="oddPage"/>
          <w:pgSz w:w="11907" w:h="16840" w:code="9"/>
          <w:pgMar w:top="1985" w:right="1304" w:bottom="1247" w:left="1814" w:header="1701" w:footer="397" w:gutter="0"/>
          <w:pgNumType w:chapSep="period"/>
          <w:cols w:space="720"/>
          <w:docGrid w:linePitch="326"/>
        </w:sectPr>
      </w:pPr>
    </w:p>
    <w:p w:rsidR="009A7F87" w:rsidRDefault="009A7F87">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9A7F87">
        <w:tc>
          <w:tcPr>
            <w:tcW w:w="6634" w:type="dxa"/>
            <w:tcBorders>
              <w:top w:val="single" w:sz="6" w:space="0" w:color="auto"/>
            </w:tcBorders>
          </w:tcPr>
          <w:p w:rsidR="009A7F87" w:rsidRDefault="009A7F87">
            <w:pPr>
              <w:pStyle w:val="PartDivider"/>
            </w:pPr>
          </w:p>
        </w:tc>
        <w:tc>
          <w:tcPr>
            <w:tcW w:w="2155" w:type="dxa"/>
            <w:tcBorders>
              <w:top w:val="single" w:sz="24" w:space="0" w:color="auto"/>
            </w:tcBorders>
          </w:tcPr>
          <w:p w:rsidR="009A7F87" w:rsidRDefault="009A7F87">
            <w:pPr>
              <w:pStyle w:val="PartDivider"/>
            </w:pPr>
          </w:p>
        </w:tc>
      </w:tr>
    </w:tbl>
    <w:p w:rsidR="009A7F87" w:rsidRDefault="009A7F87">
      <w:pPr>
        <w:pStyle w:val="PartDivider"/>
      </w:pPr>
    </w:p>
    <w:p w:rsidR="009A7F87" w:rsidRDefault="009A7F87" w:rsidP="009A7F87">
      <w:pPr>
        <w:pStyle w:val="PartTitle"/>
        <w:spacing w:after="240"/>
      </w:pPr>
      <w:r>
        <w:t>GPC 11</w:t>
      </w:r>
    </w:p>
    <w:p w:rsidR="009A7F87" w:rsidRDefault="009A7F87" w:rsidP="009A7F87">
      <w:pPr>
        <w:pStyle w:val="PartTitle"/>
        <w:spacing w:after="240"/>
      </w:pPr>
      <w:r>
        <w:t>mining and mineral resources other than fuels; manufacturing; and construction</w:t>
      </w:r>
    </w:p>
    <w:p w:rsidR="009A7F87" w:rsidRDefault="009A7F87" w:rsidP="009A7F87">
      <w:pPr>
        <w:pStyle w:val="BodyText"/>
        <w:rPr>
          <w:sz w:val="52"/>
        </w:rPr>
      </w:pPr>
      <w:r>
        <w:br w:type="page"/>
      </w:r>
    </w:p>
    <w:p w:rsidR="009A7F87" w:rsidRPr="003755C6" w:rsidRDefault="009A7F87" w:rsidP="009A7F87">
      <w:pPr>
        <w:rPr>
          <w:szCs w:val="20"/>
        </w:rPr>
      </w:pPr>
    </w:p>
    <w:p w:rsidR="009A7F87" w:rsidRDefault="009A7F87" w:rsidP="009A7F87">
      <w:pPr>
        <w:sectPr w:rsidR="009A7F87" w:rsidSect="009A7F87">
          <w:headerReference w:type="even" r:id="rId151"/>
          <w:headerReference w:type="default" r:id="rId152"/>
          <w:footerReference w:type="even" r:id="rId153"/>
          <w:footerReference w:type="default" r:id="rId154"/>
          <w:footnotePr>
            <w:numRestart w:val="eachSect"/>
          </w:footnotePr>
          <w:type w:val="oddPage"/>
          <w:pgSz w:w="11907" w:h="16840" w:code="9"/>
          <w:pgMar w:top="1985" w:right="1304" w:bottom="1247" w:left="1814" w:header="1701" w:footer="397" w:gutter="0"/>
          <w:pgNumType w:chapSep="period"/>
          <w:cols w:space="720"/>
          <w:docGrid w:linePitch="326"/>
        </w:sectPr>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r>
            <w:r>
              <w:t>1110</w:t>
            </w:r>
            <w:r w:rsidRPr="00770229">
              <w:t xml:space="preserve"> Mining and mineral resources other than fuels</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The Australian, State and Territory governments provide a range of regulatory and support services to the mining industries.</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The key cost drivers of expenditure on mining and mineral resources other than fuels are varied and cannot be linked closely with a particular service area or cohort of service users. </w:t>
            </w:r>
          </w:p>
          <w:p w:rsidR="009A7F87" w:rsidRPr="00770229" w:rsidRDefault="009A7F87" w:rsidP="009A7F87">
            <w:pPr>
              <w:pStyle w:val="TableBodyText"/>
              <w:keepNext w:val="0"/>
              <w:keepLines w:val="0"/>
              <w:spacing w:before="80" w:after="80"/>
              <w:jc w:val="left"/>
              <w:rPr>
                <w:szCs w:val="26"/>
              </w:rPr>
            </w:pPr>
            <w:r w:rsidRPr="00770229">
              <w:t>It is assumed that the costs associated with this expenditure are driven by the population on a uniform basis.</w:t>
            </w:r>
          </w:p>
        </w:tc>
      </w:tr>
      <w:tr w:rsidR="009A7F87" w:rsidRPr="00770229" w:rsidTr="00DE1DF1">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FA68C1"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FA68C1"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FA68C1"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FA68C1" w:rsidRDefault="009A7F87" w:rsidP="009A7F87">
            <w:pPr>
              <w:pStyle w:val="TableColumnHeading"/>
              <w:keepNext w:val="0"/>
              <w:ind w:left="180"/>
              <w:jc w:val="center"/>
            </w:pPr>
            <w:r w:rsidRPr="00FA68C1">
              <w:t>Data Years</w:t>
            </w:r>
          </w:p>
        </w:tc>
      </w:tr>
      <w:tr w:rsidR="009A7F87" w:rsidRPr="00FA68C1"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FA68C1" w:rsidRDefault="009A7F87" w:rsidP="009A7F87">
            <w:pPr>
              <w:pStyle w:val="TableBodyText"/>
              <w:keepNext w:val="0"/>
              <w:spacing w:before="60" w:after="60"/>
              <w:ind w:left="0"/>
              <w:jc w:val="both"/>
              <w:rPr>
                <w:i/>
              </w:rPr>
            </w:pPr>
            <w:r w:rsidRPr="00FA68C1">
              <w:rPr>
                <w:i/>
              </w:rPr>
              <w:br/>
              <w:t>Measure</w:t>
            </w:r>
            <w:r w:rsidRPr="00944F69">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FA68C1" w:rsidRDefault="009A7F87" w:rsidP="009A7F87">
            <w:pPr>
              <w:pStyle w:val="TableBodyText"/>
              <w:keepNext w:val="0"/>
              <w:spacing w:before="60" w:after="60"/>
              <w:ind w:left="180"/>
              <w:jc w:val="left"/>
              <w:rPr>
                <w:i/>
              </w:rPr>
            </w:pPr>
            <w:r w:rsidRPr="00FA68C1">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FA68C1" w:rsidRDefault="009A7F87" w:rsidP="009A7F87">
            <w:pPr>
              <w:pStyle w:val="TableBodyText"/>
              <w:keepNext w:val="0"/>
              <w:spacing w:before="60" w:after="60"/>
              <w:ind w:left="2"/>
              <w:jc w:val="center"/>
              <w:rPr>
                <w:i/>
              </w:rPr>
            </w:pPr>
            <w:r w:rsidRPr="00FA68C1">
              <w:rPr>
                <w:i/>
              </w:rPr>
              <w:t>2008</w:t>
            </w:r>
            <w:r w:rsidRPr="00FA68C1">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FA68C1" w:rsidRDefault="009A7F87" w:rsidP="009A7F87">
            <w:pPr>
              <w:pStyle w:val="TableBodyText"/>
              <w:keepNext w:val="0"/>
              <w:spacing w:before="60" w:after="60"/>
              <w:ind w:left="2"/>
              <w:jc w:val="center"/>
              <w:rPr>
                <w:i/>
              </w:rPr>
            </w:pPr>
            <w:r w:rsidRPr="00FA68C1">
              <w:rPr>
                <w:i/>
              </w:rPr>
              <w:t>2010</w:t>
            </w:r>
            <w:r w:rsidRPr="00FA68C1">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FA68C1" w:rsidRDefault="009A7F87" w:rsidP="009A7F87">
            <w:pPr>
              <w:pStyle w:val="TableBodyText"/>
              <w:keepNext w:val="0"/>
              <w:spacing w:before="60" w:after="60"/>
              <w:ind w:left="2"/>
              <w:jc w:val="center"/>
              <w:rPr>
                <w:i/>
              </w:rPr>
            </w:pPr>
            <w:r w:rsidRPr="00FA68C1">
              <w:rPr>
                <w:i/>
              </w:rPr>
              <w:t>2012</w:t>
            </w:r>
            <w:r w:rsidRPr="00FA68C1">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FA68C1" w:rsidRDefault="009A7F87" w:rsidP="009A7F87">
            <w:pPr>
              <w:pStyle w:val="TableBodyText"/>
              <w:keepNext w:val="0"/>
              <w:spacing w:before="60" w:after="60"/>
              <w:ind w:left="2"/>
              <w:jc w:val="center"/>
              <w:rPr>
                <w:i/>
              </w:rPr>
            </w:pPr>
            <w:r w:rsidRPr="00FA68C1">
              <w:rPr>
                <w:i/>
              </w:rPr>
              <w:t>2015</w:t>
            </w:r>
            <w:r w:rsidRPr="00FA68C1">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w:t>
            </w:r>
            <w:r>
              <w:br/>
            </w:r>
            <w:r w:rsidRPr="00770229">
              <w:t>(Cat.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1E4682">
              <w:t>(Cat. no. 3101.0)</w:t>
            </w:r>
          </w:p>
        </w:tc>
        <w:tc>
          <w:tcPr>
            <w:tcW w:w="584"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2009</w:t>
            </w:r>
            <w:r>
              <w:br/>
            </w:r>
          </w:p>
        </w:tc>
        <w:tc>
          <w:tcPr>
            <w:tcW w:w="585" w:type="pct"/>
            <w:gridSpan w:val="2"/>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2011</w:t>
            </w:r>
            <w:r>
              <w:br/>
            </w:r>
          </w:p>
        </w:tc>
        <w:tc>
          <w:tcPr>
            <w:tcW w:w="585"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0"/>
              <w:jc w:val="center"/>
            </w:pPr>
            <w:r w:rsidRPr="00770229">
              <w:t>June 2013</w:t>
            </w:r>
            <w:r>
              <w:br/>
            </w:r>
          </w:p>
        </w:tc>
        <w:tc>
          <w:tcPr>
            <w:tcW w:w="583" w:type="pct"/>
            <w:gridSpan w:val="2"/>
            <w:tcBorders>
              <w:bottom w:val="single" w:sz="4" w:space="0" w:color="808080" w:themeColor="background1" w:themeShade="80"/>
            </w:tcBorders>
          </w:tcPr>
          <w:p w:rsidR="009A7F87" w:rsidRPr="00770229" w:rsidRDefault="009A7F87" w:rsidP="009A7F87">
            <w:pPr>
              <w:pStyle w:val="TableBodyText"/>
              <w:keepNext w:val="0"/>
              <w:spacing w:before="60" w:after="60"/>
              <w:ind w:left="0"/>
              <w:jc w:val="center"/>
            </w:pPr>
            <w:r>
              <w:t xml:space="preserve">June </w:t>
            </w:r>
            <w:r w:rsidRPr="00FF7A3F">
              <w:t>2016</w:t>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AE5146" w:rsidRDefault="009A7F87" w:rsidP="009A7F87">
            <w:pPr>
              <w:pStyle w:val="TableBodyText"/>
              <w:keepNext w:val="0"/>
              <w:keepLines w:val="0"/>
              <w:spacing w:before="80" w:after="80"/>
              <w:jc w:val="both"/>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Pr="00C52BBB" w:rsidRDefault="009A7F87" w:rsidP="009A7F87">
      <w:pPr>
        <w:pStyle w:val="BodyText"/>
      </w:pPr>
    </w:p>
    <w:p w:rsidR="009A7F87" w:rsidRDefault="009A7F87">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r>
            <w:r>
              <w:t>1120</w:t>
            </w:r>
            <w:r w:rsidRPr="00770229">
              <w:t xml:space="preserve"> Manufacturing</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The Australian, State and Territory governments provide a range of industry regulatory and support services to the manufacturing industry.</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The key cost drivers of expenditure on manufacturing are varied and cannot be linked closely with a particular service area or cohort of service users. </w:t>
            </w:r>
          </w:p>
          <w:p w:rsidR="009A7F87" w:rsidRPr="00770229" w:rsidRDefault="009A7F87" w:rsidP="009A7F87">
            <w:pPr>
              <w:pStyle w:val="TableBodyText"/>
              <w:keepNext w:val="0"/>
              <w:keepLines w:val="0"/>
              <w:spacing w:before="80" w:after="80"/>
              <w:jc w:val="left"/>
              <w:rPr>
                <w:szCs w:val="26"/>
              </w:rPr>
            </w:pPr>
            <w:r w:rsidRPr="00770229">
              <w:t>It is assumed that the costs associated with this expenditure are driven by the population on a uniform basis.</w:t>
            </w:r>
          </w:p>
        </w:tc>
      </w:tr>
      <w:tr w:rsidR="009A7F87" w:rsidRPr="00770229" w:rsidTr="00DE1DF1">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597CA0"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597CA0"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597CA0"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597CA0" w:rsidRDefault="009A7F87" w:rsidP="009A7F87">
            <w:pPr>
              <w:pStyle w:val="TableColumnHeading"/>
              <w:keepNext w:val="0"/>
              <w:ind w:left="180"/>
              <w:jc w:val="center"/>
            </w:pPr>
            <w:r w:rsidRPr="00597CA0">
              <w:t>Data Years</w:t>
            </w:r>
          </w:p>
        </w:tc>
      </w:tr>
      <w:tr w:rsidR="009A7F87" w:rsidRPr="00597CA0"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265A9A" w:themeColor="background2"/>
            </w:tcBorders>
            <w:shd w:val="clear" w:color="auto" w:fill="auto"/>
            <w:tcMar>
              <w:top w:w="57" w:type="dxa"/>
              <w:left w:w="113" w:type="dxa"/>
            </w:tcMar>
          </w:tcPr>
          <w:p w:rsidR="009A7F87" w:rsidRPr="00597CA0" w:rsidRDefault="009A7F87" w:rsidP="009A7F87">
            <w:pPr>
              <w:pStyle w:val="TableBodyText"/>
              <w:keepNext w:val="0"/>
              <w:spacing w:before="60" w:after="60"/>
              <w:ind w:left="0"/>
              <w:jc w:val="both"/>
              <w:rPr>
                <w:i/>
              </w:rPr>
            </w:pPr>
            <w:r w:rsidRPr="00597CA0">
              <w:rPr>
                <w:i/>
              </w:rPr>
              <w:br/>
              <w:t>Measure</w:t>
            </w:r>
            <w:r w:rsidRPr="00944F69">
              <w:rPr>
                <w:rStyle w:val="NoteLabel"/>
              </w:rPr>
              <w:t>a</w:t>
            </w:r>
          </w:p>
        </w:tc>
        <w:tc>
          <w:tcPr>
            <w:tcW w:w="1814" w:type="pct"/>
            <w:tcBorders>
              <w:top w:val="single" w:sz="6" w:space="0" w:color="808080" w:themeColor="background1" w:themeShade="80"/>
              <w:bottom w:val="single" w:sz="6" w:space="0" w:color="265A9A" w:themeColor="background2"/>
            </w:tcBorders>
            <w:shd w:val="clear" w:color="auto" w:fill="auto"/>
          </w:tcPr>
          <w:p w:rsidR="009A7F87" w:rsidRPr="00597CA0" w:rsidRDefault="009A7F87" w:rsidP="009A7F87">
            <w:pPr>
              <w:pStyle w:val="TableBodyText"/>
              <w:keepNext w:val="0"/>
              <w:spacing w:before="60" w:after="60"/>
              <w:ind w:left="180"/>
              <w:jc w:val="left"/>
              <w:rPr>
                <w:i/>
              </w:rPr>
            </w:pPr>
            <w:r w:rsidRPr="00597CA0">
              <w:rPr>
                <w:i/>
              </w:rPr>
              <w:br/>
              <w:t>Data source</w:t>
            </w:r>
          </w:p>
        </w:tc>
        <w:tc>
          <w:tcPr>
            <w:tcW w:w="584" w:type="pct"/>
            <w:tcBorders>
              <w:top w:val="single" w:sz="6" w:space="0" w:color="808080" w:themeColor="background1" w:themeShade="80"/>
              <w:bottom w:val="single" w:sz="6" w:space="0" w:color="265A9A" w:themeColor="background2"/>
            </w:tcBorders>
            <w:shd w:val="clear" w:color="auto" w:fill="auto"/>
          </w:tcPr>
          <w:p w:rsidR="009A7F87" w:rsidRPr="00597CA0" w:rsidRDefault="009A7F87" w:rsidP="009A7F87">
            <w:pPr>
              <w:pStyle w:val="TableBodyText"/>
              <w:keepNext w:val="0"/>
              <w:spacing w:before="60" w:after="60"/>
              <w:ind w:left="2"/>
              <w:jc w:val="center"/>
              <w:rPr>
                <w:i/>
              </w:rPr>
            </w:pPr>
            <w:r w:rsidRPr="00597CA0">
              <w:rPr>
                <w:i/>
              </w:rPr>
              <w:t>2008</w:t>
            </w:r>
            <w:r w:rsidRPr="00597CA0">
              <w:rPr>
                <w:i/>
              </w:rPr>
              <w:noBreakHyphen/>
              <w:t>09 Estimates</w:t>
            </w:r>
          </w:p>
        </w:tc>
        <w:tc>
          <w:tcPr>
            <w:tcW w:w="585" w:type="pct"/>
            <w:gridSpan w:val="2"/>
            <w:tcBorders>
              <w:top w:val="single" w:sz="6" w:space="0" w:color="808080" w:themeColor="background1" w:themeShade="80"/>
              <w:bottom w:val="single" w:sz="6" w:space="0" w:color="265A9A" w:themeColor="background2"/>
            </w:tcBorders>
            <w:shd w:val="clear" w:color="auto" w:fill="auto"/>
          </w:tcPr>
          <w:p w:rsidR="009A7F87" w:rsidRPr="00597CA0" w:rsidRDefault="009A7F87" w:rsidP="009A7F87">
            <w:pPr>
              <w:pStyle w:val="TableBodyText"/>
              <w:keepNext w:val="0"/>
              <w:spacing w:before="60" w:after="60"/>
              <w:ind w:left="2"/>
              <w:jc w:val="center"/>
              <w:rPr>
                <w:i/>
              </w:rPr>
            </w:pPr>
            <w:r w:rsidRPr="00597CA0">
              <w:rPr>
                <w:i/>
              </w:rPr>
              <w:t>2010</w:t>
            </w:r>
            <w:r w:rsidRPr="00597CA0">
              <w:rPr>
                <w:i/>
              </w:rPr>
              <w:noBreakHyphen/>
              <w:t>11 Estimates</w:t>
            </w:r>
          </w:p>
        </w:tc>
        <w:tc>
          <w:tcPr>
            <w:tcW w:w="585" w:type="pct"/>
            <w:tcBorders>
              <w:top w:val="single" w:sz="6" w:space="0" w:color="808080" w:themeColor="background1" w:themeShade="80"/>
              <w:bottom w:val="single" w:sz="6" w:space="0" w:color="265A9A" w:themeColor="background2"/>
            </w:tcBorders>
            <w:shd w:val="clear" w:color="auto" w:fill="auto"/>
          </w:tcPr>
          <w:p w:rsidR="009A7F87" w:rsidRPr="00597CA0" w:rsidRDefault="009A7F87" w:rsidP="009A7F87">
            <w:pPr>
              <w:pStyle w:val="TableBodyText"/>
              <w:keepNext w:val="0"/>
              <w:spacing w:before="60" w:after="60"/>
              <w:ind w:left="2"/>
              <w:jc w:val="center"/>
              <w:rPr>
                <w:i/>
              </w:rPr>
            </w:pPr>
            <w:r w:rsidRPr="00597CA0">
              <w:rPr>
                <w:i/>
              </w:rPr>
              <w:t>2012</w:t>
            </w:r>
            <w:r w:rsidRPr="00597CA0">
              <w:rPr>
                <w:i/>
              </w:rPr>
              <w:noBreakHyphen/>
              <w:t>13 Estimates</w:t>
            </w:r>
          </w:p>
        </w:tc>
        <w:tc>
          <w:tcPr>
            <w:tcW w:w="583" w:type="pct"/>
            <w:gridSpan w:val="2"/>
            <w:tcBorders>
              <w:top w:val="single" w:sz="6" w:space="0" w:color="808080" w:themeColor="background1" w:themeShade="80"/>
              <w:bottom w:val="single" w:sz="6" w:space="0" w:color="265A9A" w:themeColor="background2"/>
            </w:tcBorders>
          </w:tcPr>
          <w:p w:rsidR="009A7F87" w:rsidRPr="00597CA0" w:rsidRDefault="009A7F87" w:rsidP="009A7F87">
            <w:pPr>
              <w:pStyle w:val="TableBodyText"/>
              <w:keepNext w:val="0"/>
              <w:spacing w:before="60" w:after="60"/>
              <w:ind w:left="2"/>
              <w:jc w:val="center"/>
              <w:rPr>
                <w:i/>
              </w:rPr>
            </w:pPr>
            <w:r w:rsidRPr="00597CA0">
              <w:rPr>
                <w:i/>
              </w:rPr>
              <w:t>2015</w:t>
            </w:r>
            <w:r w:rsidRPr="00597CA0">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265A9A" w:themeColor="background2"/>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265A9A" w:themeColor="background2"/>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w:t>
            </w:r>
            <w:r>
              <w:br/>
            </w:r>
            <w:r w:rsidRPr="00770229">
              <w:t>(Cat. no. 3238.0)</w:t>
            </w:r>
          </w:p>
        </w:tc>
        <w:tc>
          <w:tcPr>
            <w:tcW w:w="584" w:type="pct"/>
            <w:tcBorders>
              <w:top w:val="single" w:sz="6" w:space="0" w:color="265A9A" w:themeColor="background2"/>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265A9A" w:themeColor="background2"/>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265A9A" w:themeColor="background2"/>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gridSpan w:val="2"/>
            <w:tcBorders>
              <w:top w:val="single" w:sz="6" w:space="0" w:color="265A9A" w:themeColor="background2"/>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1E4682">
              <w:t>(Cat. no. 3101.0)</w:t>
            </w:r>
          </w:p>
        </w:tc>
        <w:tc>
          <w:tcPr>
            <w:tcW w:w="584"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2009</w:t>
            </w:r>
            <w:r>
              <w:br/>
            </w:r>
          </w:p>
        </w:tc>
        <w:tc>
          <w:tcPr>
            <w:tcW w:w="585" w:type="pct"/>
            <w:gridSpan w:val="2"/>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2011</w:t>
            </w:r>
            <w:r>
              <w:br/>
            </w:r>
          </w:p>
        </w:tc>
        <w:tc>
          <w:tcPr>
            <w:tcW w:w="585"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0"/>
              <w:jc w:val="center"/>
            </w:pPr>
            <w:r w:rsidRPr="00770229">
              <w:t>June 2013</w:t>
            </w:r>
            <w:r>
              <w:br/>
            </w:r>
          </w:p>
        </w:tc>
        <w:tc>
          <w:tcPr>
            <w:tcW w:w="583" w:type="pct"/>
            <w:gridSpan w:val="2"/>
            <w:tcBorders>
              <w:bottom w:val="single" w:sz="4" w:space="0" w:color="808080" w:themeColor="background1" w:themeShade="80"/>
            </w:tcBorders>
          </w:tcPr>
          <w:p w:rsidR="009A7F87" w:rsidRPr="00770229" w:rsidRDefault="009A7F87" w:rsidP="009A7F87">
            <w:pPr>
              <w:pStyle w:val="TableBodyText"/>
              <w:keepNext w:val="0"/>
              <w:spacing w:before="60" w:after="60"/>
              <w:ind w:left="0"/>
              <w:jc w:val="center"/>
            </w:pPr>
            <w:r>
              <w:t xml:space="preserve">June </w:t>
            </w:r>
            <w:r w:rsidRPr="00FF7A3F">
              <w:t>2016</w:t>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AE5146" w:rsidRDefault="009A7F87" w:rsidP="009A7F87">
            <w:pPr>
              <w:pStyle w:val="TableBodyText"/>
              <w:keepNext w:val="0"/>
              <w:keepLines w:val="0"/>
              <w:spacing w:before="80" w:after="80"/>
              <w:jc w:val="both"/>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9A7F87">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r>
            <w:r>
              <w:t>1130</w:t>
            </w:r>
            <w:r w:rsidRPr="00770229">
              <w:t xml:space="preserve"> Construction</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The Australian, State and Territory governments provide a range of industry regulatory and support services to the construction industry.</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21421E">
              <w:rPr>
                <w:b/>
              </w:rPr>
              <w:t>http://www.pc.gov.au/ier2017</w:t>
            </w:r>
            <w:r w:rsidRPr="00770229">
              <w:rPr>
                <w:b/>
              </w:rPr>
              <w:t>).</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sidRPr="00770229">
              <w:t xml:space="preserve">The key cost drivers of expenditure on construction are varied and cannot be linked closely with a particular service area or cohort of service users. </w:t>
            </w:r>
          </w:p>
          <w:p w:rsidR="009A7F87" w:rsidRPr="00770229" w:rsidRDefault="009A7F87" w:rsidP="009A7F87">
            <w:pPr>
              <w:pStyle w:val="TableBodyText"/>
              <w:keepNext w:val="0"/>
              <w:keepLines w:val="0"/>
              <w:spacing w:before="80" w:after="80"/>
              <w:jc w:val="left"/>
              <w:rPr>
                <w:szCs w:val="26"/>
              </w:rPr>
            </w:pPr>
            <w:r w:rsidRPr="00770229">
              <w:t>It is assumed that the costs associated with this expenditure are driven by the population on a uniform basis.</w:t>
            </w:r>
          </w:p>
        </w:tc>
      </w:tr>
      <w:tr w:rsidR="009A7F87" w:rsidRPr="00770229" w:rsidTr="00DE1DF1">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6777E6"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6777E6"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6777E6"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6777E6" w:rsidRDefault="009A7F87" w:rsidP="009A7F87">
            <w:pPr>
              <w:pStyle w:val="TableColumnHeading"/>
              <w:keepNext w:val="0"/>
              <w:ind w:left="180"/>
              <w:jc w:val="center"/>
            </w:pPr>
            <w:r w:rsidRPr="006777E6">
              <w:t>Data Years</w:t>
            </w:r>
          </w:p>
        </w:tc>
      </w:tr>
      <w:tr w:rsidR="009A7F87" w:rsidRPr="006777E6"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6777E6" w:rsidRDefault="009A7F87" w:rsidP="009A7F87">
            <w:pPr>
              <w:pStyle w:val="TableBodyText"/>
              <w:keepNext w:val="0"/>
              <w:spacing w:before="60" w:after="60"/>
              <w:ind w:left="0"/>
              <w:jc w:val="both"/>
              <w:rPr>
                <w:i/>
              </w:rPr>
            </w:pPr>
            <w:r w:rsidRPr="006777E6">
              <w:rPr>
                <w:i/>
              </w:rPr>
              <w:br/>
              <w:t>Measure</w:t>
            </w:r>
            <w:r w:rsidRPr="00944F69">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6777E6" w:rsidRDefault="009A7F87" w:rsidP="009A7F87">
            <w:pPr>
              <w:pStyle w:val="TableBodyText"/>
              <w:keepNext w:val="0"/>
              <w:spacing w:before="60" w:after="60"/>
              <w:ind w:left="180"/>
              <w:jc w:val="left"/>
              <w:rPr>
                <w:i/>
              </w:rPr>
            </w:pPr>
            <w:r w:rsidRPr="006777E6">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6777E6" w:rsidRDefault="009A7F87" w:rsidP="009A7F87">
            <w:pPr>
              <w:pStyle w:val="TableBodyText"/>
              <w:keepNext w:val="0"/>
              <w:spacing w:before="60" w:after="60"/>
              <w:ind w:left="2"/>
              <w:jc w:val="center"/>
              <w:rPr>
                <w:i/>
              </w:rPr>
            </w:pPr>
            <w:r w:rsidRPr="006777E6">
              <w:rPr>
                <w:i/>
              </w:rPr>
              <w:t>2008</w:t>
            </w:r>
            <w:r w:rsidRPr="006777E6">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6777E6" w:rsidRDefault="009A7F87" w:rsidP="009A7F87">
            <w:pPr>
              <w:pStyle w:val="TableBodyText"/>
              <w:keepNext w:val="0"/>
              <w:spacing w:before="60" w:after="60"/>
              <w:ind w:left="2"/>
              <w:jc w:val="center"/>
              <w:rPr>
                <w:i/>
              </w:rPr>
            </w:pPr>
            <w:r w:rsidRPr="006777E6">
              <w:rPr>
                <w:i/>
              </w:rPr>
              <w:t>2010</w:t>
            </w:r>
            <w:r w:rsidRPr="006777E6">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6777E6" w:rsidRDefault="009A7F87" w:rsidP="009A7F87">
            <w:pPr>
              <w:pStyle w:val="TableBodyText"/>
              <w:keepNext w:val="0"/>
              <w:spacing w:before="60" w:after="60"/>
              <w:ind w:left="2"/>
              <w:jc w:val="center"/>
              <w:rPr>
                <w:i/>
              </w:rPr>
            </w:pPr>
            <w:r w:rsidRPr="006777E6">
              <w:rPr>
                <w:i/>
              </w:rPr>
              <w:t>2012</w:t>
            </w:r>
            <w:r w:rsidRPr="006777E6">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6777E6" w:rsidRDefault="009A7F87" w:rsidP="009A7F87">
            <w:pPr>
              <w:pStyle w:val="TableBodyText"/>
              <w:keepNext w:val="0"/>
              <w:spacing w:before="60" w:after="60"/>
              <w:ind w:left="2"/>
              <w:jc w:val="center"/>
              <w:rPr>
                <w:i/>
              </w:rPr>
            </w:pPr>
            <w:r w:rsidRPr="006777E6">
              <w:rPr>
                <w:i/>
              </w:rPr>
              <w:t>2015</w:t>
            </w:r>
            <w:r w:rsidRPr="006777E6">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w:t>
            </w:r>
            <w:r>
              <w:br/>
            </w:r>
            <w:r w:rsidRPr="00770229">
              <w:t>(Cat.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1E4682">
              <w:t>(Cat. no. 3101.0)</w:t>
            </w:r>
          </w:p>
        </w:tc>
        <w:tc>
          <w:tcPr>
            <w:tcW w:w="584"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2009</w:t>
            </w:r>
            <w:r>
              <w:br/>
            </w:r>
          </w:p>
        </w:tc>
        <w:tc>
          <w:tcPr>
            <w:tcW w:w="585" w:type="pct"/>
            <w:gridSpan w:val="2"/>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2011</w:t>
            </w:r>
            <w:r>
              <w:br/>
            </w:r>
          </w:p>
        </w:tc>
        <w:tc>
          <w:tcPr>
            <w:tcW w:w="585"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0"/>
              <w:jc w:val="center"/>
            </w:pPr>
            <w:r w:rsidRPr="00770229">
              <w:t>June 2013</w:t>
            </w:r>
            <w:r>
              <w:br/>
            </w:r>
          </w:p>
        </w:tc>
        <w:tc>
          <w:tcPr>
            <w:tcW w:w="583" w:type="pct"/>
            <w:gridSpan w:val="2"/>
            <w:tcBorders>
              <w:bottom w:val="single" w:sz="4" w:space="0" w:color="808080" w:themeColor="background1" w:themeShade="80"/>
            </w:tcBorders>
          </w:tcPr>
          <w:p w:rsidR="009A7F87" w:rsidRPr="00770229" w:rsidRDefault="009A7F87" w:rsidP="009A7F87">
            <w:pPr>
              <w:pStyle w:val="TableBodyText"/>
              <w:keepNext w:val="0"/>
              <w:spacing w:before="60" w:after="60"/>
              <w:ind w:left="0"/>
              <w:jc w:val="center"/>
            </w:pPr>
            <w:r>
              <w:t xml:space="preserve">June </w:t>
            </w:r>
            <w:r w:rsidRPr="00FF7A3F">
              <w:t>2016</w:t>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AE5146" w:rsidRDefault="009A7F87" w:rsidP="009A7F87">
            <w:pPr>
              <w:pStyle w:val="TableBodyText"/>
              <w:keepNext w:val="0"/>
              <w:keepLines w:val="0"/>
              <w:spacing w:before="80" w:after="80"/>
              <w:jc w:val="both"/>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9A7F87">
      <w:pPr>
        <w:pStyle w:val="BodyText"/>
      </w:pPr>
    </w:p>
    <w:p w:rsidR="009A7F87" w:rsidRDefault="009A7F87" w:rsidP="009A7F87">
      <w:pPr>
        <w:sectPr w:rsidR="009A7F87" w:rsidSect="009A7F87">
          <w:headerReference w:type="even" r:id="rId155"/>
          <w:headerReference w:type="default" r:id="rId156"/>
          <w:footerReference w:type="even" r:id="rId157"/>
          <w:footerReference w:type="default" r:id="rId158"/>
          <w:footnotePr>
            <w:numRestart w:val="eachSect"/>
          </w:footnotePr>
          <w:type w:val="oddPage"/>
          <w:pgSz w:w="11907" w:h="16840" w:code="9"/>
          <w:pgMar w:top="1985" w:right="1304" w:bottom="1247" w:left="1814" w:header="1701" w:footer="397" w:gutter="0"/>
          <w:pgNumType w:chapSep="period"/>
          <w:cols w:space="720"/>
          <w:docGrid w:linePitch="326"/>
        </w:sectPr>
      </w:pPr>
    </w:p>
    <w:p w:rsidR="009A7F87" w:rsidRDefault="009A7F87">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9A7F87">
        <w:tc>
          <w:tcPr>
            <w:tcW w:w="6634" w:type="dxa"/>
            <w:tcBorders>
              <w:top w:val="single" w:sz="6" w:space="0" w:color="auto"/>
            </w:tcBorders>
          </w:tcPr>
          <w:p w:rsidR="009A7F87" w:rsidRDefault="009A7F87">
            <w:pPr>
              <w:pStyle w:val="PartDivider"/>
            </w:pPr>
          </w:p>
        </w:tc>
        <w:tc>
          <w:tcPr>
            <w:tcW w:w="2155" w:type="dxa"/>
            <w:tcBorders>
              <w:top w:val="single" w:sz="24" w:space="0" w:color="auto"/>
            </w:tcBorders>
          </w:tcPr>
          <w:p w:rsidR="009A7F87" w:rsidRDefault="009A7F87">
            <w:pPr>
              <w:pStyle w:val="PartDivider"/>
            </w:pPr>
          </w:p>
        </w:tc>
      </w:tr>
    </w:tbl>
    <w:p w:rsidR="009A7F87" w:rsidRDefault="009A7F87">
      <w:pPr>
        <w:pStyle w:val="PartDivider"/>
      </w:pPr>
    </w:p>
    <w:p w:rsidR="009A7F87" w:rsidRDefault="009A7F87" w:rsidP="009A7F87">
      <w:pPr>
        <w:pStyle w:val="PartTitle"/>
        <w:spacing w:after="240"/>
      </w:pPr>
      <w:r>
        <w:t>GPC 12</w:t>
      </w:r>
    </w:p>
    <w:p w:rsidR="009A7F87" w:rsidRDefault="009A7F87" w:rsidP="009A7F87">
      <w:pPr>
        <w:pStyle w:val="PartTitle"/>
        <w:spacing w:after="240"/>
      </w:pPr>
      <w:r>
        <w:t>transport and communications</w:t>
      </w:r>
    </w:p>
    <w:p w:rsidR="009A7F87" w:rsidRDefault="009A7F87" w:rsidP="009A7F87">
      <w:pPr>
        <w:pStyle w:val="BodyText"/>
        <w:rPr>
          <w:sz w:val="52"/>
        </w:rPr>
      </w:pPr>
      <w:r>
        <w:br w:type="page"/>
      </w:r>
    </w:p>
    <w:p w:rsidR="009A7F87" w:rsidRPr="003755C6" w:rsidRDefault="009A7F87" w:rsidP="009A7F87">
      <w:pPr>
        <w:rPr>
          <w:szCs w:val="20"/>
        </w:rPr>
      </w:pPr>
    </w:p>
    <w:p w:rsidR="009A7F87" w:rsidRDefault="009A7F87" w:rsidP="009A7F87">
      <w:pPr>
        <w:sectPr w:rsidR="009A7F87" w:rsidSect="009A7F87">
          <w:headerReference w:type="even" r:id="rId159"/>
          <w:headerReference w:type="default" r:id="rId160"/>
          <w:footerReference w:type="even" r:id="rId161"/>
          <w:footerReference w:type="default" r:id="rId162"/>
          <w:footnotePr>
            <w:numRestart w:val="eachSect"/>
          </w:footnotePr>
          <w:type w:val="oddPage"/>
          <w:pgSz w:w="11907" w:h="16840" w:code="9"/>
          <w:pgMar w:top="1985" w:right="1304" w:bottom="1247" w:left="1814" w:header="1701" w:footer="397" w:gutter="0"/>
          <w:pgNumType w:chapSep="period"/>
          <w:cols w:space="720"/>
          <w:docGrid w:linePitch="326"/>
        </w:sectPr>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r>
            <w:r w:rsidRPr="000F1C0E">
              <w:t>121</w:t>
            </w:r>
            <w:r w:rsidRPr="00770229">
              <w:t xml:space="preserve"> Road transport</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9773FE" w:rsidRDefault="009A7F87" w:rsidP="009A7F87">
            <w:pPr>
              <w:pStyle w:val="TableBodyText"/>
              <w:keepNext w:val="0"/>
              <w:keepLines w:val="0"/>
              <w:spacing w:before="80" w:after="80"/>
              <w:jc w:val="left"/>
            </w:pPr>
            <w:r w:rsidRPr="009773FE">
              <w:t>Outlays on administration, regulation, support, operation, etc. of road and highway construction affairs, road and highway maintenance affairs, both off and on street parking, and other road transport affairs and services.</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2C45D7">
              <w:rPr>
                <w:b/>
              </w:rPr>
              <w:t>http://www.pc.gov.au/ier2017</w:t>
            </w:r>
            <w:r w:rsidRPr="00770229">
              <w:rPr>
                <w:b/>
              </w:rPr>
              <w:t>).</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The key cost drivers of expenditure on road transport are the number and type of roads.</w:t>
            </w:r>
          </w:p>
          <w:p w:rsidR="009A7F87" w:rsidRPr="00770229" w:rsidRDefault="009A7F87" w:rsidP="009A7F87">
            <w:pPr>
              <w:pStyle w:val="TableBodyText"/>
              <w:keepNext w:val="0"/>
              <w:keepLines w:val="0"/>
              <w:spacing w:before="80" w:after="80"/>
              <w:jc w:val="left"/>
              <w:rPr>
                <w:szCs w:val="26"/>
              </w:rPr>
            </w:pPr>
            <w:r w:rsidRPr="00770229">
              <w:t>It is assumed that the costs associated with this expenditure are driven by the population on a uniform basis.</w:t>
            </w:r>
          </w:p>
        </w:tc>
      </w:tr>
      <w:tr w:rsidR="009A7F87" w:rsidRPr="00770229" w:rsidTr="00DE1DF1">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2943CC"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2943CC"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ColumnHeading"/>
              <w:keepNext w:val="0"/>
              <w:ind w:left="180"/>
              <w:jc w:val="center"/>
            </w:pPr>
            <w:r w:rsidRPr="002943CC">
              <w:t>Data Years</w:t>
            </w:r>
          </w:p>
        </w:tc>
      </w:tr>
      <w:tr w:rsidR="009A7F87" w:rsidRPr="002943CC"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2943CC" w:rsidRDefault="009A7F87" w:rsidP="009A7F87">
            <w:pPr>
              <w:pStyle w:val="TableBodyText"/>
              <w:keepNext w:val="0"/>
              <w:spacing w:before="60" w:after="60"/>
              <w:ind w:left="0"/>
              <w:jc w:val="both"/>
              <w:rPr>
                <w:i/>
              </w:rPr>
            </w:pPr>
            <w:r w:rsidRPr="002943CC">
              <w:rPr>
                <w:i/>
              </w:rPr>
              <w:br/>
              <w:t>Measure</w:t>
            </w:r>
            <w:r w:rsidRPr="00944F69">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180"/>
              <w:jc w:val="left"/>
              <w:rPr>
                <w:i/>
              </w:rPr>
            </w:pPr>
            <w:r w:rsidRPr="002943CC">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2008</w:t>
            </w:r>
            <w:r w:rsidRPr="002943CC">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2010</w:t>
            </w:r>
            <w:r w:rsidRPr="002943CC">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2012</w:t>
            </w:r>
            <w:r w:rsidRPr="002943CC">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2943CC" w:rsidRDefault="009A7F87" w:rsidP="009A7F87">
            <w:pPr>
              <w:pStyle w:val="TableBodyText"/>
              <w:keepNext w:val="0"/>
              <w:spacing w:before="60" w:after="60"/>
              <w:ind w:left="2"/>
              <w:jc w:val="center"/>
              <w:rPr>
                <w:i/>
              </w:rPr>
            </w:pPr>
            <w:r w:rsidRPr="002943CC">
              <w:rPr>
                <w:i/>
              </w:rPr>
              <w:t>2015</w:t>
            </w:r>
            <w:r w:rsidRPr="002943CC">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w:t>
            </w:r>
            <w:r>
              <w:br/>
            </w:r>
            <w:r w:rsidRPr="00770229">
              <w:t>(Cat.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2F6316">
              <w:t>(Cat. no. 3101.0)</w:t>
            </w:r>
          </w:p>
        </w:tc>
        <w:tc>
          <w:tcPr>
            <w:tcW w:w="584"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2009</w:t>
            </w:r>
            <w:r>
              <w:br/>
            </w:r>
          </w:p>
        </w:tc>
        <w:tc>
          <w:tcPr>
            <w:tcW w:w="585" w:type="pct"/>
            <w:gridSpan w:val="2"/>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2011</w:t>
            </w:r>
            <w:r>
              <w:br/>
            </w:r>
          </w:p>
        </w:tc>
        <w:tc>
          <w:tcPr>
            <w:tcW w:w="585"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0"/>
              <w:jc w:val="center"/>
            </w:pPr>
            <w:r w:rsidRPr="00770229">
              <w:t>June 2013</w:t>
            </w:r>
            <w:r>
              <w:br/>
            </w:r>
          </w:p>
        </w:tc>
        <w:tc>
          <w:tcPr>
            <w:tcW w:w="583" w:type="pct"/>
            <w:gridSpan w:val="2"/>
            <w:tcBorders>
              <w:bottom w:val="single" w:sz="4" w:space="0" w:color="808080" w:themeColor="background1" w:themeShade="80"/>
            </w:tcBorders>
          </w:tcPr>
          <w:p w:rsidR="009A7F87" w:rsidRPr="00770229" w:rsidRDefault="009A7F87" w:rsidP="009A7F87">
            <w:pPr>
              <w:pStyle w:val="TableBodyText"/>
              <w:keepNext w:val="0"/>
              <w:spacing w:before="60" w:after="60"/>
              <w:ind w:left="0"/>
              <w:jc w:val="center"/>
            </w:pPr>
            <w:r>
              <w:t xml:space="preserve">June </w:t>
            </w:r>
            <w:r w:rsidRPr="00FF7A3F">
              <w:t>2016</w:t>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AE5146" w:rsidRDefault="009A7F87" w:rsidP="009A7F87">
            <w:pPr>
              <w:pStyle w:val="TableBodyText"/>
              <w:keepNext w:val="0"/>
              <w:keepLines w:val="0"/>
              <w:spacing w:before="80" w:after="80"/>
              <w:jc w:val="both"/>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w:t>
            </w:r>
            <w:r>
              <w: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Pr="00C52BBB" w:rsidRDefault="009A7F87" w:rsidP="009A7F87">
      <w:pPr>
        <w:pStyle w:val="BodyText"/>
      </w:pPr>
    </w:p>
    <w:p w:rsidR="009A7F87" w:rsidRDefault="009A7F87">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6314"/>
        <w:gridCol w:w="2475"/>
        <w:gridCol w:w="7"/>
      </w:tblGrid>
      <w:tr w:rsidR="009A7F87" w:rsidRPr="00770229" w:rsidTr="00760FFA">
        <w:tc>
          <w:tcPr>
            <w:tcW w:w="5000" w:type="pct"/>
            <w:gridSpan w:val="3"/>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r>
            <w:r>
              <w:t>1221</w:t>
            </w:r>
            <w:r w:rsidRPr="00770229">
              <w:t xml:space="preserve"> Aboriginal community water transport services</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2"/>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DE1DF1">
        <w:tc>
          <w:tcPr>
            <w:tcW w:w="5000" w:type="pct"/>
            <w:gridSpan w:val="3"/>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DE1DF1">
        <w:tc>
          <w:tcPr>
            <w:tcW w:w="5000" w:type="pct"/>
            <w:gridSpan w:val="3"/>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rPr>
                <w:b/>
              </w:rPr>
            </w:pPr>
            <w:r w:rsidRPr="00770229">
              <w:t>Governments provide a range of regulation, support, and operation of water transport facilities services in Aboriginal and Torres Strait Islander communities across Australia</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21421E">
              <w:rPr>
                <w:b/>
              </w:rPr>
              <w:t>http://www.pc.gov.au/ier2017</w:t>
            </w:r>
            <w:r w:rsidRPr="00770229">
              <w:rPr>
                <w:b/>
              </w:rPr>
              <w:t>).</w:t>
            </w:r>
          </w:p>
        </w:tc>
      </w:tr>
      <w:tr w:rsidR="009A7F87" w:rsidRPr="00770229" w:rsidTr="00DE1DF1">
        <w:tc>
          <w:tcPr>
            <w:tcW w:w="5000" w:type="pct"/>
            <w:gridSpan w:val="3"/>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DE1DF1">
        <w:tc>
          <w:tcPr>
            <w:tcW w:w="5000" w:type="pct"/>
            <w:gridSpan w:val="3"/>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The key cost driver of expenditure on Aboriginal community water transport services is the number of people in Aboriginal communities.</w:t>
            </w:r>
          </w:p>
          <w:p w:rsidR="009A7F87" w:rsidRPr="00770229" w:rsidRDefault="009A7F87" w:rsidP="009A7F87">
            <w:pPr>
              <w:pStyle w:val="TableBodyText"/>
              <w:keepNext w:val="0"/>
              <w:keepLines w:val="0"/>
              <w:spacing w:before="80" w:after="80"/>
              <w:jc w:val="left"/>
              <w:rPr>
                <w:szCs w:val="26"/>
              </w:rPr>
            </w:pPr>
            <w:r w:rsidRPr="00770229">
              <w:t>Expenditure on Aboriginal community water transport services is solely provided to Aboriginal and Torres Strait Islander Australians. As such, all expenditure is classified as Indigenous specific. Accordingly, would be no mainstream expenditure for this category, and no apportionment between Indigenous and non</w:t>
            </w:r>
            <w:r w:rsidRPr="00770229">
              <w:noBreakHyphen/>
              <w:t>Indigenous expenditure required.</w:t>
            </w:r>
          </w:p>
        </w:tc>
      </w:tr>
      <w:tr w:rsidR="009A7F87" w:rsidRPr="00770229" w:rsidTr="00DE1DF1">
        <w:tblPrEx>
          <w:tblBorders>
            <w:top w:val="none" w:sz="0" w:space="0" w:color="auto"/>
            <w:bottom w:val="none" w:sz="0" w:space="0" w:color="auto"/>
            <w:insideH w:val="none" w:sz="0" w:space="0" w:color="auto"/>
          </w:tblBorders>
        </w:tblPrEx>
        <w:tc>
          <w:tcPr>
            <w:tcW w:w="5000" w:type="pct"/>
            <w:gridSpan w:val="3"/>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Tr="00DE1DF1">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2"/>
            <w:tcBorders>
              <w:top w:val="single" w:sz="6" w:space="0" w:color="808080" w:themeColor="background1" w:themeShade="80"/>
              <w:left w:val="nil"/>
              <w:bottom w:val="single" w:sz="6" w:space="0" w:color="808080" w:themeColor="background1" w:themeShade="80"/>
              <w:right w:val="nil"/>
            </w:tcBorders>
            <w:shd w:val="clear" w:color="auto" w:fill="auto"/>
          </w:tcPr>
          <w:p w:rsidR="009A7F87" w:rsidRPr="00AE5146" w:rsidRDefault="009A7F87" w:rsidP="009A7F87">
            <w:pPr>
              <w:pStyle w:val="TableBodyText"/>
              <w:keepNext w:val="0"/>
              <w:keepLines w:val="0"/>
              <w:spacing w:before="80" w:after="80"/>
              <w:jc w:val="both"/>
            </w:pPr>
            <w:r w:rsidRPr="00770229">
              <w:t>Expenditure allocated to this category is considered to be exclusively Indigenous.</w:t>
            </w:r>
          </w:p>
        </w:tc>
      </w:tr>
      <w:tr w:rsidR="009A7F87" w:rsidRPr="0071369A" w:rsidTr="009A7F87">
        <w:tblPrEx>
          <w:tblBorders>
            <w:top w:val="none" w:sz="0" w:space="0" w:color="auto"/>
            <w:bottom w:val="none" w:sz="0" w:space="0" w:color="auto"/>
            <w:insideH w:val="none" w:sz="0" w:space="0" w:color="auto"/>
          </w:tblBorders>
        </w:tblPrEx>
        <w:tc>
          <w:tcPr>
            <w:tcW w:w="5000" w:type="pct"/>
            <w:gridSpan w:val="3"/>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9A7F87">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26"/>
      </w:tblGrid>
      <w:tr w:rsidR="009A7F87" w:rsidRPr="00770229" w:rsidTr="00760FFA">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r>
            <w:r>
              <w:t>1222</w:t>
            </w:r>
            <w:r w:rsidRPr="00770229">
              <w:t xml:space="preserve"> Urban water transport services</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3"/>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Governments provide urban water transport services through passenger ferries, as well as</w:t>
            </w:r>
            <w:r w:rsidRPr="00770229">
              <w:rPr>
                <w:i/>
              </w:rPr>
              <w:t xml:space="preserve"> </w:t>
            </w:r>
            <w:r w:rsidRPr="00770229">
              <w:t xml:space="preserve">maritime regulation and safety services. </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21421E">
              <w:rPr>
                <w:b/>
              </w:rPr>
              <w:t>http://www.pc.gov.au/ier2017</w:t>
            </w:r>
            <w:r w:rsidRPr="00770229">
              <w:rPr>
                <w:b/>
              </w:rPr>
              <w:t>).</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The key cost driver of expenditure on urban water transport services is the number of urban water transport service users. </w:t>
            </w:r>
          </w:p>
          <w:p w:rsidR="009A7F87" w:rsidRPr="00770229" w:rsidRDefault="009A7F87" w:rsidP="009A7F87">
            <w:pPr>
              <w:pStyle w:val="TableBodyText"/>
              <w:keepNext w:val="0"/>
              <w:keepLines w:val="0"/>
              <w:spacing w:before="80" w:after="80"/>
              <w:jc w:val="left"/>
              <w:rPr>
                <w:szCs w:val="26"/>
              </w:rPr>
            </w:pPr>
            <w:r w:rsidRPr="00770229">
              <w:t>As water transport services are available for use by the wider population, the costs associated with this expenditure are driven by the urban population on a uniform basis.</w:t>
            </w:r>
          </w:p>
        </w:tc>
      </w:tr>
      <w:tr w:rsidR="009A7F87" w:rsidRPr="00770229" w:rsidTr="00DE1DF1">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2943CC"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2943CC"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ColumnHeading"/>
              <w:keepNext w:val="0"/>
              <w:ind w:left="180"/>
              <w:jc w:val="left"/>
            </w:pPr>
          </w:p>
        </w:tc>
        <w:tc>
          <w:tcPr>
            <w:tcW w:w="2337" w:type="pct"/>
            <w:gridSpan w:val="5"/>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ColumnHeading"/>
              <w:keepNext w:val="0"/>
              <w:ind w:left="180"/>
              <w:jc w:val="center"/>
            </w:pPr>
            <w:r w:rsidRPr="002943CC">
              <w:t>Data Years</w:t>
            </w:r>
          </w:p>
        </w:tc>
      </w:tr>
      <w:tr w:rsidR="009A7F87" w:rsidRPr="002943CC"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2943CC" w:rsidRDefault="009A7F87" w:rsidP="009A7F87">
            <w:pPr>
              <w:pStyle w:val="TableBodyText"/>
              <w:keepNext w:val="0"/>
              <w:spacing w:before="60" w:after="60"/>
              <w:ind w:left="0"/>
              <w:jc w:val="both"/>
              <w:rPr>
                <w:i/>
              </w:rPr>
            </w:pPr>
            <w:r w:rsidRPr="002943CC">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180"/>
              <w:jc w:val="left"/>
              <w:rPr>
                <w:i/>
              </w:rPr>
            </w:pPr>
            <w:r w:rsidRPr="002943CC">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2008</w:t>
            </w:r>
            <w:r w:rsidRPr="002943CC">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2010</w:t>
            </w:r>
            <w:r w:rsidRPr="002943CC">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2012</w:t>
            </w:r>
            <w:r w:rsidRPr="002943CC">
              <w:rPr>
                <w:i/>
              </w:rPr>
              <w:noBreakHyphen/>
              <w:t>13 Estimates</w:t>
            </w:r>
          </w:p>
        </w:tc>
        <w:tc>
          <w:tcPr>
            <w:tcW w:w="583" w:type="pct"/>
            <w:tcBorders>
              <w:top w:val="single" w:sz="6" w:space="0" w:color="808080" w:themeColor="background1" w:themeShade="80"/>
              <w:bottom w:val="single" w:sz="6" w:space="0" w:color="808080" w:themeColor="background1" w:themeShade="80"/>
            </w:tcBorders>
          </w:tcPr>
          <w:p w:rsidR="009A7F87" w:rsidRPr="002943CC" w:rsidRDefault="009A7F87" w:rsidP="009A7F87">
            <w:pPr>
              <w:pStyle w:val="TableBodyText"/>
              <w:keepNext w:val="0"/>
              <w:spacing w:before="60" w:after="60"/>
              <w:ind w:left="2"/>
              <w:jc w:val="center"/>
              <w:rPr>
                <w:i/>
              </w:rPr>
            </w:pPr>
            <w:r w:rsidRPr="002943CC">
              <w:rPr>
                <w:i/>
              </w:rPr>
              <w:t>2015</w:t>
            </w:r>
            <w:r w:rsidRPr="002943CC">
              <w:rPr>
                <w:i/>
              </w:rPr>
              <w:noBreakHyphen/>
              <w:t>16 Estimates</w:t>
            </w:r>
          </w:p>
        </w:tc>
      </w:tr>
      <w:tr w:rsidR="009A7F87" w:rsidRPr="00770229"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 xml:space="preserve">‘Major city’ resident population </w:t>
            </w:r>
            <w:r w:rsidRPr="00770229">
              <w:br/>
              <w:t xml:space="preserve">(‘Inner regional’ for </w:t>
            </w:r>
            <w:proofErr w:type="spellStart"/>
            <w:r w:rsidRPr="00770229">
              <w:t>Tas</w:t>
            </w:r>
            <w:proofErr w:type="spellEnd"/>
            <w:r w:rsidRPr="00770229">
              <w:t>, ‘outer regional’ for NT)</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2F6316">
              <w:t>ABS</w:t>
            </w:r>
            <w:r w:rsidRPr="00770229">
              <w:t xml:space="preserve"> </w:t>
            </w:r>
            <w:r w:rsidRPr="00770229">
              <w:rPr>
                <w:i/>
              </w:rPr>
              <w:t>Estimates and Projections, Indigenous Australians, 2001  to 2021</w:t>
            </w:r>
            <w:r w:rsidRPr="00770229">
              <w:t xml:space="preserve"> (</w:t>
            </w:r>
            <w:r>
              <w:t>C</w:t>
            </w:r>
            <w:r w:rsidRPr="00770229">
              <w:t xml:space="preserve">at. no. 3238.0); </w:t>
            </w:r>
            <w:r w:rsidRPr="00770229">
              <w:rPr>
                <w:i/>
              </w:rPr>
              <w:t>Estimates of Aboriginal and Torres Strait Islander Australians, Jun 2011</w:t>
            </w:r>
            <w:r w:rsidRPr="00770229">
              <w:t xml:space="preserve"> </w:t>
            </w:r>
            <w:r>
              <w:br/>
            </w:r>
            <w:r w:rsidRPr="00770229">
              <w:t>(</w:t>
            </w:r>
            <w:r>
              <w:t>C</w:t>
            </w:r>
            <w:r w:rsidRPr="00770229">
              <w:t xml:space="preserve">at. no. 3238.0.55.001); </w:t>
            </w:r>
            <w:r w:rsidRPr="00770229">
              <w:rPr>
                <w:i/>
              </w:rPr>
              <w:t>Regional Population Growth, Australia</w:t>
            </w:r>
            <w:r w:rsidRPr="00770229">
              <w:t xml:space="preserve"> </w:t>
            </w:r>
            <w:r>
              <w:br/>
            </w:r>
            <w:r w:rsidRPr="00770229">
              <w:t>(</w:t>
            </w:r>
            <w:r>
              <w:t>C</w:t>
            </w:r>
            <w:r w:rsidRPr="00770229">
              <w:t>at. no. 3218.0)</w:t>
            </w:r>
          </w:p>
        </w:tc>
        <w:tc>
          <w:tcPr>
            <w:tcW w:w="584"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r>
              <w:br/>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tcBorders>
              <w:top w:val="single" w:sz="6" w:space="0" w:color="808080" w:themeColor="background1" w:themeShade="80"/>
              <w:bottom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1369A" w:rsidTr="00DE1DF1">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9A7F87">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26"/>
      </w:tblGrid>
      <w:tr w:rsidR="009A7F87" w:rsidRPr="00770229" w:rsidTr="00760FFA">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r>
            <w:r>
              <w:t>1223</w:t>
            </w:r>
            <w:r w:rsidRPr="00770229">
              <w:t xml:space="preserve"> Non</w:t>
            </w:r>
            <w:r w:rsidRPr="00770229">
              <w:noBreakHyphen/>
              <w:t>urban water transport services</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3"/>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i/>
              </w:rPr>
            </w:pPr>
            <w:r w:rsidRPr="00770229">
              <w:rPr>
                <w:i/>
              </w:rPr>
              <w:t>Ferries</w:t>
            </w:r>
          </w:p>
          <w:p w:rsidR="009A7F87" w:rsidRPr="00770229" w:rsidRDefault="009A7F87" w:rsidP="009A7F87">
            <w:pPr>
              <w:pStyle w:val="TableBodyText"/>
              <w:spacing w:before="40"/>
              <w:jc w:val="left"/>
            </w:pPr>
            <w:r w:rsidRPr="00770229">
              <w:t>The Australian, State and Territory governments subsidise non</w:t>
            </w:r>
            <w:r w:rsidRPr="00770229">
              <w:noBreakHyphen/>
              <w:t>urban passenger ferries services, which are generally operated by private providers or government trading enterprises. For example, the Spirit of Tasmania services provided by the Tasmanian government owned TT Line.</w:t>
            </w:r>
          </w:p>
          <w:p w:rsidR="009A7F87" w:rsidRPr="00770229" w:rsidRDefault="009A7F87" w:rsidP="009A7F87">
            <w:pPr>
              <w:pStyle w:val="TableBodyText"/>
              <w:spacing w:before="40"/>
              <w:jc w:val="left"/>
              <w:rPr>
                <w:i/>
              </w:rPr>
            </w:pPr>
            <w:r w:rsidRPr="00770229">
              <w:rPr>
                <w:i/>
              </w:rPr>
              <w:t>Operation of non</w:t>
            </w:r>
            <w:r>
              <w:rPr>
                <w:i/>
              </w:rPr>
              <w:noBreakHyphen/>
            </w:r>
            <w:r w:rsidRPr="00770229">
              <w:rPr>
                <w:i/>
              </w:rPr>
              <w:t>urban water transport ports</w:t>
            </w:r>
          </w:p>
          <w:p w:rsidR="009A7F87" w:rsidRPr="00770229" w:rsidRDefault="009A7F87" w:rsidP="009A7F87">
            <w:pPr>
              <w:pStyle w:val="TableBodyText"/>
              <w:spacing w:before="40"/>
              <w:jc w:val="left"/>
            </w:pPr>
            <w:r w:rsidRPr="00770229">
              <w:t>The Australian, State and Territory governments subsidise non</w:t>
            </w:r>
            <w:r w:rsidRPr="00770229">
              <w:noBreakHyphen/>
              <w:t>urban water transport ports, which are generally operated by private providers or government trading enterprises. For example, the Port Melbourne Corporation.</w:t>
            </w:r>
          </w:p>
          <w:p w:rsidR="009A7F87" w:rsidRPr="00770229" w:rsidRDefault="009A7F87" w:rsidP="009A7F87">
            <w:pPr>
              <w:pStyle w:val="TableBodyText"/>
              <w:spacing w:before="40"/>
              <w:jc w:val="left"/>
              <w:rPr>
                <w:i/>
              </w:rPr>
            </w:pPr>
            <w:r w:rsidRPr="00770229">
              <w:rPr>
                <w:i/>
              </w:rPr>
              <w:t>Water transport regulation and safety services</w:t>
            </w:r>
          </w:p>
          <w:p w:rsidR="009A7F87" w:rsidRPr="00770229" w:rsidRDefault="009A7F87" w:rsidP="009A7F87">
            <w:pPr>
              <w:pStyle w:val="TableBodyText"/>
              <w:spacing w:before="40"/>
              <w:jc w:val="left"/>
            </w:pPr>
            <w:r w:rsidRPr="00770229">
              <w:t>The Australian, State and Territory governments provide maritime regulation and safety services.</w:t>
            </w:r>
          </w:p>
          <w:p w:rsidR="009A7F87" w:rsidRPr="00770229" w:rsidRDefault="009A7F87" w:rsidP="009A7F87">
            <w:pPr>
              <w:pStyle w:val="TableBodyText"/>
              <w:jc w:val="left"/>
              <w:rPr>
                <w:b/>
                <w:sz w:val="24"/>
              </w:rPr>
            </w:pPr>
            <w:r w:rsidRPr="00770229">
              <w:rPr>
                <w:b/>
              </w:rPr>
              <w:t xml:space="preserve">A detailed definition of expenditure included under this </w:t>
            </w:r>
            <w:r>
              <w:rPr>
                <w:b/>
              </w:rPr>
              <w:t>category is provided in the 2017 Report Expenditure</w:t>
            </w:r>
            <w:r w:rsidRPr="00770229">
              <w:rPr>
                <w:b/>
              </w:rPr>
              <w:t xml:space="preserve"> Data Manual (</w:t>
            </w:r>
            <w:r w:rsidRPr="0021421E">
              <w:rPr>
                <w:b/>
              </w:rPr>
              <w:t>http://www.pc.gov.au/ier2017</w:t>
            </w:r>
            <w:r w:rsidRPr="00770229">
              <w:rPr>
                <w:b/>
              </w:rPr>
              <w:t>).</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sidRPr="00770229">
              <w:t>The key cost driver of expenditure on non</w:t>
            </w:r>
            <w:r w:rsidRPr="00770229">
              <w:noBreakHyphen/>
              <w:t>urban water transport services is the number of non</w:t>
            </w:r>
            <w:r w:rsidRPr="00770229">
              <w:noBreakHyphen/>
              <w:t xml:space="preserve">urban water transport service users. </w:t>
            </w:r>
          </w:p>
          <w:p w:rsidR="009A7F87" w:rsidRPr="00770229" w:rsidRDefault="009A7F87" w:rsidP="009A7F87">
            <w:pPr>
              <w:pStyle w:val="TableBodyText"/>
              <w:keepNext w:val="0"/>
              <w:keepLines w:val="0"/>
              <w:spacing w:before="80" w:after="80"/>
              <w:jc w:val="left"/>
              <w:rPr>
                <w:szCs w:val="26"/>
              </w:rPr>
            </w:pPr>
            <w:r w:rsidRPr="00770229">
              <w:t>As non</w:t>
            </w:r>
            <w:r w:rsidRPr="00770229">
              <w:noBreakHyphen/>
              <w:t>urban water transport services are available for use by the wider population, the costs associated with this expenditure are driven by the non</w:t>
            </w:r>
            <w:r w:rsidRPr="00770229">
              <w:noBreakHyphen/>
              <w:t>urban population on a uniform basis.</w:t>
            </w:r>
          </w:p>
        </w:tc>
      </w:tr>
      <w:tr w:rsidR="009A7F87" w:rsidRPr="00770229" w:rsidTr="00DE1DF1">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2943CC"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2943CC"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ColumnHeading"/>
              <w:keepNext w:val="0"/>
              <w:ind w:left="180"/>
              <w:jc w:val="left"/>
            </w:pPr>
          </w:p>
        </w:tc>
        <w:tc>
          <w:tcPr>
            <w:tcW w:w="2337" w:type="pct"/>
            <w:gridSpan w:val="5"/>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ColumnHeading"/>
              <w:keepNext w:val="0"/>
              <w:ind w:left="180"/>
              <w:jc w:val="center"/>
            </w:pPr>
            <w:r w:rsidRPr="002943CC">
              <w:t>Data Years</w:t>
            </w:r>
          </w:p>
        </w:tc>
      </w:tr>
      <w:tr w:rsidR="009A7F87" w:rsidRPr="002943CC"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2943CC" w:rsidRDefault="009A7F87" w:rsidP="009A7F87">
            <w:pPr>
              <w:pStyle w:val="TableBodyText"/>
              <w:keepNext w:val="0"/>
              <w:spacing w:before="60" w:after="60"/>
              <w:ind w:left="0"/>
              <w:jc w:val="both"/>
              <w:rPr>
                <w:i/>
              </w:rPr>
            </w:pPr>
            <w:r w:rsidRPr="002943CC">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180"/>
              <w:jc w:val="left"/>
              <w:rPr>
                <w:i/>
              </w:rPr>
            </w:pPr>
            <w:r w:rsidRPr="002943CC">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2008</w:t>
            </w:r>
            <w:r w:rsidRPr="002943CC">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2010</w:t>
            </w:r>
            <w:r w:rsidRPr="002943CC">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2012</w:t>
            </w:r>
            <w:r w:rsidRPr="002943CC">
              <w:rPr>
                <w:i/>
              </w:rPr>
              <w:noBreakHyphen/>
              <w:t>13 Estimates</w:t>
            </w:r>
          </w:p>
        </w:tc>
        <w:tc>
          <w:tcPr>
            <w:tcW w:w="583" w:type="pct"/>
            <w:tcBorders>
              <w:top w:val="single" w:sz="6" w:space="0" w:color="808080" w:themeColor="background1" w:themeShade="80"/>
              <w:bottom w:val="single" w:sz="6" w:space="0" w:color="808080" w:themeColor="background1" w:themeShade="80"/>
            </w:tcBorders>
          </w:tcPr>
          <w:p w:rsidR="009A7F87" w:rsidRPr="002943CC" w:rsidRDefault="009A7F87" w:rsidP="009A7F87">
            <w:pPr>
              <w:pStyle w:val="TableBodyText"/>
              <w:keepNext w:val="0"/>
              <w:spacing w:before="60" w:after="60"/>
              <w:ind w:left="2"/>
              <w:jc w:val="center"/>
              <w:rPr>
                <w:i/>
              </w:rPr>
            </w:pPr>
            <w:r w:rsidRPr="002943CC">
              <w:rPr>
                <w:i/>
              </w:rPr>
              <w:t>2015</w:t>
            </w:r>
            <w:r w:rsidRPr="002943CC">
              <w:rPr>
                <w:i/>
              </w:rPr>
              <w:noBreakHyphen/>
              <w:t>16 Estimates</w:t>
            </w:r>
          </w:p>
        </w:tc>
      </w:tr>
      <w:tr w:rsidR="009A7F87" w:rsidRPr="00770229"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 xml:space="preserve">Other than ‘major city' resident population (other than 'inner regional' for </w:t>
            </w:r>
            <w:proofErr w:type="spellStart"/>
            <w:r w:rsidRPr="00770229">
              <w:t>Tas</w:t>
            </w:r>
            <w:proofErr w:type="spellEnd"/>
            <w:r w:rsidRPr="00770229">
              <w:t xml:space="preserve"> &amp; 'outer regional' for NT)</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2F6316">
              <w:t>ABS</w:t>
            </w:r>
            <w:r w:rsidRPr="002F6316">
              <w:rPr>
                <w:i/>
              </w:rPr>
              <w:t xml:space="preserve"> Estimates and Projections, Indigenous Australians, 2001 to 2021</w:t>
            </w:r>
            <w:r w:rsidRPr="00770229">
              <w:rPr>
                <w:i/>
              </w:rPr>
              <w:t xml:space="preserve"> </w:t>
            </w:r>
            <w:r w:rsidRPr="002F6316">
              <w:t>(Cat. no. 3238.0);</w:t>
            </w:r>
            <w:r w:rsidRPr="00770229">
              <w:rPr>
                <w:i/>
              </w:rPr>
              <w:t xml:space="preserve">  </w:t>
            </w:r>
            <w:r w:rsidRPr="002F6316">
              <w:rPr>
                <w:i/>
              </w:rPr>
              <w:t>Estimates of Aboriginal and Torres Strait Islander Australians, Jun 2011</w:t>
            </w:r>
            <w:r>
              <w:rPr>
                <w:i/>
              </w:rPr>
              <w:br/>
            </w:r>
            <w:r w:rsidRPr="002F6316">
              <w:t>(Cat. no. 3238.0.55.001)</w:t>
            </w:r>
            <w:r w:rsidRPr="00770229">
              <w:rPr>
                <w:i/>
              </w:rPr>
              <w:t xml:space="preserve">; </w:t>
            </w:r>
            <w:r w:rsidRPr="002F6316">
              <w:rPr>
                <w:i/>
              </w:rPr>
              <w:t>Regional Population Growth, Australia</w:t>
            </w:r>
            <w:r w:rsidRPr="00770229">
              <w:t xml:space="preserve"> </w:t>
            </w:r>
            <w:r>
              <w:br/>
            </w:r>
            <w:r w:rsidRPr="002F6316">
              <w:t>(Cat. no. 3218.0)</w:t>
            </w:r>
          </w:p>
        </w:tc>
        <w:tc>
          <w:tcPr>
            <w:tcW w:w="584"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r>
              <w:br/>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tcBorders>
              <w:top w:val="single" w:sz="6" w:space="0" w:color="808080" w:themeColor="background1" w:themeShade="80"/>
              <w:bottom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1369A" w:rsidTr="00DE1DF1">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9A7F87">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26"/>
      </w:tblGrid>
      <w:tr w:rsidR="009A7F87" w:rsidRPr="00770229" w:rsidTr="00760FFA">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r>
            <w:r>
              <w:t>1231</w:t>
            </w:r>
            <w:r w:rsidRPr="00770229">
              <w:t xml:space="preserve"> Urban rail transport services</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3"/>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Urban rail services operate in all Australian capital cities except for Canberra and Hobart. These services are usually contracted out to private operators, who may also undertake construction activities on urban rail networks. Expenditure on administration, planning, and regulation of these operators is normally carried out by transport departments and authorities in each jurisdiction.</w:t>
            </w:r>
          </w:p>
          <w:p w:rsidR="009A7F87" w:rsidRPr="00770229" w:rsidRDefault="009A7F87" w:rsidP="009A7F87">
            <w:pPr>
              <w:pStyle w:val="TableBodyText"/>
              <w:jc w:val="left"/>
            </w:pPr>
            <w:r w:rsidRPr="00770229">
              <w:t>Governments provide rail concession entitlements to eligible groups through direct payments to the transport provider, which are then passed on to the service user in the form of a subsidised fare.</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21421E">
              <w:rPr>
                <w:b/>
              </w:rPr>
              <w:t>http://www.pc.gov.au/ier2017</w:t>
            </w:r>
            <w:r w:rsidRPr="00770229">
              <w:rPr>
                <w:b/>
              </w:rPr>
              <w:t>).</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The key cost driver of expenditure on urban rail transport services is the number of urban rail transport service users. </w:t>
            </w:r>
          </w:p>
          <w:p w:rsidR="009A7F87" w:rsidRPr="00770229" w:rsidRDefault="009A7F87" w:rsidP="009A7F87">
            <w:pPr>
              <w:pStyle w:val="TableBodyText"/>
              <w:keepNext w:val="0"/>
              <w:keepLines w:val="0"/>
              <w:spacing w:before="80" w:after="80"/>
              <w:jc w:val="left"/>
              <w:rPr>
                <w:szCs w:val="26"/>
              </w:rPr>
            </w:pPr>
            <w:r w:rsidRPr="00770229">
              <w:t>As urban rail transport services are available for use by the wider population, the costs associated with this expenditure are driven by the urban population on a uniform basis.</w:t>
            </w:r>
          </w:p>
        </w:tc>
      </w:tr>
      <w:tr w:rsidR="009A7F87" w:rsidRPr="00770229" w:rsidTr="00DE1DF1">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2943CC"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2943CC"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ColumnHeading"/>
              <w:keepNext w:val="0"/>
              <w:ind w:left="180"/>
              <w:jc w:val="left"/>
            </w:pPr>
          </w:p>
        </w:tc>
        <w:tc>
          <w:tcPr>
            <w:tcW w:w="2337" w:type="pct"/>
            <w:gridSpan w:val="5"/>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ColumnHeading"/>
              <w:keepNext w:val="0"/>
              <w:ind w:left="180"/>
              <w:jc w:val="center"/>
            </w:pPr>
            <w:r w:rsidRPr="002943CC">
              <w:t>Data Years</w:t>
            </w:r>
          </w:p>
        </w:tc>
      </w:tr>
      <w:tr w:rsidR="009A7F87" w:rsidRPr="002943CC"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2943CC" w:rsidRDefault="009A7F87" w:rsidP="009A7F87">
            <w:pPr>
              <w:pStyle w:val="TableBodyText"/>
              <w:keepNext w:val="0"/>
              <w:spacing w:before="60" w:after="60"/>
              <w:ind w:left="0"/>
              <w:jc w:val="both"/>
              <w:rPr>
                <w:i/>
              </w:rPr>
            </w:pPr>
            <w:r w:rsidRPr="002943CC">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180"/>
              <w:jc w:val="left"/>
              <w:rPr>
                <w:i/>
              </w:rPr>
            </w:pPr>
            <w:r w:rsidRPr="002943CC">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2008</w:t>
            </w:r>
            <w:r w:rsidRPr="002943CC">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2010</w:t>
            </w:r>
            <w:r w:rsidRPr="002943CC">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2012</w:t>
            </w:r>
            <w:r w:rsidRPr="002943CC">
              <w:rPr>
                <w:i/>
              </w:rPr>
              <w:noBreakHyphen/>
              <w:t>13 Estimates</w:t>
            </w:r>
          </w:p>
        </w:tc>
        <w:tc>
          <w:tcPr>
            <w:tcW w:w="583" w:type="pct"/>
            <w:tcBorders>
              <w:top w:val="single" w:sz="6" w:space="0" w:color="808080" w:themeColor="background1" w:themeShade="80"/>
              <w:bottom w:val="single" w:sz="6" w:space="0" w:color="808080" w:themeColor="background1" w:themeShade="80"/>
            </w:tcBorders>
          </w:tcPr>
          <w:p w:rsidR="009A7F87" w:rsidRPr="002943CC" w:rsidRDefault="009A7F87" w:rsidP="009A7F87">
            <w:pPr>
              <w:pStyle w:val="TableBodyText"/>
              <w:keepNext w:val="0"/>
              <w:spacing w:before="60" w:after="60"/>
              <w:ind w:left="2"/>
              <w:jc w:val="center"/>
              <w:rPr>
                <w:i/>
              </w:rPr>
            </w:pPr>
            <w:r w:rsidRPr="002943CC">
              <w:rPr>
                <w:i/>
              </w:rPr>
              <w:t>2015</w:t>
            </w:r>
            <w:r w:rsidRPr="002943CC">
              <w:rPr>
                <w:i/>
              </w:rPr>
              <w:noBreakHyphen/>
              <w:t>16 Estimates</w:t>
            </w:r>
          </w:p>
        </w:tc>
      </w:tr>
      <w:tr w:rsidR="009A7F87" w:rsidRPr="00770229"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 xml:space="preserve">‘Major city’ resident population </w:t>
            </w:r>
            <w:r w:rsidRPr="00770229">
              <w:br/>
              <w:t xml:space="preserve">(‘Inner regional’ for </w:t>
            </w:r>
            <w:proofErr w:type="spellStart"/>
            <w:r w:rsidRPr="00770229">
              <w:t>Tas</w:t>
            </w:r>
            <w:proofErr w:type="spellEnd"/>
            <w:r w:rsidRPr="00770229">
              <w:t>, ‘outer regional’ for NT)</w:t>
            </w:r>
          </w:p>
          <w:p w:rsidR="009A7F87" w:rsidRPr="00770229" w:rsidRDefault="009A7F87" w:rsidP="009A7F87">
            <w:pPr>
              <w:pStyle w:val="TableBodyText"/>
              <w:keepNext w:val="0"/>
              <w:spacing w:before="60" w:after="60"/>
              <w:ind w:left="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2F6316">
              <w:t>ABS</w:t>
            </w:r>
            <w:r w:rsidRPr="00770229">
              <w:t xml:space="preserve"> </w:t>
            </w:r>
            <w:r w:rsidRPr="002F6316">
              <w:rPr>
                <w:i/>
              </w:rPr>
              <w:t>Estimates and Projections, Indigenous Australians, 2001 to 2021</w:t>
            </w:r>
            <w:r w:rsidRPr="00770229">
              <w:t xml:space="preserve"> </w:t>
            </w:r>
            <w:r w:rsidRPr="002F6316">
              <w:t>(Cat. no. 3238.0)</w:t>
            </w:r>
            <w:r w:rsidRPr="00770229">
              <w:rPr>
                <w:i/>
              </w:rPr>
              <w:t>;</w:t>
            </w:r>
            <w:r w:rsidRPr="00770229">
              <w:t xml:space="preserve"> </w:t>
            </w:r>
            <w:r w:rsidRPr="002F6316">
              <w:rPr>
                <w:i/>
              </w:rPr>
              <w:t>Estimates of Aboriginal and Torres Strait Islander Australians, Jun 2011</w:t>
            </w:r>
            <w:r>
              <w:t xml:space="preserve"> </w:t>
            </w:r>
            <w:r>
              <w:br/>
              <w:t>(C</w:t>
            </w:r>
            <w:r w:rsidRPr="002F6316">
              <w:t>at. no. 3238.0.55.001)</w:t>
            </w:r>
            <w:r w:rsidRPr="00770229">
              <w:rPr>
                <w:i/>
              </w:rPr>
              <w:t>;</w:t>
            </w:r>
            <w:r w:rsidRPr="00770229">
              <w:t xml:space="preserve"> </w:t>
            </w:r>
            <w:r w:rsidRPr="002F6316">
              <w:rPr>
                <w:i/>
              </w:rPr>
              <w:t>Regional Population Growth, Australia</w:t>
            </w:r>
            <w:r w:rsidRPr="00770229">
              <w:t xml:space="preserve"> </w:t>
            </w:r>
            <w:r>
              <w:br/>
              <w:t>(C</w:t>
            </w:r>
            <w:r w:rsidRPr="002F6316">
              <w:t>at. no. 3218.0)</w:t>
            </w:r>
          </w:p>
        </w:tc>
        <w:tc>
          <w:tcPr>
            <w:tcW w:w="584"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r>
              <w:br/>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tcBorders>
              <w:top w:val="single" w:sz="6" w:space="0" w:color="808080" w:themeColor="background1" w:themeShade="80"/>
              <w:bottom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1369A" w:rsidTr="00DE1DF1">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9A7F87">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26"/>
      </w:tblGrid>
      <w:tr w:rsidR="009A7F87" w:rsidRPr="00770229" w:rsidTr="00760FFA">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r>
            <w:r>
              <w:t>1232</w:t>
            </w:r>
            <w:r w:rsidRPr="00770229">
              <w:t xml:space="preserve"> Non</w:t>
            </w:r>
            <w:r w:rsidRPr="00770229">
              <w:noBreakHyphen/>
              <w:t>urban rail transport freight services</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3"/>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Governments have made considerable investments in enhancing non</w:t>
            </w:r>
            <w:r w:rsidRPr="00770229">
              <w:noBreakHyphen/>
              <w:t>urban rail infrastructure for the purposes of rail freight. Included in these investments is Australian Government expenditure on the non</w:t>
            </w:r>
            <w:r w:rsidRPr="00770229">
              <w:noBreakHyphen/>
              <w:t>urban rail component of the Nation Building Program.</w:t>
            </w:r>
          </w:p>
          <w:p w:rsidR="009A7F87" w:rsidRPr="00770229" w:rsidRDefault="009A7F87" w:rsidP="009A7F87">
            <w:pPr>
              <w:pStyle w:val="TableBodyText"/>
              <w:jc w:val="left"/>
            </w:pPr>
            <w:r w:rsidRPr="00770229">
              <w:t>Also included as expenditure under this category are schemes that act to protect the non</w:t>
            </w:r>
            <w:r w:rsidRPr="00770229">
              <w:noBreakHyphen/>
              <w:t xml:space="preserve">urban rail industry through government regulation. </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21421E">
              <w:rPr>
                <w:b/>
              </w:rPr>
              <w:t>http://www.pc.gov.au/ier2017</w:t>
            </w:r>
            <w:r w:rsidRPr="00770229">
              <w:rPr>
                <w:b/>
              </w:rPr>
              <w:t>).</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The key cost driver of expenditure on non</w:t>
            </w:r>
            <w:r w:rsidRPr="00770229">
              <w:noBreakHyphen/>
              <w:t>urban rail transport freight transport services is the number of non</w:t>
            </w:r>
            <w:r w:rsidRPr="00770229">
              <w:noBreakHyphen/>
              <w:t xml:space="preserve">urban rail transport freight service users. </w:t>
            </w:r>
          </w:p>
          <w:p w:rsidR="009A7F87" w:rsidRPr="00770229" w:rsidRDefault="009A7F87" w:rsidP="009A7F87">
            <w:pPr>
              <w:pStyle w:val="TableBodyText"/>
              <w:keepNext w:val="0"/>
              <w:keepLines w:val="0"/>
              <w:spacing w:before="80" w:after="80"/>
              <w:jc w:val="left"/>
              <w:rPr>
                <w:szCs w:val="26"/>
              </w:rPr>
            </w:pPr>
            <w:r w:rsidRPr="00770229">
              <w:t>As non</w:t>
            </w:r>
            <w:r w:rsidRPr="00770229">
              <w:noBreakHyphen/>
              <w:t>urban rail transport freight services are available for use by the wider population, the costs associated with this expenditure are driven by the non</w:t>
            </w:r>
            <w:r w:rsidRPr="00770229">
              <w:noBreakHyphen/>
              <w:t>urban population on a uniform basis.</w:t>
            </w:r>
          </w:p>
        </w:tc>
      </w:tr>
      <w:tr w:rsidR="009A7F87" w:rsidRPr="00770229" w:rsidTr="00DE1DF1">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2943CC"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2943CC"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ColumnHeading"/>
              <w:keepNext w:val="0"/>
              <w:ind w:left="180"/>
              <w:jc w:val="left"/>
            </w:pPr>
          </w:p>
        </w:tc>
        <w:tc>
          <w:tcPr>
            <w:tcW w:w="2337" w:type="pct"/>
            <w:gridSpan w:val="5"/>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ColumnHeading"/>
              <w:keepNext w:val="0"/>
              <w:ind w:left="180"/>
              <w:jc w:val="center"/>
            </w:pPr>
            <w:r w:rsidRPr="002943CC">
              <w:t>Data Years</w:t>
            </w:r>
          </w:p>
        </w:tc>
      </w:tr>
      <w:tr w:rsidR="009A7F87" w:rsidRPr="002943CC"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2943CC" w:rsidRDefault="009A7F87" w:rsidP="009A7F87">
            <w:pPr>
              <w:pStyle w:val="TableBodyText"/>
              <w:keepNext w:val="0"/>
              <w:spacing w:before="60" w:after="60"/>
              <w:ind w:left="0"/>
              <w:jc w:val="both"/>
              <w:rPr>
                <w:i/>
              </w:rPr>
            </w:pPr>
            <w:r w:rsidRPr="002943CC">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180"/>
              <w:jc w:val="left"/>
              <w:rPr>
                <w:i/>
              </w:rPr>
            </w:pPr>
            <w:r w:rsidRPr="002943CC">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2008</w:t>
            </w:r>
            <w:r w:rsidRPr="002943CC">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2010</w:t>
            </w:r>
            <w:r w:rsidRPr="002943CC">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2012</w:t>
            </w:r>
            <w:r w:rsidRPr="002943CC">
              <w:rPr>
                <w:i/>
              </w:rPr>
              <w:noBreakHyphen/>
              <w:t>13 Estimates</w:t>
            </w:r>
          </w:p>
        </w:tc>
        <w:tc>
          <w:tcPr>
            <w:tcW w:w="583" w:type="pct"/>
            <w:tcBorders>
              <w:top w:val="single" w:sz="6" w:space="0" w:color="808080" w:themeColor="background1" w:themeShade="80"/>
              <w:bottom w:val="single" w:sz="6" w:space="0" w:color="808080" w:themeColor="background1" w:themeShade="80"/>
            </w:tcBorders>
          </w:tcPr>
          <w:p w:rsidR="009A7F87" w:rsidRPr="002943CC" w:rsidRDefault="009A7F87" w:rsidP="009A7F87">
            <w:pPr>
              <w:pStyle w:val="TableBodyText"/>
              <w:keepNext w:val="0"/>
              <w:spacing w:before="60" w:after="60"/>
              <w:ind w:left="2"/>
              <w:jc w:val="center"/>
              <w:rPr>
                <w:i/>
              </w:rPr>
            </w:pPr>
            <w:r w:rsidRPr="002943CC">
              <w:rPr>
                <w:i/>
              </w:rPr>
              <w:t>2015</w:t>
            </w:r>
            <w:r w:rsidRPr="002943CC">
              <w:rPr>
                <w:i/>
              </w:rPr>
              <w:noBreakHyphen/>
              <w:t>16 Estimates</w:t>
            </w:r>
          </w:p>
        </w:tc>
      </w:tr>
      <w:tr w:rsidR="009A7F87" w:rsidRPr="00770229"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 xml:space="preserve">Other than ‘major city' resident population (other than 'inner regional' for </w:t>
            </w:r>
            <w:proofErr w:type="spellStart"/>
            <w:r w:rsidRPr="00770229">
              <w:t>Tas</w:t>
            </w:r>
            <w:proofErr w:type="spellEnd"/>
            <w:r w:rsidRPr="00770229">
              <w:t xml:space="preserve"> &amp; 'outer regional' for NT) </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2F6316">
              <w:t>ABS</w:t>
            </w:r>
            <w:r w:rsidRPr="00770229">
              <w:t xml:space="preserve"> </w:t>
            </w:r>
            <w:r w:rsidRPr="002F6316">
              <w:rPr>
                <w:i/>
              </w:rPr>
              <w:t>Estimates and Projections, Indigenous Australians, 2001 to 2021</w:t>
            </w:r>
            <w:r w:rsidRPr="00770229">
              <w:rPr>
                <w:i/>
              </w:rPr>
              <w:t xml:space="preserve"> </w:t>
            </w:r>
            <w:r w:rsidRPr="002F6316">
              <w:t xml:space="preserve">(cat. no. 3238.0); </w:t>
            </w:r>
            <w:r w:rsidRPr="002F6316">
              <w:rPr>
                <w:i/>
              </w:rPr>
              <w:t>Estimates of Aboriginal and Torres Strait Islander Australians, Jun 2011</w:t>
            </w:r>
            <w:r>
              <w:rPr>
                <w:i/>
              </w:rPr>
              <w:br/>
            </w:r>
            <w:r w:rsidRPr="002F6316">
              <w:t>(Cat. no. 3238.0.55.001)</w:t>
            </w:r>
            <w:r w:rsidRPr="00770229">
              <w:rPr>
                <w:i/>
              </w:rPr>
              <w:t xml:space="preserve">; </w:t>
            </w:r>
            <w:r>
              <w:rPr>
                <w:i/>
              </w:rPr>
              <w:br/>
            </w:r>
            <w:r w:rsidRPr="002F6316">
              <w:rPr>
                <w:i/>
              </w:rPr>
              <w:t>Regional Population Growth, Australia</w:t>
            </w:r>
            <w:r w:rsidRPr="00770229">
              <w:t xml:space="preserve"> </w:t>
            </w:r>
            <w:r>
              <w:rPr>
                <w:i/>
              </w:rPr>
              <w:t>(C</w:t>
            </w:r>
            <w:r w:rsidRPr="00770229">
              <w:rPr>
                <w:i/>
              </w:rPr>
              <w:t>at. no. 3218.0)</w:t>
            </w:r>
          </w:p>
        </w:tc>
        <w:tc>
          <w:tcPr>
            <w:tcW w:w="584"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r>
              <w:br/>
            </w:r>
          </w:p>
          <w:p w:rsidR="009A7F87" w:rsidRPr="00770229" w:rsidRDefault="009A7F87" w:rsidP="009A7F87">
            <w:pPr>
              <w:pStyle w:val="TableBodyText"/>
              <w:keepNext w:val="0"/>
              <w:spacing w:before="60" w:after="60"/>
              <w:ind w:left="2"/>
              <w:jc w:val="center"/>
            </w:pPr>
            <w:r>
              <w:br/>
            </w:r>
          </w:p>
        </w:tc>
        <w:tc>
          <w:tcPr>
            <w:tcW w:w="585" w:type="pct"/>
            <w:gridSpan w:val="2"/>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r>
              <w:br/>
            </w:r>
          </w:p>
        </w:tc>
        <w:tc>
          <w:tcPr>
            <w:tcW w:w="585"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r>
              <w:br/>
            </w:r>
          </w:p>
        </w:tc>
        <w:tc>
          <w:tcPr>
            <w:tcW w:w="583" w:type="pct"/>
            <w:tcBorders>
              <w:top w:val="single" w:sz="6" w:space="0" w:color="808080" w:themeColor="background1" w:themeShade="80"/>
              <w:bottom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r>
              <w:br/>
            </w:r>
          </w:p>
        </w:tc>
      </w:tr>
      <w:tr w:rsidR="009A7F87" w:rsidRPr="0071369A" w:rsidTr="00DE1DF1">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9A7F87">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26"/>
      </w:tblGrid>
      <w:tr w:rsidR="009A7F87" w:rsidRPr="00770229" w:rsidTr="00760FFA">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r>
            <w:r>
              <w:t>1233</w:t>
            </w:r>
            <w:r w:rsidRPr="00770229">
              <w:t xml:space="preserve"> Non</w:t>
            </w:r>
            <w:r w:rsidRPr="00770229">
              <w:noBreakHyphen/>
              <w:t>urban rail transport passenger services</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3"/>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The Australian, State and Territory governments provide a range of regulation, support and operation of non</w:t>
            </w:r>
            <w:r w:rsidRPr="00770229">
              <w:noBreakHyphen/>
              <w:t>urban rail transport passenger facilities services.</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21421E">
              <w:rPr>
                <w:b/>
              </w:rPr>
              <w:t>http://www.pc.gov.au/ier2017</w:t>
            </w:r>
            <w:r w:rsidRPr="00770229">
              <w:rPr>
                <w:b/>
              </w:rPr>
              <w:t>).</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The key cost driver of expenditure on non</w:t>
            </w:r>
            <w:r w:rsidRPr="00770229">
              <w:noBreakHyphen/>
              <w:t>urban rail transport passenger services is the number of non</w:t>
            </w:r>
            <w:r w:rsidRPr="00770229">
              <w:noBreakHyphen/>
              <w:t xml:space="preserve">urban rail transport passengers. </w:t>
            </w:r>
          </w:p>
          <w:p w:rsidR="009A7F87" w:rsidRPr="00770229" w:rsidRDefault="009A7F87" w:rsidP="009A7F87">
            <w:pPr>
              <w:pStyle w:val="TableBodyText"/>
              <w:keepNext w:val="0"/>
              <w:keepLines w:val="0"/>
              <w:spacing w:before="80" w:after="80"/>
              <w:jc w:val="left"/>
              <w:rPr>
                <w:szCs w:val="26"/>
              </w:rPr>
            </w:pPr>
            <w:r w:rsidRPr="00770229">
              <w:t>As non</w:t>
            </w:r>
            <w:r w:rsidRPr="00770229">
              <w:noBreakHyphen/>
              <w:t>urban rail transport passenger services are available for use by the wider population, the costs associated with this expenditure are driven by the non</w:t>
            </w:r>
            <w:r w:rsidRPr="00770229">
              <w:noBreakHyphen/>
              <w:t>urban population on a uniform basis.</w:t>
            </w:r>
          </w:p>
        </w:tc>
      </w:tr>
      <w:tr w:rsidR="009A7F87" w:rsidRPr="00770229" w:rsidTr="00DE1DF1">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2943CC"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2943CC"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ColumnHeading"/>
              <w:keepNext w:val="0"/>
              <w:ind w:left="180"/>
              <w:jc w:val="left"/>
            </w:pPr>
          </w:p>
        </w:tc>
        <w:tc>
          <w:tcPr>
            <w:tcW w:w="2337" w:type="pct"/>
            <w:gridSpan w:val="5"/>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ColumnHeading"/>
              <w:keepNext w:val="0"/>
              <w:ind w:left="180"/>
              <w:jc w:val="center"/>
            </w:pPr>
            <w:r w:rsidRPr="002943CC">
              <w:t>Data Years</w:t>
            </w:r>
          </w:p>
        </w:tc>
      </w:tr>
      <w:tr w:rsidR="009A7F87" w:rsidRPr="002943CC"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2943CC" w:rsidRDefault="009A7F87" w:rsidP="009A7F87">
            <w:pPr>
              <w:pStyle w:val="TableBodyText"/>
              <w:keepNext w:val="0"/>
              <w:spacing w:before="60" w:after="60"/>
              <w:ind w:left="0"/>
              <w:jc w:val="both"/>
              <w:rPr>
                <w:i/>
              </w:rPr>
            </w:pPr>
            <w:r w:rsidRPr="002943CC">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180"/>
              <w:jc w:val="left"/>
              <w:rPr>
                <w:i/>
              </w:rPr>
            </w:pPr>
            <w:r w:rsidRPr="002943CC">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2008</w:t>
            </w:r>
            <w:r w:rsidRPr="002943CC">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2010</w:t>
            </w:r>
            <w:r w:rsidRPr="002943CC">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2012</w:t>
            </w:r>
            <w:r w:rsidRPr="002943CC">
              <w:rPr>
                <w:i/>
              </w:rPr>
              <w:noBreakHyphen/>
              <w:t>13 Estimates</w:t>
            </w:r>
          </w:p>
        </w:tc>
        <w:tc>
          <w:tcPr>
            <w:tcW w:w="583" w:type="pct"/>
            <w:tcBorders>
              <w:top w:val="single" w:sz="6" w:space="0" w:color="808080" w:themeColor="background1" w:themeShade="80"/>
              <w:bottom w:val="single" w:sz="6" w:space="0" w:color="808080" w:themeColor="background1" w:themeShade="80"/>
            </w:tcBorders>
          </w:tcPr>
          <w:p w:rsidR="009A7F87" w:rsidRPr="002943CC" w:rsidRDefault="009A7F87" w:rsidP="009A7F87">
            <w:pPr>
              <w:pStyle w:val="TableBodyText"/>
              <w:keepNext w:val="0"/>
              <w:spacing w:before="60" w:after="60"/>
              <w:ind w:left="2"/>
              <w:jc w:val="center"/>
              <w:rPr>
                <w:i/>
              </w:rPr>
            </w:pPr>
            <w:r w:rsidRPr="002943CC">
              <w:rPr>
                <w:i/>
              </w:rPr>
              <w:t>2015</w:t>
            </w:r>
            <w:r w:rsidRPr="002943CC">
              <w:rPr>
                <w:i/>
              </w:rPr>
              <w:noBreakHyphen/>
              <w:t>16 Estimates</w:t>
            </w:r>
          </w:p>
        </w:tc>
      </w:tr>
      <w:tr w:rsidR="009A7F87" w:rsidRPr="00770229"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 xml:space="preserve">Other than ‘major city' resident population (other than 'inner regional' for </w:t>
            </w:r>
            <w:proofErr w:type="spellStart"/>
            <w:r w:rsidRPr="00770229">
              <w:t>Tas</w:t>
            </w:r>
            <w:proofErr w:type="spellEnd"/>
            <w:r w:rsidRPr="00770229">
              <w:t xml:space="preserve"> &amp; 'outer regional' for NT)</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2F6316" w:rsidRDefault="009A7F87" w:rsidP="009A7F87">
            <w:pPr>
              <w:pStyle w:val="TableBodyText"/>
              <w:keepNext w:val="0"/>
              <w:spacing w:before="60" w:after="60"/>
              <w:ind w:left="180"/>
              <w:jc w:val="left"/>
            </w:pPr>
            <w:r w:rsidRPr="002F6316">
              <w:t xml:space="preserve">ABS </w:t>
            </w:r>
            <w:r w:rsidRPr="002F6316">
              <w:rPr>
                <w:i/>
              </w:rPr>
              <w:t>Estimates and Projections, Indigenous Australians, 2001 to 2021</w:t>
            </w:r>
            <w:r>
              <w:t xml:space="preserve"> (C</w:t>
            </w:r>
            <w:r w:rsidRPr="002F6316">
              <w:t xml:space="preserve">at. no. 3238.0); </w:t>
            </w:r>
            <w:r w:rsidRPr="002F6316">
              <w:rPr>
                <w:i/>
              </w:rPr>
              <w:t>Estimates of Aboriginal and Torres Strait Islander Australians, Jun 2011</w:t>
            </w:r>
            <w:r>
              <w:t xml:space="preserve"> </w:t>
            </w:r>
            <w:r>
              <w:br/>
              <w:t>(C</w:t>
            </w:r>
            <w:r w:rsidRPr="002F6316">
              <w:t xml:space="preserve">at. no. 3238.0.55.001); </w:t>
            </w:r>
            <w:r>
              <w:br/>
            </w:r>
            <w:r w:rsidRPr="002F6316">
              <w:rPr>
                <w:i/>
              </w:rPr>
              <w:t>Regional Population Growth, Australia</w:t>
            </w:r>
            <w:r w:rsidRPr="002F6316">
              <w:t xml:space="preserve"> </w:t>
            </w:r>
            <w:r>
              <w:t>(C</w:t>
            </w:r>
            <w:r w:rsidRPr="002F6316">
              <w:t>at. no. 3218.0)</w:t>
            </w:r>
          </w:p>
        </w:tc>
        <w:tc>
          <w:tcPr>
            <w:tcW w:w="584"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r>
              <w:br/>
            </w:r>
          </w:p>
          <w:p w:rsidR="009A7F87" w:rsidRPr="00770229" w:rsidRDefault="009A7F87" w:rsidP="009A7F87">
            <w:pPr>
              <w:pStyle w:val="TableBodyText"/>
              <w:keepNext w:val="0"/>
              <w:spacing w:before="60" w:after="60"/>
              <w:ind w:left="2"/>
              <w:jc w:val="center"/>
            </w:pPr>
            <w:r>
              <w:br/>
            </w:r>
          </w:p>
        </w:tc>
        <w:tc>
          <w:tcPr>
            <w:tcW w:w="585" w:type="pct"/>
            <w:gridSpan w:val="2"/>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r>
              <w:br/>
            </w:r>
          </w:p>
        </w:tc>
        <w:tc>
          <w:tcPr>
            <w:tcW w:w="585"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r>
              <w:br/>
            </w:r>
          </w:p>
        </w:tc>
        <w:tc>
          <w:tcPr>
            <w:tcW w:w="583" w:type="pct"/>
            <w:tcBorders>
              <w:top w:val="single" w:sz="6" w:space="0" w:color="808080" w:themeColor="background1" w:themeShade="80"/>
              <w:bottom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r>
              <w:br/>
            </w:r>
          </w:p>
        </w:tc>
      </w:tr>
      <w:tr w:rsidR="009A7F87" w:rsidRPr="0071369A" w:rsidTr="00DE1DF1">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9A7F87">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r>
            <w:r w:rsidRPr="00D03992">
              <w:t>124</w:t>
            </w:r>
            <w:r w:rsidRPr="00770229">
              <w:t xml:space="preserve"> Air transport</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jc w:val="left"/>
            </w:pPr>
            <w:r w:rsidRPr="00770229">
              <w:t>Government services include activities such as:</w:t>
            </w:r>
          </w:p>
          <w:p w:rsidR="009A7F87" w:rsidRPr="00770229" w:rsidRDefault="009A7F87" w:rsidP="009A7F87">
            <w:pPr>
              <w:pStyle w:val="TableBullet"/>
              <w:numPr>
                <w:ilvl w:val="0"/>
                <w:numId w:val="24"/>
              </w:numPr>
              <w:spacing w:line="220" w:lineRule="atLeast"/>
            </w:pPr>
            <w:r w:rsidRPr="00770229">
              <w:t>airport planning, development and land use</w:t>
            </w:r>
          </w:p>
          <w:p w:rsidR="009A7F87" w:rsidRPr="00770229" w:rsidRDefault="009A7F87" w:rsidP="009A7F87">
            <w:pPr>
              <w:pStyle w:val="TableBullet"/>
              <w:numPr>
                <w:ilvl w:val="0"/>
                <w:numId w:val="24"/>
              </w:numPr>
              <w:spacing w:line="220" w:lineRule="atLeast"/>
            </w:pPr>
            <w:r w:rsidRPr="00770229">
              <w:t>airport insurance compliance</w:t>
            </w:r>
          </w:p>
          <w:p w:rsidR="009A7F87" w:rsidRPr="00770229" w:rsidRDefault="009A7F87" w:rsidP="009A7F87">
            <w:pPr>
              <w:pStyle w:val="TableBullet"/>
              <w:numPr>
                <w:ilvl w:val="0"/>
                <w:numId w:val="24"/>
              </w:numPr>
              <w:spacing w:line="220" w:lineRule="atLeast"/>
            </w:pPr>
            <w:r w:rsidRPr="00770229">
              <w:t>airport environment and building control regulation</w:t>
            </w:r>
          </w:p>
          <w:p w:rsidR="009A7F87" w:rsidRPr="00770229" w:rsidRDefault="009A7F87" w:rsidP="009A7F87">
            <w:pPr>
              <w:pStyle w:val="TableBullet"/>
              <w:numPr>
                <w:ilvl w:val="0"/>
                <w:numId w:val="24"/>
              </w:numPr>
              <w:spacing w:line="220" w:lineRule="atLeast"/>
              <w:rPr>
                <w:b/>
              </w:rPr>
            </w:pPr>
            <w:r w:rsidRPr="00770229">
              <w:t>payment of government rates and taxes.</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21421E">
              <w:rPr>
                <w:b/>
              </w:rPr>
              <w:t>http://www.pc.gov.au/ier2017</w:t>
            </w:r>
            <w:r w:rsidRPr="00770229">
              <w:rPr>
                <w:b/>
              </w:rPr>
              <w:t>).</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The key cost driver of expenditure on other air transport services is the number of air transport users. </w:t>
            </w:r>
          </w:p>
          <w:p w:rsidR="009A7F87" w:rsidRPr="00770229" w:rsidRDefault="009A7F87" w:rsidP="009A7F87">
            <w:pPr>
              <w:pStyle w:val="TableBodyText"/>
              <w:keepNext w:val="0"/>
              <w:keepLines w:val="0"/>
              <w:spacing w:before="80" w:after="80"/>
              <w:jc w:val="left"/>
              <w:rPr>
                <w:szCs w:val="26"/>
              </w:rPr>
            </w:pPr>
            <w:r w:rsidRPr="00770229">
              <w:t>As air transport services are available for use by the wider population, the costs associated with this expenditure are driven by the population on a uniform basis.</w:t>
            </w:r>
          </w:p>
        </w:tc>
      </w:tr>
      <w:tr w:rsidR="009A7F87" w:rsidRPr="00770229" w:rsidTr="00DE1DF1">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2943CC"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2943CC"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ColumnHeading"/>
              <w:keepNext w:val="0"/>
              <w:ind w:left="180"/>
              <w:jc w:val="center"/>
            </w:pPr>
            <w:r w:rsidRPr="002943CC">
              <w:t>Data Years</w:t>
            </w:r>
          </w:p>
        </w:tc>
      </w:tr>
      <w:tr w:rsidR="009A7F87" w:rsidRPr="002943CC"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2943CC" w:rsidRDefault="009A7F87" w:rsidP="009A7F87">
            <w:pPr>
              <w:pStyle w:val="TableBodyText"/>
              <w:keepNext w:val="0"/>
              <w:spacing w:before="60" w:after="60"/>
              <w:ind w:left="0"/>
              <w:jc w:val="both"/>
              <w:rPr>
                <w:rStyle w:val="NoteLabel"/>
                <w:i/>
              </w:rPr>
            </w:pPr>
            <w:r w:rsidRPr="002943CC">
              <w:rPr>
                <w:i/>
              </w:rPr>
              <w:br/>
              <w:t>Measure</w:t>
            </w:r>
            <w:r w:rsidRPr="00944F69">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180"/>
              <w:jc w:val="left"/>
              <w:rPr>
                <w:i/>
              </w:rPr>
            </w:pPr>
            <w:r w:rsidRPr="002943CC">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2008</w:t>
            </w:r>
            <w:r w:rsidRPr="002943CC">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2010</w:t>
            </w:r>
            <w:r w:rsidRPr="002943CC">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2012</w:t>
            </w:r>
            <w:r w:rsidRPr="002943CC">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2943CC" w:rsidRDefault="009A7F87" w:rsidP="009A7F87">
            <w:pPr>
              <w:pStyle w:val="TableBodyText"/>
              <w:keepNext w:val="0"/>
              <w:spacing w:before="60" w:after="60"/>
              <w:ind w:left="2"/>
              <w:jc w:val="center"/>
              <w:rPr>
                <w:i/>
              </w:rPr>
            </w:pPr>
            <w:r w:rsidRPr="002943CC">
              <w:rPr>
                <w:i/>
              </w:rPr>
              <w:t>2015</w:t>
            </w:r>
            <w:r w:rsidRPr="002943CC">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w:t>
            </w:r>
            <w:r>
              <w:br/>
            </w:r>
            <w:r w:rsidRPr="00770229">
              <w:t>(Cat.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0"/>
              <w:jc w:val="left"/>
            </w:pPr>
            <w:r>
              <w:br/>
            </w: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0"/>
              <w:jc w:val="left"/>
            </w:pPr>
            <w:r>
              <w:br/>
            </w: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0"/>
              <w:jc w:val="left"/>
            </w:pPr>
            <w:r>
              <w:br/>
            </w: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0"/>
              <w:jc w:val="left"/>
            </w:pPr>
            <w:r>
              <w:br/>
            </w: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2F6316">
              <w:t>(Cat. no. 3101.0)</w:t>
            </w:r>
          </w:p>
        </w:tc>
        <w:tc>
          <w:tcPr>
            <w:tcW w:w="584" w:type="pct"/>
            <w:tcBorders>
              <w:bottom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r>
              <w:br/>
            </w:r>
          </w:p>
        </w:tc>
        <w:tc>
          <w:tcPr>
            <w:tcW w:w="585" w:type="pct"/>
            <w:gridSpan w:val="2"/>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r>
              <w:br/>
            </w:r>
          </w:p>
        </w:tc>
        <w:tc>
          <w:tcPr>
            <w:tcW w:w="585" w:type="pct"/>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r>
              <w:br/>
            </w:r>
          </w:p>
        </w:tc>
        <w:tc>
          <w:tcPr>
            <w:tcW w:w="583" w:type="pct"/>
            <w:gridSpan w:val="2"/>
            <w:tcBorders>
              <w:bottom w:val="single" w:sz="4" w:space="0" w:color="808080" w:themeColor="background1" w:themeShade="80"/>
            </w:tcBorders>
            <w:vAlign w:val="center"/>
          </w:tcPr>
          <w:p w:rsidR="009A7F87" w:rsidRDefault="009A7F87" w:rsidP="009A7F87">
            <w:pPr>
              <w:pStyle w:val="TableBodyText"/>
              <w:spacing w:before="60" w:after="60"/>
              <w:ind w:left="2"/>
              <w:jc w:val="center"/>
            </w:pPr>
            <w:r>
              <w:t>June 2016</w:t>
            </w: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C912A0" w:rsidRDefault="009A7F87" w:rsidP="009A7F87">
            <w:pPr>
              <w:pStyle w:val="TableBodyText"/>
              <w:keepNext w:val="0"/>
              <w:keepLines w:val="0"/>
              <w:spacing w:before="80" w:after="80"/>
              <w:jc w:val="both"/>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9A7F87">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r>
            <w:r>
              <w:t>1250</w:t>
            </w:r>
            <w:r w:rsidRPr="00770229">
              <w:t xml:space="preserve"> Pipelines</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Governments provide services in relation to pipelines, which transport resources from their source, to wholesalers and retailers.</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21421E">
              <w:rPr>
                <w:b/>
              </w:rPr>
              <w:t>http://www.pc.gov.au/ier2017</w:t>
            </w:r>
            <w:r w:rsidRPr="00770229">
              <w:rPr>
                <w:b/>
              </w:rPr>
              <w:t>).</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sidRPr="00770229">
              <w:t xml:space="preserve">The key cost drivers of expenditure on pipelines are varied and cannot be linked closely with a particular service area or cohort of service users. </w:t>
            </w:r>
          </w:p>
          <w:p w:rsidR="009A7F87" w:rsidRPr="00770229" w:rsidRDefault="009A7F87" w:rsidP="009A7F87">
            <w:pPr>
              <w:pStyle w:val="TableBodyText"/>
              <w:keepNext w:val="0"/>
              <w:keepLines w:val="0"/>
              <w:spacing w:before="80" w:after="80"/>
              <w:jc w:val="left"/>
              <w:rPr>
                <w:szCs w:val="26"/>
              </w:rPr>
            </w:pPr>
            <w:r w:rsidRPr="00770229">
              <w:t>It is assumed that the costs associated with this expenditure are driven by the population on a uniform basis.</w:t>
            </w:r>
          </w:p>
        </w:tc>
      </w:tr>
      <w:tr w:rsidR="009A7F87" w:rsidRPr="00770229" w:rsidTr="00DE1DF1">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2943CC"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2943CC"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ColumnHeading"/>
              <w:keepNext w:val="0"/>
              <w:ind w:left="180"/>
              <w:jc w:val="center"/>
            </w:pPr>
            <w:r w:rsidRPr="002943CC">
              <w:t>Data Years</w:t>
            </w:r>
          </w:p>
        </w:tc>
      </w:tr>
      <w:tr w:rsidR="009A7F87" w:rsidRPr="002943CC"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265A9A" w:themeColor="background2"/>
            </w:tcBorders>
            <w:shd w:val="clear" w:color="auto" w:fill="auto"/>
            <w:tcMar>
              <w:top w:w="57" w:type="dxa"/>
              <w:left w:w="113" w:type="dxa"/>
            </w:tcMar>
          </w:tcPr>
          <w:p w:rsidR="009A7F87" w:rsidRPr="002943CC" w:rsidRDefault="009A7F87" w:rsidP="009A7F87">
            <w:pPr>
              <w:pStyle w:val="TableBodyText"/>
              <w:keepNext w:val="0"/>
              <w:spacing w:before="60" w:after="60"/>
              <w:ind w:left="0"/>
              <w:jc w:val="both"/>
              <w:rPr>
                <w:rStyle w:val="NoteLabel"/>
                <w:i/>
              </w:rPr>
            </w:pPr>
            <w:r w:rsidRPr="002943CC">
              <w:rPr>
                <w:i/>
              </w:rPr>
              <w:br/>
              <w:t>Measure</w:t>
            </w:r>
            <w:r w:rsidRPr="005A6681">
              <w:rPr>
                <w:rStyle w:val="NoteLabel"/>
              </w:rPr>
              <w:t>a</w:t>
            </w:r>
          </w:p>
        </w:tc>
        <w:tc>
          <w:tcPr>
            <w:tcW w:w="1814" w:type="pct"/>
            <w:tcBorders>
              <w:top w:val="single" w:sz="6" w:space="0" w:color="808080" w:themeColor="background1" w:themeShade="80"/>
              <w:bottom w:val="single" w:sz="6" w:space="0" w:color="265A9A" w:themeColor="background2"/>
            </w:tcBorders>
            <w:shd w:val="clear" w:color="auto" w:fill="auto"/>
          </w:tcPr>
          <w:p w:rsidR="009A7F87" w:rsidRPr="002943CC" w:rsidRDefault="009A7F87" w:rsidP="009A7F87">
            <w:pPr>
              <w:pStyle w:val="TableBodyText"/>
              <w:keepNext w:val="0"/>
              <w:spacing w:before="60" w:after="60"/>
              <w:ind w:left="180"/>
              <w:jc w:val="left"/>
              <w:rPr>
                <w:i/>
              </w:rPr>
            </w:pPr>
            <w:r w:rsidRPr="002943CC">
              <w:rPr>
                <w:i/>
              </w:rPr>
              <w:br/>
              <w:t>Data source</w:t>
            </w:r>
          </w:p>
        </w:tc>
        <w:tc>
          <w:tcPr>
            <w:tcW w:w="584" w:type="pct"/>
            <w:tcBorders>
              <w:top w:val="single" w:sz="6" w:space="0" w:color="808080" w:themeColor="background1" w:themeShade="80"/>
              <w:bottom w:val="single" w:sz="6" w:space="0" w:color="265A9A" w:themeColor="background2"/>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2008</w:t>
            </w:r>
            <w:r w:rsidRPr="002943CC">
              <w:rPr>
                <w:i/>
              </w:rPr>
              <w:noBreakHyphen/>
              <w:t>09 Estimates</w:t>
            </w:r>
          </w:p>
        </w:tc>
        <w:tc>
          <w:tcPr>
            <w:tcW w:w="585" w:type="pct"/>
            <w:gridSpan w:val="2"/>
            <w:tcBorders>
              <w:top w:val="single" w:sz="6" w:space="0" w:color="808080" w:themeColor="background1" w:themeShade="80"/>
              <w:bottom w:val="single" w:sz="6" w:space="0" w:color="265A9A" w:themeColor="background2"/>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2010</w:t>
            </w:r>
            <w:r w:rsidRPr="002943CC">
              <w:rPr>
                <w:i/>
              </w:rPr>
              <w:noBreakHyphen/>
              <w:t>11 Estimates</w:t>
            </w:r>
          </w:p>
        </w:tc>
        <w:tc>
          <w:tcPr>
            <w:tcW w:w="585" w:type="pct"/>
            <w:tcBorders>
              <w:top w:val="single" w:sz="6" w:space="0" w:color="808080" w:themeColor="background1" w:themeShade="80"/>
              <w:bottom w:val="single" w:sz="6" w:space="0" w:color="265A9A" w:themeColor="background2"/>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2012</w:t>
            </w:r>
            <w:r w:rsidRPr="002943CC">
              <w:rPr>
                <w:i/>
              </w:rPr>
              <w:noBreakHyphen/>
              <w:t>13 Estimates</w:t>
            </w:r>
          </w:p>
        </w:tc>
        <w:tc>
          <w:tcPr>
            <w:tcW w:w="583" w:type="pct"/>
            <w:gridSpan w:val="2"/>
            <w:tcBorders>
              <w:top w:val="single" w:sz="6" w:space="0" w:color="808080" w:themeColor="background1" w:themeShade="80"/>
              <w:bottom w:val="single" w:sz="6" w:space="0" w:color="265A9A" w:themeColor="background2"/>
            </w:tcBorders>
          </w:tcPr>
          <w:p w:rsidR="009A7F87" w:rsidRPr="002943CC" w:rsidRDefault="009A7F87" w:rsidP="009A7F87">
            <w:pPr>
              <w:pStyle w:val="TableBodyText"/>
              <w:keepNext w:val="0"/>
              <w:spacing w:before="60" w:after="60"/>
              <w:ind w:left="2"/>
              <w:jc w:val="center"/>
              <w:rPr>
                <w:i/>
              </w:rPr>
            </w:pPr>
            <w:r w:rsidRPr="002943CC">
              <w:rPr>
                <w:i/>
              </w:rPr>
              <w:t>2015</w:t>
            </w:r>
            <w:r w:rsidRPr="002943CC">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265A9A" w:themeColor="background2"/>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265A9A" w:themeColor="background2"/>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w:t>
            </w:r>
            <w:r>
              <w:br/>
            </w:r>
            <w:r w:rsidRPr="00770229">
              <w:t>(Cat. no. 3238.0)</w:t>
            </w:r>
          </w:p>
        </w:tc>
        <w:tc>
          <w:tcPr>
            <w:tcW w:w="584" w:type="pct"/>
            <w:tcBorders>
              <w:top w:val="single" w:sz="6" w:space="0" w:color="265A9A" w:themeColor="background2"/>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Pr="00770229" w:rsidRDefault="009A7F87" w:rsidP="009A7F87">
            <w:pPr>
              <w:pStyle w:val="TableBodyText"/>
              <w:keepNext w:val="0"/>
              <w:spacing w:before="60" w:after="60"/>
              <w:ind w:left="0"/>
              <w:jc w:val="left"/>
            </w:pPr>
            <w:r>
              <w:br/>
            </w:r>
          </w:p>
        </w:tc>
        <w:tc>
          <w:tcPr>
            <w:tcW w:w="585" w:type="pct"/>
            <w:gridSpan w:val="2"/>
            <w:tcBorders>
              <w:top w:val="single" w:sz="6" w:space="0" w:color="265A9A" w:themeColor="background2"/>
            </w:tcBorders>
            <w:shd w:val="clear" w:color="auto" w:fill="auto"/>
            <w:vAlign w:val="center"/>
          </w:tcPr>
          <w:p w:rsidR="009A7F87" w:rsidRDefault="009A7F87" w:rsidP="009A7F87">
            <w:pPr>
              <w:pStyle w:val="TableBodyText"/>
              <w:spacing w:before="60" w:after="60"/>
              <w:ind w:left="2"/>
              <w:jc w:val="center"/>
            </w:pPr>
            <w:r>
              <w:t>June 2011</w:t>
            </w:r>
            <w:r>
              <w:br/>
            </w:r>
          </w:p>
          <w:p w:rsidR="009A7F87" w:rsidRPr="00770229" w:rsidRDefault="009A7F87" w:rsidP="009A7F87">
            <w:pPr>
              <w:pStyle w:val="TableBodyText"/>
              <w:spacing w:before="60" w:after="60"/>
              <w:ind w:left="2"/>
              <w:jc w:val="center"/>
            </w:pPr>
          </w:p>
        </w:tc>
        <w:tc>
          <w:tcPr>
            <w:tcW w:w="585" w:type="pct"/>
            <w:tcBorders>
              <w:top w:val="single" w:sz="6" w:space="0" w:color="265A9A" w:themeColor="background2"/>
            </w:tcBorders>
            <w:shd w:val="clear" w:color="auto" w:fill="auto"/>
            <w:vAlign w:val="center"/>
          </w:tcPr>
          <w:p w:rsidR="009A7F87" w:rsidRDefault="009A7F87" w:rsidP="009A7F87">
            <w:pPr>
              <w:pStyle w:val="TableBodyText"/>
              <w:spacing w:before="60" w:after="60"/>
              <w:ind w:left="2"/>
              <w:jc w:val="center"/>
            </w:pPr>
            <w:r>
              <w:t>June 2013</w:t>
            </w:r>
          </w:p>
          <w:p w:rsidR="009A7F87" w:rsidRPr="00770229" w:rsidRDefault="009A7F87" w:rsidP="009A7F87">
            <w:pPr>
              <w:pStyle w:val="TableBodyText"/>
              <w:spacing w:before="60" w:after="60"/>
              <w:ind w:left="0"/>
              <w:jc w:val="left"/>
            </w:pPr>
            <w:r>
              <w:br/>
            </w:r>
          </w:p>
        </w:tc>
        <w:tc>
          <w:tcPr>
            <w:tcW w:w="583" w:type="pct"/>
            <w:gridSpan w:val="2"/>
            <w:tcBorders>
              <w:top w:val="single" w:sz="6" w:space="0" w:color="265A9A" w:themeColor="background2"/>
            </w:tcBorders>
            <w:vAlign w:val="center"/>
          </w:tcPr>
          <w:p w:rsidR="009A7F87" w:rsidRDefault="009A7F87" w:rsidP="009A7F87">
            <w:pPr>
              <w:pStyle w:val="TableBodyText"/>
              <w:spacing w:before="60" w:after="60"/>
              <w:ind w:left="2"/>
              <w:jc w:val="center"/>
            </w:pPr>
            <w:r>
              <w:t>June 2016</w:t>
            </w:r>
          </w:p>
          <w:p w:rsidR="009A7F87" w:rsidRPr="00770229" w:rsidRDefault="009A7F87" w:rsidP="009A7F87">
            <w:pPr>
              <w:pStyle w:val="TableBodyText"/>
              <w:spacing w:before="60" w:after="60"/>
              <w:ind w:left="0"/>
              <w:jc w:val="left"/>
            </w:pPr>
            <w:r>
              <w:br/>
            </w: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2F6316">
              <w:t>(Cat. no. 3101.0)</w:t>
            </w:r>
          </w:p>
        </w:tc>
        <w:tc>
          <w:tcPr>
            <w:tcW w:w="584" w:type="pct"/>
            <w:tcBorders>
              <w:bottom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r>
              <w:br/>
            </w:r>
          </w:p>
        </w:tc>
        <w:tc>
          <w:tcPr>
            <w:tcW w:w="585" w:type="pct"/>
            <w:gridSpan w:val="2"/>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r>
              <w:br/>
            </w:r>
          </w:p>
        </w:tc>
        <w:tc>
          <w:tcPr>
            <w:tcW w:w="585" w:type="pct"/>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r>
              <w:br/>
            </w:r>
          </w:p>
        </w:tc>
        <w:tc>
          <w:tcPr>
            <w:tcW w:w="583" w:type="pct"/>
            <w:gridSpan w:val="2"/>
            <w:tcBorders>
              <w:bottom w:val="single" w:sz="4" w:space="0" w:color="808080" w:themeColor="background1" w:themeShade="80"/>
            </w:tcBorders>
            <w:vAlign w:val="center"/>
          </w:tcPr>
          <w:p w:rsidR="009A7F87" w:rsidRDefault="009A7F87" w:rsidP="009A7F87">
            <w:pPr>
              <w:pStyle w:val="TableBodyText"/>
              <w:spacing w:before="60" w:after="60"/>
              <w:ind w:left="2"/>
              <w:jc w:val="center"/>
            </w:pPr>
            <w:r>
              <w:t>June 2016</w:t>
            </w: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C912A0" w:rsidRDefault="009A7F87" w:rsidP="009A7F87">
            <w:pPr>
              <w:pStyle w:val="TableBodyText"/>
              <w:keepNext w:val="0"/>
              <w:keepLines w:val="0"/>
              <w:spacing w:before="80" w:after="80"/>
              <w:jc w:val="both"/>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9A7F87">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26"/>
      </w:tblGrid>
      <w:tr w:rsidR="009A7F87" w:rsidRPr="00770229" w:rsidTr="00760FFA">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r>
            <w:r>
              <w:t>1281</w:t>
            </w:r>
            <w:r w:rsidRPr="00770229">
              <w:t xml:space="preserve"> Multi</w:t>
            </w:r>
            <w:r w:rsidRPr="00770229">
              <w:noBreakHyphen/>
              <w:t>mode urban transport</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3"/>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Multi</w:t>
            </w:r>
            <w:r w:rsidRPr="00770229">
              <w:noBreakHyphen/>
              <w:t xml:space="preserve">mode urban transport is a public transport system that incorporates different modes of transportation under the same network. For example, in Victoria, several different service providers operate under the same network. Combined networks such as these operate throughout Australia. </w:t>
            </w:r>
          </w:p>
          <w:p w:rsidR="009A7F87" w:rsidRPr="00770229" w:rsidRDefault="009A7F87" w:rsidP="009A7F87">
            <w:pPr>
              <w:pStyle w:val="TableBullet"/>
              <w:keepNext w:val="0"/>
              <w:numPr>
                <w:ilvl w:val="0"/>
                <w:numId w:val="0"/>
              </w:numPr>
            </w:pPr>
            <w:r w:rsidRPr="00770229">
              <w:t>Transport departments, ticketing authorities, and the public transport ombudsman in each jurisdiction have a role in maintaining, regulating, supporting and promoting multi</w:t>
            </w:r>
            <w:r w:rsidRPr="00770229">
              <w:noBreakHyphen/>
              <w:t>mode urban transport systems.</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21421E">
              <w:rPr>
                <w:b/>
              </w:rPr>
              <w:t>http://www.pc.gov.au/ier2017</w:t>
            </w:r>
            <w:r w:rsidRPr="00770229">
              <w:rPr>
                <w:b/>
              </w:rPr>
              <w:t>).</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sidRPr="00770229">
              <w:t>The key cost driver of expenditure on multi</w:t>
            </w:r>
            <w:r w:rsidRPr="00770229">
              <w:noBreakHyphen/>
              <w:t>mode urban transport is the number of multi</w:t>
            </w:r>
            <w:r w:rsidRPr="00770229">
              <w:noBreakHyphen/>
              <w:t xml:space="preserve">mode urban transport users. </w:t>
            </w:r>
          </w:p>
          <w:p w:rsidR="009A7F87" w:rsidRPr="00770229" w:rsidRDefault="009A7F87" w:rsidP="009A7F87">
            <w:pPr>
              <w:pStyle w:val="TableBodyText"/>
              <w:keepNext w:val="0"/>
              <w:keepLines w:val="0"/>
              <w:spacing w:before="80" w:after="80"/>
              <w:jc w:val="left"/>
              <w:rPr>
                <w:szCs w:val="26"/>
              </w:rPr>
            </w:pPr>
            <w:r w:rsidRPr="00770229">
              <w:t>As multi</w:t>
            </w:r>
            <w:r w:rsidRPr="00770229">
              <w:noBreakHyphen/>
              <w:t>mode urban transport is available for use by the wider population, the costs associated with this expenditure are driven by the urban population on a uniform basis.</w:t>
            </w:r>
          </w:p>
        </w:tc>
      </w:tr>
      <w:tr w:rsidR="009A7F87" w:rsidRPr="00770229" w:rsidTr="00DE1DF1">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2943CC"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2943CC"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ColumnHeading"/>
              <w:keepNext w:val="0"/>
              <w:ind w:left="180"/>
              <w:jc w:val="left"/>
            </w:pPr>
          </w:p>
        </w:tc>
        <w:tc>
          <w:tcPr>
            <w:tcW w:w="2337" w:type="pct"/>
            <w:gridSpan w:val="5"/>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ColumnHeading"/>
              <w:keepNext w:val="0"/>
              <w:ind w:left="180"/>
              <w:jc w:val="center"/>
            </w:pPr>
            <w:r w:rsidRPr="002943CC">
              <w:t>Data Years</w:t>
            </w:r>
          </w:p>
        </w:tc>
      </w:tr>
      <w:tr w:rsidR="009A7F87" w:rsidRPr="002943CC"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2943CC" w:rsidRDefault="009A7F87" w:rsidP="009A7F87">
            <w:pPr>
              <w:pStyle w:val="TableBodyText"/>
              <w:keepNext w:val="0"/>
              <w:spacing w:before="60" w:after="60"/>
              <w:ind w:left="0"/>
              <w:jc w:val="both"/>
              <w:rPr>
                <w:rStyle w:val="NoteLabel"/>
                <w:i/>
              </w:rPr>
            </w:pPr>
            <w:r w:rsidRPr="002943CC">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180"/>
              <w:jc w:val="left"/>
              <w:rPr>
                <w:i/>
              </w:rPr>
            </w:pPr>
            <w:r w:rsidRPr="002943CC">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2008</w:t>
            </w:r>
            <w:r w:rsidRPr="002943CC">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2010</w:t>
            </w:r>
            <w:r w:rsidRPr="002943CC">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2012</w:t>
            </w:r>
            <w:r w:rsidRPr="002943CC">
              <w:rPr>
                <w:i/>
              </w:rPr>
              <w:noBreakHyphen/>
              <w:t>13 Estimates</w:t>
            </w:r>
          </w:p>
        </w:tc>
        <w:tc>
          <w:tcPr>
            <w:tcW w:w="583" w:type="pct"/>
            <w:tcBorders>
              <w:top w:val="single" w:sz="6" w:space="0" w:color="808080" w:themeColor="background1" w:themeShade="80"/>
              <w:bottom w:val="single" w:sz="6" w:space="0" w:color="808080" w:themeColor="background1" w:themeShade="80"/>
            </w:tcBorders>
          </w:tcPr>
          <w:p w:rsidR="009A7F87" w:rsidRPr="002943CC" w:rsidRDefault="009A7F87" w:rsidP="009A7F87">
            <w:pPr>
              <w:pStyle w:val="TableBodyText"/>
              <w:keepNext w:val="0"/>
              <w:spacing w:before="60" w:after="60"/>
              <w:ind w:left="2"/>
              <w:jc w:val="center"/>
              <w:rPr>
                <w:i/>
              </w:rPr>
            </w:pPr>
            <w:r w:rsidRPr="002943CC">
              <w:rPr>
                <w:i/>
              </w:rPr>
              <w:t>2015</w:t>
            </w:r>
            <w:r w:rsidRPr="002943CC">
              <w:rPr>
                <w:i/>
              </w:rPr>
              <w:noBreakHyphen/>
              <w:t>16 Estimates</w:t>
            </w:r>
          </w:p>
        </w:tc>
      </w:tr>
      <w:tr w:rsidR="009A7F87" w:rsidRPr="00770229"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 xml:space="preserve">‘Major city’ resident population </w:t>
            </w:r>
            <w:r w:rsidRPr="00770229">
              <w:br/>
              <w:t xml:space="preserve">(‘Inner regional’ for </w:t>
            </w:r>
            <w:proofErr w:type="spellStart"/>
            <w:r w:rsidRPr="00770229">
              <w:t>Tas</w:t>
            </w:r>
            <w:proofErr w:type="spellEnd"/>
            <w:r w:rsidRPr="00770229">
              <w:t>, ‘outer regional’ for NT)</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2F6316">
              <w:t>ABS</w:t>
            </w:r>
            <w:r w:rsidRPr="00770229">
              <w:t xml:space="preserve"> </w:t>
            </w:r>
            <w:r w:rsidRPr="002F6316">
              <w:rPr>
                <w:i/>
              </w:rPr>
              <w:t>Estimates and Projections, Indigenous Australians, 2001 to 2021</w:t>
            </w:r>
            <w:r w:rsidRPr="00770229">
              <w:t xml:space="preserve"> </w:t>
            </w:r>
            <w:r>
              <w:t>(C</w:t>
            </w:r>
            <w:r w:rsidRPr="002F6316">
              <w:t xml:space="preserve">at. no. 3238.0); </w:t>
            </w:r>
            <w:r w:rsidRPr="002F6316">
              <w:rPr>
                <w:i/>
              </w:rPr>
              <w:t>Estimates of Aboriginal and Torres Strait Islander Australians, Jun 2011</w:t>
            </w:r>
            <w:r w:rsidRPr="002F6316">
              <w:t xml:space="preserve"> </w:t>
            </w:r>
            <w:r>
              <w:br/>
              <w:t>(C</w:t>
            </w:r>
            <w:r w:rsidRPr="002F6316">
              <w:t xml:space="preserve">at. no. 3238.0.55.001); </w:t>
            </w:r>
            <w:r w:rsidRPr="002F6316">
              <w:rPr>
                <w:i/>
              </w:rPr>
              <w:t>Regional Population Growth, Australia</w:t>
            </w:r>
            <w:r w:rsidRPr="002F6316">
              <w:t xml:space="preserve"> </w:t>
            </w:r>
            <w:r>
              <w:br/>
            </w:r>
            <w:r w:rsidRPr="002F6316">
              <w:t>(</w:t>
            </w:r>
            <w:r>
              <w:t>C</w:t>
            </w:r>
            <w:r w:rsidRPr="002F6316">
              <w:t>at. no. 3218.0)</w:t>
            </w:r>
          </w:p>
        </w:tc>
        <w:tc>
          <w:tcPr>
            <w:tcW w:w="584"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tcBorders>
              <w:top w:val="single" w:sz="6" w:space="0" w:color="808080" w:themeColor="background1" w:themeShade="80"/>
              <w:bottom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1369A" w:rsidTr="00DE1DF1">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9A7F87">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r>
            <w:r>
              <w:t>1289</w:t>
            </w:r>
            <w:r w:rsidRPr="00770229">
              <w:t xml:space="preserve"> Other transport </w:t>
            </w:r>
            <w:proofErr w:type="spellStart"/>
            <w:r w:rsidRPr="00770229">
              <w:t>nec</w:t>
            </w:r>
            <w:proofErr w:type="spellEnd"/>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Other transport services not elsewhere classified include government services and programs that are not road, rail, or air transportation. For example, expenditure on the development of alternative transportation methods such as the Victorian Cycling Strategy, or initiatives to increase the number of taxi services available to the community.</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21421E">
              <w:rPr>
                <w:b/>
              </w:rPr>
              <w:t>http://www.pc.gov.au/ier2017</w:t>
            </w:r>
            <w:r w:rsidRPr="00770229">
              <w:rPr>
                <w:b/>
              </w:rPr>
              <w:t>).</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sidRPr="00770229">
              <w:t xml:space="preserve">The key cost drivers of expenditure on other transport services not elsewhere classified are varied and cannot be linked closely with a particular service area or cohort of service users. </w:t>
            </w:r>
          </w:p>
          <w:p w:rsidR="009A7F87" w:rsidRPr="00770229" w:rsidRDefault="009A7F87" w:rsidP="009A7F87">
            <w:pPr>
              <w:pStyle w:val="TableBodyText"/>
              <w:keepNext w:val="0"/>
              <w:keepLines w:val="0"/>
              <w:spacing w:before="80" w:after="80"/>
              <w:jc w:val="left"/>
              <w:rPr>
                <w:szCs w:val="26"/>
              </w:rPr>
            </w:pPr>
            <w:r w:rsidRPr="00770229">
              <w:t>It is assumed that the costs associated with this expenditure are driven by the population on a uniform basis.</w:t>
            </w:r>
          </w:p>
        </w:tc>
      </w:tr>
      <w:tr w:rsidR="009A7F87" w:rsidRPr="00770229" w:rsidTr="00DE1DF1">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2943CC"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2943CC"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ColumnHeading"/>
              <w:keepNext w:val="0"/>
              <w:ind w:left="180"/>
              <w:jc w:val="center"/>
            </w:pPr>
            <w:r w:rsidRPr="002943CC">
              <w:t>Data Years</w:t>
            </w:r>
          </w:p>
        </w:tc>
      </w:tr>
      <w:tr w:rsidR="009A7F87" w:rsidRPr="002943CC"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2943CC" w:rsidRDefault="009A7F87" w:rsidP="009A7F87">
            <w:pPr>
              <w:pStyle w:val="TableBodyText"/>
              <w:keepNext w:val="0"/>
              <w:spacing w:before="60" w:after="60"/>
              <w:ind w:left="0"/>
              <w:jc w:val="both"/>
              <w:rPr>
                <w:rStyle w:val="NoteLabel"/>
                <w:i/>
              </w:rPr>
            </w:pPr>
            <w:r w:rsidRPr="002943CC">
              <w:rPr>
                <w:i/>
              </w:rPr>
              <w:br/>
              <w:t>Measure</w:t>
            </w:r>
            <w:r w:rsidRPr="005A6681">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180"/>
              <w:jc w:val="left"/>
              <w:rPr>
                <w:i/>
              </w:rPr>
            </w:pPr>
            <w:r w:rsidRPr="002943CC">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2008</w:t>
            </w:r>
            <w:r w:rsidRPr="002943CC">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2010</w:t>
            </w:r>
            <w:r w:rsidRPr="002943CC">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2012</w:t>
            </w:r>
            <w:r w:rsidRPr="002943CC">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2943CC" w:rsidRDefault="009A7F87" w:rsidP="009A7F87">
            <w:pPr>
              <w:pStyle w:val="TableBodyText"/>
              <w:keepNext w:val="0"/>
              <w:spacing w:before="60" w:after="60"/>
              <w:ind w:left="2"/>
              <w:jc w:val="center"/>
              <w:rPr>
                <w:i/>
              </w:rPr>
            </w:pPr>
            <w:r w:rsidRPr="002943CC">
              <w:rPr>
                <w:i/>
              </w:rPr>
              <w:t>2015</w:t>
            </w:r>
            <w:r w:rsidRPr="002943CC">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w:t>
            </w:r>
            <w:r>
              <w:br/>
            </w:r>
            <w:r w:rsidRPr="00770229">
              <w:t>(Cat.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291309">
              <w:t>(Cat. no. 3101.0)</w:t>
            </w:r>
          </w:p>
        </w:tc>
        <w:tc>
          <w:tcPr>
            <w:tcW w:w="584" w:type="pct"/>
            <w:tcBorders>
              <w:bottom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r>
              <w:br/>
            </w:r>
          </w:p>
        </w:tc>
        <w:tc>
          <w:tcPr>
            <w:tcW w:w="585" w:type="pct"/>
            <w:gridSpan w:val="2"/>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r>
              <w:br/>
            </w:r>
          </w:p>
        </w:tc>
        <w:tc>
          <w:tcPr>
            <w:tcW w:w="585" w:type="pct"/>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r>
              <w:br/>
            </w:r>
          </w:p>
        </w:tc>
        <w:tc>
          <w:tcPr>
            <w:tcW w:w="583" w:type="pct"/>
            <w:gridSpan w:val="2"/>
            <w:tcBorders>
              <w:bottom w:val="single" w:sz="4" w:space="0" w:color="808080" w:themeColor="background1" w:themeShade="80"/>
            </w:tcBorders>
            <w:vAlign w:val="center"/>
          </w:tcPr>
          <w:p w:rsidR="009A7F87" w:rsidRDefault="009A7F87" w:rsidP="009A7F87">
            <w:pPr>
              <w:pStyle w:val="TableBodyText"/>
              <w:spacing w:before="60" w:after="60"/>
              <w:ind w:left="2"/>
              <w:jc w:val="center"/>
            </w:pPr>
            <w:r>
              <w:t>June 2016</w:t>
            </w: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821089" w:rsidRDefault="009A7F87" w:rsidP="009A7F87">
            <w:pPr>
              <w:pStyle w:val="TableBodyText"/>
              <w:keepNext w:val="0"/>
              <w:keepLines w:val="0"/>
              <w:spacing w:before="80" w:after="80"/>
              <w:jc w:val="both"/>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9A7F87">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r>
            <w:r>
              <w:t>1290</w:t>
            </w:r>
            <w:r w:rsidRPr="00770229">
              <w:t xml:space="preserve"> Communications</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The Australian Government’s Department of Broadband, Communications and the Digital Economy is responsible for development of policies and programs for enhancing Australia’s broadband and communications. </w:t>
            </w:r>
          </w:p>
          <w:p w:rsidR="009A7F87" w:rsidRPr="00770229" w:rsidRDefault="009A7F87" w:rsidP="009A7F87">
            <w:pPr>
              <w:pStyle w:val="TableBullet"/>
              <w:numPr>
                <w:ilvl w:val="0"/>
                <w:numId w:val="0"/>
              </w:numPr>
            </w:pPr>
            <w:r w:rsidRPr="00770229">
              <w:t xml:space="preserve">Other key agencies involved in providing administrative, regulatory and supporting services to the Australian communications sector. For example the Australian Communications and Media Authority, which is responsible for the regulation of broadcasting, radio communications, telecommunications and online content nationwide. </w:t>
            </w:r>
          </w:p>
          <w:p w:rsidR="009A7F87" w:rsidRPr="00770229" w:rsidRDefault="009A7F87" w:rsidP="009A7F87">
            <w:pPr>
              <w:pStyle w:val="TableBullet"/>
              <w:numPr>
                <w:ilvl w:val="0"/>
                <w:numId w:val="0"/>
              </w:numPr>
            </w:pPr>
            <w:r w:rsidRPr="00770229">
              <w:t>The Australian Government also provides policy and support for postal services.</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21421E">
              <w:rPr>
                <w:b/>
              </w:rPr>
              <w:t>http://www.pc.gov.au/ier2017</w:t>
            </w:r>
            <w:r w:rsidRPr="00770229">
              <w:rPr>
                <w:b/>
              </w:rPr>
              <w:t>).</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The key cost drivers of expenditure on communications are varied and cannot be linked closely with a particular service area or cohort of service users. </w:t>
            </w:r>
          </w:p>
          <w:p w:rsidR="009A7F87" w:rsidRPr="00770229" w:rsidRDefault="009A7F87" w:rsidP="009A7F87">
            <w:pPr>
              <w:pStyle w:val="TableBodyText"/>
              <w:keepNext w:val="0"/>
              <w:keepLines w:val="0"/>
              <w:spacing w:before="80" w:after="80"/>
              <w:jc w:val="left"/>
              <w:rPr>
                <w:szCs w:val="26"/>
              </w:rPr>
            </w:pPr>
            <w:r w:rsidRPr="00770229">
              <w:t>It is assumed that the costs associated with this expenditure are driven by the population on a uniform basis.</w:t>
            </w:r>
          </w:p>
        </w:tc>
      </w:tr>
      <w:tr w:rsidR="009A7F87" w:rsidRPr="00770229" w:rsidTr="00DE1DF1">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2943CC"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2943CC"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ColumnHeading"/>
              <w:keepNext w:val="0"/>
              <w:ind w:left="180"/>
              <w:jc w:val="center"/>
            </w:pPr>
            <w:r w:rsidRPr="002943CC">
              <w:t>Data Years</w:t>
            </w:r>
          </w:p>
        </w:tc>
      </w:tr>
      <w:tr w:rsidR="009A7F87" w:rsidRPr="002943CC"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2943CC" w:rsidRDefault="009A7F87" w:rsidP="009A7F87">
            <w:pPr>
              <w:pStyle w:val="TableBodyText"/>
              <w:keepNext w:val="0"/>
              <w:spacing w:before="60" w:after="60"/>
              <w:ind w:left="0"/>
              <w:jc w:val="both"/>
              <w:rPr>
                <w:rStyle w:val="NoteLabel"/>
                <w:i/>
              </w:rPr>
            </w:pPr>
            <w:r w:rsidRPr="002943CC">
              <w:rPr>
                <w:i/>
              </w:rPr>
              <w:br/>
              <w:t>Measure</w:t>
            </w:r>
            <w:r w:rsidRPr="005A6681">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180"/>
              <w:jc w:val="left"/>
              <w:rPr>
                <w:i/>
              </w:rPr>
            </w:pPr>
            <w:r w:rsidRPr="002943CC">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2008</w:t>
            </w:r>
            <w:r w:rsidRPr="002943CC">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2010</w:t>
            </w:r>
            <w:r w:rsidRPr="002943CC">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2943CC" w:rsidRDefault="009A7F87" w:rsidP="009A7F87">
            <w:pPr>
              <w:pStyle w:val="TableBodyText"/>
              <w:keepNext w:val="0"/>
              <w:spacing w:before="60" w:after="60"/>
              <w:ind w:left="2"/>
              <w:jc w:val="center"/>
              <w:rPr>
                <w:i/>
              </w:rPr>
            </w:pPr>
            <w:r w:rsidRPr="002943CC">
              <w:rPr>
                <w:i/>
              </w:rPr>
              <w:t>2012</w:t>
            </w:r>
            <w:r w:rsidRPr="002943CC">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2943CC" w:rsidRDefault="009A7F87" w:rsidP="009A7F87">
            <w:pPr>
              <w:pStyle w:val="TableBodyText"/>
              <w:keepNext w:val="0"/>
              <w:spacing w:before="60" w:after="60"/>
              <w:ind w:left="2"/>
              <w:jc w:val="center"/>
              <w:rPr>
                <w:i/>
              </w:rPr>
            </w:pPr>
            <w:r w:rsidRPr="002943CC">
              <w:rPr>
                <w:i/>
              </w:rPr>
              <w:t>2015</w:t>
            </w:r>
            <w:r w:rsidRPr="002943CC">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w:t>
            </w:r>
            <w:r>
              <w:br/>
            </w:r>
            <w:r w:rsidRPr="00770229">
              <w:t>(Cat.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291309">
              <w:t>(Cat. no. 3101.0)</w:t>
            </w:r>
          </w:p>
        </w:tc>
        <w:tc>
          <w:tcPr>
            <w:tcW w:w="584" w:type="pct"/>
            <w:tcBorders>
              <w:bottom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r>
              <w:br/>
            </w:r>
          </w:p>
        </w:tc>
        <w:tc>
          <w:tcPr>
            <w:tcW w:w="585" w:type="pct"/>
            <w:gridSpan w:val="2"/>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r>
              <w:br/>
            </w:r>
          </w:p>
        </w:tc>
        <w:tc>
          <w:tcPr>
            <w:tcW w:w="585" w:type="pct"/>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r>
              <w:br/>
            </w:r>
          </w:p>
        </w:tc>
        <w:tc>
          <w:tcPr>
            <w:tcW w:w="583" w:type="pct"/>
            <w:gridSpan w:val="2"/>
            <w:tcBorders>
              <w:bottom w:val="single" w:sz="4" w:space="0" w:color="808080" w:themeColor="background1" w:themeShade="80"/>
            </w:tcBorders>
            <w:vAlign w:val="center"/>
          </w:tcPr>
          <w:p w:rsidR="009A7F87" w:rsidRDefault="009A7F87" w:rsidP="009A7F87">
            <w:pPr>
              <w:pStyle w:val="TableBodyText"/>
              <w:spacing w:before="60" w:after="60"/>
              <w:ind w:left="2"/>
              <w:jc w:val="center"/>
            </w:pPr>
            <w:r>
              <w:t>June 2016</w:t>
            </w: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821089" w:rsidRDefault="009A7F87" w:rsidP="009A7F87">
            <w:pPr>
              <w:pStyle w:val="TableBodyText"/>
              <w:keepNext w:val="0"/>
              <w:keepLines w:val="0"/>
              <w:spacing w:before="80" w:after="80"/>
              <w:jc w:val="both"/>
            </w:pPr>
            <w:r w:rsidRPr="00770229">
              <w:rPr>
                <w:rStyle w:val="NoteLabel"/>
              </w:rPr>
              <w:t>a</w:t>
            </w:r>
            <w:r w:rsidR="00E91A7D" w:rsidRPr="00E91A7D">
              <w:rPr>
                <w:rStyle w:val="NoteLabel"/>
                <w:b w:val="0"/>
              </w:rP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9A7F87">
      <w:pPr>
        <w:pStyle w:val="BodyText"/>
      </w:pPr>
    </w:p>
    <w:p w:rsidR="009A7F87" w:rsidRDefault="009A7F87" w:rsidP="009A7F87">
      <w:pPr>
        <w:sectPr w:rsidR="009A7F87" w:rsidSect="009A7F87">
          <w:headerReference w:type="even" r:id="rId163"/>
          <w:headerReference w:type="default" r:id="rId164"/>
          <w:footerReference w:type="even" r:id="rId165"/>
          <w:footerReference w:type="default" r:id="rId166"/>
          <w:footnotePr>
            <w:numRestart w:val="eachSect"/>
          </w:footnotePr>
          <w:type w:val="oddPage"/>
          <w:pgSz w:w="11907" w:h="16840" w:code="9"/>
          <w:pgMar w:top="1985" w:right="1304" w:bottom="1247" w:left="1814" w:header="1701" w:footer="397" w:gutter="0"/>
          <w:pgNumType w:chapSep="period"/>
          <w:cols w:space="720"/>
          <w:docGrid w:linePitch="326"/>
        </w:sectPr>
      </w:pPr>
    </w:p>
    <w:p w:rsidR="009A7F87" w:rsidRDefault="009A7F87">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9A7F87">
        <w:tc>
          <w:tcPr>
            <w:tcW w:w="6634" w:type="dxa"/>
            <w:tcBorders>
              <w:top w:val="single" w:sz="6" w:space="0" w:color="auto"/>
            </w:tcBorders>
          </w:tcPr>
          <w:p w:rsidR="009A7F87" w:rsidRDefault="009A7F87">
            <w:pPr>
              <w:pStyle w:val="PartDivider"/>
            </w:pPr>
          </w:p>
        </w:tc>
        <w:tc>
          <w:tcPr>
            <w:tcW w:w="2155" w:type="dxa"/>
            <w:tcBorders>
              <w:top w:val="single" w:sz="24" w:space="0" w:color="auto"/>
            </w:tcBorders>
          </w:tcPr>
          <w:p w:rsidR="009A7F87" w:rsidRDefault="009A7F87">
            <w:pPr>
              <w:pStyle w:val="PartDivider"/>
            </w:pPr>
          </w:p>
        </w:tc>
      </w:tr>
    </w:tbl>
    <w:p w:rsidR="009A7F87" w:rsidRDefault="009A7F87">
      <w:pPr>
        <w:pStyle w:val="PartDivider"/>
      </w:pPr>
    </w:p>
    <w:p w:rsidR="009A7F87" w:rsidRDefault="009A7F87" w:rsidP="009A7F87">
      <w:pPr>
        <w:pStyle w:val="PartTitle"/>
        <w:spacing w:after="240"/>
      </w:pPr>
      <w:r>
        <w:t>GPC 13</w:t>
      </w:r>
    </w:p>
    <w:p w:rsidR="009A7F87" w:rsidRDefault="009A7F87" w:rsidP="009A7F87">
      <w:pPr>
        <w:pStyle w:val="PartTitle"/>
        <w:spacing w:after="240"/>
      </w:pPr>
      <w:r>
        <w:t>other economic affairs</w:t>
      </w:r>
    </w:p>
    <w:p w:rsidR="009A7F87" w:rsidRDefault="009A7F87" w:rsidP="009A7F87">
      <w:pPr>
        <w:pStyle w:val="BodyText"/>
        <w:rPr>
          <w:sz w:val="52"/>
        </w:rPr>
      </w:pPr>
      <w:r>
        <w:br w:type="page"/>
      </w:r>
    </w:p>
    <w:p w:rsidR="009A7F87" w:rsidRPr="003755C6" w:rsidRDefault="009A7F87" w:rsidP="009A7F87">
      <w:pPr>
        <w:rPr>
          <w:szCs w:val="20"/>
        </w:rPr>
      </w:pPr>
    </w:p>
    <w:p w:rsidR="009A7F87" w:rsidRDefault="009A7F87" w:rsidP="009A7F87">
      <w:pPr>
        <w:sectPr w:rsidR="009A7F87" w:rsidSect="009A7F87">
          <w:headerReference w:type="even" r:id="rId167"/>
          <w:headerReference w:type="default" r:id="rId168"/>
          <w:footerReference w:type="even" r:id="rId169"/>
          <w:footerReference w:type="default" r:id="rId170"/>
          <w:footnotePr>
            <w:numRestart w:val="eachSect"/>
          </w:footnotePr>
          <w:type w:val="oddPage"/>
          <w:pgSz w:w="11907" w:h="16840" w:code="9"/>
          <w:pgMar w:top="1985" w:right="1304" w:bottom="1247" w:left="1814" w:header="1701" w:footer="397" w:gutter="0"/>
          <w:pgNumType w:chapSep="period"/>
          <w:cols w:space="720"/>
          <w:docGrid w:linePitch="326"/>
        </w:sectPr>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r>
            <w:r>
              <w:t>1310</w:t>
            </w:r>
            <w:r w:rsidRPr="00770229">
              <w:t xml:space="preserve"> Storage, saleyards and markets</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Government expenditure on activities relating to storage, saleyards and markets is minimal.</w:t>
            </w:r>
          </w:p>
          <w:p w:rsidR="009A7F87" w:rsidRPr="00770229" w:rsidRDefault="009A7F87" w:rsidP="009A7F87">
            <w:pPr>
              <w:pStyle w:val="TableBodyText"/>
              <w:spacing w:before="60" w:after="60"/>
              <w:jc w:val="left"/>
            </w:pPr>
            <w:r w:rsidRPr="00770229">
              <w:t>Services may include the operation of storage facilities for customs and border control and licensing and inspection of rural saleyards (for livestock and fresh produce).</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21421E">
              <w:rPr>
                <w:b/>
              </w:rPr>
              <w:t>http://www.pc.gov.au/ier2017</w:t>
            </w:r>
            <w:r w:rsidRPr="00770229">
              <w:rPr>
                <w:b/>
              </w:rPr>
              <w:t>).</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The key cost drivers of expenditure on storage, saleyards and markets services are varied and cannot be linked closely with a particular service area or cohort of service users. </w:t>
            </w:r>
          </w:p>
          <w:p w:rsidR="009A7F87" w:rsidRPr="00770229" w:rsidRDefault="009A7F87" w:rsidP="009A7F87">
            <w:pPr>
              <w:pStyle w:val="TableBodyText"/>
              <w:keepNext w:val="0"/>
              <w:keepLines w:val="0"/>
              <w:spacing w:before="80" w:after="80"/>
              <w:jc w:val="left"/>
              <w:rPr>
                <w:szCs w:val="26"/>
              </w:rPr>
            </w:pPr>
            <w:r w:rsidRPr="00770229">
              <w:t>It is assumed that the costs associated with this expenditure are driven by the population on a uniform basis.</w:t>
            </w:r>
          </w:p>
        </w:tc>
      </w:tr>
      <w:tr w:rsidR="009A7F87" w:rsidRPr="00770229" w:rsidTr="00DE1DF1">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164FBA"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164FBA"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ColumnHeading"/>
              <w:keepNext w:val="0"/>
              <w:ind w:left="180"/>
              <w:jc w:val="center"/>
            </w:pPr>
            <w:r w:rsidRPr="00164FBA">
              <w:t>Data Years</w:t>
            </w:r>
          </w:p>
        </w:tc>
      </w:tr>
      <w:tr w:rsidR="009A7F87" w:rsidRPr="00164FBA"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164FBA" w:rsidRDefault="009A7F87" w:rsidP="009A7F87">
            <w:pPr>
              <w:pStyle w:val="TableBodyText"/>
              <w:keepNext w:val="0"/>
              <w:spacing w:before="60" w:after="60"/>
              <w:ind w:left="0"/>
              <w:jc w:val="both"/>
              <w:rPr>
                <w:i/>
              </w:rPr>
            </w:pPr>
            <w:r w:rsidRPr="00164FBA">
              <w:rPr>
                <w:i/>
              </w:rPr>
              <w:br/>
              <w:t>Measure</w:t>
            </w:r>
            <w:r w:rsidRPr="005A6681">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BodyText"/>
              <w:keepNext w:val="0"/>
              <w:spacing w:before="60" w:after="60"/>
              <w:ind w:left="180"/>
              <w:jc w:val="left"/>
              <w:rPr>
                <w:i/>
              </w:rPr>
            </w:pPr>
            <w:r w:rsidRPr="00164FBA">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BodyText"/>
              <w:keepNext w:val="0"/>
              <w:spacing w:before="60" w:after="60"/>
              <w:ind w:left="2"/>
              <w:jc w:val="center"/>
              <w:rPr>
                <w:i/>
              </w:rPr>
            </w:pPr>
            <w:r w:rsidRPr="00164FBA">
              <w:rPr>
                <w:i/>
              </w:rPr>
              <w:t>2008</w:t>
            </w:r>
            <w:r w:rsidRPr="00164FBA">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BodyText"/>
              <w:keepNext w:val="0"/>
              <w:spacing w:before="60" w:after="60"/>
              <w:ind w:left="2"/>
              <w:jc w:val="center"/>
              <w:rPr>
                <w:i/>
              </w:rPr>
            </w:pPr>
            <w:r w:rsidRPr="00164FBA">
              <w:rPr>
                <w:i/>
              </w:rPr>
              <w:t>2010</w:t>
            </w:r>
            <w:r w:rsidRPr="00164FBA">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BodyText"/>
              <w:keepNext w:val="0"/>
              <w:spacing w:before="60" w:after="60"/>
              <w:ind w:left="2"/>
              <w:jc w:val="center"/>
              <w:rPr>
                <w:i/>
              </w:rPr>
            </w:pPr>
            <w:r w:rsidRPr="00164FBA">
              <w:rPr>
                <w:i/>
              </w:rPr>
              <w:t>2012</w:t>
            </w:r>
            <w:r w:rsidRPr="00164FBA">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164FBA" w:rsidRDefault="009A7F87" w:rsidP="009A7F87">
            <w:pPr>
              <w:pStyle w:val="TableBodyText"/>
              <w:keepNext w:val="0"/>
              <w:spacing w:before="60" w:after="60"/>
              <w:ind w:left="2"/>
              <w:jc w:val="center"/>
              <w:rPr>
                <w:i/>
              </w:rPr>
            </w:pPr>
            <w:r w:rsidRPr="00164FBA">
              <w:rPr>
                <w:i/>
              </w:rPr>
              <w:t>2015</w:t>
            </w:r>
            <w:r w:rsidRPr="00164FBA">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w:t>
            </w:r>
            <w:r>
              <w:br/>
            </w:r>
            <w:r w:rsidRPr="00770229">
              <w:t>(Cat.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t>J</w:t>
            </w:r>
            <w:r w:rsidRPr="00770229">
              <w:t>une 2009</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t>June 2011</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t>June 2013</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gridSpan w:val="2"/>
            <w:tcBorders>
              <w:top w:val="single" w:sz="6" w:space="0" w:color="808080" w:themeColor="background1" w:themeShade="80"/>
            </w:tcBorders>
            <w:vAlign w:val="center"/>
          </w:tcPr>
          <w:p w:rsidR="009A7F87" w:rsidRDefault="009A7F87" w:rsidP="009A7F87">
            <w:pPr>
              <w:pStyle w:val="TableBodyText"/>
              <w:keepNext w:val="0"/>
              <w:spacing w:after="60"/>
              <w:ind w:left="0"/>
              <w:jc w:val="center"/>
            </w:pPr>
            <w:r>
              <w:t>June 2016</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AE2EAE">
              <w:t>(Cat. no. 3101.0)</w:t>
            </w:r>
          </w:p>
        </w:tc>
        <w:tc>
          <w:tcPr>
            <w:tcW w:w="584"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2009</w:t>
            </w:r>
            <w:r>
              <w:br/>
            </w:r>
          </w:p>
        </w:tc>
        <w:tc>
          <w:tcPr>
            <w:tcW w:w="585" w:type="pct"/>
            <w:gridSpan w:val="2"/>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2011</w:t>
            </w:r>
            <w:r>
              <w:br/>
            </w:r>
          </w:p>
        </w:tc>
        <w:tc>
          <w:tcPr>
            <w:tcW w:w="585"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2013</w:t>
            </w:r>
            <w:r>
              <w:br/>
            </w:r>
          </w:p>
        </w:tc>
        <w:tc>
          <w:tcPr>
            <w:tcW w:w="583" w:type="pct"/>
            <w:gridSpan w:val="2"/>
            <w:tcBorders>
              <w:bottom w:val="single" w:sz="4" w:space="0" w:color="808080" w:themeColor="background1" w:themeShade="80"/>
            </w:tcBorders>
          </w:tcPr>
          <w:p w:rsidR="009A7F87" w:rsidRPr="00770229" w:rsidRDefault="009A7F87" w:rsidP="009A7F87">
            <w:pPr>
              <w:pStyle w:val="TableBodyText"/>
              <w:keepNext w:val="0"/>
              <w:spacing w:before="60" w:after="60"/>
              <w:ind w:left="2"/>
              <w:jc w:val="center"/>
            </w:pPr>
            <w:r>
              <w:t xml:space="preserve">June </w:t>
            </w:r>
            <w:r w:rsidRPr="00FF7A3F">
              <w:t>2016</w:t>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5E5130" w:rsidRDefault="009A7F87" w:rsidP="009A7F87">
            <w:pPr>
              <w:pStyle w:val="TableBodyText"/>
              <w:keepNext w:val="0"/>
              <w:keepLines w:val="0"/>
              <w:spacing w:before="80" w:after="80"/>
              <w:jc w:val="both"/>
            </w:pPr>
            <w:r w:rsidRPr="00770229">
              <w:rPr>
                <w:rStyle w:val="NoteLabel"/>
              </w:rPr>
              <w:t>a</w:t>
            </w:r>
            <w:r w:rsidR="005A6681">
              <w:rPr>
                <w:rStyle w:val="NoteLabel"/>
              </w:rPr>
              <w:t>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120072">
      <w:pPr>
        <w:pStyle w:val="BodyText"/>
      </w:pPr>
    </w:p>
    <w:p w:rsidR="009A7F87" w:rsidRDefault="009A7F87" w:rsidP="00120072">
      <w:pPr>
        <w:pStyle w:val="BodyText"/>
      </w:pPr>
    </w:p>
    <w:p w:rsidR="009A7F87" w:rsidRDefault="009A7F87" w:rsidP="00120072">
      <w:pPr>
        <w:pStyle w:val="BodyText"/>
      </w:pPr>
    </w:p>
    <w:p w:rsidR="009A7F87" w:rsidRDefault="009A7F87" w:rsidP="00120072">
      <w:pPr>
        <w:pStyle w:val="BodyText"/>
      </w:pPr>
    </w:p>
    <w:p w:rsidR="009A7F87" w:rsidRDefault="009A7F87" w:rsidP="00120072">
      <w:pPr>
        <w:pStyle w:val="BodyText"/>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r>
            <w:r>
              <w:t>1320</w:t>
            </w:r>
            <w:r w:rsidRPr="00770229">
              <w:t xml:space="preserve"> Tourism and area promotion</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The Australian Government’s Department of Resources, Energy and Tourism is responsible for administering and regulating promotion of Australia for tourism purposes. In addition, Tourism Australia takes on promotional activities, research and tourism industry reporting. </w:t>
            </w:r>
          </w:p>
          <w:p w:rsidR="009A7F87" w:rsidRPr="00770229" w:rsidRDefault="009A7F87" w:rsidP="009A7F87">
            <w:pPr>
              <w:pStyle w:val="TableBullet"/>
              <w:widowControl w:val="0"/>
              <w:numPr>
                <w:ilvl w:val="0"/>
                <w:numId w:val="0"/>
              </w:numPr>
              <w:spacing w:before="40"/>
            </w:pPr>
            <w:r w:rsidRPr="00770229">
              <w:t>At the state, territory and local levels, governments provide services such as:</w:t>
            </w:r>
          </w:p>
          <w:p w:rsidR="009A7F87" w:rsidRPr="00770229" w:rsidRDefault="009A7F87" w:rsidP="009A7F87">
            <w:pPr>
              <w:pStyle w:val="TableBullet"/>
              <w:widowControl w:val="0"/>
              <w:numPr>
                <w:ilvl w:val="0"/>
                <w:numId w:val="24"/>
              </w:numPr>
              <w:spacing w:before="40" w:line="220" w:lineRule="atLeast"/>
            </w:pPr>
            <w:r w:rsidRPr="00770229">
              <w:t xml:space="preserve">tourist bureaus and information centres </w:t>
            </w:r>
          </w:p>
          <w:p w:rsidR="009A7F87" w:rsidRPr="00770229" w:rsidRDefault="009A7F87" w:rsidP="009A7F87">
            <w:pPr>
              <w:pStyle w:val="TableBullet"/>
              <w:widowControl w:val="0"/>
              <w:numPr>
                <w:ilvl w:val="0"/>
                <w:numId w:val="24"/>
              </w:numPr>
              <w:spacing w:before="40" w:line="220" w:lineRule="atLeast"/>
            </w:pPr>
            <w:r w:rsidRPr="00770229">
              <w:t xml:space="preserve">caravan parks and caravan areas </w:t>
            </w:r>
          </w:p>
          <w:p w:rsidR="009A7F87" w:rsidRPr="00770229" w:rsidRDefault="009A7F87" w:rsidP="009A7F87">
            <w:pPr>
              <w:pStyle w:val="TableBullet"/>
              <w:widowControl w:val="0"/>
              <w:numPr>
                <w:ilvl w:val="0"/>
                <w:numId w:val="24"/>
              </w:numPr>
              <w:spacing w:before="40" w:line="220" w:lineRule="atLeast"/>
              <w:rPr>
                <w:b/>
              </w:rPr>
            </w:pPr>
            <w:r w:rsidRPr="00770229">
              <w:t>liaison with local industry bodies to assist in local tourism promotion.</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21421E">
              <w:rPr>
                <w:b/>
              </w:rPr>
              <w:t>http://www.pc.gov.au/ier2017</w:t>
            </w:r>
            <w:r w:rsidRPr="00770229">
              <w:rPr>
                <w:b/>
              </w:rPr>
              <w:t>).</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szCs w:val="26"/>
              </w:rPr>
            </w:pPr>
            <w:r w:rsidRPr="00770229">
              <w:t xml:space="preserve">The key cost drivers of expenditure on tourism and area promotion are mainly associated with industry factors (for example, </w:t>
            </w:r>
            <w:r w:rsidRPr="00770229">
              <w:rPr>
                <w:szCs w:val="26"/>
              </w:rPr>
              <w:t>the size of the tourism market</w:t>
            </w:r>
            <w:r w:rsidRPr="00770229">
              <w:t xml:space="preserve">). As such, </w:t>
            </w:r>
            <w:r w:rsidRPr="00770229">
              <w:rPr>
                <w:szCs w:val="26"/>
              </w:rPr>
              <w:t xml:space="preserve">this category cannot, by definition, be linked closely with a particular service area or cohort of service users. </w:t>
            </w:r>
          </w:p>
          <w:p w:rsidR="009A7F87" w:rsidRPr="00770229" w:rsidRDefault="009A7F87" w:rsidP="009A7F87">
            <w:pPr>
              <w:pStyle w:val="TableBodyText"/>
              <w:keepNext w:val="0"/>
              <w:keepLines w:val="0"/>
              <w:spacing w:before="80" w:after="80"/>
              <w:jc w:val="left"/>
              <w:rPr>
                <w:szCs w:val="26"/>
              </w:rPr>
            </w:pPr>
            <w:r w:rsidRPr="00770229">
              <w:rPr>
                <w:szCs w:val="26"/>
              </w:rPr>
              <w:t>It is assumed that the costs associated with this expenditure are driven by the population on a uniform basis.</w:t>
            </w:r>
          </w:p>
        </w:tc>
      </w:tr>
      <w:tr w:rsidR="009A7F87" w:rsidRPr="00770229" w:rsidTr="00DE1DF1">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164FBA"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164FBA"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ColumnHeading"/>
              <w:keepNext w:val="0"/>
              <w:ind w:left="180"/>
              <w:jc w:val="center"/>
            </w:pPr>
            <w:r w:rsidRPr="00164FBA">
              <w:t>Data Years</w:t>
            </w:r>
          </w:p>
        </w:tc>
      </w:tr>
      <w:tr w:rsidR="009A7F87" w:rsidRPr="00164FBA"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164FBA" w:rsidRDefault="009A7F87" w:rsidP="009A7F87">
            <w:pPr>
              <w:pStyle w:val="TableBodyText"/>
              <w:keepNext w:val="0"/>
              <w:spacing w:before="60" w:after="60"/>
              <w:ind w:left="0"/>
              <w:jc w:val="both"/>
              <w:rPr>
                <w:i/>
              </w:rPr>
            </w:pPr>
            <w:r w:rsidRPr="00164FBA">
              <w:rPr>
                <w:i/>
              </w:rPr>
              <w:br/>
              <w:t>Measure</w:t>
            </w:r>
            <w:r w:rsidRPr="005A6681">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BodyText"/>
              <w:keepNext w:val="0"/>
              <w:spacing w:before="60" w:after="60"/>
              <w:ind w:left="180"/>
              <w:jc w:val="left"/>
              <w:rPr>
                <w:i/>
              </w:rPr>
            </w:pPr>
            <w:r w:rsidRPr="00164FBA">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BodyText"/>
              <w:keepNext w:val="0"/>
              <w:spacing w:before="60" w:after="60"/>
              <w:ind w:left="2"/>
              <w:jc w:val="center"/>
              <w:rPr>
                <w:i/>
              </w:rPr>
            </w:pPr>
            <w:r w:rsidRPr="00164FBA">
              <w:rPr>
                <w:i/>
              </w:rPr>
              <w:t>2008</w:t>
            </w:r>
            <w:r w:rsidRPr="00164FBA">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BodyText"/>
              <w:keepNext w:val="0"/>
              <w:spacing w:before="60" w:after="60"/>
              <w:ind w:left="2"/>
              <w:jc w:val="center"/>
              <w:rPr>
                <w:i/>
              </w:rPr>
            </w:pPr>
            <w:r w:rsidRPr="00164FBA">
              <w:rPr>
                <w:i/>
              </w:rPr>
              <w:t>2010</w:t>
            </w:r>
            <w:r w:rsidRPr="00164FBA">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BodyText"/>
              <w:keepNext w:val="0"/>
              <w:spacing w:before="60" w:after="60"/>
              <w:ind w:left="2"/>
              <w:jc w:val="center"/>
              <w:rPr>
                <w:i/>
              </w:rPr>
            </w:pPr>
            <w:r w:rsidRPr="00164FBA">
              <w:rPr>
                <w:i/>
              </w:rPr>
              <w:t>2012</w:t>
            </w:r>
            <w:r w:rsidRPr="00164FBA">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164FBA" w:rsidRDefault="009A7F87" w:rsidP="009A7F87">
            <w:pPr>
              <w:pStyle w:val="TableBodyText"/>
              <w:keepNext w:val="0"/>
              <w:spacing w:before="60" w:after="60"/>
              <w:ind w:left="2"/>
              <w:jc w:val="center"/>
              <w:rPr>
                <w:i/>
              </w:rPr>
            </w:pPr>
            <w:r w:rsidRPr="00164FBA">
              <w:rPr>
                <w:i/>
              </w:rPr>
              <w:t>2015</w:t>
            </w:r>
            <w:r w:rsidRPr="00164FBA">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br/>
            </w:r>
            <w:r w:rsidRPr="00770229">
              <w:t>(Cat.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t>J</w:t>
            </w:r>
            <w:r w:rsidRPr="00770229">
              <w:t>une 2009</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t>June 2011</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t>June 2013</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gridSpan w:val="2"/>
            <w:tcBorders>
              <w:top w:val="single" w:sz="6" w:space="0" w:color="808080" w:themeColor="background1" w:themeShade="80"/>
            </w:tcBorders>
            <w:vAlign w:val="center"/>
          </w:tcPr>
          <w:p w:rsidR="009A7F87" w:rsidRDefault="009A7F87" w:rsidP="009A7F87">
            <w:pPr>
              <w:pStyle w:val="TableBodyText"/>
              <w:keepNext w:val="0"/>
              <w:spacing w:after="60"/>
              <w:ind w:left="0"/>
              <w:jc w:val="center"/>
            </w:pPr>
            <w:r>
              <w:t>June 2016</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AE2EAE">
              <w:t>(Cat. no. 3101.0)</w:t>
            </w:r>
          </w:p>
        </w:tc>
        <w:tc>
          <w:tcPr>
            <w:tcW w:w="584"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2009</w:t>
            </w:r>
            <w:r>
              <w:br/>
            </w:r>
          </w:p>
        </w:tc>
        <w:tc>
          <w:tcPr>
            <w:tcW w:w="585" w:type="pct"/>
            <w:gridSpan w:val="2"/>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2011</w:t>
            </w:r>
            <w:r>
              <w:br/>
            </w:r>
          </w:p>
        </w:tc>
        <w:tc>
          <w:tcPr>
            <w:tcW w:w="585"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2013</w:t>
            </w:r>
            <w:r>
              <w:br/>
            </w:r>
          </w:p>
        </w:tc>
        <w:tc>
          <w:tcPr>
            <w:tcW w:w="583" w:type="pct"/>
            <w:gridSpan w:val="2"/>
            <w:tcBorders>
              <w:bottom w:val="single" w:sz="4" w:space="0" w:color="808080" w:themeColor="background1" w:themeShade="80"/>
            </w:tcBorders>
          </w:tcPr>
          <w:p w:rsidR="009A7F87" w:rsidRPr="00770229" w:rsidRDefault="009A7F87" w:rsidP="009A7F87">
            <w:pPr>
              <w:pStyle w:val="TableBodyText"/>
              <w:keepNext w:val="0"/>
              <w:spacing w:before="60" w:after="60"/>
              <w:ind w:left="2"/>
              <w:jc w:val="center"/>
            </w:pPr>
            <w:r>
              <w:t xml:space="preserve">June </w:t>
            </w:r>
            <w:r w:rsidRPr="00FF7A3F">
              <w:t>2016</w:t>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5E5130" w:rsidRDefault="009A7F87" w:rsidP="009A7F87">
            <w:pPr>
              <w:pStyle w:val="TableBodyText"/>
              <w:keepNext w:val="0"/>
              <w:keepLines w:val="0"/>
              <w:spacing w:before="80" w:after="80"/>
              <w:jc w:val="both"/>
            </w:pPr>
            <w:r w:rsidRPr="00770229">
              <w:rPr>
                <w:rStyle w:val="NoteLabel"/>
              </w:rPr>
              <w:t>a</w:t>
            </w:r>
            <w:r w:rsidR="005A6681">
              <w:rPr>
                <w:rStyle w:val="NoteLabel"/>
              </w:rPr>
              <w:t>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26"/>
      </w:tblGrid>
      <w:tr w:rsidR="009A7F87" w:rsidRPr="00770229" w:rsidTr="00760FFA">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r>
            <w:r>
              <w:t>1331</w:t>
            </w:r>
            <w:r w:rsidRPr="00770229">
              <w:t xml:space="preserve"> Vocational training</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3"/>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ullet"/>
              <w:keepNext w:val="0"/>
              <w:keepLines w:val="0"/>
              <w:widowControl w:val="0"/>
              <w:numPr>
                <w:ilvl w:val="0"/>
                <w:numId w:val="0"/>
              </w:numPr>
            </w:pPr>
            <w:r w:rsidRPr="00770229">
              <w:t xml:space="preserve">Australian, State and Territory governments are involved in vocational training policy development and delivery, with providers regulated through the Australian Quality Training Framework. The training market includes public and private providers who compete for clients and training funds. </w:t>
            </w:r>
          </w:p>
          <w:p w:rsidR="009A7F87" w:rsidRPr="00770229" w:rsidRDefault="009A7F87" w:rsidP="009A7F87">
            <w:pPr>
              <w:pStyle w:val="TableBullet"/>
              <w:keepNext w:val="0"/>
              <w:keepLines w:val="0"/>
              <w:widowControl w:val="0"/>
              <w:numPr>
                <w:ilvl w:val="0"/>
                <w:numId w:val="0"/>
              </w:numPr>
            </w:pPr>
            <w:r w:rsidRPr="00770229">
              <w:t>Each State and Territory has its own training authority that administers vocational education and training. Their role includes the registration of training organisations, accreditation of courses and regulation of registered training and group training organisations.</w:t>
            </w:r>
          </w:p>
          <w:p w:rsidR="009A7F87" w:rsidRPr="00770229" w:rsidRDefault="009A7F87" w:rsidP="009A7F87">
            <w:pPr>
              <w:pStyle w:val="TableBodyText"/>
              <w:spacing w:before="40"/>
              <w:jc w:val="left"/>
            </w:pPr>
            <w:r w:rsidRPr="00770229">
              <w:t>The Australian Government provides vocational training primarily through the Australian apprenticeship programs.</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21421E">
              <w:rPr>
                <w:b/>
              </w:rPr>
              <w:t>http://www.pc.gov.au/ier2017</w:t>
            </w:r>
            <w:r w:rsidRPr="00770229">
              <w:rPr>
                <w:b/>
              </w:rPr>
              <w:t>).</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szCs w:val="26"/>
              </w:rPr>
            </w:pPr>
            <w:r w:rsidRPr="00770229">
              <w:t>The key cost drivers of expenditure on vocational training are the number of students enrolled in each course, the average hours of study per student, and the level of government expenditure for each type of course.</w:t>
            </w:r>
          </w:p>
        </w:tc>
      </w:tr>
      <w:tr w:rsidR="009A7F87" w:rsidRPr="00770229" w:rsidTr="00DE1DF1">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164FBA"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164FBA"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ColumnHeading"/>
              <w:keepNext w:val="0"/>
              <w:ind w:left="180"/>
              <w:jc w:val="left"/>
            </w:pPr>
          </w:p>
        </w:tc>
        <w:tc>
          <w:tcPr>
            <w:tcW w:w="2337" w:type="pct"/>
            <w:gridSpan w:val="5"/>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ColumnHeading"/>
              <w:keepNext w:val="0"/>
              <w:ind w:left="180"/>
              <w:jc w:val="center"/>
            </w:pPr>
            <w:r w:rsidRPr="00164FBA">
              <w:t>Data Years</w:t>
            </w:r>
          </w:p>
        </w:tc>
      </w:tr>
      <w:tr w:rsidR="009A7F87" w:rsidRPr="00164FBA"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164FBA" w:rsidRDefault="009A7F87" w:rsidP="009A7F87">
            <w:pPr>
              <w:pStyle w:val="TableBodyText"/>
              <w:keepNext w:val="0"/>
              <w:spacing w:before="60" w:after="60"/>
              <w:ind w:left="0"/>
              <w:jc w:val="both"/>
              <w:rPr>
                <w:i/>
              </w:rPr>
            </w:pPr>
            <w:r w:rsidRPr="00164FBA">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BodyText"/>
              <w:keepNext w:val="0"/>
              <w:spacing w:before="60" w:after="60"/>
              <w:ind w:left="180"/>
              <w:jc w:val="left"/>
              <w:rPr>
                <w:i/>
              </w:rPr>
            </w:pPr>
            <w:r w:rsidRPr="00164FBA">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BodyText"/>
              <w:keepNext w:val="0"/>
              <w:spacing w:before="60" w:after="60"/>
              <w:ind w:left="2"/>
              <w:jc w:val="center"/>
              <w:rPr>
                <w:i/>
              </w:rPr>
            </w:pPr>
            <w:r w:rsidRPr="00164FBA">
              <w:rPr>
                <w:i/>
              </w:rPr>
              <w:t>2008</w:t>
            </w:r>
            <w:r w:rsidRPr="00164FBA">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BodyText"/>
              <w:keepNext w:val="0"/>
              <w:spacing w:before="60" w:after="60"/>
              <w:ind w:left="2"/>
              <w:jc w:val="center"/>
              <w:rPr>
                <w:i/>
              </w:rPr>
            </w:pPr>
            <w:r w:rsidRPr="00164FBA">
              <w:rPr>
                <w:i/>
              </w:rPr>
              <w:t>2010</w:t>
            </w:r>
            <w:r w:rsidRPr="00164FBA">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BodyText"/>
              <w:keepNext w:val="0"/>
              <w:spacing w:before="60" w:after="60"/>
              <w:ind w:left="2"/>
              <w:jc w:val="center"/>
              <w:rPr>
                <w:i/>
              </w:rPr>
            </w:pPr>
            <w:r w:rsidRPr="00164FBA">
              <w:rPr>
                <w:i/>
              </w:rPr>
              <w:t>2012</w:t>
            </w:r>
            <w:r w:rsidRPr="00164FBA">
              <w:rPr>
                <w:i/>
              </w:rPr>
              <w:noBreakHyphen/>
              <w:t>13 Estimates</w:t>
            </w:r>
          </w:p>
        </w:tc>
        <w:tc>
          <w:tcPr>
            <w:tcW w:w="583" w:type="pct"/>
            <w:tcBorders>
              <w:top w:val="single" w:sz="6" w:space="0" w:color="808080" w:themeColor="background1" w:themeShade="80"/>
              <w:bottom w:val="single" w:sz="6" w:space="0" w:color="808080" w:themeColor="background1" w:themeShade="80"/>
            </w:tcBorders>
          </w:tcPr>
          <w:p w:rsidR="009A7F87" w:rsidRPr="00164FBA" w:rsidRDefault="009A7F87" w:rsidP="009A7F87">
            <w:pPr>
              <w:pStyle w:val="TableBodyText"/>
              <w:keepNext w:val="0"/>
              <w:spacing w:before="60" w:after="60"/>
              <w:ind w:left="2"/>
              <w:jc w:val="center"/>
              <w:rPr>
                <w:i/>
              </w:rPr>
            </w:pPr>
            <w:r w:rsidRPr="00164FBA">
              <w:rPr>
                <w:i/>
              </w:rPr>
              <w:t>2015</w:t>
            </w:r>
            <w:r w:rsidRPr="00164FBA">
              <w:rPr>
                <w:i/>
              </w:rPr>
              <w:noBreakHyphen/>
              <w:t>16 Estimates</w:t>
            </w:r>
          </w:p>
        </w:tc>
      </w:tr>
      <w:tr w:rsidR="009A7F87" w:rsidRPr="00770229"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Students enrolled in vocational training</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NCVER Apprentices and trainees collection (unpublished)</w:t>
            </w:r>
          </w:p>
        </w:tc>
        <w:tc>
          <w:tcPr>
            <w:tcW w:w="584"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bottom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2012-13</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tcBorders>
              <w:top w:val="single" w:sz="6" w:space="0" w:color="808080" w:themeColor="background1" w:themeShade="80"/>
              <w:bottom w:val="single" w:sz="6" w:space="0" w:color="808080" w:themeColor="background1" w:themeShade="80"/>
            </w:tcBorders>
            <w:vAlign w:val="center"/>
          </w:tcPr>
          <w:p w:rsidR="009A7F87" w:rsidRDefault="009A7F87" w:rsidP="009A7F87">
            <w:pPr>
              <w:pStyle w:val="TableBodyText"/>
              <w:spacing w:before="60" w:after="60"/>
              <w:ind w:left="2"/>
              <w:jc w:val="center"/>
            </w:pPr>
            <w:r>
              <w:t>2015-16</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1369A" w:rsidTr="00DE1DF1">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26"/>
      </w:tblGrid>
      <w:tr w:rsidR="009A7F87" w:rsidRPr="00770229" w:rsidTr="00760FFA">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r>
            <w:r>
              <w:t>1339</w:t>
            </w:r>
            <w:r w:rsidRPr="00770229">
              <w:t xml:space="preserve"> Other labour and employment affairs</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3"/>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spacing w:before="80" w:after="80"/>
              <w:jc w:val="left"/>
            </w:pPr>
            <w:r w:rsidRPr="00770229">
              <w:t>Government activities that aim to facilitate a strong institutional framework for the labour market and to promote employment, including:</w:t>
            </w:r>
          </w:p>
          <w:p w:rsidR="009A7F87" w:rsidRPr="00770229" w:rsidRDefault="009A7F87" w:rsidP="009A7F87">
            <w:pPr>
              <w:pStyle w:val="TableBodyText"/>
              <w:numPr>
                <w:ilvl w:val="0"/>
                <w:numId w:val="3"/>
              </w:numPr>
              <w:spacing w:before="80" w:after="80" w:line="220" w:lineRule="atLeast"/>
              <w:jc w:val="left"/>
            </w:pPr>
            <w:r w:rsidRPr="00770229">
              <w:rPr>
                <w:i/>
              </w:rPr>
              <w:t>industrial relations</w:t>
            </w:r>
            <w:r w:rsidRPr="00770229">
              <w:t xml:space="preserve"> — regulation in the areas of occupational health and safety, anti</w:t>
            </w:r>
            <w:r w:rsidRPr="00770229">
              <w:noBreakHyphen/>
              <w:t>discrimination advocacy services, worker’s compensation, trading hours, payment for work on public holidays and long service leave. These activities are conducted by workplace relations bodies such as Fair Work Australia</w:t>
            </w:r>
          </w:p>
          <w:p w:rsidR="009A7F87" w:rsidRPr="00770229" w:rsidRDefault="009A7F87" w:rsidP="009A7F87">
            <w:pPr>
              <w:pStyle w:val="TableBodyText"/>
              <w:numPr>
                <w:ilvl w:val="0"/>
                <w:numId w:val="3"/>
              </w:numPr>
              <w:spacing w:before="80" w:after="80" w:line="220" w:lineRule="atLeast"/>
              <w:jc w:val="left"/>
            </w:pPr>
            <w:r w:rsidRPr="00770229">
              <w:rPr>
                <w:i/>
              </w:rPr>
              <w:t>labour market assistance</w:t>
            </w:r>
            <w:r w:rsidRPr="00770229">
              <w:t xml:space="preserve"> — services and programs that encourage and assist jobseekers to prepare for and take up work, through the provision of work placement, job networks, training opportunities and related support services</w:t>
            </w:r>
          </w:p>
          <w:p w:rsidR="009A7F87" w:rsidRPr="00770229" w:rsidRDefault="009A7F87" w:rsidP="009A7F87">
            <w:pPr>
              <w:pStyle w:val="TableBodyText"/>
              <w:numPr>
                <w:ilvl w:val="0"/>
                <w:numId w:val="3"/>
              </w:numPr>
              <w:spacing w:before="80" w:after="80" w:line="220" w:lineRule="atLeast"/>
              <w:jc w:val="left"/>
            </w:pPr>
            <w:r w:rsidRPr="00770229">
              <w:rPr>
                <w:i/>
              </w:rPr>
              <w:t>immigration</w:t>
            </w:r>
            <w:r w:rsidRPr="00770229">
              <w:t xml:space="preserve"> — the Australian Government is responsible for the permanent migration program, which has an economic migration stream. This stream seeks to address existing and emerging skill shortages.</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21421E">
              <w:rPr>
                <w:b/>
              </w:rPr>
              <w:t>http://www.pc.gov.au/ier2017</w:t>
            </w:r>
            <w:r w:rsidRPr="00770229">
              <w:rPr>
                <w:b/>
              </w:rPr>
              <w:t>).</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DE1DF1">
        <w:tc>
          <w:tcPr>
            <w:tcW w:w="5000" w:type="pct"/>
            <w:gridSpan w:val="7"/>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sidRPr="00770229">
              <w:rPr>
                <w:szCs w:val="26"/>
              </w:rPr>
              <w:t xml:space="preserve">The key cost drivers of expenditure on industrial relations are </w:t>
            </w:r>
            <w:r w:rsidRPr="00770229">
              <w:t xml:space="preserve">the number of people in general employment. </w:t>
            </w:r>
          </w:p>
          <w:p w:rsidR="009A7F87" w:rsidRPr="00770229" w:rsidRDefault="009A7F87" w:rsidP="009A7F87">
            <w:pPr>
              <w:pStyle w:val="TableBodyText"/>
              <w:keepNext w:val="0"/>
              <w:spacing w:before="60" w:after="60"/>
              <w:jc w:val="left"/>
            </w:pPr>
            <w:r w:rsidRPr="00770229">
              <w:t>The key cost drivers of expenditure on labour market assistance are the number of people participating in specific employment programs, the program location, and the average level of government support.</w:t>
            </w:r>
          </w:p>
          <w:p w:rsidR="009A7F87" w:rsidRPr="00770229" w:rsidRDefault="009A7F87" w:rsidP="009A7F87">
            <w:pPr>
              <w:pStyle w:val="TableBodyText"/>
              <w:keepNext w:val="0"/>
              <w:keepLines w:val="0"/>
              <w:spacing w:before="80" w:after="80"/>
              <w:jc w:val="left"/>
              <w:rPr>
                <w:szCs w:val="26"/>
              </w:rPr>
            </w:pPr>
            <w:r w:rsidRPr="00770229">
              <w:t>The key cost drivers of expenditure on immigration are varied and cannot be linked closely with a particular service area or cohort of service users. It is assumed that the costs associated with this expenditure are driven by the population on a uniform basis.</w:t>
            </w:r>
          </w:p>
        </w:tc>
      </w:tr>
      <w:tr w:rsidR="009A7F87" w:rsidRPr="00770229" w:rsidTr="00DE1DF1">
        <w:tblPrEx>
          <w:tblBorders>
            <w:top w:val="none" w:sz="0" w:space="0" w:color="auto"/>
            <w:bottom w:val="none" w:sz="0" w:space="0" w:color="auto"/>
            <w:insideH w:val="none" w:sz="0" w:space="0" w:color="auto"/>
          </w:tblBorders>
        </w:tblPrEx>
        <w:tc>
          <w:tcPr>
            <w:tcW w:w="5000" w:type="pct"/>
            <w:gridSpan w:val="7"/>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164FBA"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164FBA"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ColumnHeading"/>
              <w:keepNext w:val="0"/>
              <w:ind w:left="180"/>
              <w:jc w:val="left"/>
            </w:pPr>
          </w:p>
        </w:tc>
        <w:tc>
          <w:tcPr>
            <w:tcW w:w="2337" w:type="pct"/>
            <w:gridSpan w:val="5"/>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ColumnHeading"/>
              <w:keepNext w:val="0"/>
              <w:ind w:left="180"/>
              <w:jc w:val="center"/>
            </w:pPr>
            <w:r w:rsidRPr="00164FBA">
              <w:t>Data Years</w:t>
            </w:r>
          </w:p>
        </w:tc>
      </w:tr>
      <w:tr w:rsidR="009A7F87" w:rsidRPr="00164FBA"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164FBA" w:rsidRDefault="009A7F87" w:rsidP="009A7F87">
            <w:pPr>
              <w:pStyle w:val="TableBodyText"/>
              <w:keepNext w:val="0"/>
              <w:spacing w:before="60" w:after="60"/>
              <w:ind w:left="0"/>
              <w:jc w:val="both"/>
              <w:rPr>
                <w:i/>
              </w:rPr>
            </w:pPr>
            <w:r w:rsidRPr="00164FBA">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BodyText"/>
              <w:keepNext w:val="0"/>
              <w:spacing w:before="60" w:after="60"/>
              <w:ind w:left="180"/>
              <w:jc w:val="left"/>
              <w:rPr>
                <w:i/>
              </w:rPr>
            </w:pPr>
            <w:r w:rsidRPr="00164FBA">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BodyText"/>
              <w:keepNext w:val="0"/>
              <w:spacing w:before="60" w:after="60"/>
              <w:ind w:left="2"/>
              <w:jc w:val="center"/>
              <w:rPr>
                <w:i/>
              </w:rPr>
            </w:pPr>
            <w:r w:rsidRPr="00164FBA">
              <w:rPr>
                <w:i/>
              </w:rPr>
              <w:t>2008</w:t>
            </w:r>
            <w:r w:rsidRPr="00164FBA">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BodyText"/>
              <w:keepNext w:val="0"/>
              <w:spacing w:before="60" w:after="60"/>
              <w:ind w:left="2"/>
              <w:jc w:val="center"/>
              <w:rPr>
                <w:i/>
              </w:rPr>
            </w:pPr>
            <w:r w:rsidRPr="00164FBA">
              <w:rPr>
                <w:i/>
              </w:rPr>
              <w:t>2010</w:t>
            </w:r>
            <w:r w:rsidRPr="00164FBA">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BodyText"/>
              <w:keepNext w:val="0"/>
              <w:spacing w:before="60" w:after="60"/>
              <w:ind w:left="2"/>
              <w:jc w:val="center"/>
              <w:rPr>
                <w:i/>
              </w:rPr>
            </w:pPr>
            <w:r w:rsidRPr="00164FBA">
              <w:rPr>
                <w:i/>
              </w:rPr>
              <w:t>2012</w:t>
            </w:r>
            <w:r w:rsidRPr="00164FBA">
              <w:rPr>
                <w:i/>
              </w:rPr>
              <w:noBreakHyphen/>
              <w:t>13 Estimates</w:t>
            </w:r>
          </w:p>
        </w:tc>
        <w:tc>
          <w:tcPr>
            <w:tcW w:w="583" w:type="pct"/>
            <w:tcBorders>
              <w:top w:val="single" w:sz="6" w:space="0" w:color="808080" w:themeColor="background1" w:themeShade="80"/>
              <w:bottom w:val="single" w:sz="6" w:space="0" w:color="808080" w:themeColor="background1" w:themeShade="80"/>
            </w:tcBorders>
          </w:tcPr>
          <w:p w:rsidR="009A7F87" w:rsidRPr="00164FBA" w:rsidRDefault="009A7F87" w:rsidP="009A7F87">
            <w:pPr>
              <w:pStyle w:val="TableBodyText"/>
              <w:keepNext w:val="0"/>
              <w:spacing w:before="60" w:after="60"/>
              <w:ind w:left="2"/>
              <w:jc w:val="center"/>
              <w:rPr>
                <w:i/>
              </w:rPr>
            </w:pPr>
            <w:r w:rsidRPr="00164FBA">
              <w:rPr>
                <w:i/>
              </w:rPr>
              <w:t>2015</w:t>
            </w:r>
            <w:r w:rsidRPr="00164FBA">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 xml:space="preserve">Employed </w:t>
            </w:r>
            <w:r>
              <w:t>Aboriginal and Torres Strait Islander people</w:t>
            </w:r>
            <w:r w:rsidRPr="00770229">
              <w:t xml:space="preserve"> (industrial relations)</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National Aboriginal and Torres Strait Islander Social Survey, 2008</w:t>
            </w:r>
            <w:r>
              <w:t xml:space="preserve"> (Cat. no. 4714.0)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August 2008</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August 2008</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tcBorders>
              <w:top w:val="single" w:sz="6" w:space="0" w:color="808080" w:themeColor="background1" w:themeShade="80"/>
            </w:tcBorders>
            <w:vAlign w:val="center"/>
          </w:tcPr>
          <w:p w:rsidR="009A7F87" w:rsidRDefault="009A7F87" w:rsidP="009A7F87">
            <w:pPr>
              <w:pStyle w:val="TableBodyText"/>
              <w:spacing w:before="60" w:after="60"/>
              <w:ind w:left="2"/>
              <w:jc w:val="center"/>
            </w:pPr>
            <w:r>
              <w:t>..</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 xml:space="preserve">Employed </w:t>
            </w:r>
            <w:r>
              <w:t xml:space="preserve">Aboriginal and Torres Strait Islander </w:t>
            </w:r>
            <w:r w:rsidRPr="00770229">
              <w:t>people (industrial relations)</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Australian Health Survey:</w:t>
            </w:r>
            <w:r w:rsidRPr="00770229">
              <w:t xml:space="preserve"> </w:t>
            </w:r>
            <w:r w:rsidRPr="00770229">
              <w:rPr>
                <w:i/>
              </w:rPr>
              <w:t>Aboriginal and Torres Strait Islander Results, 2011</w:t>
            </w:r>
            <w:r>
              <w:rPr>
                <w:i/>
              </w:rPr>
              <w:noBreakHyphen/>
            </w:r>
            <w:r w:rsidRPr="00770229">
              <w:rPr>
                <w:i/>
              </w:rPr>
              <w:t>13</w:t>
            </w:r>
            <w:r w:rsidRPr="00770229">
              <w:t xml:space="preserve"> (Cat. no. 4363.0)</w:t>
            </w:r>
          </w:p>
        </w:tc>
        <w:tc>
          <w:tcPr>
            <w:tcW w:w="584" w:type="pct"/>
            <w:tcBorders>
              <w:bottom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tc>
        <w:tc>
          <w:tcPr>
            <w:tcW w:w="585" w:type="pct"/>
            <w:gridSpan w:val="2"/>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c>
          <w:tcPr>
            <w:tcW w:w="585" w:type="pct"/>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2011-13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c>
          <w:tcPr>
            <w:tcW w:w="583" w:type="pct"/>
            <w:tcBorders>
              <w:bottom w:val="single" w:sz="4" w:space="0" w:color="808080" w:themeColor="background1" w:themeShade="80"/>
            </w:tcBorders>
            <w:vAlign w:val="center"/>
          </w:tcPr>
          <w:p w:rsidR="009A7F87" w:rsidRDefault="009A7F87" w:rsidP="009A7F87">
            <w:pPr>
              <w:pStyle w:val="TableBodyText"/>
              <w:spacing w:before="60" w:after="60"/>
              <w:ind w:left="2"/>
              <w:jc w:val="center"/>
            </w:pPr>
            <w:r>
              <w:t>..</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p>
        </w:tc>
        <w:tc>
          <w:tcPr>
            <w:tcW w:w="1814" w:type="pct"/>
            <w:tcBorders>
              <w:top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p>
        </w:tc>
        <w:tc>
          <w:tcPr>
            <w:tcW w:w="584" w:type="pct"/>
            <w:tcBorders>
              <w:top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p>
        </w:tc>
        <w:tc>
          <w:tcPr>
            <w:tcW w:w="585" w:type="pct"/>
            <w:gridSpan w:val="2"/>
            <w:tcBorders>
              <w:top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p>
        </w:tc>
        <w:tc>
          <w:tcPr>
            <w:tcW w:w="1168" w:type="pct"/>
            <w:gridSpan w:val="2"/>
            <w:tcBorders>
              <w:top w:val="single" w:sz="4" w:space="0" w:color="808080" w:themeColor="background1" w:themeShade="80"/>
            </w:tcBorders>
            <w:shd w:val="clear" w:color="auto" w:fill="auto"/>
            <w:vAlign w:val="center"/>
          </w:tcPr>
          <w:p w:rsidR="009A7F87" w:rsidRDefault="009A7F87" w:rsidP="009A7F87">
            <w:pPr>
              <w:pStyle w:val="TableBodyText"/>
              <w:spacing w:before="60" w:after="60"/>
              <w:ind w:left="2"/>
            </w:pPr>
            <w:r>
              <w:t>(continue next page)</w:t>
            </w:r>
          </w:p>
        </w:tc>
      </w:tr>
      <w:tr w:rsidR="009A7F87" w:rsidRPr="0071369A" w:rsidTr="009A7F87">
        <w:tblPrEx>
          <w:tblBorders>
            <w:top w:val="none" w:sz="0" w:space="0" w:color="auto"/>
            <w:bottom w:val="none" w:sz="0" w:space="0" w:color="auto"/>
            <w:insideH w:val="none" w:sz="0" w:space="0" w:color="auto"/>
          </w:tblBorders>
        </w:tblPrEx>
        <w:tc>
          <w:tcPr>
            <w:tcW w:w="5000" w:type="pct"/>
            <w:gridSpan w:val="7"/>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1029"/>
        <w:gridCol w:w="1029"/>
        <w:gridCol w:w="1026"/>
      </w:tblGrid>
      <w:tr w:rsidR="009A7F87" w:rsidRPr="00770229" w:rsidTr="00760FFA">
        <w:tc>
          <w:tcPr>
            <w:tcW w:w="5000" w:type="pct"/>
            <w:gridSpan w:val="6"/>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164FBA" w:rsidRDefault="009A7F87" w:rsidP="00DE1DF1">
            <w:pPr>
              <w:pStyle w:val="Heading3"/>
              <w:spacing w:before="520"/>
              <w:rPr>
                <w:sz w:val="18"/>
                <w:szCs w:val="18"/>
              </w:rPr>
            </w:pPr>
            <w:r w:rsidRPr="00770229">
              <w:br w:type="page"/>
            </w:r>
            <w:r w:rsidRPr="00164FBA">
              <w:rPr>
                <w:sz w:val="18"/>
                <w:szCs w:val="18"/>
              </w:rPr>
              <w:t>(continued)</w:t>
            </w:r>
          </w:p>
        </w:tc>
      </w:tr>
      <w:tr w:rsidR="009A7F87" w:rsidRPr="00164FBA" w:rsidTr="00760FFA">
        <w:tblPrEx>
          <w:tblBorders>
            <w:top w:val="none" w:sz="0" w:space="0" w:color="auto"/>
            <w:bottom w:val="none" w:sz="0" w:space="0" w:color="auto"/>
            <w:insideH w:val="none" w:sz="0" w:space="0" w:color="auto"/>
          </w:tblBorders>
        </w:tblPrEx>
        <w:tc>
          <w:tcPr>
            <w:tcW w:w="849" w:type="pct"/>
            <w:tcBorders>
              <w:top w:val="single" w:sz="12" w:space="0" w:color="808080" w:themeColor="background1" w:themeShade="80"/>
              <w:bottom w:val="single" w:sz="6" w:space="0" w:color="808080" w:themeColor="background1" w:themeShade="80"/>
            </w:tcBorders>
            <w:shd w:val="clear" w:color="auto" w:fill="auto"/>
            <w:tcMar>
              <w:top w:w="57" w:type="dxa"/>
              <w:left w:w="113" w:type="dxa"/>
            </w:tcMar>
          </w:tcPr>
          <w:p w:rsidR="009A7F87" w:rsidRPr="00164FBA" w:rsidRDefault="009A7F87" w:rsidP="009A7F87">
            <w:pPr>
              <w:pStyle w:val="TableColumnHeading"/>
              <w:keepNext w:val="0"/>
              <w:jc w:val="left"/>
            </w:pPr>
          </w:p>
        </w:tc>
        <w:tc>
          <w:tcPr>
            <w:tcW w:w="1814" w:type="pct"/>
            <w:tcBorders>
              <w:top w:val="single" w:sz="12"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ColumnHeading"/>
              <w:keepNext w:val="0"/>
              <w:ind w:left="180"/>
              <w:jc w:val="left"/>
            </w:pPr>
          </w:p>
        </w:tc>
        <w:tc>
          <w:tcPr>
            <w:tcW w:w="2337" w:type="pct"/>
            <w:gridSpan w:val="4"/>
            <w:tcBorders>
              <w:top w:val="single" w:sz="12"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ColumnHeading"/>
              <w:keepNext w:val="0"/>
              <w:ind w:left="180"/>
              <w:jc w:val="center"/>
            </w:pPr>
            <w:r w:rsidRPr="00164FBA">
              <w:t>Data Years</w:t>
            </w:r>
          </w:p>
        </w:tc>
      </w:tr>
      <w:tr w:rsidR="009A7F87" w:rsidRPr="00164FBA"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164FBA" w:rsidRDefault="009A7F87" w:rsidP="009A7F87">
            <w:pPr>
              <w:pStyle w:val="TableBodyText"/>
              <w:keepNext w:val="0"/>
              <w:spacing w:before="60" w:after="60"/>
              <w:ind w:left="0"/>
              <w:jc w:val="both"/>
              <w:rPr>
                <w:i/>
              </w:rPr>
            </w:pPr>
            <w:r w:rsidRPr="00164FBA">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BodyText"/>
              <w:keepNext w:val="0"/>
              <w:spacing w:before="60" w:after="60"/>
              <w:ind w:left="180"/>
              <w:jc w:val="left"/>
              <w:rPr>
                <w:i/>
              </w:rPr>
            </w:pPr>
            <w:r w:rsidRPr="00164FBA">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BodyText"/>
              <w:keepNext w:val="0"/>
              <w:spacing w:before="60" w:after="60"/>
              <w:ind w:left="2"/>
              <w:jc w:val="center"/>
              <w:rPr>
                <w:i/>
              </w:rPr>
            </w:pPr>
            <w:r w:rsidRPr="00164FBA">
              <w:rPr>
                <w:i/>
              </w:rPr>
              <w:t>2008</w:t>
            </w:r>
            <w:r w:rsidRPr="00164FBA">
              <w:rPr>
                <w:i/>
              </w:rPr>
              <w:noBreakHyphen/>
              <w:t>09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BodyText"/>
              <w:keepNext w:val="0"/>
              <w:spacing w:before="60" w:after="60"/>
              <w:ind w:left="2"/>
              <w:jc w:val="center"/>
              <w:rPr>
                <w:i/>
              </w:rPr>
            </w:pPr>
            <w:r w:rsidRPr="00164FBA">
              <w:rPr>
                <w:i/>
              </w:rPr>
              <w:t>2010</w:t>
            </w:r>
            <w:r w:rsidRPr="00164FBA">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BodyText"/>
              <w:keepNext w:val="0"/>
              <w:spacing w:before="60" w:after="60"/>
              <w:ind w:left="2"/>
              <w:jc w:val="center"/>
              <w:rPr>
                <w:i/>
              </w:rPr>
            </w:pPr>
            <w:r w:rsidRPr="00164FBA">
              <w:rPr>
                <w:i/>
              </w:rPr>
              <w:t>2012</w:t>
            </w:r>
            <w:r w:rsidRPr="00164FBA">
              <w:rPr>
                <w:i/>
              </w:rPr>
              <w:noBreakHyphen/>
              <w:t>13 Estimates</w:t>
            </w:r>
          </w:p>
        </w:tc>
        <w:tc>
          <w:tcPr>
            <w:tcW w:w="583" w:type="pct"/>
            <w:tcBorders>
              <w:top w:val="single" w:sz="6" w:space="0" w:color="808080" w:themeColor="background1" w:themeShade="80"/>
              <w:bottom w:val="single" w:sz="6" w:space="0" w:color="808080" w:themeColor="background1" w:themeShade="80"/>
            </w:tcBorders>
          </w:tcPr>
          <w:p w:rsidR="009A7F87" w:rsidRPr="00164FBA" w:rsidRDefault="009A7F87" w:rsidP="009A7F87">
            <w:pPr>
              <w:pStyle w:val="TableBodyText"/>
              <w:keepNext w:val="0"/>
              <w:spacing w:before="60" w:after="60"/>
              <w:ind w:left="2"/>
              <w:jc w:val="center"/>
              <w:rPr>
                <w:i/>
              </w:rPr>
            </w:pPr>
            <w:r w:rsidRPr="00164FBA">
              <w:rPr>
                <w:i/>
              </w:rPr>
              <w:t>2015</w:t>
            </w:r>
            <w:r w:rsidRPr="00164FBA">
              <w:rPr>
                <w:i/>
              </w:rPr>
              <w:noBreakHyphen/>
              <w:t>16 Estimates</w:t>
            </w:r>
          </w:p>
        </w:tc>
      </w:tr>
      <w:tr w:rsidR="009A7F87" w:rsidRPr="00770229"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 xml:space="preserve">Employed </w:t>
            </w:r>
            <w:r>
              <w:t xml:space="preserve">Aboriginal and Torres Strait Islander </w:t>
            </w:r>
            <w:r w:rsidRPr="00770229">
              <w:t>people (industrial relations)</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National Aboriginal and Torres Strait Islander Social Survey, 20</w:t>
            </w:r>
            <w:r>
              <w:rPr>
                <w:i/>
              </w:rPr>
              <w:t>14</w:t>
            </w:r>
            <w:r>
              <w:rPr>
                <w:i/>
              </w:rPr>
              <w:noBreakHyphen/>
              <w:t>15</w:t>
            </w:r>
            <w:r w:rsidRPr="00770229">
              <w:t xml:space="preserve"> (Cat. no. 4714.0)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tcBorders>
              <w:top w:val="single" w:sz="6" w:space="0" w:color="808080" w:themeColor="background1" w:themeShade="80"/>
            </w:tcBorders>
            <w:vAlign w:val="center"/>
          </w:tcPr>
          <w:p w:rsidR="009A7F87" w:rsidRDefault="009A7F87" w:rsidP="009A7F87">
            <w:pPr>
              <w:pStyle w:val="TableBodyText"/>
              <w:spacing w:before="60" w:after="60"/>
              <w:ind w:left="2"/>
              <w:jc w:val="center"/>
            </w:pPr>
            <w:r>
              <w:t>2014-15</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70229" w:rsidTr="009A7F87">
        <w:tblPrEx>
          <w:tblBorders>
            <w:top w:val="none" w:sz="0" w:space="0" w:color="auto"/>
            <w:bottom w:val="none" w:sz="0" w:space="0" w:color="auto"/>
            <w:insideH w:val="none" w:sz="0" w:space="0" w:color="auto"/>
          </w:tblBorders>
        </w:tblPrEx>
        <w:tc>
          <w:tcPr>
            <w:tcW w:w="849" w:type="pct"/>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Employed people (industrial relations)</w:t>
            </w:r>
          </w:p>
        </w:tc>
        <w:tc>
          <w:tcPr>
            <w:tcW w:w="1814" w:type="pct"/>
            <w:shd w:val="clear" w:color="auto" w:fill="auto"/>
          </w:tcPr>
          <w:p w:rsidR="009A7F87" w:rsidRPr="00770229" w:rsidRDefault="009A7F87" w:rsidP="009A7F87">
            <w:pPr>
              <w:pStyle w:val="TableBodyText"/>
              <w:keepNext w:val="0"/>
              <w:spacing w:before="60" w:after="60"/>
              <w:ind w:left="180"/>
              <w:jc w:val="left"/>
            </w:pPr>
            <w:r w:rsidRPr="008C370A">
              <w:t xml:space="preserve">ABS </w:t>
            </w:r>
            <w:r w:rsidRPr="006943F6">
              <w:rPr>
                <w:i/>
              </w:rPr>
              <w:t>Labour Force</w:t>
            </w:r>
            <w:r w:rsidRPr="008C370A">
              <w:t>, Australia</w:t>
            </w:r>
            <w:r>
              <w:t xml:space="preserve"> </w:t>
            </w:r>
            <w:r>
              <w:br/>
              <w:t xml:space="preserve">(Cat. no. </w:t>
            </w:r>
            <w:r w:rsidRPr="008C370A">
              <w:t>6202.0</w:t>
            </w:r>
            <w:r>
              <w:t>)</w:t>
            </w:r>
          </w:p>
        </w:tc>
        <w:tc>
          <w:tcPr>
            <w:tcW w:w="584" w:type="pct"/>
            <w:shd w:val="clear" w:color="auto" w:fill="auto"/>
            <w:vAlign w:val="center"/>
          </w:tcPr>
          <w:p w:rsidR="009A7F87" w:rsidRDefault="009A7F87" w:rsidP="009A7F87">
            <w:pPr>
              <w:pStyle w:val="TableBodyText"/>
              <w:keepNext w:val="0"/>
              <w:spacing w:before="60" w:after="60"/>
              <w:ind w:left="2"/>
              <w:jc w:val="center"/>
            </w:pPr>
            <w:r>
              <w:t>May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tc>
        <w:tc>
          <w:tcPr>
            <w:tcW w:w="585" w:type="pct"/>
            <w:shd w:val="clear" w:color="auto" w:fill="auto"/>
            <w:vAlign w:val="center"/>
          </w:tcPr>
          <w:p w:rsidR="009A7F87" w:rsidRDefault="009A7F87" w:rsidP="009A7F87">
            <w:pPr>
              <w:pStyle w:val="TableBodyText"/>
              <w:spacing w:before="60" w:after="60"/>
              <w:ind w:left="2"/>
              <w:jc w:val="center"/>
            </w:pPr>
            <w:r>
              <w:t>May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c>
          <w:tcPr>
            <w:tcW w:w="585" w:type="pct"/>
            <w:shd w:val="clear" w:color="auto" w:fill="auto"/>
            <w:vAlign w:val="center"/>
          </w:tcPr>
          <w:p w:rsidR="009A7F87" w:rsidRDefault="009A7F87" w:rsidP="009A7F87">
            <w:pPr>
              <w:pStyle w:val="TableBodyText"/>
              <w:spacing w:before="60" w:after="60"/>
              <w:ind w:left="2"/>
              <w:jc w:val="center"/>
            </w:pPr>
            <w:r>
              <w:t>May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c>
          <w:tcPr>
            <w:tcW w:w="583" w:type="pct"/>
            <w:vAlign w:val="center"/>
          </w:tcPr>
          <w:p w:rsidR="009A7F87" w:rsidRDefault="009A7F87" w:rsidP="009A7F87">
            <w:pPr>
              <w:pStyle w:val="TableBodyText"/>
              <w:spacing w:before="60" w:after="60"/>
              <w:ind w:left="2"/>
              <w:jc w:val="center"/>
            </w:pPr>
            <w:r>
              <w:t>May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r>
      <w:tr w:rsidR="009A7F87" w:rsidRPr="00770229" w:rsidTr="009A7F87">
        <w:tblPrEx>
          <w:tblBorders>
            <w:top w:val="none" w:sz="0" w:space="0" w:color="auto"/>
            <w:bottom w:val="none" w:sz="0" w:space="0" w:color="auto"/>
            <w:insideH w:val="none" w:sz="0" w:space="0" w:color="auto"/>
          </w:tblBorders>
        </w:tblPrEx>
        <w:tc>
          <w:tcPr>
            <w:tcW w:w="849" w:type="pct"/>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People receiving employment program assistance (</w:t>
            </w:r>
            <w:r w:rsidRPr="00770229">
              <w:rPr>
                <w:szCs w:val="26"/>
              </w:rPr>
              <w:t>labour market assistance)</w:t>
            </w:r>
          </w:p>
        </w:tc>
        <w:tc>
          <w:tcPr>
            <w:tcW w:w="1814" w:type="pct"/>
            <w:shd w:val="clear" w:color="auto" w:fill="auto"/>
          </w:tcPr>
          <w:p w:rsidR="009A7F87" w:rsidRPr="00770229" w:rsidRDefault="009A7F87" w:rsidP="009A7F87">
            <w:pPr>
              <w:pStyle w:val="TableBodyText"/>
              <w:keepNext w:val="0"/>
              <w:spacing w:before="60" w:after="60"/>
              <w:ind w:left="180"/>
              <w:jc w:val="left"/>
            </w:pPr>
            <w:r w:rsidRPr="00770229">
              <w:t>Jurisdictions’ administrative data (unpublished)</w:t>
            </w:r>
          </w:p>
        </w:tc>
        <w:tc>
          <w:tcPr>
            <w:tcW w:w="584" w:type="pct"/>
            <w:shd w:val="clear" w:color="auto" w:fill="auto"/>
            <w:vAlign w:val="center"/>
          </w:tcPr>
          <w:p w:rsidR="009A7F87" w:rsidRDefault="009A7F87" w:rsidP="009A7F87">
            <w:pPr>
              <w:pStyle w:val="TableBodyText"/>
              <w:keepNext w:val="0"/>
              <w:spacing w:before="60" w:after="60"/>
              <w:ind w:left="2"/>
              <w:jc w:val="center"/>
            </w:pPr>
            <w:r>
              <w:t>2008-09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r>
              <w:br/>
            </w:r>
          </w:p>
        </w:tc>
        <w:tc>
          <w:tcPr>
            <w:tcW w:w="585" w:type="pct"/>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c>
          <w:tcPr>
            <w:tcW w:w="585" w:type="pct"/>
            <w:shd w:val="clear" w:color="auto" w:fill="auto"/>
            <w:vAlign w:val="center"/>
          </w:tcPr>
          <w:p w:rsidR="009A7F87" w:rsidRDefault="009A7F87" w:rsidP="009A7F87">
            <w:pPr>
              <w:pStyle w:val="TableBodyText"/>
              <w:spacing w:before="60" w:after="60"/>
              <w:ind w:left="2"/>
              <w:jc w:val="center"/>
            </w:pPr>
            <w:r>
              <w:t>2012-13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c>
          <w:tcPr>
            <w:tcW w:w="583" w:type="pct"/>
            <w:vAlign w:val="center"/>
          </w:tcPr>
          <w:p w:rsidR="009A7F87" w:rsidRDefault="009A7F87" w:rsidP="009A7F87">
            <w:pPr>
              <w:pStyle w:val="TableBodyText"/>
              <w:spacing w:before="60" w:after="60"/>
              <w:ind w:left="2"/>
              <w:jc w:val="center"/>
            </w:pPr>
            <w:r>
              <w:t>2015-16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r>
      <w:tr w:rsidR="009A7F87" w:rsidRPr="00770229" w:rsidTr="009A7F87">
        <w:tblPrEx>
          <w:tblBorders>
            <w:top w:val="none" w:sz="0" w:space="0" w:color="auto"/>
            <w:bottom w:val="none" w:sz="0" w:space="0" w:color="auto"/>
            <w:insideH w:val="none" w:sz="0" w:space="0" w:color="auto"/>
          </w:tblBorders>
        </w:tblPrEx>
        <w:tc>
          <w:tcPr>
            <w:tcW w:w="849" w:type="pct"/>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People receiving Jobs Service Australia services</w:t>
            </w:r>
          </w:p>
        </w:tc>
        <w:tc>
          <w:tcPr>
            <w:tcW w:w="1814" w:type="pct"/>
            <w:shd w:val="clear" w:color="auto" w:fill="auto"/>
          </w:tcPr>
          <w:p w:rsidR="009A7F87" w:rsidRPr="00770229" w:rsidRDefault="009A7F87" w:rsidP="009A7F87">
            <w:pPr>
              <w:pStyle w:val="TableBodyText"/>
              <w:keepNext w:val="0"/>
              <w:spacing w:before="60" w:after="60"/>
              <w:ind w:left="180"/>
              <w:jc w:val="left"/>
            </w:pPr>
            <w:r w:rsidRPr="00770229">
              <w:t>Australian Government administrative data (unpublished)</w:t>
            </w:r>
          </w:p>
        </w:tc>
        <w:tc>
          <w:tcPr>
            <w:tcW w:w="584" w:type="pct"/>
            <w:shd w:val="clear" w:color="auto" w:fill="auto"/>
            <w:vAlign w:val="center"/>
          </w:tcPr>
          <w:p w:rsidR="009A7F87" w:rsidRDefault="009A7F87" w:rsidP="009A7F87">
            <w:pPr>
              <w:pStyle w:val="TableBodyText"/>
              <w:keepNext w:val="0"/>
              <w:spacing w:before="60" w:after="60"/>
              <w:ind w:left="2"/>
              <w:jc w:val="center"/>
            </w:pPr>
            <w:r>
              <w:t>2008</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r>
              <w:br/>
            </w:r>
          </w:p>
        </w:tc>
        <w:tc>
          <w:tcPr>
            <w:tcW w:w="585" w:type="pct"/>
            <w:shd w:val="clear" w:color="auto" w:fill="auto"/>
            <w:vAlign w:val="center"/>
          </w:tcPr>
          <w:p w:rsidR="009A7F87" w:rsidRDefault="009A7F87" w:rsidP="009A7F87">
            <w:pPr>
              <w:pStyle w:val="TableBodyText"/>
              <w:spacing w:before="60" w:after="60"/>
              <w:ind w:left="2"/>
              <w:jc w:val="center"/>
            </w:pPr>
            <w:proofErr w:type="spellStart"/>
            <w:r>
              <w:t>na</w:t>
            </w:r>
            <w:proofErr w:type="spellEnd"/>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c>
          <w:tcPr>
            <w:tcW w:w="585" w:type="pct"/>
            <w:shd w:val="clear" w:color="auto" w:fill="auto"/>
            <w:vAlign w:val="center"/>
          </w:tcPr>
          <w:p w:rsidR="009A7F87" w:rsidRDefault="009A7F87" w:rsidP="009A7F87">
            <w:pPr>
              <w:pStyle w:val="TableBodyText"/>
              <w:spacing w:before="60" w:after="60"/>
              <w:ind w:left="2"/>
              <w:jc w:val="center"/>
            </w:pPr>
            <w:r>
              <w:t>2012-13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c>
          <w:tcPr>
            <w:tcW w:w="583" w:type="pct"/>
            <w:vAlign w:val="center"/>
          </w:tcPr>
          <w:p w:rsidR="009A7F87" w:rsidRDefault="009A7F87" w:rsidP="009A7F87">
            <w:pPr>
              <w:pStyle w:val="TableBodyText"/>
              <w:spacing w:before="60" w:after="60"/>
              <w:ind w:left="2"/>
              <w:jc w:val="center"/>
            </w:pPr>
            <w:r>
              <w:t>..</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r>
      <w:tr w:rsidR="009A7F87" w:rsidRPr="00770229" w:rsidTr="009A7F87">
        <w:tblPrEx>
          <w:tblBorders>
            <w:top w:val="none" w:sz="0" w:space="0" w:color="auto"/>
            <w:bottom w:val="none" w:sz="0" w:space="0" w:color="auto"/>
            <w:insideH w:val="none" w:sz="0" w:space="0" w:color="auto"/>
          </w:tblBorders>
        </w:tblPrEx>
        <w:tc>
          <w:tcPr>
            <w:tcW w:w="849" w:type="pct"/>
            <w:shd w:val="clear" w:color="auto" w:fill="auto"/>
            <w:tcMar>
              <w:top w:w="57" w:type="dxa"/>
              <w:left w:w="113" w:type="dxa"/>
            </w:tcMar>
          </w:tcPr>
          <w:p w:rsidR="009A7F87" w:rsidRPr="008D6F7B" w:rsidRDefault="009A7F87" w:rsidP="009A7F87">
            <w:pPr>
              <w:pStyle w:val="TableBodyText"/>
              <w:keepNext w:val="0"/>
              <w:spacing w:before="60" w:after="60"/>
              <w:ind w:left="0"/>
              <w:jc w:val="left"/>
            </w:pPr>
          </w:p>
        </w:tc>
        <w:tc>
          <w:tcPr>
            <w:tcW w:w="1814" w:type="pct"/>
            <w:shd w:val="clear" w:color="auto" w:fill="auto"/>
          </w:tcPr>
          <w:p w:rsidR="009A7F87" w:rsidRPr="008D6F7B" w:rsidRDefault="009A7F87" w:rsidP="009A7F87">
            <w:pPr>
              <w:pStyle w:val="TableBodyText"/>
              <w:spacing w:before="60" w:after="60"/>
              <w:ind w:left="180" w:firstLine="6"/>
              <w:jc w:val="left"/>
            </w:pPr>
            <w:r w:rsidRPr="008D6F7B">
              <w:t xml:space="preserve">ABS </w:t>
            </w:r>
            <w:r w:rsidRPr="008D6F7B">
              <w:rPr>
                <w:i/>
              </w:rPr>
              <w:t xml:space="preserve">National Aboriginal and Torres Strait Islander Social Survey </w:t>
            </w:r>
            <w:r>
              <w:rPr>
                <w:i/>
              </w:rPr>
              <w:br/>
            </w:r>
            <w:r w:rsidRPr="008D6F7B">
              <w:t>(Cat. no. 4714.0)</w:t>
            </w:r>
          </w:p>
          <w:p w:rsidR="009A7F87" w:rsidRPr="008D6F7B" w:rsidRDefault="009A7F87" w:rsidP="009A7F87">
            <w:pPr>
              <w:pStyle w:val="TableBodyText"/>
              <w:keepNext w:val="0"/>
              <w:spacing w:before="60" w:after="60"/>
              <w:ind w:left="180"/>
              <w:jc w:val="left"/>
            </w:pPr>
            <w:r w:rsidRPr="008D6F7B">
              <w:t xml:space="preserve">ABS (unpublished) </w:t>
            </w:r>
            <w:r w:rsidRPr="008D6F7B">
              <w:rPr>
                <w:i/>
              </w:rPr>
              <w:t>General Social Survey</w:t>
            </w:r>
            <w:r w:rsidRPr="008D6F7B">
              <w:t>, 2014</w:t>
            </w:r>
          </w:p>
        </w:tc>
        <w:tc>
          <w:tcPr>
            <w:tcW w:w="584" w:type="pct"/>
            <w:shd w:val="clear" w:color="auto" w:fill="auto"/>
            <w:vAlign w:val="center"/>
          </w:tcPr>
          <w:p w:rsidR="009A7F87" w:rsidRPr="008D6F7B" w:rsidRDefault="009A7F87" w:rsidP="009A7F87">
            <w:pPr>
              <w:pStyle w:val="TableBodyText"/>
              <w:keepNext w:val="0"/>
              <w:spacing w:before="60" w:after="60"/>
              <w:ind w:left="2"/>
              <w:jc w:val="center"/>
            </w:pPr>
            <w:r w:rsidRPr="008D6F7B">
              <w:t>..</w:t>
            </w:r>
          </w:p>
          <w:p w:rsidR="009A7F87" w:rsidRPr="008D6F7B" w:rsidRDefault="009A7F87" w:rsidP="009A7F87">
            <w:pPr>
              <w:pStyle w:val="TableBodyText"/>
              <w:keepNext w:val="0"/>
              <w:spacing w:before="60" w:after="60"/>
              <w:ind w:left="2"/>
              <w:jc w:val="center"/>
            </w:pPr>
          </w:p>
          <w:p w:rsidR="009A7F87" w:rsidRPr="008D6F7B" w:rsidRDefault="009A7F87" w:rsidP="009A7F87">
            <w:pPr>
              <w:pStyle w:val="TableBodyText"/>
              <w:keepNext w:val="0"/>
              <w:spacing w:before="60" w:after="60"/>
              <w:ind w:left="2"/>
              <w:jc w:val="center"/>
            </w:pPr>
          </w:p>
          <w:p w:rsidR="009A7F87" w:rsidRPr="008D6F7B" w:rsidRDefault="009A7F87" w:rsidP="009A7F87">
            <w:pPr>
              <w:pStyle w:val="TableBodyText"/>
              <w:keepNext w:val="0"/>
              <w:spacing w:before="60" w:after="60"/>
              <w:ind w:left="2"/>
              <w:jc w:val="center"/>
            </w:pPr>
          </w:p>
        </w:tc>
        <w:tc>
          <w:tcPr>
            <w:tcW w:w="585" w:type="pct"/>
            <w:shd w:val="clear" w:color="auto" w:fill="auto"/>
            <w:vAlign w:val="center"/>
          </w:tcPr>
          <w:p w:rsidR="009A7F87" w:rsidRPr="008D6F7B" w:rsidRDefault="009A7F87" w:rsidP="009A7F87">
            <w:pPr>
              <w:pStyle w:val="TableBodyText"/>
              <w:spacing w:before="60" w:after="60"/>
              <w:ind w:left="2"/>
              <w:jc w:val="center"/>
            </w:pPr>
            <w:r w:rsidRPr="008D6F7B">
              <w:t>..</w:t>
            </w:r>
          </w:p>
          <w:p w:rsidR="009A7F87" w:rsidRPr="008D6F7B" w:rsidRDefault="009A7F87" w:rsidP="009A7F87">
            <w:pPr>
              <w:pStyle w:val="TableBodyText"/>
              <w:spacing w:before="60" w:after="60"/>
              <w:ind w:left="2"/>
              <w:jc w:val="center"/>
            </w:pPr>
          </w:p>
          <w:p w:rsidR="009A7F87" w:rsidRPr="008D6F7B" w:rsidRDefault="009A7F87" w:rsidP="009A7F87">
            <w:pPr>
              <w:pStyle w:val="TableBodyText"/>
              <w:spacing w:before="60" w:after="60"/>
              <w:ind w:left="2"/>
              <w:jc w:val="center"/>
            </w:pPr>
          </w:p>
          <w:p w:rsidR="009A7F87" w:rsidRPr="008D6F7B" w:rsidRDefault="009A7F87" w:rsidP="009A7F87">
            <w:pPr>
              <w:pStyle w:val="TableBodyText"/>
              <w:spacing w:before="60" w:after="60"/>
              <w:ind w:left="2"/>
              <w:jc w:val="center"/>
            </w:pPr>
          </w:p>
        </w:tc>
        <w:tc>
          <w:tcPr>
            <w:tcW w:w="585" w:type="pct"/>
            <w:shd w:val="clear" w:color="auto" w:fill="auto"/>
            <w:vAlign w:val="center"/>
          </w:tcPr>
          <w:p w:rsidR="009A7F87" w:rsidRPr="008D6F7B" w:rsidRDefault="009A7F87" w:rsidP="009A7F87">
            <w:pPr>
              <w:pStyle w:val="TableBodyText"/>
              <w:spacing w:before="60" w:after="60"/>
              <w:ind w:left="2"/>
              <w:jc w:val="center"/>
            </w:pPr>
            <w:r w:rsidRPr="008D6F7B">
              <w:t>..</w:t>
            </w:r>
          </w:p>
          <w:p w:rsidR="009A7F87" w:rsidRPr="008D6F7B" w:rsidRDefault="009A7F87" w:rsidP="009A7F87">
            <w:pPr>
              <w:pStyle w:val="TableBodyText"/>
              <w:spacing w:before="60" w:after="60"/>
              <w:ind w:left="2"/>
              <w:jc w:val="center"/>
            </w:pPr>
          </w:p>
          <w:p w:rsidR="009A7F87" w:rsidRPr="008D6F7B" w:rsidRDefault="009A7F87" w:rsidP="009A7F87">
            <w:pPr>
              <w:pStyle w:val="TableBodyText"/>
              <w:spacing w:before="60" w:after="60"/>
              <w:ind w:left="2"/>
              <w:jc w:val="center"/>
            </w:pPr>
          </w:p>
          <w:p w:rsidR="009A7F87" w:rsidRPr="008D6F7B" w:rsidRDefault="009A7F87" w:rsidP="009A7F87">
            <w:pPr>
              <w:pStyle w:val="TableBodyText"/>
              <w:spacing w:before="60" w:after="60"/>
              <w:ind w:left="2"/>
              <w:jc w:val="center"/>
            </w:pPr>
          </w:p>
        </w:tc>
        <w:tc>
          <w:tcPr>
            <w:tcW w:w="583" w:type="pct"/>
            <w:vAlign w:val="center"/>
          </w:tcPr>
          <w:p w:rsidR="009A7F87" w:rsidRDefault="009A7F87" w:rsidP="009A7F87">
            <w:pPr>
              <w:pStyle w:val="TableBodyText"/>
              <w:spacing w:before="60" w:after="60"/>
              <w:ind w:left="2"/>
              <w:jc w:val="center"/>
            </w:pPr>
            <w:r w:rsidRPr="008D6F7B">
              <w:t>2014-15</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r>
      <w:tr w:rsidR="009A7F87" w:rsidRPr="00770229" w:rsidTr="009A7F87">
        <w:tblPrEx>
          <w:tblBorders>
            <w:top w:val="none" w:sz="0" w:space="0" w:color="auto"/>
            <w:bottom w:val="none" w:sz="0" w:space="0" w:color="auto"/>
            <w:insideH w:val="none" w:sz="0" w:space="0" w:color="auto"/>
          </w:tblBorders>
        </w:tblPrEx>
        <w:tc>
          <w:tcPr>
            <w:tcW w:w="849" w:type="pct"/>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share of Job Services Australia expenditure</w:t>
            </w:r>
          </w:p>
        </w:tc>
        <w:tc>
          <w:tcPr>
            <w:tcW w:w="1814" w:type="pct"/>
            <w:shd w:val="clear" w:color="auto" w:fill="auto"/>
          </w:tcPr>
          <w:p w:rsidR="009A7F87" w:rsidRPr="00770229" w:rsidRDefault="009A7F87" w:rsidP="009A7F87">
            <w:pPr>
              <w:pStyle w:val="TableBodyText"/>
              <w:keepNext w:val="0"/>
              <w:spacing w:before="60" w:after="60"/>
              <w:ind w:left="180"/>
              <w:jc w:val="left"/>
            </w:pPr>
            <w:r w:rsidRPr="00770229">
              <w:t>Australian Government administrative data (unpublished)</w:t>
            </w:r>
          </w:p>
        </w:tc>
        <w:tc>
          <w:tcPr>
            <w:tcW w:w="584" w:type="pct"/>
            <w:shd w:val="clear" w:color="auto" w:fill="auto"/>
            <w:vAlign w:val="center"/>
          </w:tcPr>
          <w:p w:rsidR="009A7F87" w:rsidRDefault="009A7F87" w:rsidP="009A7F87">
            <w:pPr>
              <w:pStyle w:val="TableBodyText"/>
              <w:keepNext w:val="0"/>
              <w:spacing w:before="60" w:after="60"/>
              <w:ind w:left="2"/>
              <w:jc w:val="center"/>
            </w:pPr>
            <w:proofErr w:type="spellStart"/>
            <w:r>
              <w:t>na</w:t>
            </w:r>
            <w:proofErr w:type="spellEnd"/>
            <w:r>
              <w:br/>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tc>
        <w:tc>
          <w:tcPr>
            <w:tcW w:w="585" w:type="pct"/>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c>
          <w:tcPr>
            <w:tcW w:w="585" w:type="pct"/>
            <w:shd w:val="clear" w:color="auto" w:fill="auto"/>
            <w:vAlign w:val="center"/>
          </w:tcPr>
          <w:p w:rsidR="009A7F87" w:rsidRDefault="009A7F87" w:rsidP="009A7F87">
            <w:pPr>
              <w:pStyle w:val="TableBodyText"/>
              <w:spacing w:before="60" w:after="60"/>
              <w:ind w:left="2"/>
              <w:jc w:val="center"/>
            </w:pPr>
            <w:r>
              <w:t>2012-13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c>
          <w:tcPr>
            <w:tcW w:w="583" w:type="pct"/>
            <w:vAlign w:val="center"/>
          </w:tcPr>
          <w:p w:rsidR="009A7F87" w:rsidRDefault="009A7F87" w:rsidP="009A7F87">
            <w:pPr>
              <w:pStyle w:val="TableBodyText"/>
              <w:spacing w:before="60" w:after="60"/>
              <w:ind w:left="2"/>
              <w:jc w:val="center"/>
            </w:pPr>
            <w:r>
              <w:t>..</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r>
      <w:tr w:rsidR="009A7F87" w:rsidRPr="00770229" w:rsidTr="0044346B">
        <w:tblPrEx>
          <w:tblBorders>
            <w:top w:val="none" w:sz="0" w:space="0" w:color="auto"/>
            <w:bottom w:val="none" w:sz="0" w:space="0" w:color="auto"/>
            <w:insideH w:val="none" w:sz="0" w:space="0" w:color="auto"/>
          </w:tblBorders>
        </w:tblPrEx>
        <w:tc>
          <w:tcPr>
            <w:tcW w:w="849" w:type="pct"/>
            <w:shd w:val="clear" w:color="auto" w:fill="auto"/>
            <w:tcMar>
              <w:top w:w="57" w:type="dxa"/>
              <w:left w:w="113" w:type="dxa"/>
            </w:tcMar>
          </w:tcPr>
          <w:p w:rsidR="009A7F87" w:rsidRPr="00770229" w:rsidRDefault="009A7F87" w:rsidP="009A7F87">
            <w:pPr>
              <w:pStyle w:val="TableBodyText"/>
              <w:keepNext w:val="0"/>
              <w:spacing w:before="60" w:after="60"/>
              <w:ind w:left="0"/>
              <w:jc w:val="left"/>
            </w:pPr>
          </w:p>
        </w:tc>
        <w:tc>
          <w:tcPr>
            <w:tcW w:w="1814" w:type="pct"/>
            <w:shd w:val="clear" w:color="auto" w:fill="auto"/>
          </w:tcPr>
          <w:p w:rsidR="009A7F87" w:rsidRPr="00770229" w:rsidRDefault="009A7F87" w:rsidP="009A7F87">
            <w:pPr>
              <w:pStyle w:val="TableBodyText"/>
              <w:keepNext w:val="0"/>
              <w:spacing w:before="60" w:after="60"/>
              <w:ind w:left="180"/>
              <w:jc w:val="left"/>
            </w:pPr>
            <w:r w:rsidRPr="005A7525">
              <w:t xml:space="preserve">ABS </w:t>
            </w:r>
            <w:r w:rsidRPr="006943F6">
              <w:rPr>
                <w:i/>
              </w:rPr>
              <w:t>National Aboriginal and Torres Strait Islander Social Survey</w:t>
            </w:r>
            <w:r w:rsidRPr="005A7525">
              <w:t xml:space="preserve"> (Cat. no. 4714.0)</w:t>
            </w:r>
          </w:p>
        </w:tc>
        <w:tc>
          <w:tcPr>
            <w:tcW w:w="584" w:type="pct"/>
            <w:shd w:val="clear" w:color="auto" w:fill="auto"/>
            <w:vAlign w:val="center"/>
          </w:tcPr>
          <w:p w:rsidR="009A7F87" w:rsidRDefault="009A7F87" w:rsidP="009A7F87">
            <w:pPr>
              <w:pStyle w:val="TableBodyText"/>
              <w:keepNext w:val="0"/>
              <w:spacing w:before="60" w:after="60"/>
              <w:ind w:left="2"/>
              <w:jc w:val="center"/>
            </w:pPr>
            <w:r>
              <w:t>..</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tc>
        <w:tc>
          <w:tcPr>
            <w:tcW w:w="585" w:type="pct"/>
            <w:shd w:val="clear" w:color="auto" w:fill="auto"/>
            <w:vAlign w:val="center"/>
          </w:tcPr>
          <w:p w:rsidR="009A7F87" w:rsidRDefault="009A7F87" w:rsidP="009A7F87">
            <w:pPr>
              <w:pStyle w:val="TableBodyText"/>
              <w:spacing w:before="60" w:after="60"/>
              <w:ind w:left="2"/>
              <w:jc w:val="center"/>
            </w:pPr>
            <w:r>
              <w:t>..</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c>
          <w:tcPr>
            <w:tcW w:w="585" w:type="pct"/>
            <w:shd w:val="clear" w:color="auto" w:fill="auto"/>
            <w:vAlign w:val="center"/>
          </w:tcPr>
          <w:p w:rsidR="009A7F87" w:rsidRDefault="009A7F87" w:rsidP="009A7F87">
            <w:pPr>
              <w:pStyle w:val="TableBodyText"/>
              <w:spacing w:before="60" w:after="60"/>
              <w:ind w:left="2"/>
              <w:jc w:val="center"/>
            </w:pPr>
            <w:r>
              <w:t>..</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c>
          <w:tcPr>
            <w:tcW w:w="583" w:type="pct"/>
            <w:vAlign w:val="center"/>
          </w:tcPr>
          <w:p w:rsidR="009A7F87" w:rsidRDefault="009A7F87" w:rsidP="009A7F87">
            <w:pPr>
              <w:pStyle w:val="TableBodyText"/>
              <w:spacing w:before="60" w:after="60"/>
              <w:ind w:left="2"/>
              <w:jc w:val="center"/>
            </w:pPr>
            <w:r>
              <w:t>2014-15</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share of job capacity assessment expenditure</w:t>
            </w:r>
          </w:p>
        </w:tc>
        <w:tc>
          <w:tcPr>
            <w:tcW w:w="1814" w:type="pct"/>
            <w:tcBorders>
              <w:bottom w:val="single" w:sz="4" w:space="0" w:color="808080" w:themeColor="background1" w:themeShade="80"/>
            </w:tcBorders>
            <w:shd w:val="clear" w:color="auto" w:fill="auto"/>
          </w:tcPr>
          <w:p w:rsidR="009A7F87" w:rsidRPr="005A7525" w:rsidRDefault="009A7F87" w:rsidP="009A7F87">
            <w:pPr>
              <w:pStyle w:val="TableBodyText"/>
              <w:keepNext w:val="0"/>
              <w:spacing w:before="60" w:after="60"/>
              <w:ind w:left="180"/>
              <w:jc w:val="left"/>
            </w:pPr>
            <w:r w:rsidRPr="00770229">
              <w:t>Australian Government administrative data (unpublished)</w:t>
            </w:r>
          </w:p>
        </w:tc>
        <w:tc>
          <w:tcPr>
            <w:tcW w:w="584" w:type="pct"/>
            <w:tcBorders>
              <w:bottom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proofErr w:type="spellStart"/>
            <w:r>
              <w:t>na</w:t>
            </w:r>
            <w:proofErr w:type="spellEnd"/>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r>
              <w:br/>
            </w:r>
          </w:p>
        </w:tc>
        <w:tc>
          <w:tcPr>
            <w:tcW w:w="585" w:type="pct"/>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c>
          <w:tcPr>
            <w:tcW w:w="585" w:type="pct"/>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2012-13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c>
          <w:tcPr>
            <w:tcW w:w="583" w:type="pct"/>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2015-16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r>
              <w:br/>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p>
        </w:tc>
        <w:tc>
          <w:tcPr>
            <w:tcW w:w="1814" w:type="pct"/>
            <w:tcBorders>
              <w:top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p>
        </w:tc>
        <w:tc>
          <w:tcPr>
            <w:tcW w:w="584" w:type="pct"/>
            <w:tcBorders>
              <w:top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p>
        </w:tc>
        <w:tc>
          <w:tcPr>
            <w:tcW w:w="585" w:type="pct"/>
            <w:tcBorders>
              <w:top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p>
        </w:tc>
        <w:tc>
          <w:tcPr>
            <w:tcW w:w="1168" w:type="pct"/>
            <w:gridSpan w:val="2"/>
            <w:tcBorders>
              <w:top w:val="single" w:sz="4" w:space="0" w:color="808080" w:themeColor="background1" w:themeShade="80"/>
            </w:tcBorders>
            <w:shd w:val="clear" w:color="auto" w:fill="auto"/>
            <w:vAlign w:val="center"/>
          </w:tcPr>
          <w:p w:rsidR="009A7F87" w:rsidRDefault="009A7F87" w:rsidP="00DE1DF1">
            <w:pPr>
              <w:pStyle w:val="TableBodyText"/>
              <w:spacing w:before="40"/>
              <w:ind w:left="0"/>
            </w:pPr>
            <w:r>
              <w:t>(continue next page)</w:t>
            </w:r>
          </w:p>
        </w:tc>
      </w:tr>
      <w:tr w:rsidR="009A7F87" w:rsidRPr="0071369A" w:rsidTr="009A7F87">
        <w:tblPrEx>
          <w:tblBorders>
            <w:top w:val="none" w:sz="0" w:space="0" w:color="auto"/>
            <w:bottom w:val="none" w:sz="0" w:space="0" w:color="auto"/>
            <w:insideH w:val="none" w:sz="0" w:space="0" w:color="auto"/>
          </w:tblBorders>
        </w:tblPrEx>
        <w:tc>
          <w:tcPr>
            <w:tcW w:w="5000" w:type="pct"/>
            <w:gridSpan w:val="6"/>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1029"/>
        <w:gridCol w:w="1029"/>
        <w:gridCol w:w="1019"/>
        <w:gridCol w:w="7"/>
      </w:tblGrid>
      <w:tr w:rsidR="009A7F87" w:rsidRPr="00770229" w:rsidTr="00760FFA">
        <w:tc>
          <w:tcPr>
            <w:tcW w:w="5000" w:type="pct"/>
            <w:gridSpan w:val="7"/>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164FBA" w:rsidRDefault="009A7F87" w:rsidP="009A7F87">
            <w:pPr>
              <w:pStyle w:val="Heading3"/>
              <w:rPr>
                <w:sz w:val="18"/>
                <w:szCs w:val="18"/>
              </w:rPr>
            </w:pPr>
            <w:r>
              <w:br w:type="page"/>
            </w:r>
            <w:r w:rsidRPr="00770229">
              <w:br w:type="page"/>
            </w:r>
            <w:r w:rsidRPr="00164FBA">
              <w:rPr>
                <w:sz w:val="18"/>
                <w:szCs w:val="18"/>
              </w:rPr>
              <w:t>(continued)</w:t>
            </w:r>
          </w:p>
        </w:tc>
      </w:tr>
      <w:tr w:rsidR="009A7F87" w:rsidRPr="00164FBA" w:rsidTr="00760FFA">
        <w:tblPrEx>
          <w:tblBorders>
            <w:top w:val="none" w:sz="0" w:space="0" w:color="auto"/>
            <w:bottom w:val="none" w:sz="0" w:space="0" w:color="auto"/>
            <w:insideH w:val="none" w:sz="0" w:space="0" w:color="auto"/>
          </w:tblBorders>
        </w:tblPrEx>
        <w:tc>
          <w:tcPr>
            <w:tcW w:w="849" w:type="pct"/>
            <w:tcBorders>
              <w:top w:val="single" w:sz="12" w:space="0" w:color="808080" w:themeColor="background1" w:themeShade="80"/>
              <w:bottom w:val="single" w:sz="6" w:space="0" w:color="808080" w:themeColor="background1" w:themeShade="80"/>
            </w:tcBorders>
            <w:shd w:val="clear" w:color="auto" w:fill="auto"/>
            <w:tcMar>
              <w:top w:w="57" w:type="dxa"/>
              <w:left w:w="113" w:type="dxa"/>
            </w:tcMar>
          </w:tcPr>
          <w:p w:rsidR="009A7F87" w:rsidRPr="00164FBA" w:rsidRDefault="009A7F87" w:rsidP="009A7F87">
            <w:pPr>
              <w:pStyle w:val="TableColumnHeading"/>
              <w:keepNext w:val="0"/>
              <w:jc w:val="left"/>
            </w:pPr>
          </w:p>
        </w:tc>
        <w:tc>
          <w:tcPr>
            <w:tcW w:w="1814" w:type="pct"/>
            <w:tcBorders>
              <w:top w:val="single" w:sz="12"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ColumnHeading"/>
              <w:keepNext w:val="0"/>
              <w:ind w:left="180"/>
              <w:jc w:val="left"/>
            </w:pPr>
          </w:p>
        </w:tc>
        <w:tc>
          <w:tcPr>
            <w:tcW w:w="2337" w:type="pct"/>
            <w:gridSpan w:val="5"/>
            <w:tcBorders>
              <w:top w:val="single" w:sz="12"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ColumnHeading"/>
              <w:keepNext w:val="0"/>
              <w:ind w:left="180"/>
              <w:jc w:val="center"/>
            </w:pPr>
            <w:r w:rsidRPr="00164FBA">
              <w:t>Data Years</w:t>
            </w:r>
          </w:p>
        </w:tc>
      </w:tr>
      <w:tr w:rsidR="009A7F87" w:rsidRPr="00164FBA"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164FBA" w:rsidRDefault="009A7F87" w:rsidP="009A7F87">
            <w:pPr>
              <w:pStyle w:val="TableBodyText"/>
              <w:keepNext w:val="0"/>
              <w:spacing w:before="60" w:after="60"/>
              <w:ind w:left="0"/>
              <w:jc w:val="both"/>
              <w:rPr>
                <w:i/>
              </w:rPr>
            </w:pPr>
            <w:r w:rsidRPr="00164FBA">
              <w:rPr>
                <w:i/>
              </w:rPr>
              <w:br/>
              <w:t>Measure</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BodyText"/>
              <w:keepNext w:val="0"/>
              <w:spacing w:before="60" w:after="60"/>
              <w:ind w:left="180"/>
              <w:jc w:val="left"/>
              <w:rPr>
                <w:i/>
              </w:rPr>
            </w:pPr>
            <w:r w:rsidRPr="00164FBA">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BodyText"/>
              <w:keepNext w:val="0"/>
              <w:spacing w:before="60" w:after="60"/>
              <w:ind w:left="2"/>
              <w:jc w:val="center"/>
              <w:rPr>
                <w:i/>
              </w:rPr>
            </w:pPr>
            <w:r w:rsidRPr="00164FBA">
              <w:rPr>
                <w:i/>
              </w:rPr>
              <w:t>2008</w:t>
            </w:r>
            <w:r w:rsidRPr="00164FBA">
              <w:rPr>
                <w:i/>
              </w:rPr>
              <w:noBreakHyphen/>
              <w:t>09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BodyText"/>
              <w:keepNext w:val="0"/>
              <w:spacing w:before="60" w:after="60"/>
              <w:ind w:left="2"/>
              <w:jc w:val="center"/>
              <w:rPr>
                <w:i/>
              </w:rPr>
            </w:pPr>
            <w:r w:rsidRPr="00164FBA">
              <w:rPr>
                <w:i/>
              </w:rPr>
              <w:t>2010</w:t>
            </w:r>
            <w:r w:rsidRPr="00164FBA">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BodyText"/>
              <w:keepNext w:val="0"/>
              <w:spacing w:before="60" w:after="60"/>
              <w:ind w:left="2"/>
              <w:jc w:val="center"/>
              <w:rPr>
                <w:i/>
              </w:rPr>
            </w:pPr>
            <w:r w:rsidRPr="00164FBA">
              <w:rPr>
                <w:i/>
              </w:rPr>
              <w:t>2012</w:t>
            </w:r>
            <w:r w:rsidRPr="00164FBA">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164FBA" w:rsidRDefault="009A7F87" w:rsidP="009A7F87">
            <w:pPr>
              <w:pStyle w:val="TableBodyText"/>
              <w:keepNext w:val="0"/>
              <w:spacing w:before="60" w:after="60"/>
              <w:ind w:left="2"/>
              <w:jc w:val="center"/>
              <w:rPr>
                <w:i/>
              </w:rPr>
            </w:pPr>
            <w:r w:rsidRPr="00164FBA">
              <w:rPr>
                <w:i/>
              </w:rPr>
              <w:t>2015</w:t>
            </w:r>
            <w:r w:rsidRPr="00164FBA">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w:t>
            </w:r>
            <w:r>
              <w:br/>
            </w:r>
            <w:r w:rsidRPr="00770229">
              <w:t>(Cat.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r w:rsidRPr="00770229">
              <w:rPr>
                <w:rStyle w:val="NoteLabel"/>
              </w:rPr>
              <w:t>a</w:t>
            </w:r>
            <w:r w:rsidRPr="00770229">
              <w:t xml:space="preserve"> (immigration)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AE2EAE">
              <w:t>(Cat. no. 3101.0)</w:t>
            </w:r>
          </w:p>
        </w:tc>
        <w:tc>
          <w:tcPr>
            <w:tcW w:w="584" w:type="pct"/>
            <w:tcBorders>
              <w:bottom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r>
              <w:br/>
            </w:r>
          </w:p>
        </w:tc>
        <w:tc>
          <w:tcPr>
            <w:tcW w:w="585" w:type="pct"/>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r>
              <w:br/>
            </w:r>
          </w:p>
        </w:tc>
        <w:tc>
          <w:tcPr>
            <w:tcW w:w="585" w:type="pct"/>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r>
              <w:br/>
            </w:r>
          </w:p>
        </w:tc>
        <w:tc>
          <w:tcPr>
            <w:tcW w:w="583" w:type="pct"/>
            <w:gridSpan w:val="2"/>
            <w:tcBorders>
              <w:bottom w:val="single" w:sz="4"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6"/>
            <w:tcBorders>
              <w:top w:val="nil"/>
              <w:left w:val="nil"/>
              <w:bottom w:val="nil"/>
              <w:right w:val="nil"/>
            </w:tcBorders>
            <w:shd w:val="clear" w:color="auto" w:fill="auto"/>
          </w:tcPr>
          <w:p w:rsidR="009A7F87" w:rsidRDefault="009A7F87" w:rsidP="009A7F87">
            <w:pPr>
              <w:pStyle w:val="Note"/>
              <w:rPr>
                <w:i/>
              </w:rPr>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7"/>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9A7F87">
      <w:pPr>
        <w:pStyle w:val="BodyText"/>
      </w:pPr>
    </w:p>
    <w:p w:rsidR="009A7F87" w:rsidRDefault="009A7F87">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r>
            <w:r>
              <w:t>1390</w:t>
            </w:r>
            <w:r w:rsidRPr="00770229">
              <w:t xml:space="preserve"> Other economic affairs </w:t>
            </w:r>
            <w:proofErr w:type="spellStart"/>
            <w:r w:rsidRPr="00770229">
              <w:t>nec</w:t>
            </w:r>
            <w:proofErr w:type="spellEnd"/>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ullet"/>
              <w:keepNext w:val="0"/>
              <w:keepLines w:val="0"/>
              <w:widowControl w:val="0"/>
              <w:numPr>
                <w:ilvl w:val="0"/>
                <w:numId w:val="0"/>
              </w:numPr>
            </w:pPr>
            <w:r w:rsidRPr="00770229">
              <w:t>Other economic affairs not elsewhere classified includes activities relate to the administration, regulation, promotion, research, operation, licensing and general business support activities that promote the efficient operations of markets, and facilitate a vibrant, competitive, growing and sustainable economy. Examples of services provided in Australia include:</w:t>
            </w:r>
          </w:p>
          <w:p w:rsidR="009A7F87" w:rsidRPr="00770229" w:rsidRDefault="009A7F87" w:rsidP="009A7F87">
            <w:pPr>
              <w:pStyle w:val="TableBullet"/>
              <w:widowControl w:val="0"/>
              <w:numPr>
                <w:ilvl w:val="0"/>
                <w:numId w:val="24"/>
              </w:numPr>
              <w:spacing w:before="40" w:line="220" w:lineRule="atLeast"/>
            </w:pPr>
            <w:r w:rsidRPr="00770229">
              <w:t xml:space="preserve">consumer interest and protection affairs (for example, the Australian Competition and Consumer Commission) </w:t>
            </w:r>
          </w:p>
          <w:p w:rsidR="009A7F87" w:rsidRPr="00770229" w:rsidRDefault="009A7F87" w:rsidP="009A7F87">
            <w:pPr>
              <w:pStyle w:val="TableBullet"/>
              <w:widowControl w:val="0"/>
              <w:numPr>
                <w:ilvl w:val="0"/>
                <w:numId w:val="24"/>
              </w:numPr>
              <w:spacing w:before="40" w:line="220" w:lineRule="atLeast"/>
            </w:pPr>
            <w:r w:rsidRPr="00770229">
              <w:t xml:space="preserve">licensing, sales practices and labelling </w:t>
            </w:r>
          </w:p>
          <w:p w:rsidR="009A7F87" w:rsidRPr="00770229" w:rsidRDefault="009A7F87" w:rsidP="009A7F87">
            <w:pPr>
              <w:pStyle w:val="TableBullet"/>
              <w:widowControl w:val="0"/>
              <w:numPr>
                <w:ilvl w:val="0"/>
                <w:numId w:val="24"/>
              </w:numPr>
              <w:spacing w:before="40" w:line="220" w:lineRule="atLeast"/>
            </w:pPr>
            <w:r w:rsidRPr="00770229">
              <w:t xml:space="preserve">regulation of weights and measures </w:t>
            </w:r>
          </w:p>
          <w:p w:rsidR="009A7F87" w:rsidRPr="00770229" w:rsidRDefault="009A7F87" w:rsidP="009A7F87">
            <w:pPr>
              <w:pStyle w:val="TableBullet"/>
              <w:widowControl w:val="0"/>
              <w:numPr>
                <w:ilvl w:val="0"/>
                <w:numId w:val="24"/>
              </w:numPr>
              <w:spacing w:before="40" w:line="220" w:lineRule="atLeast"/>
            </w:pPr>
            <w:r w:rsidRPr="00770229">
              <w:t>liquor licensing.</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The key cost drivers of expenditure on other economic affairs services not elsewhere classified are varied and cannot be linked closely with a particular service area or cohort of service users. </w:t>
            </w:r>
          </w:p>
          <w:p w:rsidR="009A7F87" w:rsidRPr="00770229" w:rsidRDefault="009A7F87" w:rsidP="009A7F87">
            <w:pPr>
              <w:pStyle w:val="TableBodyText"/>
              <w:keepNext w:val="0"/>
              <w:keepLines w:val="0"/>
              <w:spacing w:before="80" w:after="80"/>
              <w:jc w:val="left"/>
              <w:rPr>
                <w:szCs w:val="26"/>
              </w:rPr>
            </w:pPr>
            <w:r w:rsidRPr="00770229">
              <w:t>It is assumed that the costs associated with this expenditure are driven by the population on a uniform basis.</w:t>
            </w:r>
          </w:p>
        </w:tc>
      </w:tr>
      <w:tr w:rsidR="009A7F87" w:rsidRPr="00770229" w:rsidTr="00DE1DF1">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164FBA"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164FBA"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ColumnHeading"/>
              <w:keepNext w:val="0"/>
              <w:ind w:left="180"/>
              <w:jc w:val="center"/>
            </w:pPr>
            <w:r w:rsidRPr="00164FBA">
              <w:t>Data Years</w:t>
            </w:r>
          </w:p>
        </w:tc>
      </w:tr>
      <w:tr w:rsidR="009A7F87" w:rsidRPr="00164FBA"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164FBA" w:rsidRDefault="009A7F87" w:rsidP="009A7F87">
            <w:pPr>
              <w:pStyle w:val="TableBodyText"/>
              <w:keepNext w:val="0"/>
              <w:spacing w:before="60" w:after="60"/>
              <w:ind w:left="0"/>
              <w:jc w:val="both"/>
              <w:rPr>
                <w:rStyle w:val="NoteLabel"/>
                <w:i/>
              </w:rPr>
            </w:pPr>
            <w:r w:rsidRPr="00164FBA">
              <w:rPr>
                <w:i/>
              </w:rPr>
              <w:br/>
              <w:t>Measure</w:t>
            </w:r>
            <w:r w:rsidRPr="005A6681">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BodyText"/>
              <w:keepNext w:val="0"/>
              <w:spacing w:before="60" w:after="60"/>
              <w:ind w:left="180"/>
              <w:jc w:val="left"/>
              <w:rPr>
                <w:i/>
              </w:rPr>
            </w:pPr>
            <w:r w:rsidRPr="00164FBA">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BodyText"/>
              <w:keepNext w:val="0"/>
              <w:spacing w:before="60" w:after="60"/>
              <w:ind w:left="2"/>
              <w:jc w:val="center"/>
              <w:rPr>
                <w:i/>
              </w:rPr>
            </w:pPr>
            <w:r w:rsidRPr="00164FBA">
              <w:rPr>
                <w:i/>
              </w:rPr>
              <w:t>2008</w:t>
            </w:r>
            <w:r w:rsidRPr="00164FBA">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BodyText"/>
              <w:keepNext w:val="0"/>
              <w:spacing w:before="60" w:after="60"/>
              <w:ind w:left="2"/>
              <w:jc w:val="center"/>
              <w:rPr>
                <w:i/>
              </w:rPr>
            </w:pPr>
            <w:r w:rsidRPr="00164FBA">
              <w:rPr>
                <w:i/>
              </w:rPr>
              <w:t>2010</w:t>
            </w:r>
            <w:r w:rsidRPr="00164FBA">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164FBA" w:rsidRDefault="009A7F87" w:rsidP="009A7F87">
            <w:pPr>
              <w:pStyle w:val="TableBodyText"/>
              <w:keepNext w:val="0"/>
              <w:spacing w:before="60" w:after="60"/>
              <w:ind w:left="2"/>
              <w:jc w:val="center"/>
              <w:rPr>
                <w:i/>
              </w:rPr>
            </w:pPr>
            <w:r w:rsidRPr="00164FBA">
              <w:rPr>
                <w:i/>
              </w:rPr>
              <w:t>2012</w:t>
            </w:r>
            <w:r w:rsidRPr="00164FBA">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164FBA" w:rsidRDefault="009A7F87" w:rsidP="009A7F87">
            <w:pPr>
              <w:pStyle w:val="TableBodyText"/>
              <w:keepNext w:val="0"/>
              <w:spacing w:before="60" w:after="60"/>
              <w:ind w:left="2"/>
              <w:jc w:val="center"/>
              <w:rPr>
                <w:i/>
              </w:rPr>
            </w:pPr>
            <w:r w:rsidRPr="00164FBA">
              <w:rPr>
                <w:i/>
              </w:rPr>
              <w:t>2015</w:t>
            </w:r>
            <w:r w:rsidRPr="00164FBA">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w:t>
            </w:r>
            <w:r>
              <w:br/>
            </w:r>
            <w:r w:rsidRPr="00770229">
              <w:t>(Cat.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AE2EAE">
              <w:t>(Cat. no. 3101.0)</w:t>
            </w:r>
          </w:p>
        </w:tc>
        <w:tc>
          <w:tcPr>
            <w:tcW w:w="584" w:type="pct"/>
            <w:tcBorders>
              <w:bottom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r>
              <w:br/>
            </w:r>
          </w:p>
        </w:tc>
        <w:tc>
          <w:tcPr>
            <w:tcW w:w="585" w:type="pct"/>
            <w:gridSpan w:val="2"/>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r>
              <w:br/>
            </w:r>
          </w:p>
        </w:tc>
        <w:tc>
          <w:tcPr>
            <w:tcW w:w="585" w:type="pct"/>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r>
              <w:br/>
            </w:r>
          </w:p>
        </w:tc>
        <w:tc>
          <w:tcPr>
            <w:tcW w:w="583" w:type="pct"/>
            <w:gridSpan w:val="2"/>
            <w:tcBorders>
              <w:bottom w:val="single" w:sz="4" w:space="0" w:color="808080" w:themeColor="background1" w:themeShade="80"/>
            </w:tcBorders>
            <w:vAlign w:val="center"/>
          </w:tcPr>
          <w:p w:rsidR="009A7F87" w:rsidRDefault="009A7F87" w:rsidP="009A7F87">
            <w:pPr>
              <w:pStyle w:val="TableBodyText"/>
              <w:spacing w:before="60" w:after="60"/>
              <w:ind w:left="2"/>
              <w:jc w:val="center"/>
            </w:pPr>
            <w:r>
              <w:t>June 2016</w:t>
            </w: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DD4D8B" w:rsidRDefault="009A7F87" w:rsidP="009A7F87">
            <w:pPr>
              <w:pStyle w:val="TableBodyText"/>
              <w:keepNext w:val="0"/>
              <w:keepLines w:val="0"/>
              <w:spacing w:before="80" w:after="80"/>
              <w:jc w:val="both"/>
            </w:pPr>
            <w:r w:rsidRPr="008E77FE">
              <w:rPr>
                <w:rStyle w:val="NoteLabel"/>
              </w:rPr>
              <w:t>a</w:t>
            </w:r>
            <w: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sectPr w:rsidR="009A7F87" w:rsidSect="009A7F87">
          <w:headerReference w:type="even" r:id="rId171"/>
          <w:headerReference w:type="default" r:id="rId172"/>
          <w:footerReference w:type="even" r:id="rId173"/>
          <w:footerReference w:type="default" r:id="rId174"/>
          <w:footnotePr>
            <w:numRestart w:val="eachSect"/>
          </w:footnotePr>
          <w:type w:val="oddPage"/>
          <w:pgSz w:w="11907" w:h="16840" w:code="9"/>
          <w:pgMar w:top="1985" w:right="1304" w:bottom="1247" w:left="1814" w:header="1701" w:footer="397" w:gutter="0"/>
          <w:pgNumType w:chapSep="period"/>
          <w:cols w:space="720"/>
          <w:docGrid w:linePitch="326"/>
        </w:sectPr>
      </w:pPr>
    </w:p>
    <w:p w:rsidR="009A7F87" w:rsidRDefault="009A7F87">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9A7F87">
        <w:tc>
          <w:tcPr>
            <w:tcW w:w="6634" w:type="dxa"/>
            <w:tcBorders>
              <w:top w:val="single" w:sz="6" w:space="0" w:color="auto"/>
            </w:tcBorders>
          </w:tcPr>
          <w:p w:rsidR="009A7F87" w:rsidRDefault="009A7F87">
            <w:pPr>
              <w:pStyle w:val="PartDivider"/>
            </w:pPr>
          </w:p>
        </w:tc>
        <w:tc>
          <w:tcPr>
            <w:tcW w:w="2155" w:type="dxa"/>
            <w:tcBorders>
              <w:top w:val="single" w:sz="24" w:space="0" w:color="auto"/>
            </w:tcBorders>
          </w:tcPr>
          <w:p w:rsidR="009A7F87" w:rsidRDefault="009A7F87">
            <w:pPr>
              <w:pStyle w:val="PartDivider"/>
            </w:pPr>
          </w:p>
        </w:tc>
      </w:tr>
    </w:tbl>
    <w:p w:rsidR="009A7F87" w:rsidRDefault="009A7F87">
      <w:pPr>
        <w:pStyle w:val="PartDivider"/>
      </w:pPr>
    </w:p>
    <w:p w:rsidR="009A7F87" w:rsidRDefault="009A7F87" w:rsidP="009A7F87">
      <w:pPr>
        <w:pStyle w:val="PartTitle"/>
        <w:spacing w:after="240"/>
      </w:pPr>
      <w:r>
        <w:t>GPC 14</w:t>
      </w:r>
    </w:p>
    <w:p w:rsidR="009A7F87" w:rsidRDefault="009A7F87" w:rsidP="009A7F87">
      <w:pPr>
        <w:pStyle w:val="PartTitle"/>
        <w:spacing w:after="240"/>
      </w:pPr>
      <w:r>
        <w:t>other purposes</w:t>
      </w:r>
    </w:p>
    <w:p w:rsidR="009A7F87" w:rsidRDefault="009A7F87" w:rsidP="009A7F87">
      <w:pPr>
        <w:pStyle w:val="BodyText"/>
        <w:rPr>
          <w:sz w:val="52"/>
        </w:rPr>
      </w:pPr>
      <w:r>
        <w:br w:type="page"/>
      </w:r>
    </w:p>
    <w:p w:rsidR="009A7F87" w:rsidRPr="003755C6" w:rsidRDefault="009A7F87" w:rsidP="009A7F87">
      <w:pPr>
        <w:rPr>
          <w:szCs w:val="20"/>
        </w:rPr>
      </w:pPr>
    </w:p>
    <w:p w:rsidR="009A7F87" w:rsidRDefault="009A7F87" w:rsidP="009A7F87">
      <w:pPr>
        <w:sectPr w:rsidR="009A7F87" w:rsidSect="009A7F87">
          <w:headerReference w:type="even" r:id="rId175"/>
          <w:headerReference w:type="default" r:id="rId176"/>
          <w:footerReference w:type="even" r:id="rId177"/>
          <w:footerReference w:type="default" r:id="rId178"/>
          <w:footnotePr>
            <w:numRestart w:val="eachSect"/>
          </w:footnotePr>
          <w:type w:val="oddPage"/>
          <w:pgSz w:w="11907" w:h="16840" w:code="9"/>
          <w:pgMar w:top="1985" w:right="1304" w:bottom="1247" w:left="1814" w:header="1701" w:footer="397" w:gutter="0"/>
          <w:pgNumType w:chapSep="period"/>
          <w:cols w:space="720"/>
          <w:docGrid w:linePitch="326"/>
        </w:sectPr>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r>
            <w:r>
              <w:t>1410</w:t>
            </w:r>
            <w:r w:rsidRPr="00770229">
              <w:t xml:space="preserve"> Public debt transactions</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In Australia, general government departments/agencies have limited financial independence. Public debt transactions are generally handled by a central financing authority and include activities such as:</w:t>
            </w:r>
          </w:p>
          <w:p w:rsidR="009A7F87" w:rsidRPr="00770229" w:rsidRDefault="009A7F87" w:rsidP="009A7F87">
            <w:pPr>
              <w:pStyle w:val="TableBullet"/>
              <w:numPr>
                <w:ilvl w:val="0"/>
                <w:numId w:val="24"/>
              </w:numPr>
              <w:spacing w:line="220" w:lineRule="atLeast"/>
            </w:pPr>
            <w:r w:rsidRPr="00770229">
              <w:rPr>
                <w:i/>
              </w:rPr>
              <w:t xml:space="preserve">public debt raisings </w:t>
            </w:r>
            <w:r w:rsidRPr="00770229">
              <w:t>— such as the issue of government bonds</w:t>
            </w:r>
          </w:p>
          <w:p w:rsidR="009A7F87" w:rsidRPr="00770229" w:rsidRDefault="009A7F87" w:rsidP="009A7F87">
            <w:pPr>
              <w:pStyle w:val="TableBullet"/>
              <w:numPr>
                <w:ilvl w:val="0"/>
                <w:numId w:val="24"/>
              </w:numPr>
              <w:spacing w:line="220" w:lineRule="atLeast"/>
            </w:pPr>
            <w:r w:rsidRPr="00770229">
              <w:rPr>
                <w:i/>
              </w:rPr>
              <w:t>public debt servicing</w:t>
            </w:r>
            <w:r w:rsidRPr="00770229">
              <w:t xml:space="preserve"> — such as the payment of interest and other administrative costs</w:t>
            </w:r>
          </w:p>
          <w:p w:rsidR="009A7F87" w:rsidRPr="00770229" w:rsidRDefault="009A7F87" w:rsidP="009A7F87">
            <w:pPr>
              <w:pStyle w:val="TableBullet"/>
              <w:numPr>
                <w:ilvl w:val="0"/>
                <w:numId w:val="24"/>
              </w:numPr>
              <w:spacing w:line="220" w:lineRule="atLeast"/>
            </w:pPr>
            <w:r w:rsidRPr="00770229">
              <w:rPr>
                <w:i/>
              </w:rPr>
              <w:t>nominal superannuation interest expenditure</w:t>
            </w:r>
            <w:r w:rsidRPr="00770229">
              <w:t xml:space="preserve"> — nominal superannuation interest expenditure represents the notional borrowing cost of the Australian, State and Territory governments of benefits that are not fully funded. </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F56AE1">
              <w:rPr>
                <w:b/>
              </w:rPr>
              <w:t>http://www.pc.gov.au/ier2017</w:t>
            </w:r>
            <w:r w:rsidRPr="00770229">
              <w:rPr>
                <w:b/>
              </w:rPr>
              <w:t>).</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 xml:space="preserve">The key cost drivers of expenditure on public debt transactions are varied and cannot be linked closely with a particular service area or cohort of service users. </w:t>
            </w:r>
          </w:p>
          <w:p w:rsidR="009A7F87" w:rsidRPr="00770229" w:rsidRDefault="009A7F87" w:rsidP="009A7F87">
            <w:pPr>
              <w:pStyle w:val="TableBodyText"/>
              <w:keepNext w:val="0"/>
              <w:keepLines w:val="0"/>
              <w:spacing w:before="80" w:after="80"/>
              <w:jc w:val="left"/>
              <w:rPr>
                <w:szCs w:val="26"/>
              </w:rPr>
            </w:pPr>
            <w:r w:rsidRPr="00770229">
              <w:t>It is assumed that the costs associated with this expenditure are driven by the population on a uniform basis. The Aboriginal and Torres Strait Islander share of public debt transaction expenditure on the basis of Aboriginal and Torres Strait Islander share of the population for all jurisdictions.</w:t>
            </w:r>
          </w:p>
        </w:tc>
      </w:tr>
      <w:tr w:rsidR="009A7F87" w:rsidRPr="00770229" w:rsidTr="00DE1DF1">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0F16A8"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0F16A8"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0F16A8"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0F16A8" w:rsidRDefault="009A7F87" w:rsidP="009A7F87">
            <w:pPr>
              <w:pStyle w:val="TableColumnHeading"/>
              <w:keepNext w:val="0"/>
              <w:ind w:left="180"/>
              <w:jc w:val="center"/>
            </w:pPr>
            <w:r w:rsidRPr="000F16A8">
              <w:t>Data Years</w:t>
            </w:r>
          </w:p>
        </w:tc>
      </w:tr>
      <w:tr w:rsidR="009A7F87" w:rsidRPr="000F16A8"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0F16A8" w:rsidRDefault="009A7F87" w:rsidP="009A7F87">
            <w:pPr>
              <w:pStyle w:val="TableBodyText"/>
              <w:keepNext w:val="0"/>
              <w:spacing w:before="60" w:after="60"/>
              <w:ind w:left="0"/>
              <w:jc w:val="both"/>
              <w:rPr>
                <w:i/>
              </w:rPr>
            </w:pPr>
            <w:r w:rsidRPr="000F16A8">
              <w:rPr>
                <w:i/>
              </w:rPr>
              <w:br/>
              <w:t>Measure</w:t>
            </w:r>
            <w:r w:rsidRPr="005A6681">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0F16A8" w:rsidRDefault="009A7F87" w:rsidP="009A7F87">
            <w:pPr>
              <w:pStyle w:val="TableBodyText"/>
              <w:keepNext w:val="0"/>
              <w:spacing w:before="60" w:after="60"/>
              <w:ind w:left="180"/>
              <w:jc w:val="left"/>
              <w:rPr>
                <w:i/>
              </w:rPr>
            </w:pPr>
            <w:r w:rsidRPr="000F16A8">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0F16A8" w:rsidRDefault="009A7F87" w:rsidP="009A7F87">
            <w:pPr>
              <w:pStyle w:val="TableBodyText"/>
              <w:keepNext w:val="0"/>
              <w:spacing w:before="60" w:after="60"/>
              <w:ind w:left="2"/>
              <w:jc w:val="center"/>
              <w:rPr>
                <w:i/>
              </w:rPr>
            </w:pPr>
            <w:r w:rsidRPr="000F16A8">
              <w:rPr>
                <w:i/>
              </w:rPr>
              <w:t>2008</w:t>
            </w:r>
            <w:r w:rsidRPr="000F16A8">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0F16A8" w:rsidRDefault="009A7F87" w:rsidP="009A7F87">
            <w:pPr>
              <w:pStyle w:val="TableBodyText"/>
              <w:keepNext w:val="0"/>
              <w:spacing w:before="60" w:after="60"/>
              <w:ind w:left="2"/>
              <w:jc w:val="center"/>
              <w:rPr>
                <w:i/>
              </w:rPr>
            </w:pPr>
            <w:r w:rsidRPr="000F16A8">
              <w:rPr>
                <w:i/>
              </w:rPr>
              <w:t>2010</w:t>
            </w:r>
            <w:r w:rsidRPr="000F16A8">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0F16A8" w:rsidRDefault="009A7F87" w:rsidP="009A7F87">
            <w:pPr>
              <w:pStyle w:val="TableBodyText"/>
              <w:keepNext w:val="0"/>
              <w:spacing w:before="60" w:after="60"/>
              <w:ind w:left="2"/>
              <w:jc w:val="center"/>
              <w:rPr>
                <w:i/>
              </w:rPr>
            </w:pPr>
            <w:r w:rsidRPr="000F16A8">
              <w:rPr>
                <w:i/>
              </w:rPr>
              <w:t>2012</w:t>
            </w:r>
            <w:r w:rsidRPr="000F16A8">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0F16A8" w:rsidRDefault="009A7F87" w:rsidP="009A7F87">
            <w:pPr>
              <w:pStyle w:val="TableBodyText"/>
              <w:keepNext w:val="0"/>
              <w:spacing w:before="60" w:after="60"/>
              <w:ind w:left="2"/>
              <w:jc w:val="center"/>
              <w:rPr>
                <w:i/>
              </w:rPr>
            </w:pPr>
            <w:r w:rsidRPr="000F16A8">
              <w:rPr>
                <w:i/>
              </w:rPr>
              <w:t>2015</w:t>
            </w:r>
            <w:r w:rsidRPr="000F16A8">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w:t>
            </w:r>
            <w:r>
              <w:br/>
            </w:r>
            <w:r w:rsidRPr="00770229">
              <w:t>(Cat.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t>J</w:t>
            </w:r>
            <w:r w:rsidRPr="00770229">
              <w:t>une 2009</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t>June 2011</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t>June 2013</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gridSpan w:val="2"/>
            <w:tcBorders>
              <w:top w:val="single" w:sz="6" w:space="0" w:color="808080" w:themeColor="background1" w:themeShade="80"/>
            </w:tcBorders>
            <w:vAlign w:val="center"/>
          </w:tcPr>
          <w:p w:rsidR="009A7F87" w:rsidRDefault="009A7F87" w:rsidP="009A7F87">
            <w:pPr>
              <w:pStyle w:val="TableBodyText"/>
              <w:keepNext w:val="0"/>
              <w:spacing w:after="60"/>
              <w:ind w:left="0"/>
              <w:jc w:val="center"/>
            </w:pPr>
            <w:r>
              <w:t>June 2016</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F7562C">
              <w:t>(Cat. no. 3101.0)</w:t>
            </w:r>
          </w:p>
        </w:tc>
        <w:tc>
          <w:tcPr>
            <w:tcW w:w="584"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2009</w:t>
            </w:r>
            <w:r>
              <w:br/>
            </w:r>
          </w:p>
        </w:tc>
        <w:tc>
          <w:tcPr>
            <w:tcW w:w="585" w:type="pct"/>
            <w:gridSpan w:val="2"/>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2011</w:t>
            </w:r>
            <w:r>
              <w:br/>
            </w:r>
          </w:p>
        </w:tc>
        <w:tc>
          <w:tcPr>
            <w:tcW w:w="585"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2013</w:t>
            </w:r>
            <w:r>
              <w:br/>
            </w:r>
          </w:p>
        </w:tc>
        <w:tc>
          <w:tcPr>
            <w:tcW w:w="583" w:type="pct"/>
            <w:gridSpan w:val="2"/>
            <w:tcBorders>
              <w:bottom w:val="single" w:sz="4" w:space="0" w:color="808080" w:themeColor="background1" w:themeShade="80"/>
            </w:tcBorders>
          </w:tcPr>
          <w:p w:rsidR="009A7F87" w:rsidRPr="00770229" w:rsidRDefault="009A7F87" w:rsidP="009A7F87">
            <w:pPr>
              <w:pStyle w:val="TableBodyText"/>
              <w:keepNext w:val="0"/>
              <w:spacing w:before="60" w:after="60"/>
              <w:ind w:left="2"/>
              <w:jc w:val="center"/>
            </w:pPr>
            <w:r>
              <w:t xml:space="preserve">June </w:t>
            </w:r>
            <w:r w:rsidRPr="00FF7A3F">
              <w:t>2016</w:t>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5E5130" w:rsidRDefault="009A7F87" w:rsidP="009A7F87">
            <w:pPr>
              <w:pStyle w:val="TableBodyText"/>
              <w:keepNext w:val="0"/>
              <w:keepLines w:val="0"/>
              <w:spacing w:before="80" w:after="80"/>
              <w:jc w:val="both"/>
            </w:pPr>
            <w:r w:rsidRPr="00770229">
              <w:rPr>
                <w:rStyle w:val="NoteLabel"/>
              </w:rPr>
              <w:t>a</w:t>
            </w:r>
            <w:r w:rsidR="005A6681">
              <w:rPr>
                <w:rStyle w:val="NoteLabel"/>
              </w:rPr>
              <w:t>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120072">
      <w:pPr>
        <w:pStyle w:val="BodyText"/>
      </w:pPr>
    </w:p>
    <w:p w:rsidR="009A7F87" w:rsidRDefault="009A7F87" w:rsidP="00120072">
      <w:pPr>
        <w:pStyle w:val="BodyText"/>
      </w:pPr>
    </w:p>
    <w:p w:rsidR="009A7F87" w:rsidRDefault="009A7F87" w:rsidP="00120072">
      <w:pPr>
        <w:pStyle w:val="BodyText"/>
      </w:pP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r>
            <w:r>
              <w:t>1420</w:t>
            </w:r>
            <w:r w:rsidRPr="00770229">
              <w:t xml:space="preserve"> General purpose inter</w:t>
            </w:r>
            <w:r w:rsidRPr="00770229">
              <w:noBreakHyphen/>
              <w:t>government transactions</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In Australia, general purpose grants are made between different levels of government to support their ongoing operations. These grants are not tied to the delivery of a particular service. Inter</w:t>
            </w:r>
            <w:r w:rsidRPr="00770229">
              <w:noBreakHyphen/>
              <w:t>government transactions usually occur:</w:t>
            </w:r>
          </w:p>
          <w:p w:rsidR="009A7F87" w:rsidRPr="00770229" w:rsidRDefault="009A7F87" w:rsidP="009A7F87">
            <w:pPr>
              <w:pStyle w:val="TableBullet"/>
              <w:numPr>
                <w:ilvl w:val="0"/>
                <w:numId w:val="24"/>
              </w:numPr>
              <w:spacing w:line="220" w:lineRule="atLeast"/>
            </w:pPr>
            <w:r w:rsidRPr="00770229">
              <w:t>from the Australian Government to State and Territory governments — such as the distribution of GST revenues</w:t>
            </w:r>
          </w:p>
          <w:p w:rsidR="009A7F87" w:rsidRPr="00770229" w:rsidRDefault="009A7F87" w:rsidP="009A7F87">
            <w:pPr>
              <w:pStyle w:val="TableBullet"/>
              <w:numPr>
                <w:ilvl w:val="0"/>
                <w:numId w:val="24"/>
              </w:numPr>
              <w:spacing w:line="220" w:lineRule="atLeast"/>
            </w:pPr>
            <w:r w:rsidRPr="00770229">
              <w:t>from the Australian Government to local governments</w:t>
            </w:r>
          </w:p>
          <w:p w:rsidR="009A7F87" w:rsidRPr="00770229" w:rsidRDefault="009A7F87" w:rsidP="009A7F87">
            <w:pPr>
              <w:pStyle w:val="TableBullet"/>
              <w:numPr>
                <w:ilvl w:val="0"/>
                <w:numId w:val="24"/>
              </w:numPr>
              <w:spacing w:line="220" w:lineRule="atLeast"/>
            </w:pPr>
            <w:r w:rsidRPr="00770229">
              <w:t>from State and Territory governments to local governments.</w:t>
            </w:r>
          </w:p>
          <w:p w:rsidR="009A7F87" w:rsidRPr="00770229" w:rsidRDefault="009A7F87" w:rsidP="009A7F87">
            <w:pPr>
              <w:pStyle w:val="TableBodyText"/>
              <w:jc w:val="left"/>
            </w:pPr>
            <w:r w:rsidRPr="00770229">
              <w:t>For the purposes of the Indigenous Expenditure Report, transactions between the jurisdictions must be consolidated to avoid the double counting of expenditure.</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21421E">
              <w:rPr>
                <w:b/>
              </w:rPr>
              <w:t>http://www.pc.gov.au/ier2017</w:t>
            </w:r>
            <w:r w:rsidRPr="00770229">
              <w:rPr>
                <w:b/>
              </w:rPr>
              <w:t>).</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The key cost drivers of expenditure on general purpose inter</w:t>
            </w:r>
            <w:r w:rsidRPr="00770229">
              <w:noBreakHyphen/>
              <w:t xml:space="preserve">government transactions are associated with population related factors (for example, </w:t>
            </w:r>
            <w:r w:rsidRPr="00770229">
              <w:rPr>
                <w:szCs w:val="26"/>
              </w:rPr>
              <w:t>population size within each jurisdiction</w:t>
            </w:r>
            <w:r w:rsidRPr="00770229">
              <w:t>). However, grants are generally adjusted based on principles of horizontal fiscal equalisation. The CGC notes that under the principle, each state should be given the capacity to provide the average standard of state</w:t>
            </w:r>
            <w:r w:rsidRPr="00770229">
              <w:noBreakHyphen/>
              <w:t>type public services, assuming that it does so at an average level of operational efficiency and makes an average effort to raise revenue from its own sources.</w:t>
            </w:r>
          </w:p>
          <w:p w:rsidR="009A7F87" w:rsidRPr="00770229" w:rsidRDefault="009A7F87" w:rsidP="009A7F87">
            <w:pPr>
              <w:pStyle w:val="TableBodyText"/>
              <w:keepNext w:val="0"/>
              <w:keepLines w:val="0"/>
              <w:spacing w:before="80" w:after="80"/>
              <w:jc w:val="left"/>
              <w:rPr>
                <w:szCs w:val="26"/>
              </w:rPr>
            </w:pPr>
            <w:r w:rsidRPr="00770229">
              <w:rPr>
                <w:szCs w:val="26"/>
              </w:rPr>
              <w:t>Given that expenditure in this category cannot, by definition, be linked closely with a particular service area or cohort of service users as it is expenditure related to the operation of government, it is assumed that the costs associated with this expenditure are driven by the population on a uniform basis.</w:t>
            </w:r>
          </w:p>
        </w:tc>
      </w:tr>
      <w:tr w:rsidR="009A7F87" w:rsidRPr="00770229" w:rsidTr="00DE1DF1">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0F16A8"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0F16A8"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0F16A8"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0F16A8" w:rsidRDefault="009A7F87" w:rsidP="009A7F87">
            <w:pPr>
              <w:pStyle w:val="TableColumnHeading"/>
              <w:keepNext w:val="0"/>
              <w:ind w:left="180"/>
              <w:jc w:val="center"/>
            </w:pPr>
            <w:r w:rsidRPr="000F16A8">
              <w:t>Data Years</w:t>
            </w:r>
          </w:p>
        </w:tc>
      </w:tr>
      <w:tr w:rsidR="009A7F87" w:rsidRPr="000F16A8"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0F16A8" w:rsidRDefault="009A7F87" w:rsidP="009A7F87">
            <w:pPr>
              <w:pStyle w:val="TableBodyText"/>
              <w:keepNext w:val="0"/>
              <w:spacing w:before="60" w:after="60"/>
              <w:ind w:left="0"/>
              <w:jc w:val="both"/>
              <w:rPr>
                <w:i/>
              </w:rPr>
            </w:pPr>
            <w:r w:rsidRPr="000F16A8">
              <w:rPr>
                <w:i/>
              </w:rPr>
              <w:br/>
              <w:t>Measure</w:t>
            </w:r>
            <w:r w:rsidRPr="005A6681">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0F16A8" w:rsidRDefault="009A7F87" w:rsidP="009A7F87">
            <w:pPr>
              <w:pStyle w:val="TableBodyText"/>
              <w:keepNext w:val="0"/>
              <w:spacing w:before="60" w:after="60"/>
              <w:ind w:left="180"/>
              <w:jc w:val="left"/>
              <w:rPr>
                <w:i/>
              </w:rPr>
            </w:pPr>
            <w:r w:rsidRPr="000F16A8">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0F16A8" w:rsidRDefault="009A7F87" w:rsidP="009A7F87">
            <w:pPr>
              <w:pStyle w:val="TableBodyText"/>
              <w:keepNext w:val="0"/>
              <w:spacing w:before="60" w:after="60"/>
              <w:ind w:left="2"/>
              <w:jc w:val="center"/>
              <w:rPr>
                <w:i/>
              </w:rPr>
            </w:pPr>
            <w:r w:rsidRPr="000F16A8">
              <w:rPr>
                <w:i/>
              </w:rPr>
              <w:t>2008</w:t>
            </w:r>
            <w:r w:rsidRPr="000F16A8">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0F16A8" w:rsidRDefault="009A7F87" w:rsidP="009A7F87">
            <w:pPr>
              <w:pStyle w:val="TableBodyText"/>
              <w:keepNext w:val="0"/>
              <w:spacing w:before="60" w:after="60"/>
              <w:ind w:left="2"/>
              <w:jc w:val="center"/>
              <w:rPr>
                <w:i/>
              </w:rPr>
            </w:pPr>
            <w:r w:rsidRPr="000F16A8">
              <w:rPr>
                <w:i/>
              </w:rPr>
              <w:t>2010</w:t>
            </w:r>
            <w:r w:rsidRPr="000F16A8">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0F16A8" w:rsidRDefault="009A7F87" w:rsidP="009A7F87">
            <w:pPr>
              <w:pStyle w:val="TableBodyText"/>
              <w:keepNext w:val="0"/>
              <w:spacing w:before="60" w:after="60"/>
              <w:ind w:left="2"/>
              <w:jc w:val="center"/>
              <w:rPr>
                <w:i/>
              </w:rPr>
            </w:pPr>
            <w:r w:rsidRPr="000F16A8">
              <w:rPr>
                <w:i/>
              </w:rPr>
              <w:t>2012</w:t>
            </w:r>
            <w:r w:rsidRPr="000F16A8">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0F16A8" w:rsidRDefault="009A7F87" w:rsidP="009A7F87">
            <w:pPr>
              <w:pStyle w:val="TableBodyText"/>
              <w:keepNext w:val="0"/>
              <w:spacing w:before="60" w:after="60"/>
              <w:ind w:left="2"/>
              <w:jc w:val="center"/>
              <w:rPr>
                <w:i/>
              </w:rPr>
            </w:pPr>
            <w:r w:rsidRPr="000F16A8">
              <w:rPr>
                <w:i/>
              </w:rPr>
              <w:t>2015</w:t>
            </w:r>
            <w:r w:rsidRPr="000F16A8">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w:t>
            </w:r>
            <w:r>
              <w:br/>
            </w:r>
            <w:r w:rsidRPr="00770229">
              <w:t>(Cat.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t>J</w:t>
            </w:r>
            <w:r w:rsidRPr="00770229">
              <w:t>une 2009</w:t>
            </w: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r>
              <w:br/>
            </w: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t>June 2011</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after="60"/>
              <w:ind w:left="0"/>
              <w:jc w:val="center"/>
            </w:pPr>
            <w:r>
              <w:t>June 2013</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c>
          <w:tcPr>
            <w:tcW w:w="583" w:type="pct"/>
            <w:gridSpan w:val="2"/>
            <w:tcBorders>
              <w:top w:val="single" w:sz="6" w:space="0" w:color="808080" w:themeColor="background1" w:themeShade="80"/>
            </w:tcBorders>
            <w:vAlign w:val="center"/>
          </w:tcPr>
          <w:p w:rsidR="009A7F87" w:rsidRDefault="009A7F87" w:rsidP="009A7F87">
            <w:pPr>
              <w:pStyle w:val="TableBodyText"/>
              <w:keepNext w:val="0"/>
              <w:spacing w:after="60"/>
              <w:ind w:left="0"/>
              <w:jc w:val="center"/>
            </w:pPr>
            <w:r>
              <w:t>June 2016</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CE71E7">
              <w:t>(Cat. no. 3101.0)</w:t>
            </w:r>
          </w:p>
        </w:tc>
        <w:tc>
          <w:tcPr>
            <w:tcW w:w="584"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2009</w:t>
            </w:r>
            <w:r>
              <w:br/>
            </w:r>
          </w:p>
        </w:tc>
        <w:tc>
          <w:tcPr>
            <w:tcW w:w="585" w:type="pct"/>
            <w:gridSpan w:val="2"/>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2011</w:t>
            </w:r>
            <w:r>
              <w:br/>
            </w:r>
          </w:p>
        </w:tc>
        <w:tc>
          <w:tcPr>
            <w:tcW w:w="585" w:type="pct"/>
            <w:tcBorders>
              <w:bottom w:val="single" w:sz="4" w:space="0" w:color="808080" w:themeColor="background1" w:themeShade="80"/>
            </w:tcBorders>
            <w:shd w:val="clear" w:color="auto" w:fill="auto"/>
            <w:vAlign w:val="center"/>
          </w:tcPr>
          <w:p w:rsidR="009A7F87" w:rsidRPr="00770229" w:rsidRDefault="009A7F87" w:rsidP="009A7F87">
            <w:pPr>
              <w:pStyle w:val="TableBodyText"/>
              <w:keepNext w:val="0"/>
              <w:spacing w:before="60" w:after="60"/>
              <w:ind w:left="2"/>
              <w:jc w:val="center"/>
            </w:pPr>
            <w:r w:rsidRPr="00770229">
              <w:t>June 2013</w:t>
            </w:r>
            <w:r>
              <w:br/>
            </w:r>
          </w:p>
        </w:tc>
        <w:tc>
          <w:tcPr>
            <w:tcW w:w="583" w:type="pct"/>
            <w:gridSpan w:val="2"/>
            <w:tcBorders>
              <w:bottom w:val="single" w:sz="4" w:space="0" w:color="808080" w:themeColor="background1" w:themeShade="80"/>
            </w:tcBorders>
          </w:tcPr>
          <w:p w:rsidR="009A7F87" w:rsidRPr="00770229" w:rsidRDefault="009A7F87" w:rsidP="009A7F87">
            <w:pPr>
              <w:pStyle w:val="TableBodyText"/>
              <w:keepNext w:val="0"/>
              <w:spacing w:before="60" w:after="60"/>
              <w:ind w:left="2"/>
              <w:jc w:val="center"/>
            </w:pPr>
            <w:r>
              <w:t xml:space="preserve">June </w:t>
            </w:r>
            <w:r w:rsidRPr="00FF7A3F">
              <w:t>2016</w:t>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5E5130" w:rsidRDefault="009A7F87" w:rsidP="009A7F87">
            <w:pPr>
              <w:pStyle w:val="TableBodyText"/>
              <w:keepNext w:val="0"/>
              <w:keepLines w:val="0"/>
              <w:spacing w:before="80" w:after="80"/>
              <w:jc w:val="both"/>
            </w:pPr>
            <w:r w:rsidRPr="00770229">
              <w:rPr>
                <w:rStyle w:val="NoteLabel"/>
              </w:rPr>
              <w:t>a</w:t>
            </w:r>
            <w:r w:rsidR="00E91A7D">
              <w:rPr>
                <w:rStyle w:val="NoteLabel"/>
              </w:rPr>
              <w:t>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r>
            <w:r>
              <w:t>1430</w:t>
            </w:r>
            <w:r w:rsidRPr="00770229">
              <w:t xml:space="preserve"> Natural disaster relief</w:t>
            </w:r>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The Australian, State and Territory governments provide a range of financial assistance and services to Australians following natural disasters.</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21421E">
              <w:rPr>
                <w:b/>
              </w:rPr>
              <w:t>http://www.pc.gov.au/ier2017</w:t>
            </w:r>
            <w:r w:rsidRPr="00770229">
              <w:rPr>
                <w:b/>
              </w:rPr>
              <w:t>).</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rPr>
                <w:szCs w:val="26"/>
              </w:rPr>
            </w:pPr>
            <w:r w:rsidRPr="00770229">
              <w:t xml:space="preserve">The key cost drivers of expenditure on </w:t>
            </w:r>
            <w:r w:rsidRPr="00770229">
              <w:rPr>
                <w:szCs w:val="32"/>
              </w:rPr>
              <w:t>natural disaster relief</w:t>
            </w:r>
            <w:r w:rsidRPr="00770229">
              <w:t xml:space="preserve"> are associated with population factors (for example, the number of people living in natural disaster prone areas)</w:t>
            </w:r>
            <w:r w:rsidRPr="00770229">
              <w:rPr>
                <w:szCs w:val="26"/>
              </w:rPr>
              <w:t xml:space="preserve"> </w:t>
            </w:r>
            <w:r w:rsidRPr="00770229">
              <w:t>and non</w:t>
            </w:r>
            <w:r w:rsidRPr="00770229">
              <w:noBreakHyphen/>
              <w:t xml:space="preserve">population related factors (for example, the number and size of each natural disaster). </w:t>
            </w:r>
            <w:r w:rsidRPr="00770229">
              <w:rPr>
                <w:szCs w:val="26"/>
              </w:rPr>
              <w:t xml:space="preserve">Expenditure in this category cannot, by definition, be linked closely with a particular service area or cohort of service users as it is a collectively consumed service. </w:t>
            </w:r>
          </w:p>
          <w:p w:rsidR="009A7F87" w:rsidRPr="00770229" w:rsidRDefault="009A7F87" w:rsidP="009A7F87">
            <w:pPr>
              <w:pStyle w:val="TableBodyText"/>
              <w:keepNext w:val="0"/>
              <w:keepLines w:val="0"/>
              <w:spacing w:before="80" w:after="80"/>
              <w:jc w:val="left"/>
              <w:rPr>
                <w:szCs w:val="26"/>
              </w:rPr>
            </w:pPr>
            <w:r w:rsidRPr="00770229">
              <w:rPr>
                <w:szCs w:val="26"/>
              </w:rPr>
              <w:t>It is assumed that the costs associated with this expenditure are driven by the population on a uniform basis.</w:t>
            </w:r>
          </w:p>
        </w:tc>
      </w:tr>
      <w:tr w:rsidR="009A7F87" w:rsidRPr="00770229" w:rsidTr="00DE1DF1">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0F16A8"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0F16A8"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0F16A8"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0F16A8" w:rsidRDefault="009A7F87" w:rsidP="009A7F87">
            <w:pPr>
              <w:pStyle w:val="TableColumnHeading"/>
              <w:keepNext w:val="0"/>
              <w:ind w:left="180"/>
              <w:jc w:val="center"/>
            </w:pPr>
            <w:r w:rsidRPr="000F16A8">
              <w:t>Data Years</w:t>
            </w:r>
          </w:p>
        </w:tc>
      </w:tr>
      <w:tr w:rsidR="009A7F87" w:rsidRPr="000F16A8"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0F16A8" w:rsidRDefault="009A7F87" w:rsidP="009A7F87">
            <w:pPr>
              <w:pStyle w:val="TableBodyText"/>
              <w:keepNext w:val="0"/>
              <w:spacing w:before="60" w:after="60"/>
              <w:ind w:left="0"/>
              <w:jc w:val="both"/>
              <w:rPr>
                <w:rStyle w:val="NoteLabel"/>
                <w:i/>
              </w:rPr>
            </w:pPr>
            <w:r w:rsidRPr="000F16A8">
              <w:rPr>
                <w:i/>
              </w:rPr>
              <w:br/>
              <w:t>Measure</w:t>
            </w:r>
            <w:r w:rsidRPr="005A6681">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0F16A8" w:rsidRDefault="009A7F87" w:rsidP="009A7F87">
            <w:pPr>
              <w:pStyle w:val="TableBodyText"/>
              <w:keepNext w:val="0"/>
              <w:spacing w:before="60" w:after="60"/>
              <w:ind w:left="180"/>
              <w:jc w:val="left"/>
              <w:rPr>
                <w:i/>
              </w:rPr>
            </w:pPr>
            <w:r w:rsidRPr="000F16A8">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0F16A8" w:rsidRDefault="009A7F87" w:rsidP="009A7F87">
            <w:pPr>
              <w:pStyle w:val="TableBodyText"/>
              <w:keepNext w:val="0"/>
              <w:spacing w:before="60" w:after="60"/>
              <w:ind w:left="2"/>
              <w:jc w:val="center"/>
              <w:rPr>
                <w:i/>
              </w:rPr>
            </w:pPr>
            <w:r w:rsidRPr="000F16A8">
              <w:rPr>
                <w:i/>
              </w:rPr>
              <w:t>2008</w:t>
            </w:r>
            <w:r w:rsidRPr="000F16A8">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0F16A8" w:rsidRDefault="009A7F87" w:rsidP="009A7F87">
            <w:pPr>
              <w:pStyle w:val="TableBodyText"/>
              <w:keepNext w:val="0"/>
              <w:spacing w:before="60" w:after="60"/>
              <w:ind w:left="2"/>
              <w:jc w:val="center"/>
              <w:rPr>
                <w:i/>
              </w:rPr>
            </w:pPr>
            <w:r w:rsidRPr="000F16A8">
              <w:rPr>
                <w:i/>
              </w:rPr>
              <w:t>2010</w:t>
            </w:r>
            <w:r w:rsidRPr="000F16A8">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0F16A8" w:rsidRDefault="009A7F87" w:rsidP="009A7F87">
            <w:pPr>
              <w:pStyle w:val="TableBodyText"/>
              <w:keepNext w:val="0"/>
              <w:spacing w:before="60" w:after="60"/>
              <w:ind w:left="2"/>
              <w:jc w:val="center"/>
              <w:rPr>
                <w:i/>
              </w:rPr>
            </w:pPr>
            <w:r w:rsidRPr="000F16A8">
              <w:rPr>
                <w:i/>
              </w:rPr>
              <w:t>2012</w:t>
            </w:r>
            <w:r w:rsidRPr="000F16A8">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0F16A8" w:rsidRDefault="009A7F87" w:rsidP="009A7F87">
            <w:pPr>
              <w:pStyle w:val="TableBodyText"/>
              <w:keepNext w:val="0"/>
              <w:spacing w:before="60" w:after="60"/>
              <w:ind w:left="2"/>
              <w:jc w:val="center"/>
              <w:rPr>
                <w:i/>
              </w:rPr>
            </w:pPr>
            <w:r w:rsidRPr="000F16A8">
              <w:rPr>
                <w:i/>
              </w:rPr>
              <w:t>2015</w:t>
            </w:r>
            <w:r w:rsidRPr="000F16A8">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w:t>
            </w:r>
            <w:r>
              <w:br/>
            </w:r>
            <w:r w:rsidRPr="00770229">
              <w:t>(Cat.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p w:rsidR="009A7F87" w:rsidRDefault="009A7F87" w:rsidP="009A7F87">
            <w:pPr>
              <w:pStyle w:val="TableBodyText"/>
              <w:keepNext w:val="0"/>
              <w:spacing w:before="60" w:after="60"/>
              <w:ind w:left="2"/>
              <w:jc w:val="center"/>
            </w:pP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CE71E7">
              <w:t>(Cat. no. 3101.0)</w:t>
            </w:r>
          </w:p>
        </w:tc>
        <w:tc>
          <w:tcPr>
            <w:tcW w:w="584" w:type="pct"/>
            <w:tcBorders>
              <w:bottom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r>
              <w:br/>
            </w:r>
          </w:p>
        </w:tc>
        <w:tc>
          <w:tcPr>
            <w:tcW w:w="585" w:type="pct"/>
            <w:gridSpan w:val="2"/>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r>
              <w:br/>
            </w:r>
          </w:p>
        </w:tc>
        <w:tc>
          <w:tcPr>
            <w:tcW w:w="585" w:type="pct"/>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r>
              <w:br/>
            </w:r>
          </w:p>
        </w:tc>
        <w:tc>
          <w:tcPr>
            <w:tcW w:w="583" w:type="pct"/>
            <w:gridSpan w:val="2"/>
            <w:tcBorders>
              <w:bottom w:val="single" w:sz="4" w:space="0" w:color="808080" w:themeColor="background1" w:themeShade="80"/>
            </w:tcBorders>
            <w:vAlign w:val="center"/>
          </w:tcPr>
          <w:p w:rsidR="009A7F87" w:rsidRDefault="009A7F87" w:rsidP="009A7F87">
            <w:pPr>
              <w:pStyle w:val="TableBodyText"/>
              <w:spacing w:before="60" w:after="60"/>
              <w:ind w:left="2"/>
              <w:jc w:val="center"/>
            </w:pPr>
            <w:r>
              <w:t>June 2016</w:t>
            </w:r>
            <w:r>
              <w:br/>
            </w: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5E5130" w:rsidRDefault="009A7F87" w:rsidP="009A7F87">
            <w:pPr>
              <w:pStyle w:val="TableBodyText"/>
              <w:keepNext w:val="0"/>
              <w:keepLines w:val="0"/>
              <w:spacing w:before="80" w:after="80"/>
              <w:jc w:val="both"/>
            </w:pPr>
            <w:r w:rsidRPr="00770229">
              <w:rPr>
                <w:rStyle w:val="NoteLabel"/>
              </w:rPr>
              <w:t>a</w:t>
            </w:r>
            <w:r w:rsidR="005A6681">
              <w:rPr>
                <w:rStyle w:val="NoteLabel"/>
              </w:rPr>
              <w:t xml:space="preserve">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9A7F87">
      <w:pPr>
        <w:pStyle w:val="BodyText"/>
      </w:pPr>
      <w:r>
        <w:br w:type="page"/>
      </w:r>
    </w:p>
    <w:tbl>
      <w:tblPr>
        <w:tblW w:w="8796"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Description w:val="Table used for design: contains a nested table with data/information."/>
      </w:tblPr>
      <w:tblGrid>
        <w:gridCol w:w="1494"/>
        <w:gridCol w:w="3191"/>
        <w:gridCol w:w="1027"/>
        <w:gridCol w:w="602"/>
        <w:gridCol w:w="427"/>
        <w:gridCol w:w="1029"/>
        <w:gridCol w:w="1019"/>
        <w:gridCol w:w="7"/>
      </w:tblGrid>
      <w:tr w:rsidR="009A7F87" w:rsidRPr="00770229" w:rsidTr="00760FFA">
        <w:tc>
          <w:tcPr>
            <w:tcW w:w="5000" w:type="pct"/>
            <w:gridSpan w:val="8"/>
            <w:tcBorders>
              <w:top w:val="single" w:sz="12" w:space="0" w:color="78A22F" w:themeColor="accent1"/>
              <w:bottom w:val="single" w:sz="12" w:space="0" w:color="808080" w:themeColor="background1" w:themeShade="80"/>
            </w:tcBorders>
            <w:shd w:val="clear" w:color="auto" w:fill="E0E0E0"/>
            <w:tcMar>
              <w:top w:w="57" w:type="dxa"/>
              <w:left w:w="113" w:type="dxa"/>
            </w:tcMar>
          </w:tcPr>
          <w:p w:rsidR="009A7F87" w:rsidRPr="00FF7A3F" w:rsidRDefault="009A7F87" w:rsidP="009A7F87">
            <w:pPr>
              <w:pStyle w:val="Heading3"/>
            </w:pPr>
            <w:r w:rsidRPr="00770229">
              <w:br w:type="page"/>
            </w:r>
            <w:r>
              <w:t>1490</w:t>
            </w:r>
            <w:r w:rsidRPr="00770229">
              <w:t xml:space="preserve"> Other purposes </w:t>
            </w:r>
            <w:proofErr w:type="spellStart"/>
            <w:r w:rsidRPr="00770229">
              <w:t>nec</w:t>
            </w:r>
            <w:proofErr w:type="spellEnd"/>
          </w:p>
        </w:tc>
      </w:tr>
      <w:tr w:rsidR="009A7F87" w:rsidRPr="00770229" w:rsidTr="00760FFA">
        <w:tblPrEx>
          <w:tblBorders>
            <w:top w:val="none" w:sz="0" w:space="0" w:color="auto"/>
            <w:bottom w:val="none" w:sz="0" w:space="0" w:color="auto"/>
            <w:insideH w:val="none" w:sz="0" w:space="0" w:color="auto"/>
          </w:tblBorders>
          <w:tblCellMar>
            <w:left w:w="108" w:type="dxa"/>
            <w:right w:w="108" w:type="dxa"/>
          </w:tblCellMar>
        </w:tblPrEx>
        <w:tc>
          <w:tcPr>
            <w:tcW w:w="3589"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411" w:type="pct"/>
            <w:gridSpan w:val="4"/>
            <w:tcBorders>
              <w:top w:val="single" w:sz="12"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pPr>
            <w:r>
              <w:rPr>
                <w:b/>
              </w:rPr>
              <w:t>31 August 2017</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Service description</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pPr>
            <w:r w:rsidRPr="00770229">
              <w:t>This category contains expenditure on services that cannot be allocated to any other category.</w:t>
            </w:r>
          </w:p>
          <w:p w:rsidR="009A7F87" w:rsidRPr="00770229" w:rsidRDefault="009A7F87" w:rsidP="009A7F87">
            <w:pPr>
              <w:pStyle w:val="TableBodyText"/>
              <w:jc w:val="left"/>
              <w:rPr>
                <w:b/>
                <w:sz w:val="24"/>
              </w:rPr>
            </w:pPr>
            <w:r w:rsidRPr="00770229">
              <w:rPr>
                <w:b/>
              </w:rPr>
              <w:t xml:space="preserve">A detailed definition of expenditure included under this category is provided in the </w:t>
            </w:r>
            <w:r>
              <w:rPr>
                <w:b/>
              </w:rPr>
              <w:t>2017 Report Expenditure</w:t>
            </w:r>
            <w:r w:rsidRPr="00770229">
              <w:rPr>
                <w:b/>
              </w:rPr>
              <w:t xml:space="preserve"> Data Manual (</w:t>
            </w:r>
            <w:r w:rsidRPr="0021421E">
              <w:rPr>
                <w:b/>
              </w:rPr>
              <w:t>http://www.pc.gov.au/ier2017</w:t>
            </w:r>
            <w:r w:rsidRPr="00770229">
              <w:rPr>
                <w:b/>
              </w:rPr>
              <w:t>).</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keepLines w:val="0"/>
              <w:spacing w:before="80" w:after="80"/>
              <w:jc w:val="left"/>
              <w:rPr>
                <w:b/>
                <w:i/>
                <w:sz w:val="24"/>
              </w:rPr>
            </w:pPr>
            <w:r w:rsidRPr="00770229">
              <w:rPr>
                <w:b/>
                <w:sz w:val="24"/>
              </w:rPr>
              <w:t xml:space="preserve">Cost drivers </w:t>
            </w:r>
          </w:p>
        </w:tc>
      </w:tr>
      <w:tr w:rsidR="009A7F87" w:rsidRPr="00770229" w:rsidTr="00DE1DF1">
        <w:tc>
          <w:tcPr>
            <w:tcW w:w="5000" w:type="pct"/>
            <w:gridSpan w:val="8"/>
            <w:tcBorders>
              <w:top w:val="single" w:sz="6" w:space="0" w:color="808080" w:themeColor="background1" w:themeShade="80"/>
              <w:bottom w:val="single" w:sz="6" w:space="0" w:color="808080" w:themeColor="background1" w:themeShade="80"/>
            </w:tcBorders>
            <w:tcMar>
              <w:top w:w="57" w:type="dxa"/>
              <w:left w:w="113" w:type="dxa"/>
            </w:tcMar>
          </w:tcPr>
          <w:p w:rsidR="009A7F87" w:rsidRPr="00770229" w:rsidRDefault="009A7F87" w:rsidP="009A7F87">
            <w:pPr>
              <w:pStyle w:val="TableBodyText"/>
              <w:keepNext w:val="0"/>
              <w:spacing w:before="60" w:after="60"/>
              <w:jc w:val="left"/>
              <w:rPr>
                <w:szCs w:val="26"/>
              </w:rPr>
            </w:pPr>
            <w:r w:rsidRPr="00770229">
              <w:rPr>
                <w:szCs w:val="26"/>
              </w:rPr>
              <w:t xml:space="preserve">Expenditure in </w:t>
            </w:r>
            <w:r w:rsidRPr="00770229">
              <w:t>this</w:t>
            </w:r>
            <w:r w:rsidRPr="00770229">
              <w:rPr>
                <w:szCs w:val="26"/>
              </w:rPr>
              <w:t xml:space="preserve"> category cannot, by definition, be linked closely with a particular service area or cohort of service users. </w:t>
            </w:r>
          </w:p>
          <w:p w:rsidR="009A7F87" w:rsidRPr="00770229" w:rsidRDefault="009A7F87" w:rsidP="009A7F87">
            <w:pPr>
              <w:pStyle w:val="TableBodyText"/>
              <w:keepNext w:val="0"/>
              <w:keepLines w:val="0"/>
              <w:spacing w:before="80" w:after="80"/>
              <w:jc w:val="left"/>
              <w:rPr>
                <w:szCs w:val="26"/>
              </w:rPr>
            </w:pPr>
            <w:r w:rsidRPr="00770229">
              <w:rPr>
                <w:szCs w:val="26"/>
              </w:rPr>
              <w:t>It is assumed that the costs associated with this expenditure are driven by the population on a uniform basis.</w:t>
            </w:r>
          </w:p>
        </w:tc>
      </w:tr>
      <w:tr w:rsidR="009A7F87" w:rsidRPr="00770229" w:rsidTr="00DE1DF1">
        <w:tblPrEx>
          <w:tblBorders>
            <w:top w:val="none" w:sz="0" w:space="0" w:color="auto"/>
            <w:bottom w:val="none" w:sz="0" w:space="0" w:color="auto"/>
            <w:insideH w:val="none" w:sz="0" w:space="0" w:color="auto"/>
          </w:tblBorders>
        </w:tblPrEx>
        <w:tc>
          <w:tcPr>
            <w:tcW w:w="5000" w:type="pct"/>
            <w:gridSpan w:val="8"/>
            <w:tcBorders>
              <w:top w:val="single" w:sz="6" w:space="0" w:color="808080" w:themeColor="background1" w:themeShade="80"/>
              <w:bottom w:val="single" w:sz="6" w:space="0" w:color="808080" w:themeColor="background1" w:themeShade="80"/>
            </w:tcBorders>
            <w:tcMar>
              <w:top w:w="57" w:type="dxa"/>
              <w:left w:w="113" w:type="dxa"/>
              <w:bottom w:w="0" w:type="dxa"/>
              <w:right w:w="108" w:type="dxa"/>
            </w:tcMar>
          </w:tcPr>
          <w:p w:rsidR="009A7F87" w:rsidRPr="00770229" w:rsidRDefault="009A7F87" w:rsidP="009A7F87">
            <w:pPr>
              <w:pStyle w:val="TableBodyText"/>
              <w:keepNext w:val="0"/>
              <w:keepLines w:val="0"/>
              <w:spacing w:before="80" w:after="80"/>
              <w:jc w:val="left"/>
              <w:rPr>
                <w:b/>
                <w:i/>
                <w:sz w:val="24"/>
                <w:szCs w:val="24"/>
              </w:rPr>
            </w:pPr>
            <w:r w:rsidRPr="00770229">
              <w:rPr>
                <w:b/>
                <w:sz w:val="24"/>
                <w:szCs w:val="24"/>
              </w:rPr>
              <w:t>Service use measures</w:t>
            </w:r>
          </w:p>
        </w:tc>
      </w:tr>
      <w:tr w:rsidR="009A7F87" w:rsidRPr="000F16A8"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0F16A8" w:rsidRDefault="009A7F87" w:rsidP="009A7F87">
            <w:pPr>
              <w:pStyle w:val="TableColumnHeading"/>
              <w:keepNext w:val="0"/>
              <w:jc w:val="left"/>
            </w:pP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0F16A8" w:rsidRDefault="009A7F87" w:rsidP="009A7F87">
            <w:pPr>
              <w:pStyle w:val="TableColumnHeading"/>
              <w:keepNext w:val="0"/>
              <w:ind w:left="180"/>
              <w:jc w:val="left"/>
            </w:pPr>
          </w:p>
        </w:tc>
        <w:tc>
          <w:tcPr>
            <w:tcW w:w="2337" w:type="pct"/>
            <w:gridSpan w:val="6"/>
            <w:tcBorders>
              <w:top w:val="single" w:sz="6" w:space="0" w:color="808080" w:themeColor="background1" w:themeShade="80"/>
              <w:bottom w:val="single" w:sz="6" w:space="0" w:color="808080" w:themeColor="background1" w:themeShade="80"/>
            </w:tcBorders>
            <w:shd w:val="clear" w:color="auto" w:fill="auto"/>
          </w:tcPr>
          <w:p w:rsidR="009A7F87" w:rsidRPr="000F16A8" w:rsidRDefault="009A7F87" w:rsidP="009A7F87">
            <w:pPr>
              <w:pStyle w:val="TableColumnHeading"/>
              <w:keepNext w:val="0"/>
              <w:ind w:left="180"/>
              <w:jc w:val="center"/>
            </w:pPr>
            <w:r w:rsidRPr="000F16A8">
              <w:t>Data Years</w:t>
            </w:r>
          </w:p>
        </w:tc>
      </w:tr>
      <w:tr w:rsidR="009A7F87" w:rsidRPr="000F16A8" w:rsidTr="00DE1DF1">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bottom w:val="single" w:sz="6" w:space="0" w:color="808080" w:themeColor="background1" w:themeShade="80"/>
            </w:tcBorders>
            <w:shd w:val="clear" w:color="auto" w:fill="auto"/>
            <w:tcMar>
              <w:top w:w="57" w:type="dxa"/>
              <w:left w:w="113" w:type="dxa"/>
            </w:tcMar>
          </w:tcPr>
          <w:p w:rsidR="009A7F87" w:rsidRPr="000F16A8" w:rsidRDefault="009A7F87" w:rsidP="009A7F87">
            <w:pPr>
              <w:pStyle w:val="TableBodyText"/>
              <w:keepNext w:val="0"/>
              <w:spacing w:before="60" w:after="60"/>
              <w:ind w:left="0"/>
              <w:jc w:val="both"/>
              <w:rPr>
                <w:rStyle w:val="NoteLabel"/>
                <w:i/>
              </w:rPr>
            </w:pPr>
            <w:r w:rsidRPr="000F16A8">
              <w:rPr>
                <w:i/>
              </w:rPr>
              <w:br/>
              <w:t>Measure</w:t>
            </w:r>
            <w:r w:rsidRPr="005A6681">
              <w:rPr>
                <w:rStyle w:val="NoteLabel"/>
              </w:rPr>
              <w:t>a</w:t>
            </w:r>
          </w:p>
        </w:tc>
        <w:tc>
          <w:tcPr>
            <w:tcW w:w="1814" w:type="pct"/>
            <w:tcBorders>
              <w:top w:val="single" w:sz="6" w:space="0" w:color="808080" w:themeColor="background1" w:themeShade="80"/>
              <w:bottom w:val="single" w:sz="6" w:space="0" w:color="808080" w:themeColor="background1" w:themeShade="80"/>
            </w:tcBorders>
            <w:shd w:val="clear" w:color="auto" w:fill="auto"/>
          </w:tcPr>
          <w:p w:rsidR="009A7F87" w:rsidRPr="000F16A8" w:rsidRDefault="009A7F87" w:rsidP="009A7F87">
            <w:pPr>
              <w:pStyle w:val="TableBodyText"/>
              <w:keepNext w:val="0"/>
              <w:spacing w:before="60" w:after="60"/>
              <w:ind w:left="180"/>
              <w:jc w:val="left"/>
              <w:rPr>
                <w:i/>
              </w:rPr>
            </w:pPr>
            <w:r w:rsidRPr="000F16A8">
              <w:rPr>
                <w:i/>
              </w:rPr>
              <w:br/>
              <w:t>Data source</w:t>
            </w:r>
          </w:p>
        </w:tc>
        <w:tc>
          <w:tcPr>
            <w:tcW w:w="584" w:type="pct"/>
            <w:tcBorders>
              <w:top w:val="single" w:sz="6" w:space="0" w:color="808080" w:themeColor="background1" w:themeShade="80"/>
              <w:bottom w:val="single" w:sz="6" w:space="0" w:color="808080" w:themeColor="background1" w:themeShade="80"/>
            </w:tcBorders>
            <w:shd w:val="clear" w:color="auto" w:fill="auto"/>
          </w:tcPr>
          <w:p w:rsidR="009A7F87" w:rsidRPr="000F16A8" w:rsidRDefault="009A7F87" w:rsidP="009A7F87">
            <w:pPr>
              <w:pStyle w:val="TableBodyText"/>
              <w:keepNext w:val="0"/>
              <w:spacing w:before="60" w:after="60"/>
              <w:ind w:left="2"/>
              <w:jc w:val="center"/>
              <w:rPr>
                <w:i/>
              </w:rPr>
            </w:pPr>
            <w:r w:rsidRPr="000F16A8">
              <w:rPr>
                <w:i/>
              </w:rPr>
              <w:t>2008</w:t>
            </w:r>
            <w:r w:rsidRPr="000F16A8">
              <w:rPr>
                <w:i/>
              </w:rPr>
              <w:noBreakHyphen/>
              <w:t>09 Estimates</w:t>
            </w:r>
          </w:p>
        </w:tc>
        <w:tc>
          <w:tcPr>
            <w:tcW w:w="585" w:type="pct"/>
            <w:gridSpan w:val="2"/>
            <w:tcBorders>
              <w:top w:val="single" w:sz="6" w:space="0" w:color="808080" w:themeColor="background1" w:themeShade="80"/>
              <w:bottom w:val="single" w:sz="6" w:space="0" w:color="808080" w:themeColor="background1" w:themeShade="80"/>
            </w:tcBorders>
            <w:shd w:val="clear" w:color="auto" w:fill="auto"/>
          </w:tcPr>
          <w:p w:rsidR="009A7F87" w:rsidRPr="000F16A8" w:rsidRDefault="009A7F87" w:rsidP="009A7F87">
            <w:pPr>
              <w:pStyle w:val="TableBodyText"/>
              <w:keepNext w:val="0"/>
              <w:spacing w:before="60" w:after="60"/>
              <w:ind w:left="2"/>
              <w:jc w:val="center"/>
              <w:rPr>
                <w:i/>
              </w:rPr>
            </w:pPr>
            <w:r w:rsidRPr="000F16A8">
              <w:rPr>
                <w:i/>
              </w:rPr>
              <w:t>2010</w:t>
            </w:r>
            <w:r w:rsidRPr="000F16A8">
              <w:rPr>
                <w:i/>
              </w:rPr>
              <w:noBreakHyphen/>
              <w:t>11 Estimates</w:t>
            </w:r>
          </w:p>
        </w:tc>
        <w:tc>
          <w:tcPr>
            <w:tcW w:w="585" w:type="pct"/>
            <w:tcBorders>
              <w:top w:val="single" w:sz="6" w:space="0" w:color="808080" w:themeColor="background1" w:themeShade="80"/>
              <w:bottom w:val="single" w:sz="6" w:space="0" w:color="808080" w:themeColor="background1" w:themeShade="80"/>
            </w:tcBorders>
            <w:shd w:val="clear" w:color="auto" w:fill="auto"/>
          </w:tcPr>
          <w:p w:rsidR="009A7F87" w:rsidRPr="000F16A8" w:rsidRDefault="009A7F87" w:rsidP="009A7F87">
            <w:pPr>
              <w:pStyle w:val="TableBodyText"/>
              <w:keepNext w:val="0"/>
              <w:spacing w:before="60" w:after="60"/>
              <w:ind w:left="2"/>
              <w:jc w:val="center"/>
              <w:rPr>
                <w:i/>
              </w:rPr>
            </w:pPr>
            <w:r w:rsidRPr="000F16A8">
              <w:rPr>
                <w:i/>
              </w:rPr>
              <w:t>2012</w:t>
            </w:r>
            <w:r w:rsidRPr="000F16A8">
              <w:rPr>
                <w:i/>
              </w:rPr>
              <w:noBreakHyphen/>
              <w:t>13 Estimates</w:t>
            </w:r>
          </w:p>
        </w:tc>
        <w:tc>
          <w:tcPr>
            <w:tcW w:w="583" w:type="pct"/>
            <w:gridSpan w:val="2"/>
            <w:tcBorders>
              <w:top w:val="single" w:sz="6" w:space="0" w:color="808080" w:themeColor="background1" w:themeShade="80"/>
              <w:bottom w:val="single" w:sz="6" w:space="0" w:color="808080" w:themeColor="background1" w:themeShade="80"/>
            </w:tcBorders>
          </w:tcPr>
          <w:p w:rsidR="009A7F87" w:rsidRPr="000F16A8" w:rsidRDefault="009A7F87" w:rsidP="009A7F87">
            <w:pPr>
              <w:pStyle w:val="TableBodyText"/>
              <w:keepNext w:val="0"/>
              <w:spacing w:before="60" w:after="60"/>
              <w:ind w:left="2"/>
              <w:jc w:val="center"/>
              <w:rPr>
                <w:i/>
              </w:rPr>
            </w:pPr>
            <w:r w:rsidRPr="000F16A8">
              <w:rPr>
                <w:i/>
              </w:rPr>
              <w:t>2015</w:t>
            </w:r>
            <w:r w:rsidRPr="000F16A8">
              <w:rPr>
                <w:i/>
              </w:rPr>
              <w:noBreakHyphen/>
              <w:t>16 Estimates</w:t>
            </w:r>
          </w:p>
        </w:tc>
      </w:tr>
      <w:tr w:rsidR="009A7F87" w:rsidRPr="00770229" w:rsidTr="0044346B">
        <w:tblPrEx>
          <w:tblBorders>
            <w:top w:val="none" w:sz="0" w:space="0" w:color="auto"/>
            <w:bottom w:val="none" w:sz="0" w:space="0" w:color="auto"/>
            <w:insideH w:val="none" w:sz="0" w:space="0" w:color="auto"/>
          </w:tblBorders>
        </w:tblPrEx>
        <w:tc>
          <w:tcPr>
            <w:tcW w:w="849" w:type="pct"/>
            <w:tcBorders>
              <w:top w:val="single" w:sz="6"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Aboriginal and Torres Strait Islander resident population</w:t>
            </w:r>
          </w:p>
        </w:tc>
        <w:tc>
          <w:tcPr>
            <w:tcW w:w="1814" w:type="pct"/>
            <w:tcBorders>
              <w:top w:val="single" w:sz="6"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Estimates and Projections, Aboriginal and Torres Strait Islander Australians, 2001</w:t>
            </w:r>
            <w:r>
              <w:rPr>
                <w:i/>
              </w:rPr>
              <w:t>–</w:t>
            </w:r>
            <w:r w:rsidRPr="00770229">
              <w:rPr>
                <w:i/>
              </w:rPr>
              <w:t>2026</w:t>
            </w:r>
            <w:r w:rsidRPr="00770229">
              <w:t xml:space="preserve"> </w:t>
            </w:r>
            <w:r>
              <w:br/>
            </w:r>
            <w:r w:rsidRPr="00770229">
              <w:t>(Cat. no. 3238.0)</w:t>
            </w:r>
          </w:p>
        </w:tc>
        <w:tc>
          <w:tcPr>
            <w:tcW w:w="584" w:type="pct"/>
            <w:tcBorders>
              <w:top w:val="single" w:sz="6"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r>
              <w:br/>
            </w:r>
          </w:p>
          <w:p w:rsidR="009A7F87" w:rsidRDefault="009A7F87" w:rsidP="009A7F87">
            <w:pPr>
              <w:pStyle w:val="TableBodyText"/>
              <w:keepNext w:val="0"/>
              <w:spacing w:before="60" w:after="60"/>
              <w:ind w:left="2"/>
              <w:jc w:val="center"/>
            </w:pPr>
            <w:r>
              <w:br/>
            </w:r>
          </w:p>
          <w:p w:rsidR="009A7F87" w:rsidRPr="00770229" w:rsidRDefault="009A7F87" w:rsidP="009A7F87">
            <w:pPr>
              <w:pStyle w:val="TableBodyText"/>
              <w:keepNext w:val="0"/>
              <w:spacing w:before="60" w:after="60"/>
              <w:ind w:left="2"/>
              <w:jc w:val="center"/>
            </w:pPr>
          </w:p>
        </w:tc>
        <w:tc>
          <w:tcPr>
            <w:tcW w:w="585" w:type="pct"/>
            <w:gridSpan w:val="2"/>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r>
              <w:br/>
            </w:r>
          </w:p>
          <w:p w:rsidR="009A7F87" w:rsidRPr="00770229" w:rsidRDefault="009A7F87" w:rsidP="009A7F87">
            <w:pPr>
              <w:pStyle w:val="TableBodyText"/>
              <w:spacing w:before="60" w:after="60"/>
              <w:ind w:left="2"/>
              <w:jc w:val="center"/>
            </w:pPr>
            <w:r>
              <w:br/>
            </w:r>
          </w:p>
        </w:tc>
        <w:tc>
          <w:tcPr>
            <w:tcW w:w="585" w:type="pct"/>
            <w:tcBorders>
              <w:top w:val="single" w:sz="6"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r>
              <w:br/>
            </w:r>
          </w:p>
          <w:p w:rsidR="009A7F87" w:rsidRDefault="009A7F87" w:rsidP="009A7F87">
            <w:pPr>
              <w:pStyle w:val="TableBodyText"/>
              <w:spacing w:before="60" w:after="60"/>
              <w:ind w:left="2"/>
              <w:jc w:val="center"/>
            </w:pPr>
            <w:r>
              <w:br/>
            </w:r>
          </w:p>
          <w:p w:rsidR="009A7F87" w:rsidRPr="00770229" w:rsidRDefault="009A7F87" w:rsidP="009A7F87">
            <w:pPr>
              <w:pStyle w:val="TableBodyText"/>
              <w:spacing w:before="60" w:after="60"/>
              <w:ind w:left="2"/>
              <w:jc w:val="center"/>
            </w:pPr>
          </w:p>
        </w:tc>
        <w:tc>
          <w:tcPr>
            <w:tcW w:w="583" w:type="pct"/>
            <w:gridSpan w:val="2"/>
            <w:tcBorders>
              <w:top w:val="single" w:sz="6"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p w:rsidR="009A7F87" w:rsidRPr="00770229" w:rsidRDefault="009A7F87" w:rsidP="009A7F87">
            <w:pPr>
              <w:pStyle w:val="TableBodyText"/>
              <w:spacing w:before="60" w:after="60"/>
              <w:ind w:left="2"/>
              <w:jc w:val="center"/>
            </w:pPr>
            <w:r>
              <w:br/>
            </w:r>
            <w:r>
              <w:br/>
            </w:r>
          </w:p>
        </w:tc>
      </w:tr>
      <w:tr w:rsidR="009A7F87" w:rsidRPr="00770229" w:rsidTr="0044346B">
        <w:tblPrEx>
          <w:tblBorders>
            <w:top w:val="none" w:sz="0" w:space="0" w:color="auto"/>
            <w:bottom w:val="none" w:sz="0" w:space="0" w:color="auto"/>
            <w:insideH w:val="none" w:sz="0" w:space="0" w:color="auto"/>
          </w:tblBorders>
        </w:tblPrEx>
        <w:tc>
          <w:tcPr>
            <w:tcW w:w="849" w:type="pct"/>
            <w:tcBorders>
              <w:bottom w:val="single" w:sz="4" w:space="0" w:color="808080" w:themeColor="background1" w:themeShade="80"/>
            </w:tcBorders>
            <w:shd w:val="clear" w:color="auto" w:fill="auto"/>
            <w:tcMar>
              <w:top w:w="57" w:type="dxa"/>
              <w:left w:w="113" w:type="dxa"/>
            </w:tcMar>
          </w:tcPr>
          <w:p w:rsidR="009A7F87" w:rsidRPr="00770229" w:rsidRDefault="009A7F87" w:rsidP="009A7F87">
            <w:pPr>
              <w:pStyle w:val="TableBodyText"/>
              <w:keepNext w:val="0"/>
              <w:spacing w:before="60" w:after="60"/>
              <w:ind w:left="0"/>
              <w:jc w:val="left"/>
            </w:pPr>
            <w:r w:rsidRPr="00770229">
              <w:t>Resident population</w:t>
            </w:r>
          </w:p>
        </w:tc>
        <w:tc>
          <w:tcPr>
            <w:tcW w:w="1814" w:type="pct"/>
            <w:tcBorders>
              <w:bottom w:val="single" w:sz="4" w:space="0" w:color="808080" w:themeColor="background1" w:themeShade="80"/>
            </w:tcBorders>
            <w:shd w:val="clear" w:color="auto" w:fill="auto"/>
          </w:tcPr>
          <w:p w:rsidR="009A7F87" w:rsidRPr="00770229" w:rsidRDefault="009A7F87" w:rsidP="009A7F87">
            <w:pPr>
              <w:pStyle w:val="TableBodyText"/>
              <w:keepNext w:val="0"/>
              <w:spacing w:before="60" w:after="60"/>
              <w:ind w:left="180"/>
              <w:jc w:val="left"/>
            </w:pPr>
            <w:r w:rsidRPr="00770229">
              <w:t xml:space="preserve">ABS </w:t>
            </w:r>
            <w:r w:rsidRPr="00770229">
              <w:rPr>
                <w:i/>
              </w:rPr>
              <w:t xml:space="preserve">Australian Demographic Statistics </w:t>
            </w:r>
            <w:r w:rsidRPr="00CE71E7">
              <w:t>(Cat. no. 3101.0)</w:t>
            </w:r>
          </w:p>
        </w:tc>
        <w:tc>
          <w:tcPr>
            <w:tcW w:w="584" w:type="pct"/>
            <w:tcBorders>
              <w:bottom w:val="single" w:sz="4" w:space="0" w:color="808080" w:themeColor="background1" w:themeShade="80"/>
            </w:tcBorders>
            <w:shd w:val="clear" w:color="auto" w:fill="auto"/>
            <w:vAlign w:val="center"/>
          </w:tcPr>
          <w:p w:rsidR="009A7F87" w:rsidRDefault="009A7F87" w:rsidP="009A7F87">
            <w:pPr>
              <w:pStyle w:val="TableBodyText"/>
              <w:keepNext w:val="0"/>
              <w:spacing w:before="60" w:after="60"/>
              <w:ind w:left="2"/>
              <w:jc w:val="center"/>
            </w:pPr>
            <w:r>
              <w:t>June 2009</w:t>
            </w:r>
          </w:p>
          <w:p w:rsidR="009A7F87" w:rsidRDefault="009A7F87" w:rsidP="009A7F87">
            <w:pPr>
              <w:pStyle w:val="TableBodyText"/>
              <w:keepNext w:val="0"/>
              <w:spacing w:before="60" w:after="60"/>
              <w:ind w:left="2"/>
              <w:jc w:val="center"/>
            </w:pPr>
          </w:p>
        </w:tc>
        <w:tc>
          <w:tcPr>
            <w:tcW w:w="585" w:type="pct"/>
            <w:gridSpan w:val="2"/>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2011</w:t>
            </w:r>
          </w:p>
          <w:p w:rsidR="009A7F87" w:rsidRDefault="009A7F87" w:rsidP="009A7F87">
            <w:pPr>
              <w:pStyle w:val="TableBodyText"/>
              <w:spacing w:before="60" w:after="60"/>
              <w:ind w:left="2"/>
              <w:jc w:val="center"/>
            </w:pPr>
          </w:p>
        </w:tc>
        <w:tc>
          <w:tcPr>
            <w:tcW w:w="585" w:type="pct"/>
            <w:tcBorders>
              <w:bottom w:val="single" w:sz="4" w:space="0" w:color="808080" w:themeColor="background1" w:themeShade="80"/>
            </w:tcBorders>
            <w:shd w:val="clear" w:color="auto" w:fill="auto"/>
            <w:vAlign w:val="center"/>
          </w:tcPr>
          <w:p w:rsidR="009A7F87" w:rsidRDefault="009A7F87" w:rsidP="009A7F87">
            <w:pPr>
              <w:pStyle w:val="TableBodyText"/>
              <w:spacing w:before="60" w:after="60"/>
              <w:ind w:left="2"/>
              <w:jc w:val="center"/>
            </w:pPr>
            <w:r>
              <w:t>June 2013</w:t>
            </w:r>
          </w:p>
          <w:p w:rsidR="009A7F87" w:rsidRDefault="009A7F87" w:rsidP="009A7F87">
            <w:pPr>
              <w:pStyle w:val="TableBodyText"/>
              <w:spacing w:before="60" w:after="60"/>
              <w:ind w:left="2"/>
              <w:jc w:val="center"/>
            </w:pPr>
          </w:p>
        </w:tc>
        <w:tc>
          <w:tcPr>
            <w:tcW w:w="583" w:type="pct"/>
            <w:gridSpan w:val="2"/>
            <w:tcBorders>
              <w:bottom w:val="single" w:sz="4" w:space="0" w:color="808080" w:themeColor="background1" w:themeShade="80"/>
            </w:tcBorders>
            <w:vAlign w:val="center"/>
          </w:tcPr>
          <w:p w:rsidR="009A7F87" w:rsidRDefault="009A7F87" w:rsidP="009A7F87">
            <w:pPr>
              <w:pStyle w:val="TableBodyText"/>
              <w:spacing w:before="60" w:after="60"/>
              <w:ind w:left="2"/>
              <w:jc w:val="center"/>
            </w:pPr>
            <w:r>
              <w:t>June 2016</w:t>
            </w:r>
          </w:p>
          <w:p w:rsidR="009A7F87" w:rsidRDefault="009A7F87" w:rsidP="009A7F87">
            <w:pPr>
              <w:pStyle w:val="TableBodyText"/>
              <w:spacing w:before="60" w:after="60"/>
              <w:ind w:left="2"/>
              <w:jc w:val="center"/>
            </w:pPr>
          </w:p>
        </w:tc>
      </w:tr>
      <w:tr w:rsidR="009A7F87" w:rsidTr="009A7F87">
        <w:tblPrEx>
          <w:tblBorders>
            <w:left w:val="single" w:sz="6" w:space="0" w:color="auto"/>
            <w:right w:val="single" w:sz="6" w:space="0" w:color="auto"/>
            <w:insideH w:val="none" w:sz="0" w:space="0" w:color="auto"/>
          </w:tblBorders>
          <w:tblCellMar>
            <w:left w:w="142" w:type="dxa"/>
            <w:right w:w="142" w:type="dxa"/>
          </w:tblCellMar>
        </w:tblPrEx>
        <w:trPr>
          <w:gridAfter w:val="1"/>
          <w:wAfter w:w="4" w:type="pct"/>
        </w:trPr>
        <w:tc>
          <w:tcPr>
            <w:tcW w:w="4996" w:type="pct"/>
            <w:gridSpan w:val="7"/>
            <w:tcBorders>
              <w:top w:val="nil"/>
              <w:left w:val="nil"/>
              <w:bottom w:val="nil"/>
              <w:right w:val="nil"/>
            </w:tcBorders>
            <w:shd w:val="clear" w:color="auto" w:fill="auto"/>
          </w:tcPr>
          <w:p w:rsidR="009A7F87" w:rsidRPr="005E5130" w:rsidRDefault="009A7F87" w:rsidP="009A7F87">
            <w:pPr>
              <w:pStyle w:val="TableBodyText"/>
              <w:keepNext w:val="0"/>
              <w:keepLines w:val="0"/>
              <w:spacing w:before="80" w:after="80"/>
              <w:jc w:val="both"/>
            </w:pPr>
            <w:r w:rsidRPr="00770229">
              <w:rPr>
                <w:rStyle w:val="NoteLabel"/>
              </w:rPr>
              <w:t>a</w:t>
            </w:r>
            <w:r w:rsidR="005A6681">
              <w:rPr>
                <w:rStyle w:val="NoteLabel"/>
              </w:rPr>
              <w:t> </w:t>
            </w:r>
            <w:r w:rsidRPr="00770229">
              <w:t>Non</w:t>
            </w:r>
            <w:r>
              <w:noBreakHyphen/>
            </w:r>
            <w:r w:rsidRPr="00770229">
              <w:t>Indigenous estimates are available for census years only. In the intervening years, Aboriginal and Torres Strait Islander population figures are derived from assumptions about past and future levels of fertility, mortality and migration.  In the absence of non</w:t>
            </w:r>
            <w:r>
              <w:noBreakHyphen/>
            </w:r>
            <w:r w:rsidRPr="00770229">
              <w:t>Indigenous population figures for these years, it is possible to derive denominators for calculating non</w:t>
            </w:r>
            <w:r>
              <w:noBreakHyphen/>
            </w:r>
            <w:r w:rsidRPr="00770229">
              <w:t>Indigenous rates by subtracting the Aboriginal and Torres Strait Islander population from the total population. Such figures have a degree of uncertainty and should be used with caution, particularly as the time from the base year of the projection series increases.</w:t>
            </w:r>
          </w:p>
        </w:tc>
      </w:tr>
      <w:tr w:rsidR="009A7F87" w:rsidRPr="0071369A" w:rsidTr="009A7F87">
        <w:tblPrEx>
          <w:tblBorders>
            <w:top w:val="none" w:sz="0" w:space="0" w:color="auto"/>
            <w:bottom w:val="none" w:sz="0" w:space="0" w:color="auto"/>
            <w:insideH w:val="none" w:sz="0" w:space="0" w:color="auto"/>
          </w:tblBorders>
        </w:tblPrEx>
        <w:tc>
          <w:tcPr>
            <w:tcW w:w="5000" w:type="pct"/>
            <w:gridSpan w:val="8"/>
            <w:tcBorders>
              <w:bottom w:val="single" w:sz="12" w:space="0" w:color="78A22F" w:themeColor="accent1"/>
            </w:tcBorders>
            <w:shd w:val="clear" w:color="auto" w:fill="auto"/>
            <w:tcMar>
              <w:top w:w="57" w:type="dxa"/>
              <w:left w:w="113" w:type="dxa"/>
            </w:tcMar>
          </w:tcPr>
          <w:p w:rsidR="009A7F87" w:rsidRDefault="009A7F87" w:rsidP="009A7F87">
            <w:pPr>
              <w:pStyle w:val="Box"/>
              <w:spacing w:before="0" w:line="120" w:lineRule="exact"/>
            </w:pPr>
          </w:p>
        </w:tc>
      </w:tr>
    </w:tbl>
    <w:p w:rsidR="009A7F87" w:rsidRDefault="009A7F87" w:rsidP="00120072">
      <w:pPr>
        <w:pStyle w:val="BodyText"/>
      </w:pPr>
    </w:p>
    <w:p w:rsidR="009A7F87" w:rsidRDefault="009A7F87" w:rsidP="00120072">
      <w:pPr>
        <w:pStyle w:val="BodyText"/>
      </w:pPr>
    </w:p>
    <w:p w:rsidR="009A7F87" w:rsidRDefault="009A7F87" w:rsidP="009A7F87">
      <w:pPr>
        <w:sectPr w:rsidR="009A7F87" w:rsidSect="009A7F87">
          <w:headerReference w:type="even" r:id="rId179"/>
          <w:headerReference w:type="default" r:id="rId180"/>
          <w:footerReference w:type="even" r:id="rId181"/>
          <w:footerReference w:type="default" r:id="rId182"/>
          <w:footnotePr>
            <w:numRestart w:val="eachSect"/>
          </w:footnotePr>
          <w:type w:val="oddPage"/>
          <w:pgSz w:w="11907" w:h="16840" w:code="9"/>
          <w:pgMar w:top="1985" w:right="1304" w:bottom="1247" w:left="1814" w:header="1701" w:footer="397" w:gutter="0"/>
          <w:pgNumType w:chapSep="period"/>
          <w:cols w:space="720"/>
          <w:docGrid w:linePitch="326"/>
        </w:sectPr>
      </w:pPr>
    </w:p>
    <w:p w:rsidR="009A7F87" w:rsidRDefault="009A7F87" w:rsidP="009A7F87">
      <w:pPr>
        <w:pStyle w:val="Chapter"/>
        <w:ind w:left="907" w:hanging="907"/>
      </w:pPr>
      <w:r>
        <w:t>B</w:t>
      </w:r>
      <w:r>
        <w:tab/>
        <w:t>Indigenous under-identification adjustment methods</w:t>
      </w:r>
    </w:p>
    <w:p w:rsidR="009A7F87" w:rsidRPr="00F91B73" w:rsidRDefault="009A7F87" w:rsidP="009A7F87">
      <w:pPr>
        <w:pStyle w:val="BodyText"/>
        <w:rPr>
          <w:szCs w:val="24"/>
        </w:rPr>
      </w:pPr>
      <w:r w:rsidRPr="00F91B73">
        <w:rPr>
          <w:szCs w:val="24"/>
        </w:rPr>
        <w:t xml:space="preserve">This appendix provides a reference for the treatment of </w:t>
      </w:r>
      <w:r>
        <w:rPr>
          <w:szCs w:val="24"/>
        </w:rPr>
        <w:t>Indigenous under</w:t>
      </w:r>
      <w:r>
        <w:rPr>
          <w:szCs w:val="24"/>
        </w:rPr>
        <w:noBreakHyphen/>
      </w:r>
      <w:r w:rsidRPr="00F91B73">
        <w:rPr>
          <w:szCs w:val="24"/>
        </w:rPr>
        <w:t xml:space="preserve">identification for each data source. Alternative methods have been used to approximate </w:t>
      </w:r>
      <w:r>
        <w:rPr>
          <w:szCs w:val="24"/>
        </w:rPr>
        <w:t>Indigenous under</w:t>
      </w:r>
      <w:r>
        <w:rPr>
          <w:szCs w:val="24"/>
        </w:rPr>
        <w:noBreakHyphen/>
      </w:r>
      <w:r w:rsidRPr="00F91B73">
        <w:rPr>
          <w:szCs w:val="24"/>
        </w:rPr>
        <w:t>identification between jurisdictions, according to the level of information regarding identification available for each data source. These methods are described in detail in chapter</w:t>
      </w:r>
      <w:r>
        <w:rPr>
          <w:szCs w:val="24"/>
        </w:rPr>
        <w:t> </w:t>
      </w:r>
      <w:r w:rsidRPr="00F91B73">
        <w:rPr>
          <w:szCs w:val="24"/>
        </w:rPr>
        <w:t>4 of this manual.</w:t>
      </w:r>
    </w:p>
    <w:p w:rsidR="009A7F87" w:rsidRPr="00F91B73" w:rsidRDefault="009A7F87" w:rsidP="009A7F87">
      <w:pPr>
        <w:pStyle w:val="BodyText"/>
        <w:rPr>
          <w:szCs w:val="24"/>
        </w:rPr>
      </w:pPr>
      <w:r w:rsidRPr="00F91B73">
        <w:rPr>
          <w:szCs w:val="24"/>
        </w:rPr>
        <w:t>The methods used to adjust for under</w:t>
      </w:r>
      <w:r>
        <w:rPr>
          <w:szCs w:val="24"/>
        </w:rPr>
        <w:noBreakHyphen/>
      </w:r>
      <w:r w:rsidRPr="00F91B73">
        <w:rPr>
          <w:szCs w:val="24"/>
        </w:rPr>
        <w:t>identification for each data source are:</w:t>
      </w:r>
    </w:p>
    <w:p w:rsidR="009A7F87" w:rsidRPr="00F91B73" w:rsidRDefault="009A7F87" w:rsidP="009A7F87">
      <w:pPr>
        <w:pStyle w:val="ListNumber"/>
        <w:numPr>
          <w:ilvl w:val="0"/>
          <w:numId w:val="28"/>
        </w:numPr>
        <w:spacing w:line="320" w:lineRule="exact"/>
        <w:rPr>
          <w:szCs w:val="24"/>
        </w:rPr>
      </w:pPr>
      <w:r>
        <w:rPr>
          <w:i/>
        </w:rPr>
        <w:t>requires no further adjustment</w:t>
      </w:r>
      <w:r>
        <w:t xml:space="preserve"> — </w:t>
      </w:r>
      <w:r w:rsidRPr="00F91B73">
        <w:rPr>
          <w:szCs w:val="24"/>
        </w:rPr>
        <w:t>the</w:t>
      </w:r>
      <w:r w:rsidRPr="00F91B73">
        <w:rPr>
          <w:i/>
          <w:szCs w:val="24"/>
        </w:rPr>
        <w:t xml:space="preserve"> </w:t>
      </w:r>
      <w:r w:rsidRPr="00F91B73">
        <w:rPr>
          <w:szCs w:val="24"/>
        </w:rPr>
        <w:t xml:space="preserve">service use data have already been adjusted for </w:t>
      </w:r>
      <w:r>
        <w:rPr>
          <w:szCs w:val="24"/>
        </w:rPr>
        <w:t>Indigenous under</w:t>
      </w:r>
      <w:r>
        <w:rPr>
          <w:szCs w:val="24"/>
        </w:rPr>
        <w:noBreakHyphen/>
      </w:r>
      <w:r w:rsidRPr="00F91B73">
        <w:rPr>
          <w:szCs w:val="24"/>
        </w:rPr>
        <w:t>identification</w:t>
      </w:r>
    </w:p>
    <w:p w:rsidR="009A7F87" w:rsidRPr="00F91B73" w:rsidRDefault="009A7F87" w:rsidP="009A7F87">
      <w:pPr>
        <w:pStyle w:val="ListNumber"/>
        <w:numPr>
          <w:ilvl w:val="0"/>
          <w:numId w:val="28"/>
        </w:numPr>
        <w:spacing w:line="320" w:lineRule="exact"/>
        <w:rPr>
          <w:szCs w:val="24"/>
        </w:rPr>
      </w:pPr>
      <w:r w:rsidRPr="00F91B73">
        <w:rPr>
          <w:i/>
          <w:szCs w:val="24"/>
        </w:rPr>
        <w:t>estimated based on analysis</w:t>
      </w:r>
      <w:r w:rsidRPr="00F91B73">
        <w:rPr>
          <w:szCs w:val="24"/>
        </w:rPr>
        <w:t xml:space="preserve"> — </w:t>
      </w:r>
      <w:r>
        <w:rPr>
          <w:szCs w:val="24"/>
        </w:rPr>
        <w:t>Indigenous under</w:t>
      </w:r>
      <w:r>
        <w:rPr>
          <w:szCs w:val="24"/>
        </w:rPr>
        <w:noBreakHyphen/>
      </w:r>
      <w:r w:rsidRPr="00F91B73">
        <w:rPr>
          <w:szCs w:val="24"/>
        </w:rPr>
        <w:t xml:space="preserve">identification has been estimated, and is based on the available analysis </w:t>
      </w:r>
    </w:p>
    <w:p w:rsidR="009A7F87" w:rsidRPr="00F91B73" w:rsidRDefault="009A7F87" w:rsidP="009A7F87">
      <w:pPr>
        <w:pStyle w:val="ListNumber"/>
        <w:numPr>
          <w:ilvl w:val="0"/>
          <w:numId w:val="28"/>
        </w:numPr>
        <w:spacing w:line="320" w:lineRule="exact"/>
        <w:rPr>
          <w:szCs w:val="24"/>
        </w:rPr>
      </w:pPr>
      <w:r w:rsidRPr="00F91B73">
        <w:rPr>
          <w:i/>
          <w:szCs w:val="24"/>
        </w:rPr>
        <w:t>100 per cent Indigenous</w:t>
      </w:r>
      <w:r w:rsidRPr="00F91B73">
        <w:rPr>
          <w:szCs w:val="24"/>
        </w:rPr>
        <w:t xml:space="preserve"> — it is assumed that 100 per cent of the non</w:t>
      </w:r>
      <w:r w:rsidRPr="00F91B73">
        <w:rPr>
          <w:szCs w:val="24"/>
        </w:rPr>
        <w:noBreakHyphen/>
        <w:t>responses are Aboriginal and Torres Strait Islanders</w:t>
      </w:r>
    </w:p>
    <w:p w:rsidR="009A7F87" w:rsidRPr="00F91B73" w:rsidRDefault="009A7F87" w:rsidP="009A7F87">
      <w:pPr>
        <w:pStyle w:val="ListNumber"/>
        <w:numPr>
          <w:ilvl w:val="0"/>
          <w:numId w:val="28"/>
        </w:numPr>
        <w:spacing w:line="320" w:lineRule="exact"/>
        <w:rPr>
          <w:szCs w:val="24"/>
        </w:rPr>
      </w:pPr>
      <w:r w:rsidRPr="00F91B73">
        <w:rPr>
          <w:i/>
          <w:szCs w:val="24"/>
        </w:rPr>
        <w:t>same as the known response distribution</w:t>
      </w:r>
      <w:r w:rsidRPr="00F91B73">
        <w:rPr>
          <w:szCs w:val="24"/>
        </w:rPr>
        <w:t xml:space="preserve"> — the unknown responses are distributed in the same proportions as the known responses</w:t>
      </w:r>
    </w:p>
    <w:p w:rsidR="009A7F87" w:rsidRPr="00F91B73" w:rsidRDefault="009A7F87" w:rsidP="009A7F87">
      <w:pPr>
        <w:pStyle w:val="ListNumber"/>
        <w:numPr>
          <w:ilvl w:val="0"/>
          <w:numId w:val="28"/>
        </w:numPr>
        <w:spacing w:line="320" w:lineRule="exact"/>
        <w:rPr>
          <w:szCs w:val="24"/>
        </w:rPr>
      </w:pPr>
      <w:r w:rsidRPr="00F91B73">
        <w:rPr>
          <w:i/>
          <w:szCs w:val="24"/>
        </w:rPr>
        <w:t>same as resident population</w:t>
      </w:r>
      <w:r w:rsidRPr="00F91B73">
        <w:rPr>
          <w:szCs w:val="24"/>
        </w:rPr>
        <w:t xml:space="preserve"> </w:t>
      </w:r>
      <w:r w:rsidRPr="00F91B73">
        <w:rPr>
          <w:i/>
          <w:szCs w:val="24"/>
        </w:rPr>
        <w:t xml:space="preserve">distribution — </w:t>
      </w:r>
      <w:r w:rsidRPr="00F91B73">
        <w:rPr>
          <w:szCs w:val="24"/>
        </w:rPr>
        <w:t>the unknown responses are distributed in the same proportions as the resident population</w:t>
      </w:r>
    </w:p>
    <w:p w:rsidR="009A7F87" w:rsidRPr="00F91B73" w:rsidRDefault="009A7F87" w:rsidP="009A7F87">
      <w:pPr>
        <w:pStyle w:val="ListNumber"/>
        <w:numPr>
          <w:ilvl w:val="0"/>
          <w:numId w:val="28"/>
        </w:numPr>
        <w:spacing w:line="320" w:lineRule="exact"/>
        <w:rPr>
          <w:szCs w:val="24"/>
        </w:rPr>
      </w:pPr>
      <w:r w:rsidRPr="00F91B73">
        <w:rPr>
          <w:i/>
          <w:szCs w:val="24"/>
        </w:rPr>
        <w:t>no adjustment</w:t>
      </w:r>
      <w:r w:rsidRPr="00F91B73">
        <w:rPr>
          <w:szCs w:val="24"/>
        </w:rPr>
        <w:t xml:space="preserve"> — where the level of Aboriginal and Torres Strait Islander non</w:t>
      </w:r>
      <w:r w:rsidRPr="00F91B73">
        <w:rPr>
          <w:szCs w:val="24"/>
        </w:rPr>
        <w:noBreakHyphen/>
        <w:t>response is unknown (or not published) or the level of under</w:t>
      </w:r>
      <w:r w:rsidRPr="00F91B73">
        <w:rPr>
          <w:szCs w:val="24"/>
        </w:rPr>
        <w:noBreakHyphen/>
        <w:t>identification has not been estimated, no adjustment to the Indigenous service use has been made. Conceptually, this is equivalent to assuming that 100 per cent of the non</w:t>
      </w:r>
      <w:r w:rsidRPr="00F91B73">
        <w:rPr>
          <w:szCs w:val="24"/>
        </w:rPr>
        <w:noBreakHyphen/>
        <w:t>response is non</w:t>
      </w:r>
      <w:r w:rsidRPr="00F91B73">
        <w:rPr>
          <w:szCs w:val="24"/>
        </w:rPr>
        <w:noBreakHyphen/>
        <w:t xml:space="preserve">Indigenous. </w:t>
      </w:r>
    </w:p>
    <w:p w:rsidR="009A7F87" w:rsidRPr="00F91B73" w:rsidRDefault="009A7F87" w:rsidP="009A7F87">
      <w:pPr>
        <w:pStyle w:val="BodyText"/>
      </w:pPr>
      <w:r w:rsidRPr="00F91B73">
        <w:t>The method used to adjust for under</w:t>
      </w:r>
      <w:r>
        <w:noBreakHyphen/>
      </w:r>
      <w:r w:rsidRPr="00F91B73">
        <w:t>identification for each service use measure data source used in the 201</w:t>
      </w:r>
      <w:r>
        <w:t>7</w:t>
      </w:r>
      <w:r w:rsidRPr="00F91B73">
        <w:t xml:space="preserve"> Report is summarised in table B.1.</w:t>
      </w:r>
    </w:p>
    <w:p w:rsidR="009A7F87" w:rsidRDefault="009A7F87" w:rsidP="009A7F8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9073"/>
      </w:tblGrid>
      <w:tr w:rsidR="009A7F87" w:rsidTr="009A7F87">
        <w:tc>
          <w:tcPr>
            <w:tcW w:w="5000" w:type="pct"/>
            <w:tcBorders>
              <w:top w:val="single" w:sz="6" w:space="0" w:color="78A22F"/>
              <w:left w:val="nil"/>
              <w:bottom w:val="nil"/>
              <w:right w:val="nil"/>
            </w:tcBorders>
            <w:shd w:val="clear" w:color="auto" w:fill="auto"/>
          </w:tcPr>
          <w:p w:rsidR="009A7F87" w:rsidRDefault="009A7F87" w:rsidP="009A7F87">
            <w:pPr>
              <w:pStyle w:val="TableTitle"/>
            </w:pPr>
            <w:r>
              <w:rPr>
                <w:b w:val="0"/>
              </w:rPr>
              <w:t>Table B.</w:t>
            </w:r>
            <w:r>
              <w:rPr>
                <w:b w:val="0"/>
                <w:noProof/>
              </w:rPr>
              <w:t>1</w:t>
            </w:r>
            <w:r>
              <w:tab/>
              <w:t>Under-identification adjustment method</w:t>
            </w:r>
          </w:p>
          <w:p w:rsidR="009A7F87" w:rsidRPr="00784A05" w:rsidRDefault="009A7F87" w:rsidP="009A7F87">
            <w:pPr>
              <w:pStyle w:val="Subtitle"/>
            </w:pPr>
            <w:r>
              <w:t>2015-16 estimates</w:t>
            </w:r>
          </w:p>
        </w:tc>
      </w:tr>
      <w:tr w:rsidR="009A7F87" w:rsidTr="009A7F87">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7177"/>
              <w:gridCol w:w="1612"/>
            </w:tblGrid>
            <w:tr w:rsidR="009A7F87" w:rsidTr="009A7F87">
              <w:trPr>
                <w:tblHeader/>
              </w:trPr>
              <w:tc>
                <w:tcPr>
                  <w:tcW w:w="4083" w:type="pct"/>
                  <w:tcBorders>
                    <w:top w:val="single" w:sz="6" w:space="0" w:color="BFBFBF"/>
                    <w:bottom w:val="single" w:sz="6" w:space="0" w:color="BFBFBF"/>
                  </w:tcBorders>
                  <w:shd w:val="clear" w:color="auto" w:fill="auto"/>
                  <w:tcMar>
                    <w:top w:w="28" w:type="dxa"/>
                  </w:tcMar>
                </w:tcPr>
                <w:p w:rsidR="009A7F87" w:rsidRDefault="009A7F87" w:rsidP="009A7F87">
                  <w:pPr>
                    <w:pStyle w:val="TableColumnHeading"/>
                    <w:jc w:val="left"/>
                  </w:pPr>
                  <w:r>
                    <w:t>Service use data source</w:t>
                  </w:r>
                </w:p>
              </w:tc>
              <w:tc>
                <w:tcPr>
                  <w:tcW w:w="917" w:type="pct"/>
                  <w:tcBorders>
                    <w:top w:val="single" w:sz="6" w:space="0" w:color="BFBFBF"/>
                    <w:bottom w:val="single" w:sz="6" w:space="0" w:color="BFBFBF"/>
                  </w:tcBorders>
                  <w:shd w:val="clear" w:color="auto" w:fill="auto"/>
                  <w:tcMar>
                    <w:top w:w="28" w:type="dxa"/>
                  </w:tcMar>
                </w:tcPr>
                <w:p w:rsidR="009A7F87" w:rsidRDefault="009A7F87" w:rsidP="009A7F87">
                  <w:pPr>
                    <w:pStyle w:val="TableColumnHeading"/>
                    <w:ind w:right="28"/>
                  </w:pPr>
                  <w:r>
                    <w:t>Method </w:t>
                  </w:r>
                  <w:r w:rsidRPr="00AD35A2">
                    <w:rPr>
                      <w:rStyle w:val="NoteLabel"/>
                    </w:rPr>
                    <w:t>a</w:t>
                  </w:r>
                </w:p>
              </w:tc>
            </w:tr>
            <w:tr w:rsidR="009A7F87" w:rsidTr="009A7F87">
              <w:tc>
                <w:tcPr>
                  <w:tcW w:w="4083" w:type="pct"/>
                  <w:tcBorders>
                    <w:top w:val="single" w:sz="6" w:space="0" w:color="BFBFBF"/>
                  </w:tcBorders>
                </w:tcPr>
                <w:p w:rsidR="009A7F87" w:rsidRDefault="009A7F87" w:rsidP="009A7F87">
                  <w:pPr>
                    <w:pStyle w:val="TableUnitsRow"/>
                    <w:jc w:val="left"/>
                  </w:pPr>
                  <w:r w:rsidRPr="00770229">
                    <w:t xml:space="preserve">ABS </w:t>
                  </w:r>
                  <w:r w:rsidRPr="00770229">
                    <w:rPr>
                      <w:i/>
                    </w:rPr>
                    <w:t>Census of Population and Housing 2011</w:t>
                  </w:r>
                </w:p>
              </w:tc>
              <w:tc>
                <w:tcPr>
                  <w:tcW w:w="917" w:type="pct"/>
                  <w:tcBorders>
                    <w:top w:val="single" w:sz="6" w:space="0" w:color="BFBFBF"/>
                  </w:tcBorders>
                </w:tcPr>
                <w:p w:rsidR="009A7F87" w:rsidRDefault="009A7F87" w:rsidP="009A7F87">
                  <w:pPr>
                    <w:pStyle w:val="TableUnitsRow"/>
                    <w:ind w:right="28"/>
                  </w:pPr>
                  <w:r>
                    <w:t>Method 1</w:t>
                  </w:r>
                </w:p>
              </w:tc>
            </w:tr>
            <w:tr w:rsidR="009A7F87" w:rsidTr="009A7F87">
              <w:tc>
                <w:tcPr>
                  <w:tcW w:w="4083" w:type="pct"/>
                </w:tcPr>
                <w:p w:rsidR="009A7F87" w:rsidRDefault="009A7F87" w:rsidP="009A7F87">
                  <w:pPr>
                    <w:pStyle w:val="TableBodyText"/>
                    <w:jc w:val="left"/>
                  </w:pPr>
                  <w:r>
                    <w:t xml:space="preserve">ABS </w:t>
                  </w:r>
                  <w:r w:rsidRPr="000459B4">
                    <w:t>Early Childhood Education and Care collection</w:t>
                  </w:r>
                </w:p>
              </w:tc>
              <w:tc>
                <w:tcPr>
                  <w:tcW w:w="917" w:type="pct"/>
                </w:tcPr>
                <w:p w:rsidR="009A7F87" w:rsidRDefault="009A7F87" w:rsidP="009A7F87">
                  <w:pPr>
                    <w:pStyle w:val="TableBodyText"/>
                    <w:ind w:right="28"/>
                  </w:pPr>
                  <w:r>
                    <w:t>Method 6</w:t>
                  </w:r>
                </w:p>
              </w:tc>
            </w:tr>
            <w:tr w:rsidR="009A7F87" w:rsidTr="009A7F87">
              <w:tc>
                <w:tcPr>
                  <w:tcW w:w="4083" w:type="pct"/>
                </w:tcPr>
                <w:p w:rsidR="009A7F87" w:rsidRDefault="009A7F87" w:rsidP="009A7F87">
                  <w:pPr>
                    <w:pStyle w:val="TableBodyText"/>
                    <w:jc w:val="left"/>
                  </w:pPr>
                  <w:r w:rsidRPr="00770229">
                    <w:t xml:space="preserve">ABS </w:t>
                  </w:r>
                  <w:r w:rsidRPr="00770229">
                    <w:rPr>
                      <w:i/>
                    </w:rPr>
                    <w:t xml:space="preserve">Estimates and Projections, Indigenous Australians, </w:t>
                  </w:r>
                  <w:r>
                    <w:rPr>
                      <w:i/>
                    </w:rPr>
                    <w:t>2001</w:t>
                  </w:r>
                  <w:r w:rsidRPr="00770229">
                    <w:rPr>
                      <w:i/>
                    </w:rPr>
                    <w:t xml:space="preserve"> to 202</w:t>
                  </w:r>
                  <w:r>
                    <w:rPr>
                      <w:i/>
                    </w:rPr>
                    <w:t>6</w:t>
                  </w:r>
                </w:p>
              </w:tc>
              <w:tc>
                <w:tcPr>
                  <w:tcW w:w="917" w:type="pct"/>
                </w:tcPr>
                <w:p w:rsidR="009A7F87" w:rsidRDefault="009A7F87" w:rsidP="009A7F87">
                  <w:pPr>
                    <w:pStyle w:val="TableBodyText"/>
                    <w:ind w:right="28"/>
                  </w:pPr>
                  <w:r>
                    <w:t>Method 1</w:t>
                  </w:r>
                </w:p>
              </w:tc>
            </w:tr>
            <w:tr w:rsidR="009A7F87" w:rsidTr="009A7F87">
              <w:tc>
                <w:tcPr>
                  <w:tcW w:w="4083" w:type="pct"/>
                </w:tcPr>
                <w:p w:rsidR="009A7F87" w:rsidRDefault="009A7F87" w:rsidP="009A7F87">
                  <w:pPr>
                    <w:pStyle w:val="TableBodyText"/>
                    <w:jc w:val="left"/>
                  </w:pPr>
                  <w:r w:rsidRPr="00770229">
                    <w:t xml:space="preserve">ABS </w:t>
                  </w:r>
                  <w:r w:rsidRPr="00770229">
                    <w:rPr>
                      <w:i/>
                    </w:rPr>
                    <w:t>Schools, Australia</w:t>
                  </w:r>
                </w:p>
              </w:tc>
              <w:tc>
                <w:tcPr>
                  <w:tcW w:w="917" w:type="pct"/>
                </w:tcPr>
                <w:p w:rsidR="009A7F87" w:rsidRDefault="009A7F87" w:rsidP="009A7F87">
                  <w:pPr>
                    <w:pStyle w:val="TableBodyText"/>
                    <w:ind w:right="28"/>
                  </w:pPr>
                  <w:r>
                    <w:t>Method 6</w:t>
                  </w:r>
                </w:p>
              </w:tc>
            </w:tr>
            <w:tr w:rsidR="009A7F87" w:rsidTr="009A7F87">
              <w:tc>
                <w:tcPr>
                  <w:tcW w:w="4083" w:type="pct"/>
                </w:tcPr>
                <w:p w:rsidR="009A7F87" w:rsidRDefault="009A7F87" w:rsidP="009A7F87">
                  <w:pPr>
                    <w:pStyle w:val="TableBodyText"/>
                    <w:jc w:val="left"/>
                  </w:pPr>
                  <w:r w:rsidRPr="00770229">
                    <w:rPr>
                      <w:i/>
                    </w:rPr>
                    <w:t>AIHW</w:t>
                  </w:r>
                  <w:r w:rsidRPr="00770229">
                    <w:t xml:space="preserve"> Aged Care Packages in the Community</w:t>
                  </w:r>
                </w:p>
              </w:tc>
              <w:tc>
                <w:tcPr>
                  <w:tcW w:w="917" w:type="pct"/>
                </w:tcPr>
                <w:p w:rsidR="009A7F87" w:rsidRDefault="009A7F87" w:rsidP="009A7F87">
                  <w:pPr>
                    <w:pStyle w:val="TableBodyText"/>
                    <w:ind w:right="28"/>
                  </w:pPr>
                  <w:r>
                    <w:t>Method 4</w:t>
                  </w:r>
                </w:p>
              </w:tc>
            </w:tr>
            <w:tr w:rsidR="009A7F87" w:rsidTr="009A7F87">
              <w:tc>
                <w:tcPr>
                  <w:tcW w:w="4083" w:type="pct"/>
                </w:tcPr>
                <w:p w:rsidR="009A7F87" w:rsidRDefault="009A7F87" w:rsidP="009A7F87">
                  <w:pPr>
                    <w:pStyle w:val="TableBodyText"/>
                    <w:jc w:val="left"/>
                  </w:pPr>
                  <w:r w:rsidRPr="00770229">
                    <w:t xml:space="preserve">AIHW </w:t>
                  </w:r>
                  <w:r w:rsidRPr="00770229">
                    <w:rPr>
                      <w:i/>
                    </w:rPr>
                    <w:t>Child Protection collection</w:t>
                  </w:r>
                </w:p>
              </w:tc>
              <w:tc>
                <w:tcPr>
                  <w:tcW w:w="917" w:type="pct"/>
                </w:tcPr>
                <w:p w:rsidR="009A7F87" w:rsidRDefault="009A7F87" w:rsidP="009A7F87">
                  <w:pPr>
                    <w:pStyle w:val="TableBodyText"/>
                    <w:ind w:right="28"/>
                  </w:pPr>
                  <w:r>
                    <w:t>Method 4</w:t>
                  </w:r>
                </w:p>
              </w:tc>
            </w:tr>
            <w:tr w:rsidR="009A7F87" w:rsidTr="009A7F87">
              <w:tc>
                <w:tcPr>
                  <w:tcW w:w="4083" w:type="pct"/>
                </w:tcPr>
                <w:p w:rsidR="009A7F87" w:rsidRDefault="009A7F87" w:rsidP="009A7F87">
                  <w:pPr>
                    <w:pStyle w:val="TableBodyText"/>
                    <w:jc w:val="left"/>
                  </w:pPr>
                  <w:r w:rsidRPr="00770229">
                    <w:t xml:space="preserve">AIHW </w:t>
                  </w:r>
                  <w:r w:rsidRPr="00770229">
                    <w:rPr>
                      <w:i/>
                    </w:rPr>
                    <w:t>Disability Services NMDS</w:t>
                  </w:r>
                  <w:r w:rsidRPr="00770229">
                    <w:t>/</w:t>
                  </w:r>
                  <w:r w:rsidRPr="00770229">
                    <w:rPr>
                      <w:i/>
                    </w:rPr>
                    <w:t>Commonwealth, State and Territory Disability Agreement, NMDS</w:t>
                  </w:r>
                </w:p>
              </w:tc>
              <w:tc>
                <w:tcPr>
                  <w:tcW w:w="917" w:type="pct"/>
                </w:tcPr>
                <w:p w:rsidR="009A7F87" w:rsidRDefault="009A7F87" w:rsidP="009A7F87">
                  <w:pPr>
                    <w:pStyle w:val="TableBodyText"/>
                    <w:ind w:right="28"/>
                  </w:pPr>
                  <w:r>
                    <w:t>Method 4</w:t>
                  </w:r>
                </w:p>
              </w:tc>
            </w:tr>
            <w:tr w:rsidR="009A7F87" w:rsidTr="009A7F87">
              <w:tc>
                <w:tcPr>
                  <w:tcW w:w="4083" w:type="pct"/>
                </w:tcPr>
                <w:p w:rsidR="009A7F87" w:rsidRDefault="009A7F87" w:rsidP="009A7F87">
                  <w:pPr>
                    <w:pStyle w:val="TableBodyText"/>
                    <w:jc w:val="left"/>
                  </w:pPr>
                  <w:r w:rsidRPr="00770229">
                    <w:t xml:space="preserve">AIHW </w:t>
                  </w:r>
                  <w:r w:rsidRPr="00770229">
                    <w:rPr>
                      <w:i/>
                    </w:rPr>
                    <w:t>Expenditure on Health for Aboriginal and Torres Strait Islander People 2010</w:t>
                  </w:r>
                  <w:r>
                    <w:rPr>
                      <w:i/>
                    </w:rPr>
                    <w:noBreakHyphen/>
                  </w:r>
                  <w:r w:rsidRPr="00770229">
                    <w:rPr>
                      <w:i/>
                    </w:rPr>
                    <w:t xml:space="preserve">11 </w:t>
                  </w:r>
                  <w:r w:rsidRPr="00770229">
                    <w:t>(unpublished)</w:t>
                  </w:r>
                </w:p>
              </w:tc>
              <w:tc>
                <w:tcPr>
                  <w:tcW w:w="917" w:type="pct"/>
                </w:tcPr>
                <w:p w:rsidR="009A7F87" w:rsidRDefault="009A7F87" w:rsidP="009A7F87">
                  <w:pPr>
                    <w:pStyle w:val="TableBodyText"/>
                    <w:ind w:right="28"/>
                  </w:pPr>
                  <w:r>
                    <w:t>Method 2</w:t>
                  </w:r>
                </w:p>
              </w:tc>
            </w:tr>
            <w:tr w:rsidR="009A7F87" w:rsidTr="009A7F87">
              <w:tc>
                <w:tcPr>
                  <w:tcW w:w="4083" w:type="pct"/>
                </w:tcPr>
                <w:p w:rsidR="009A7F87" w:rsidRDefault="009A7F87" w:rsidP="009A7F87">
                  <w:pPr>
                    <w:pStyle w:val="TableBodyText"/>
                    <w:jc w:val="left"/>
                  </w:pPr>
                  <w:r w:rsidRPr="00770229">
                    <w:t xml:space="preserve">AIHW </w:t>
                  </w:r>
                  <w:r w:rsidRPr="00770229">
                    <w:rPr>
                      <w:i/>
                    </w:rPr>
                    <w:t>Housing Assistance in Australia</w:t>
                  </w:r>
                </w:p>
              </w:tc>
              <w:tc>
                <w:tcPr>
                  <w:tcW w:w="917" w:type="pct"/>
                </w:tcPr>
                <w:p w:rsidR="009A7F87" w:rsidRDefault="009A7F87" w:rsidP="009A7F87">
                  <w:pPr>
                    <w:pStyle w:val="TableBodyText"/>
                    <w:ind w:right="28"/>
                  </w:pPr>
                  <w:r>
                    <w:t>Method 4</w:t>
                  </w:r>
                </w:p>
              </w:tc>
            </w:tr>
            <w:tr w:rsidR="009A7F87" w:rsidTr="009A7F87">
              <w:tc>
                <w:tcPr>
                  <w:tcW w:w="4083" w:type="pct"/>
                </w:tcPr>
                <w:p w:rsidR="009A7F87" w:rsidRDefault="009A7F87" w:rsidP="009A7F87">
                  <w:pPr>
                    <w:pStyle w:val="TableBodyText"/>
                    <w:jc w:val="left"/>
                  </w:pPr>
                  <w:r w:rsidRPr="00770229">
                    <w:t xml:space="preserve">AIHW </w:t>
                  </w:r>
                  <w:r w:rsidRPr="00770229">
                    <w:rPr>
                      <w:i/>
                    </w:rPr>
                    <w:t>Juvenile Justice National Minimum Data Set</w:t>
                  </w:r>
                </w:p>
              </w:tc>
              <w:tc>
                <w:tcPr>
                  <w:tcW w:w="917" w:type="pct"/>
                </w:tcPr>
                <w:p w:rsidR="009A7F87" w:rsidRDefault="009A7F87" w:rsidP="009A7F87">
                  <w:pPr>
                    <w:pStyle w:val="TableBodyText"/>
                    <w:ind w:right="28"/>
                  </w:pPr>
                  <w:r>
                    <w:t>Method 4</w:t>
                  </w:r>
                </w:p>
              </w:tc>
            </w:tr>
            <w:tr w:rsidR="009A7F87" w:rsidTr="009A7F87">
              <w:tc>
                <w:tcPr>
                  <w:tcW w:w="4083" w:type="pct"/>
                </w:tcPr>
                <w:p w:rsidR="009A7F87" w:rsidRDefault="009A7F87" w:rsidP="009A7F87">
                  <w:pPr>
                    <w:pStyle w:val="TableBodyText"/>
                    <w:jc w:val="left"/>
                  </w:pPr>
                  <w:r w:rsidRPr="00770229">
                    <w:t xml:space="preserve">AIHW </w:t>
                  </w:r>
                  <w:r w:rsidRPr="00770229">
                    <w:rPr>
                      <w:i/>
                    </w:rPr>
                    <w:t>Specialist Homeless Services (formerly SAAP) Collection</w:t>
                  </w:r>
                  <w:r w:rsidRPr="00770229">
                    <w:t xml:space="preserve"> (unpublished)</w:t>
                  </w:r>
                </w:p>
              </w:tc>
              <w:tc>
                <w:tcPr>
                  <w:tcW w:w="917" w:type="pct"/>
                </w:tcPr>
                <w:p w:rsidR="009A7F87" w:rsidRDefault="009A7F87" w:rsidP="009A7F87">
                  <w:pPr>
                    <w:pStyle w:val="TableBodyText"/>
                    <w:ind w:right="28"/>
                  </w:pPr>
                  <w:r>
                    <w:t>Method 4</w:t>
                  </w:r>
                </w:p>
              </w:tc>
            </w:tr>
            <w:tr w:rsidR="009A7F87" w:rsidTr="009A7F87">
              <w:tc>
                <w:tcPr>
                  <w:tcW w:w="4083" w:type="pct"/>
                </w:tcPr>
                <w:p w:rsidR="009A7F87" w:rsidRDefault="009A7F87" w:rsidP="009A7F87">
                  <w:pPr>
                    <w:pStyle w:val="TableBodyText"/>
                    <w:jc w:val="left"/>
                  </w:pPr>
                  <w:r w:rsidRPr="00770229">
                    <w:t>Australian Government Administrative data — Child Support</w:t>
                  </w:r>
                </w:p>
              </w:tc>
              <w:tc>
                <w:tcPr>
                  <w:tcW w:w="917" w:type="pct"/>
                </w:tcPr>
                <w:p w:rsidR="009A7F87" w:rsidRDefault="009A7F87" w:rsidP="009A7F87">
                  <w:pPr>
                    <w:pStyle w:val="TableBodyText"/>
                    <w:ind w:right="28"/>
                  </w:pPr>
                  <w:r>
                    <w:t>Method 4</w:t>
                  </w:r>
                </w:p>
              </w:tc>
            </w:tr>
            <w:tr w:rsidR="009A7F87" w:rsidTr="009A7F87">
              <w:tc>
                <w:tcPr>
                  <w:tcW w:w="4083" w:type="pct"/>
                </w:tcPr>
                <w:p w:rsidR="009A7F87" w:rsidRDefault="009A7F87" w:rsidP="009A7F87">
                  <w:pPr>
                    <w:pStyle w:val="TableBodyText"/>
                    <w:jc w:val="left"/>
                  </w:pPr>
                  <w:r w:rsidRPr="00770229">
                    <w:t>Australian Government Administrative data — Employment Services</w:t>
                  </w:r>
                </w:p>
              </w:tc>
              <w:tc>
                <w:tcPr>
                  <w:tcW w:w="917" w:type="pct"/>
                </w:tcPr>
                <w:p w:rsidR="009A7F87" w:rsidRDefault="009A7F87" w:rsidP="009A7F87">
                  <w:pPr>
                    <w:pStyle w:val="TableBodyText"/>
                    <w:ind w:right="28"/>
                  </w:pPr>
                  <w:r>
                    <w:t>Method 4</w:t>
                  </w:r>
                </w:p>
              </w:tc>
            </w:tr>
            <w:tr w:rsidR="009A7F87" w:rsidTr="009A7F87">
              <w:tc>
                <w:tcPr>
                  <w:tcW w:w="4083" w:type="pct"/>
                </w:tcPr>
                <w:p w:rsidR="009A7F87" w:rsidRDefault="009A7F87" w:rsidP="009A7F87">
                  <w:pPr>
                    <w:pStyle w:val="TableBodyText"/>
                    <w:jc w:val="left"/>
                  </w:pPr>
                  <w:r w:rsidRPr="00770229">
                    <w:t>Australian Government Administrative data — Income Support</w:t>
                  </w:r>
                </w:p>
              </w:tc>
              <w:tc>
                <w:tcPr>
                  <w:tcW w:w="917" w:type="pct"/>
                </w:tcPr>
                <w:p w:rsidR="009A7F87" w:rsidRDefault="009A7F87" w:rsidP="009A7F87">
                  <w:pPr>
                    <w:pStyle w:val="TableBodyText"/>
                    <w:ind w:right="28"/>
                  </w:pPr>
                  <w:r>
                    <w:t>Method 4</w:t>
                  </w:r>
                </w:p>
              </w:tc>
            </w:tr>
            <w:tr w:rsidR="009A7F87" w:rsidTr="009A7F87">
              <w:tc>
                <w:tcPr>
                  <w:tcW w:w="4083" w:type="pct"/>
                </w:tcPr>
                <w:p w:rsidR="009A7F87" w:rsidRDefault="009A7F87" w:rsidP="009A7F87">
                  <w:pPr>
                    <w:pStyle w:val="TableBodyText"/>
                    <w:jc w:val="left"/>
                  </w:pPr>
                  <w:r w:rsidRPr="00770229">
                    <w:t>Australian Government Administrative data — Rent Assistance</w:t>
                  </w:r>
                </w:p>
              </w:tc>
              <w:tc>
                <w:tcPr>
                  <w:tcW w:w="917" w:type="pct"/>
                </w:tcPr>
                <w:p w:rsidR="009A7F87" w:rsidRDefault="009A7F87" w:rsidP="009A7F87">
                  <w:pPr>
                    <w:pStyle w:val="TableBodyText"/>
                    <w:ind w:right="28"/>
                  </w:pPr>
                  <w:r>
                    <w:t>Method 4</w:t>
                  </w:r>
                </w:p>
              </w:tc>
            </w:tr>
            <w:tr w:rsidR="009A7F87" w:rsidTr="009A7F87">
              <w:tc>
                <w:tcPr>
                  <w:tcW w:w="4083" w:type="pct"/>
                </w:tcPr>
                <w:p w:rsidR="009A7F87" w:rsidRDefault="009A7F87" w:rsidP="009A7F87">
                  <w:pPr>
                    <w:pStyle w:val="TableBodyText"/>
                    <w:jc w:val="left"/>
                  </w:pPr>
                  <w:r w:rsidRPr="00770229">
                    <w:t>Australian Government Administrative data — Student Financial Assistance</w:t>
                  </w:r>
                </w:p>
              </w:tc>
              <w:tc>
                <w:tcPr>
                  <w:tcW w:w="917" w:type="pct"/>
                </w:tcPr>
                <w:p w:rsidR="009A7F87" w:rsidRDefault="009A7F87" w:rsidP="009A7F87">
                  <w:pPr>
                    <w:pStyle w:val="TableBodyText"/>
                    <w:ind w:right="28"/>
                  </w:pPr>
                  <w:r>
                    <w:t>Method 4</w:t>
                  </w:r>
                </w:p>
              </w:tc>
            </w:tr>
            <w:tr w:rsidR="009A7F87" w:rsidTr="009A7F87">
              <w:tc>
                <w:tcPr>
                  <w:tcW w:w="4083" w:type="pct"/>
                </w:tcPr>
                <w:p w:rsidR="009A7F87" w:rsidRDefault="009A7F87" w:rsidP="009A7F87">
                  <w:pPr>
                    <w:pStyle w:val="TableBodyText"/>
                    <w:jc w:val="left"/>
                  </w:pPr>
                  <w:r w:rsidRPr="00770229">
                    <w:t xml:space="preserve">Australian Government — </w:t>
                  </w:r>
                  <w:r w:rsidRPr="00770229">
                    <w:rPr>
                      <w:i/>
                    </w:rPr>
                    <w:t>Ageing and Aged Care data warehouse</w:t>
                  </w:r>
                </w:p>
              </w:tc>
              <w:tc>
                <w:tcPr>
                  <w:tcW w:w="917" w:type="pct"/>
                </w:tcPr>
                <w:p w:rsidR="009A7F87" w:rsidRDefault="009A7F87" w:rsidP="009A7F87">
                  <w:pPr>
                    <w:pStyle w:val="TableBodyText"/>
                    <w:ind w:right="28"/>
                  </w:pPr>
                  <w:r>
                    <w:t>Method 4</w:t>
                  </w:r>
                </w:p>
              </w:tc>
            </w:tr>
            <w:tr w:rsidR="009A7F87" w:rsidTr="009A7F87">
              <w:tc>
                <w:tcPr>
                  <w:tcW w:w="4083" w:type="pct"/>
                </w:tcPr>
                <w:p w:rsidR="009A7F87" w:rsidRDefault="009A7F87" w:rsidP="009A7F87">
                  <w:pPr>
                    <w:pStyle w:val="TableBodyText"/>
                    <w:tabs>
                      <w:tab w:val="left" w:pos="4320"/>
                    </w:tabs>
                    <w:jc w:val="left"/>
                  </w:pPr>
                  <w:r w:rsidRPr="00770229">
                    <w:t>CGC Criminal Court Appearances Collection</w:t>
                  </w:r>
                  <w:r>
                    <w:tab/>
                  </w:r>
                </w:p>
              </w:tc>
              <w:tc>
                <w:tcPr>
                  <w:tcW w:w="917" w:type="pct"/>
                </w:tcPr>
                <w:p w:rsidR="009A7F87" w:rsidRDefault="009A7F87" w:rsidP="009A7F87">
                  <w:pPr>
                    <w:pStyle w:val="TableBodyText"/>
                    <w:ind w:right="28"/>
                  </w:pPr>
                  <w:r>
                    <w:t>Method 4</w:t>
                  </w:r>
                </w:p>
              </w:tc>
            </w:tr>
            <w:tr w:rsidR="009A7F87" w:rsidTr="009A7F87">
              <w:tc>
                <w:tcPr>
                  <w:tcW w:w="4083" w:type="pct"/>
                </w:tcPr>
                <w:p w:rsidR="009A7F87" w:rsidRDefault="009A7F87" w:rsidP="009A7F87">
                  <w:pPr>
                    <w:pStyle w:val="TableBodyText"/>
                    <w:jc w:val="left"/>
                  </w:pPr>
                  <w:r w:rsidRPr="00770229">
                    <w:rPr>
                      <w:i/>
                    </w:rPr>
                    <w:t>Australian Government Child Care Provider Survey</w:t>
                  </w:r>
                  <w:r w:rsidRPr="00770229">
                    <w:t xml:space="preserve"> (unpublished)</w:t>
                  </w:r>
                </w:p>
              </w:tc>
              <w:tc>
                <w:tcPr>
                  <w:tcW w:w="917" w:type="pct"/>
                </w:tcPr>
                <w:p w:rsidR="009A7F87" w:rsidRDefault="009A7F87" w:rsidP="009A7F87">
                  <w:pPr>
                    <w:pStyle w:val="TableBodyText"/>
                    <w:ind w:right="28"/>
                  </w:pPr>
                  <w:r>
                    <w:t>Method 1</w:t>
                  </w:r>
                </w:p>
              </w:tc>
            </w:tr>
            <w:tr w:rsidR="009A7F87" w:rsidTr="009A7F87">
              <w:tc>
                <w:tcPr>
                  <w:tcW w:w="4083" w:type="pct"/>
                </w:tcPr>
                <w:p w:rsidR="009A7F87" w:rsidRPr="00770229" w:rsidRDefault="009A7F87" w:rsidP="009A7F87">
                  <w:pPr>
                    <w:pStyle w:val="TableBodyText"/>
                    <w:jc w:val="left"/>
                    <w:rPr>
                      <w:i/>
                    </w:rPr>
                  </w:pPr>
                  <w:r w:rsidRPr="00770229">
                    <w:rPr>
                      <w:i/>
                    </w:rPr>
                    <w:t>Students: Selected Higher Education Statistics</w:t>
                  </w:r>
                </w:p>
              </w:tc>
              <w:tc>
                <w:tcPr>
                  <w:tcW w:w="917" w:type="pct"/>
                </w:tcPr>
                <w:p w:rsidR="009A7F87" w:rsidRDefault="009A7F87" w:rsidP="009A7F87">
                  <w:pPr>
                    <w:pStyle w:val="TableBodyText"/>
                    <w:ind w:right="28"/>
                  </w:pPr>
                  <w:r>
                    <w:t>Method 4</w:t>
                  </w:r>
                </w:p>
              </w:tc>
            </w:tr>
            <w:tr w:rsidR="009A7F87" w:rsidTr="009A7F87">
              <w:tc>
                <w:tcPr>
                  <w:tcW w:w="4083" w:type="pct"/>
                </w:tcPr>
                <w:p w:rsidR="009A7F87" w:rsidRPr="00770229" w:rsidRDefault="009A7F87" w:rsidP="009A7F87">
                  <w:pPr>
                    <w:pStyle w:val="TableBodyText"/>
                    <w:jc w:val="left"/>
                    <w:rPr>
                      <w:i/>
                    </w:rPr>
                  </w:pPr>
                  <w:r w:rsidRPr="00770229">
                    <w:rPr>
                      <w:i/>
                    </w:rPr>
                    <w:t>National Preschools Census</w:t>
                  </w:r>
                </w:p>
              </w:tc>
              <w:tc>
                <w:tcPr>
                  <w:tcW w:w="917" w:type="pct"/>
                </w:tcPr>
                <w:p w:rsidR="009A7F87" w:rsidRDefault="009A7F87" w:rsidP="009A7F87">
                  <w:pPr>
                    <w:pStyle w:val="TableBodyText"/>
                    <w:ind w:right="28"/>
                  </w:pPr>
                  <w:r>
                    <w:t>Method 6</w:t>
                  </w:r>
                </w:p>
              </w:tc>
            </w:tr>
            <w:tr w:rsidR="009A7F87" w:rsidTr="009A7F87">
              <w:tc>
                <w:tcPr>
                  <w:tcW w:w="4083" w:type="pct"/>
                </w:tcPr>
                <w:p w:rsidR="009A7F87" w:rsidRPr="00770229" w:rsidRDefault="009A7F87" w:rsidP="009A7F87">
                  <w:pPr>
                    <w:pStyle w:val="TableBodyText"/>
                    <w:jc w:val="left"/>
                    <w:rPr>
                      <w:i/>
                    </w:rPr>
                  </w:pPr>
                  <w:r w:rsidRPr="00770229">
                    <w:t>Australian Government Aged Care Administrative Data</w:t>
                  </w:r>
                </w:p>
              </w:tc>
              <w:tc>
                <w:tcPr>
                  <w:tcW w:w="917" w:type="pct"/>
                </w:tcPr>
                <w:p w:rsidR="009A7F87" w:rsidRDefault="009A7F87" w:rsidP="009A7F87">
                  <w:pPr>
                    <w:pStyle w:val="TableBodyText"/>
                    <w:ind w:right="28"/>
                  </w:pPr>
                  <w:r>
                    <w:t>Method 4</w:t>
                  </w:r>
                </w:p>
              </w:tc>
            </w:tr>
            <w:tr w:rsidR="009A7F87" w:rsidTr="009A7F87">
              <w:tc>
                <w:tcPr>
                  <w:tcW w:w="4083" w:type="pct"/>
                </w:tcPr>
                <w:p w:rsidR="009A7F87" w:rsidRPr="00770229" w:rsidRDefault="009A7F87" w:rsidP="009A7F87">
                  <w:pPr>
                    <w:pStyle w:val="TableBodyText"/>
                    <w:jc w:val="left"/>
                    <w:rPr>
                      <w:i/>
                    </w:rPr>
                  </w:pPr>
                  <w:r w:rsidRPr="00770229">
                    <w:rPr>
                      <w:i/>
                    </w:rPr>
                    <w:t>Home and Community Care Program Minimum Data Set</w:t>
                  </w:r>
                </w:p>
              </w:tc>
              <w:tc>
                <w:tcPr>
                  <w:tcW w:w="917" w:type="pct"/>
                </w:tcPr>
                <w:p w:rsidR="009A7F87" w:rsidRDefault="009A7F87" w:rsidP="009A7F87">
                  <w:pPr>
                    <w:pStyle w:val="TableBodyText"/>
                    <w:ind w:right="28"/>
                  </w:pPr>
                  <w:r>
                    <w:t>Method 4</w:t>
                  </w:r>
                </w:p>
              </w:tc>
            </w:tr>
            <w:tr w:rsidR="009A7F87" w:rsidTr="009A7F87">
              <w:tc>
                <w:tcPr>
                  <w:tcW w:w="4083" w:type="pct"/>
                </w:tcPr>
                <w:p w:rsidR="009A7F87" w:rsidRPr="00770229" w:rsidRDefault="009A7F87" w:rsidP="009A7F87">
                  <w:pPr>
                    <w:pStyle w:val="TableBodyText"/>
                    <w:jc w:val="left"/>
                    <w:rPr>
                      <w:i/>
                    </w:rPr>
                  </w:pPr>
                  <w:r w:rsidRPr="00770229">
                    <w:t>National Legal Aid — Administrative Data</w:t>
                  </w:r>
                </w:p>
              </w:tc>
              <w:tc>
                <w:tcPr>
                  <w:tcW w:w="917" w:type="pct"/>
                </w:tcPr>
                <w:p w:rsidR="009A7F87" w:rsidRDefault="009A7F87" w:rsidP="009A7F87">
                  <w:pPr>
                    <w:pStyle w:val="TableBodyText"/>
                    <w:ind w:right="28"/>
                  </w:pPr>
                  <w:r>
                    <w:t>Method 4</w:t>
                  </w:r>
                </w:p>
              </w:tc>
            </w:tr>
            <w:tr w:rsidR="009A7F87" w:rsidTr="009A7F87">
              <w:tc>
                <w:tcPr>
                  <w:tcW w:w="4083" w:type="pct"/>
                </w:tcPr>
                <w:p w:rsidR="009A7F87" w:rsidRPr="00770229" w:rsidRDefault="009A7F87" w:rsidP="009A7F87">
                  <w:pPr>
                    <w:pStyle w:val="TableBodyText"/>
                    <w:jc w:val="left"/>
                    <w:rPr>
                      <w:i/>
                    </w:rPr>
                  </w:pPr>
                  <w:r w:rsidRPr="00770229">
                    <w:t xml:space="preserve">NCVER </w:t>
                  </w:r>
                  <w:r w:rsidRPr="00770229">
                    <w:rPr>
                      <w:i/>
                    </w:rPr>
                    <w:t xml:space="preserve">Apprentices and Trainees </w:t>
                  </w:r>
                  <w:r w:rsidRPr="00770229">
                    <w:t>(unpublished)</w:t>
                  </w:r>
                </w:p>
              </w:tc>
              <w:tc>
                <w:tcPr>
                  <w:tcW w:w="917" w:type="pct"/>
                </w:tcPr>
                <w:p w:rsidR="009A7F87" w:rsidRDefault="009A7F87" w:rsidP="009A7F87">
                  <w:pPr>
                    <w:pStyle w:val="TableBodyText"/>
                    <w:ind w:right="28"/>
                  </w:pPr>
                  <w:r>
                    <w:t>Method 4</w:t>
                  </w:r>
                </w:p>
              </w:tc>
            </w:tr>
            <w:tr w:rsidR="009A7F87" w:rsidTr="009A7F87">
              <w:tc>
                <w:tcPr>
                  <w:tcW w:w="4083" w:type="pct"/>
                </w:tcPr>
                <w:p w:rsidR="009A7F87" w:rsidRPr="00770229" w:rsidRDefault="009A7F87" w:rsidP="009A7F87">
                  <w:pPr>
                    <w:pStyle w:val="TableBodyText"/>
                    <w:jc w:val="left"/>
                    <w:rPr>
                      <w:i/>
                    </w:rPr>
                  </w:pPr>
                  <w:r w:rsidRPr="00770229">
                    <w:t xml:space="preserve">NCVER </w:t>
                  </w:r>
                  <w:r w:rsidRPr="00770229">
                    <w:rPr>
                      <w:i/>
                    </w:rPr>
                    <w:t>Students and Courses</w:t>
                  </w:r>
                  <w:r w:rsidRPr="00770229">
                    <w:t xml:space="preserve"> (unpublished)</w:t>
                  </w:r>
                </w:p>
              </w:tc>
              <w:tc>
                <w:tcPr>
                  <w:tcW w:w="917" w:type="pct"/>
                </w:tcPr>
                <w:p w:rsidR="009A7F87" w:rsidRDefault="009A7F87" w:rsidP="009A7F87">
                  <w:pPr>
                    <w:pStyle w:val="TableBodyText"/>
                    <w:ind w:right="28"/>
                  </w:pPr>
                  <w:r>
                    <w:t>Method 4</w:t>
                  </w:r>
                </w:p>
              </w:tc>
            </w:tr>
            <w:tr w:rsidR="009A7F87" w:rsidTr="009A7F87">
              <w:tc>
                <w:tcPr>
                  <w:tcW w:w="4083" w:type="pct"/>
                </w:tcPr>
                <w:p w:rsidR="009A7F87" w:rsidRPr="00770229" w:rsidRDefault="009A7F87" w:rsidP="009A7F87">
                  <w:pPr>
                    <w:pStyle w:val="TableBodyText"/>
                    <w:jc w:val="left"/>
                    <w:rPr>
                      <w:i/>
                    </w:rPr>
                  </w:pPr>
                  <w:r w:rsidRPr="00770229">
                    <w:rPr>
                      <w:szCs w:val="26"/>
                    </w:rPr>
                    <w:t xml:space="preserve">PHIAC </w:t>
                  </w:r>
                  <w:r w:rsidRPr="00770229">
                    <w:rPr>
                      <w:i/>
                      <w:szCs w:val="26"/>
                    </w:rPr>
                    <w:t>Privately insured with hospital treatment cover</w:t>
                  </w:r>
                </w:p>
              </w:tc>
              <w:tc>
                <w:tcPr>
                  <w:tcW w:w="917" w:type="pct"/>
                </w:tcPr>
                <w:p w:rsidR="009A7F87" w:rsidRDefault="009A7F87" w:rsidP="009A7F87">
                  <w:pPr>
                    <w:pStyle w:val="TableBodyText"/>
                    <w:ind w:right="28"/>
                  </w:pPr>
                  <w:r>
                    <w:t>Method 2</w:t>
                  </w:r>
                </w:p>
              </w:tc>
            </w:tr>
            <w:tr w:rsidR="009A7F87" w:rsidTr="009A7F87">
              <w:tc>
                <w:tcPr>
                  <w:tcW w:w="4083" w:type="pct"/>
                </w:tcPr>
                <w:p w:rsidR="009A7F87" w:rsidRPr="00770229" w:rsidRDefault="009A7F87" w:rsidP="009A7F87">
                  <w:pPr>
                    <w:pStyle w:val="TableBodyText"/>
                    <w:jc w:val="left"/>
                    <w:rPr>
                      <w:i/>
                    </w:rPr>
                  </w:pPr>
                  <w:r w:rsidRPr="00770229">
                    <w:rPr>
                      <w:szCs w:val="26"/>
                    </w:rPr>
                    <w:t>SCRGSP</w:t>
                  </w:r>
                  <w:r w:rsidRPr="00770229">
                    <w:t xml:space="preserve"> administrative data collection</w:t>
                  </w:r>
                  <w:r>
                    <w:t xml:space="preserve"> </w:t>
                  </w:r>
                  <w:r w:rsidRPr="00770229">
                    <w:t>— employment program assistance</w:t>
                  </w:r>
                </w:p>
              </w:tc>
              <w:tc>
                <w:tcPr>
                  <w:tcW w:w="917" w:type="pct"/>
                </w:tcPr>
                <w:p w:rsidR="009A7F87" w:rsidRDefault="009A7F87" w:rsidP="009A7F87">
                  <w:pPr>
                    <w:pStyle w:val="TableBodyText"/>
                    <w:ind w:right="28"/>
                  </w:pPr>
                  <w:r>
                    <w:t>Method 1</w:t>
                  </w:r>
                </w:p>
              </w:tc>
            </w:tr>
            <w:tr w:rsidR="009A7F87" w:rsidTr="009A7F87">
              <w:tc>
                <w:tcPr>
                  <w:tcW w:w="4083" w:type="pct"/>
                </w:tcPr>
                <w:p w:rsidR="009A7F87" w:rsidRPr="00770229" w:rsidRDefault="009A7F87" w:rsidP="009A7F87">
                  <w:pPr>
                    <w:pStyle w:val="TableBodyText"/>
                    <w:jc w:val="left"/>
                    <w:rPr>
                      <w:szCs w:val="26"/>
                    </w:rPr>
                  </w:pPr>
                  <w:r w:rsidRPr="00770229">
                    <w:rPr>
                      <w:szCs w:val="26"/>
                    </w:rPr>
                    <w:t>SCRGSP</w:t>
                  </w:r>
                  <w:r w:rsidRPr="00770229">
                    <w:t xml:space="preserve"> Corrective services collection</w:t>
                  </w:r>
                </w:p>
              </w:tc>
              <w:tc>
                <w:tcPr>
                  <w:tcW w:w="917" w:type="pct"/>
                </w:tcPr>
                <w:p w:rsidR="009A7F87" w:rsidRDefault="009A7F87" w:rsidP="009A7F87">
                  <w:pPr>
                    <w:pStyle w:val="TableBodyText"/>
                    <w:ind w:right="28"/>
                  </w:pPr>
                  <w:r>
                    <w:t>Method 4</w:t>
                  </w:r>
                </w:p>
              </w:tc>
            </w:tr>
            <w:tr w:rsidR="009A7F87" w:rsidTr="009A7F87">
              <w:tc>
                <w:tcPr>
                  <w:tcW w:w="4083" w:type="pct"/>
                </w:tcPr>
                <w:p w:rsidR="009A7F87" w:rsidRPr="00770229" w:rsidRDefault="009A7F87" w:rsidP="009A7F87">
                  <w:pPr>
                    <w:pStyle w:val="TableBodyText"/>
                    <w:jc w:val="left"/>
                    <w:rPr>
                      <w:szCs w:val="26"/>
                    </w:rPr>
                  </w:pPr>
                  <w:r w:rsidRPr="00770229">
                    <w:rPr>
                      <w:szCs w:val="26"/>
                    </w:rPr>
                    <w:t>SCRGSP</w:t>
                  </w:r>
                  <w:r w:rsidRPr="00770229">
                    <w:t xml:space="preserve"> administrative data collection — rental assistance</w:t>
                  </w:r>
                </w:p>
              </w:tc>
              <w:tc>
                <w:tcPr>
                  <w:tcW w:w="917" w:type="pct"/>
                </w:tcPr>
                <w:p w:rsidR="009A7F87" w:rsidRDefault="009A7F87" w:rsidP="009A7F87">
                  <w:pPr>
                    <w:pStyle w:val="TableBodyText"/>
                    <w:ind w:right="28"/>
                  </w:pPr>
                  <w:r>
                    <w:t>Method 1</w:t>
                  </w:r>
                </w:p>
              </w:tc>
            </w:tr>
            <w:tr w:rsidR="009A7F87" w:rsidTr="009A7F87">
              <w:tc>
                <w:tcPr>
                  <w:tcW w:w="4083" w:type="pct"/>
                  <w:tcBorders>
                    <w:bottom w:val="single" w:sz="6" w:space="0" w:color="BFBFBF"/>
                  </w:tcBorders>
                  <w:shd w:val="clear" w:color="auto" w:fill="auto"/>
                </w:tcPr>
                <w:p w:rsidR="009A7F87" w:rsidRDefault="009A7F87" w:rsidP="009A7F87">
                  <w:pPr>
                    <w:pStyle w:val="TableBodyText"/>
                    <w:jc w:val="left"/>
                  </w:pPr>
                  <w:r w:rsidRPr="00770229">
                    <w:rPr>
                      <w:szCs w:val="26"/>
                    </w:rPr>
                    <w:t>SCRGSP</w:t>
                  </w:r>
                  <w:r w:rsidRPr="00770229">
                    <w:t xml:space="preserve"> administrative data collection — enrolments at special schools</w:t>
                  </w:r>
                </w:p>
              </w:tc>
              <w:tc>
                <w:tcPr>
                  <w:tcW w:w="917" w:type="pct"/>
                  <w:tcBorders>
                    <w:bottom w:val="single" w:sz="6" w:space="0" w:color="BFBFBF"/>
                  </w:tcBorders>
                  <w:shd w:val="clear" w:color="auto" w:fill="auto"/>
                </w:tcPr>
                <w:p w:rsidR="009A7F87" w:rsidRDefault="009A7F87" w:rsidP="009A7F87">
                  <w:pPr>
                    <w:pStyle w:val="TableBodyText"/>
                    <w:ind w:right="28"/>
                  </w:pPr>
                  <w:r>
                    <w:t>Method 4</w:t>
                  </w:r>
                </w:p>
              </w:tc>
            </w:tr>
          </w:tbl>
          <w:p w:rsidR="009A7F87" w:rsidRDefault="009A7F87" w:rsidP="009A7F87">
            <w:pPr>
              <w:pStyle w:val="Box"/>
            </w:pPr>
          </w:p>
        </w:tc>
      </w:tr>
      <w:tr w:rsidR="009A7F87" w:rsidTr="009A7F87">
        <w:tc>
          <w:tcPr>
            <w:tcW w:w="5000" w:type="pct"/>
            <w:tcBorders>
              <w:top w:val="nil"/>
              <w:left w:val="nil"/>
              <w:bottom w:val="nil"/>
              <w:right w:val="nil"/>
            </w:tcBorders>
            <w:shd w:val="clear" w:color="auto" w:fill="auto"/>
          </w:tcPr>
          <w:p w:rsidR="009A7F87" w:rsidRPr="00AD35A2" w:rsidRDefault="009A7F87" w:rsidP="009A7F87">
            <w:pPr>
              <w:pStyle w:val="Note"/>
              <w:rPr>
                <w:i/>
              </w:rPr>
            </w:pPr>
            <w:r w:rsidRPr="00AD35A2">
              <w:rPr>
                <w:rStyle w:val="NoteLabel"/>
              </w:rPr>
              <w:t>a</w:t>
            </w:r>
            <w:r w:rsidRPr="00AD35A2">
              <w:t xml:space="preserve"> </w:t>
            </w:r>
            <w:r w:rsidRPr="00AD35A2">
              <w:rPr>
                <w:sz w:val="16"/>
                <w:szCs w:val="16"/>
              </w:rPr>
              <w:t>Alternative methods are used for certain jurisdictions to reflect the particularly different nature of those service use data.</w:t>
            </w:r>
          </w:p>
        </w:tc>
      </w:tr>
      <w:tr w:rsidR="009A7F87" w:rsidTr="009A7F87">
        <w:tc>
          <w:tcPr>
            <w:tcW w:w="5000" w:type="pct"/>
            <w:tcBorders>
              <w:top w:val="nil"/>
              <w:left w:val="nil"/>
              <w:bottom w:val="single" w:sz="6" w:space="0" w:color="78A22F"/>
              <w:right w:val="nil"/>
            </w:tcBorders>
            <w:shd w:val="clear" w:color="auto" w:fill="auto"/>
          </w:tcPr>
          <w:p w:rsidR="009A7F87" w:rsidRDefault="009A7F87" w:rsidP="009A7F87">
            <w:pPr>
              <w:pStyle w:val="Box"/>
              <w:spacing w:before="0" w:line="120" w:lineRule="exact"/>
            </w:pPr>
          </w:p>
        </w:tc>
      </w:tr>
      <w:tr w:rsidR="009A7F87" w:rsidRPr="000863A5" w:rsidTr="009A7F87">
        <w:tc>
          <w:tcPr>
            <w:tcW w:w="5000" w:type="pct"/>
            <w:tcBorders>
              <w:top w:val="single" w:sz="6" w:space="0" w:color="78A22F"/>
              <w:left w:val="nil"/>
              <w:bottom w:val="nil"/>
              <w:right w:val="nil"/>
            </w:tcBorders>
          </w:tcPr>
          <w:p w:rsidR="009A7F87" w:rsidRPr="00626D32" w:rsidRDefault="009A7F87" w:rsidP="009A7F87">
            <w:pPr>
              <w:pStyle w:val="BoxSpaceBelow"/>
            </w:pPr>
          </w:p>
        </w:tc>
      </w:tr>
    </w:tbl>
    <w:p w:rsidR="009A7F87" w:rsidRDefault="009A7F87" w:rsidP="00120072">
      <w:pPr>
        <w:pStyle w:val="BodyText"/>
      </w:pPr>
    </w:p>
    <w:sectPr w:rsidR="009A7F87" w:rsidSect="009A7F87">
      <w:headerReference w:type="even" r:id="rId183"/>
      <w:headerReference w:type="default" r:id="rId184"/>
      <w:footerReference w:type="even" r:id="rId185"/>
      <w:footerReference w:type="default" r:id="rId186"/>
      <w:footnotePr>
        <w:numRestart w:val="eachSect"/>
      </w:footnotePr>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F69" w:rsidRDefault="00944F69">
      <w:r>
        <w:separator/>
      </w:r>
    </w:p>
  </w:endnote>
  <w:endnote w:type="continuationSeparator" w:id="0">
    <w:p w:rsidR="00944F69" w:rsidRDefault="0094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64540" w:rsidTr="005F48ED">
      <w:trPr>
        <w:trHeight w:hRule="exact" w:val="567"/>
      </w:trPr>
      <w:tc>
        <w:tcPr>
          <w:tcW w:w="510" w:type="dxa"/>
        </w:tcPr>
        <w:p w:rsidR="00064540" w:rsidRPr="00752FFF" w:rsidRDefault="00064540" w:rsidP="0019293B">
          <w:pPr>
            <w:pStyle w:val="Footer"/>
            <w:tabs>
              <w:tab w:val="left" w:pos="0"/>
            </w:tabs>
            <w:ind w:right="0"/>
            <w:rPr>
              <w:rStyle w:val="PageNumber"/>
              <w:caps w:val="0"/>
            </w:rPr>
          </w:pPr>
          <w:r w:rsidRPr="00752FFF">
            <w:rPr>
              <w:rStyle w:val="PageNumber"/>
              <w:caps w:val="0"/>
            </w:rPr>
            <w:fldChar w:fldCharType="begin"/>
          </w:r>
          <w:r w:rsidRPr="00752FFF">
            <w:rPr>
              <w:rStyle w:val="PageNumber"/>
              <w:caps w:val="0"/>
            </w:rPr>
            <w:instrText xml:space="preserve">PAGE  </w:instrText>
          </w:r>
          <w:r w:rsidRPr="00752FFF">
            <w:rPr>
              <w:rStyle w:val="PageNumber"/>
              <w:caps w:val="0"/>
            </w:rPr>
            <w:fldChar w:fldCharType="separate"/>
          </w:r>
          <w:r w:rsidR="00D35E3D">
            <w:rPr>
              <w:rStyle w:val="PageNumber"/>
              <w:caps w:val="0"/>
              <w:noProof/>
            </w:rPr>
            <w:t>iv</w:t>
          </w:r>
          <w:r w:rsidRPr="00752FFF">
            <w:rPr>
              <w:rStyle w:val="PageNumber"/>
              <w:caps w:val="0"/>
            </w:rPr>
            <w:fldChar w:fldCharType="end"/>
          </w:r>
        </w:p>
      </w:tc>
      <w:tc>
        <w:tcPr>
          <w:tcW w:w="7767" w:type="dxa"/>
        </w:tcPr>
        <w:p w:rsidR="00064540" w:rsidRPr="0013739A" w:rsidRDefault="00064540" w:rsidP="00F91E0D">
          <w:pPr>
            <w:pStyle w:val="Footer"/>
            <w:rPr>
              <w:rFonts w:cs="Arial"/>
            </w:rPr>
          </w:pPr>
          <w:r>
            <w:rPr>
              <w:rFonts w:cs="Arial"/>
            </w:rPr>
            <w:t xml:space="preserve">service use measure definitions manual </w:t>
          </w:r>
        </w:p>
      </w:tc>
      <w:tc>
        <w:tcPr>
          <w:tcW w:w="510" w:type="dxa"/>
        </w:tcPr>
        <w:p w:rsidR="00064540" w:rsidRDefault="00064540" w:rsidP="0019293B">
          <w:pPr>
            <w:pStyle w:val="Footer"/>
          </w:pPr>
        </w:p>
      </w:tc>
    </w:tr>
  </w:tbl>
  <w:p w:rsidR="00064540" w:rsidRDefault="00064540" w:rsidP="0019293B">
    <w:pPr>
      <w:pStyle w:val="FooterEnd"/>
    </w:pPr>
  </w:p>
  <w:p w:rsidR="00064540" w:rsidRDefault="00064540">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44F69" w:rsidTr="005F48ED">
      <w:trPr>
        <w:trHeight w:hRule="exact" w:val="567"/>
      </w:trPr>
      <w:tc>
        <w:tcPr>
          <w:tcW w:w="510" w:type="dxa"/>
        </w:tcPr>
        <w:p w:rsidR="00944F69" w:rsidRDefault="00944F69">
          <w:pPr>
            <w:pStyle w:val="Footer"/>
            <w:ind w:right="360" w:firstLine="360"/>
          </w:pPr>
        </w:p>
      </w:tc>
      <w:tc>
        <w:tcPr>
          <w:tcW w:w="7767" w:type="dxa"/>
        </w:tcPr>
        <w:p w:rsidR="00944F69" w:rsidRPr="00BA5B14" w:rsidRDefault="00944F69" w:rsidP="00B2262F">
          <w:pPr>
            <w:pStyle w:val="Footer"/>
            <w:jc w:val="right"/>
            <w:rPr>
              <w:rFonts w:cs="Arial"/>
            </w:rPr>
          </w:pPr>
          <w:r>
            <w:rPr>
              <w:rFonts w:cs="Arial"/>
            </w:rPr>
            <w:t>introduction</w:t>
          </w:r>
        </w:p>
      </w:tc>
      <w:tc>
        <w:tcPr>
          <w:tcW w:w="510" w:type="dxa"/>
        </w:tcPr>
        <w:p w:rsidR="00944F69" w:rsidRPr="00A24443" w:rsidRDefault="00944F6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35E3D">
            <w:rPr>
              <w:rStyle w:val="PageNumber"/>
              <w:caps w:val="0"/>
              <w:noProof/>
            </w:rPr>
            <w:t>7</w:t>
          </w:r>
          <w:r w:rsidRPr="00A24443">
            <w:rPr>
              <w:rStyle w:val="PageNumber"/>
              <w:caps w:val="0"/>
            </w:rPr>
            <w:fldChar w:fldCharType="end"/>
          </w:r>
        </w:p>
      </w:tc>
    </w:tr>
  </w:tbl>
  <w:p w:rsidR="00944F69" w:rsidRDefault="00944F69">
    <w:pPr>
      <w:pStyle w:val="FooterEnd"/>
    </w:pPr>
  </w:p>
  <w:p w:rsidR="00944F69" w:rsidRPr="009A7F87" w:rsidRDefault="00944F69" w:rsidP="009A7F87">
    <w:pPr>
      <w:pStyle w:val="FooterEn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44F69" w:rsidTr="005F48ED">
      <w:trPr>
        <w:trHeight w:hRule="exact" w:val="567"/>
      </w:trPr>
      <w:tc>
        <w:tcPr>
          <w:tcW w:w="510" w:type="dxa"/>
        </w:tcPr>
        <w:p w:rsidR="00944F69" w:rsidRPr="00A24443" w:rsidRDefault="00944F6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35E3D">
            <w:rPr>
              <w:rStyle w:val="PageNumber"/>
              <w:caps w:val="0"/>
              <w:noProof/>
            </w:rPr>
            <w:t>12</w:t>
          </w:r>
          <w:r w:rsidRPr="00A24443">
            <w:rPr>
              <w:rStyle w:val="PageNumber"/>
              <w:caps w:val="0"/>
            </w:rPr>
            <w:fldChar w:fldCharType="end"/>
          </w:r>
        </w:p>
      </w:tc>
      <w:tc>
        <w:tcPr>
          <w:tcW w:w="7767" w:type="dxa"/>
        </w:tcPr>
        <w:p w:rsidR="00944F69" w:rsidRPr="0013739A" w:rsidRDefault="00944F69" w:rsidP="00B2262F">
          <w:pPr>
            <w:pStyle w:val="Footer"/>
            <w:rPr>
              <w:rFonts w:cs="Arial"/>
            </w:rPr>
          </w:pPr>
          <w:r>
            <w:rPr>
              <w:rFonts w:cs="Arial"/>
            </w:rPr>
            <w:t>Service use measure definitions manual</w:t>
          </w:r>
        </w:p>
      </w:tc>
      <w:tc>
        <w:tcPr>
          <w:tcW w:w="510" w:type="dxa"/>
        </w:tcPr>
        <w:p w:rsidR="00944F69" w:rsidRDefault="00944F69" w:rsidP="0019293B">
          <w:pPr>
            <w:pStyle w:val="Footer"/>
          </w:pPr>
        </w:p>
      </w:tc>
    </w:tr>
  </w:tbl>
  <w:p w:rsidR="00944F69" w:rsidRDefault="00944F69" w:rsidP="0019293B">
    <w:pPr>
      <w:pStyle w:val="FooterEnd"/>
    </w:pPr>
  </w:p>
  <w:p w:rsidR="00944F69" w:rsidRPr="009A7F87" w:rsidRDefault="00944F69" w:rsidP="009A7F87">
    <w:pPr>
      <w:pStyle w:val="FooterEn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44F69" w:rsidTr="005F48ED">
      <w:trPr>
        <w:trHeight w:hRule="exact" w:val="567"/>
      </w:trPr>
      <w:tc>
        <w:tcPr>
          <w:tcW w:w="510" w:type="dxa"/>
        </w:tcPr>
        <w:p w:rsidR="00944F69" w:rsidRDefault="00944F69">
          <w:pPr>
            <w:pStyle w:val="Footer"/>
            <w:ind w:right="360" w:firstLine="360"/>
          </w:pPr>
        </w:p>
      </w:tc>
      <w:tc>
        <w:tcPr>
          <w:tcW w:w="7767" w:type="dxa"/>
        </w:tcPr>
        <w:p w:rsidR="00944F69" w:rsidRPr="00BA5B14" w:rsidRDefault="00944F69" w:rsidP="00B2262F">
          <w:pPr>
            <w:pStyle w:val="Footer"/>
            <w:jc w:val="right"/>
            <w:rPr>
              <w:rFonts w:cs="Arial"/>
            </w:rPr>
          </w:pPr>
          <w:r>
            <w:rPr>
              <w:rFonts w:cs="Arial"/>
            </w:rPr>
            <w:t>prorating mainstream expenditure</w:t>
          </w:r>
        </w:p>
      </w:tc>
      <w:tc>
        <w:tcPr>
          <w:tcW w:w="510" w:type="dxa"/>
        </w:tcPr>
        <w:p w:rsidR="00944F69" w:rsidRPr="00A24443" w:rsidRDefault="00944F6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35E3D">
            <w:rPr>
              <w:rStyle w:val="PageNumber"/>
              <w:caps w:val="0"/>
              <w:noProof/>
            </w:rPr>
            <w:t>13</w:t>
          </w:r>
          <w:r w:rsidRPr="00A24443">
            <w:rPr>
              <w:rStyle w:val="PageNumber"/>
              <w:caps w:val="0"/>
            </w:rPr>
            <w:fldChar w:fldCharType="end"/>
          </w:r>
        </w:p>
      </w:tc>
    </w:tr>
  </w:tbl>
  <w:p w:rsidR="00944F69" w:rsidRDefault="00944F69">
    <w:pPr>
      <w:pStyle w:val="FooterEnd"/>
    </w:pPr>
  </w:p>
  <w:p w:rsidR="00944F69" w:rsidRPr="009A7F87" w:rsidRDefault="00944F69" w:rsidP="009A7F87">
    <w:pPr>
      <w:pStyle w:val="FooterEn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44F69" w:rsidTr="005F48ED">
      <w:trPr>
        <w:trHeight w:hRule="exact" w:val="567"/>
      </w:trPr>
      <w:tc>
        <w:tcPr>
          <w:tcW w:w="510" w:type="dxa"/>
        </w:tcPr>
        <w:p w:rsidR="00944F69" w:rsidRPr="00A24443" w:rsidRDefault="00944F6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35E3D">
            <w:rPr>
              <w:rStyle w:val="PageNumber"/>
              <w:caps w:val="0"/>
              <w:noProof/>
            </w:rPr>
            <w:t>18</w:t>
          </w:r>
          <w:r w:rsidRPr="00A24443">
            <w:rPr>
              <w:rStyle w:val="PageNumber"/>
              <w:caps w:val="0"/>
            </w:rPr>
            <w:fldChar w:fldCharType="end"/>
          </w:r>
        </w:p>
      </w:tc>
      <w:tc>
        <w:tcPr>
          <w:tcW w:w="7767" w:type="dxa"/>
        </w:tcPr>
        <w:p w:rsidR="00944F69" w:rsidRPr="0013739A" w:rsidRDefault="00944F69" w:rsidP="00933AEE">
          <w:pPr>
            <w:pStyle w:val="Footer"/>
            <w:rPr>
              <w:rFonts w:cs="Arial"/>
            </w:rPr>
          </w:pPr>
          <w:r>
            <w:rPr>
              <w:rFonts w:cs="Arial"/>
            </w:rPr>
            <w:t>service use measure definitions manual</w:t>
          </w:r>
        </w:p>
      </w:tc>
      <w:tc>
        <w:tcPr>
          <w:tcW w:w="510" w:type="dxa"/>
        </w:tcPr>
        <w:p w:rsidR="00944F69" w:rsidRDefault="00944F69" w:rsidP="0019293B">
          <w:pPr>
            <w:pStyle w:val="Footer"/>
          </w:pPr>
        </w:p>
      </w:tc>
    </w:tr>
  </w:tbl>
  <w:p w:rsidR="00944F69" w:rsidRDefault="00944F69" w:rsidP="0019293B">
    <w:pPr>
      <w:pStyle w:val="FooterEnd"/>
    </w:pPr>
  </w:p>
  <w:p w:rsidR="00944F69" w:rsidRPr="009A7F87" w:rsidRDefault="00944F69" w:rsidP="009A7F87">
    <w:pPr>
      <w:pStyle w:val="FooterEnd"/>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44F69" w:rsidTr="005F48ED">
      <w:trPr>
        <w:trHeight w:hRule="exact" w:val="567"/>
      </w:trPr>
      <w:tc>
        <w:tcPr>
          <w:tcW w:w="510" w:type="dxa"/>
        </w:tcPr>
        <w:p w:rsidR="00944F69" w:rsidRDefault="00944F69">
          <w:pPr>
            <w:pStyle w:val="Footer"/>
            <w:ind w:right="360" w:firstLine="360"/>
          </w:pPr>
        </w:p>
      </w:tc>
      <w:tc>
        <w:tcPr>
          <w:tcW w:w="7767" w:type="dxa"/>
        </w:tcPr>
        <w:p w:rsidR="00944F69" w:rsidRPr="00BA5B14" w:rsidRDefault="00944F69" w:rsidP="00933AEE">
          <w:pPr>
            <w:pStyle w:val="Footer"/>
            <w:jc w:val="right"/>
            <w:rPr>
              <w:rFonts w:cs="Arial"/>
            </w:rPr>
          </w:pPr>
          <w:r>
            <w:rPr>
              <w:rFonts w:cs="Arial"/>
            </w:rPr>
            <w:t>identifying service use measures</w:t>
          </w:r>
        </w:p>
      </w:tc>
      <w:tc>
        <w:tcPr>
          <w:tcW w:w="510" w:type="dxa"/>
        </w:tcPr>
        <w:p w:rsidR="00944F69" w:rsidRPr="00A24443" w:rsidRDefault="00944F6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35E3D">
            <w:rPr>
              <w:rStyle w:val="PageNumber"/>
              <w:caps w:val="0"/>
              <w:noProof/>
            </w:rPr>
            <w:t>19</w:t>
          </w:r>
          <w:r w:rsidRPr="00A24443">
            <w:rPr>
              <w:rStyle w:val="PageNumber"/>
              <w:caps w:val="0"/>
            </w:rPr>
            <w:fldChar w:fldCharType="end"/>
          </w:r>
        </w:p>
      </w:tc>
    </w:tr>
  </w:tbl>
  <w:p w:rsidR="00944F69" w:rsidRDefault="00944F69">
    <w:pPr>
      <w:pStyle w:val="FooterEnd"/>
    </w:pPr>
  </w:p>
  <w:p w:rsidR="00944F69" w:rsidRPr="009A7F87" w:rsidRDefault="00944F69" w:rsidP="009A7F87">
    <w:pPr>
      <w:pStyle w:val="FooterEnd"/>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44F69" w:rsidTr="005F48ED">
      <w:trPr>
        <w:trHeight w:hRule="exact" w:val="567"/>
      </w:trPr>
      <w:tc>
        <w:tcPr>
          <w:tcW w:w="510" w:type="dxa"/>
        </w:tcPr>
        <w:p w:rsidR="00944F69" w:rsidRPr="00A24443" w:rsidRDefault="00944F6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35E3D">
            <w:rPr>
              <w:rStyle w:val="PageNumber"/>
              <w:caps w:val="0"/>
              <w:noProof/>
            </w:rPr>
            <w:t>26</w:t>
          </w:r>
          <w:r w:rsidRPr="00A24443">
            <w:rPr>
              <w:rStyle w:val="PageNumber"/>
              <w:caps w:val="0"/>
            </w:rPr>
            <w:fldChar w:fldCharType="end"/>
          </w:r>
        </w:p>
      </w:tc>
      <w:tc>
        <w:tcPr>
          <w:tcW w:w="7767" w:type="dxa"/>
        </w:tcPr>
        <w:p w:rsidR="00944F69" w:rsidRPr="0013739A" w:rsidRDefault="00944F69" w:rsidP="00933AEE">
          <w:pPr>
            <w:pStyle w:val="Footer"/>
            <w:rPr>
              <w:rFonts w:cs="Arial"/>
            </w:rPr>
          </w:pPr>
          <w:r>
            <w:rPr>
              <w:rFonts w:cs="Arial"/>
            </w:rPr>
            <w:t>service use measure definitions manual</w:t>
          </w:r>
        </w:p>
      </w:tc>
      <w:tc>
        <w:tcPr>
          <w:tcW w:w="510" w:type="dxa"/>
        </w:tcPr>
        <w:p w:rsidR="00944F69" w:rsidRDefault="00944F69" w:rsidP="0019293B">
          <w:pPr>
            <w:pStyle w:val="Footer"/>
          </w:pPr>
        </w:p>
      </w:tc>
    </w:tr>
  </w:tbl>
  <w:p w:rsidR="00944F69" w:rsidRDefault="00944F69" w:rsidP="0019293B">
    <w:pPr>
      <w:pStyle w:val="FooterEnd"/>
    </w:pPr>
  </w:p>
  <w:p w:rsidR="00944F69" w:rsidRPr="009A7F87" w:rsidRDefault="00944F69" w:rsidP="009A7F87">
    <w:pPr>
      <w:pStyle w:val="FooterEnd"/>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44F69" w:rsidTr="005F48ED">
      <w:trPr>
        <w:trHeight w:hRule="exact" w:val="567"/>
      </w:trPr>
      <w:tc>
        <w:tcPr>
          <w:tcW w:w="510" w:type="dxa"/>
        </w:tcPr>
        <w:p w:rsidR="00944F69" w:rsidRDefault="00944F69">
          <w:pPr>
            <w:pStyle w:val="Footer"/>
            <w:ind w:right="360" w:firstLine="360"/>
          </w:pPr>
        </w:p>
      </w:tc>
      <w:tc>
        <w:tcPr>
          <w:tcW w:w="7767" w:type="dxa"/>
        </w:tcPr>
        <w:p w:rsidR="00944F69" w:rsidRPr="00BA5B14" w:rsidRDefault="00944F69" w:rsidP="00933AEE">
          <w:pPr>
            <w:pStyle w:val="Footer"/>
            <w:jc w:val="right"/>
            <w:rPr>
              <w:rFonts w:cs="Arial"/>
            </w:rPr>
          </w:pPr>
          <w:r>
            <w:rPr>
              <w:rFonts w:cs="Arial"/>
            </w:rPr>
            <w:t>adjusting for indigenous under-identification</w:t>
          </w:r>
        </w:p>
      </w:tc>
      <w:tc>
        <w:tcPr>
          <w:tcW w:w="510" w:type="dxa"/>
        </w:tcPr>
        <w:p w:rsidR="00944F69" w:rsidRPr="00A24443" w:rsidRDefault="00944F6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35E3D">
            <w:rPr>
              <w:rStyle w:val="PageNumber"/>
              <w:caps w:val="0"/>
              <w:noProof/>
            </w:rPr>
            <w:t>25</w:t>
          </w:r>
          <w:r w:rsidRPr="00A24443">
            <w:rPr>
              <w:rStyle w:val="PageNumber"/>
              <w:caps w:val="0"/>
            </w:rPr>
            <w:fldChar w:fldCharType="end"/>
          </w:r>
        </w:p>
      </w:tc>
    </w:tr>
  </w:tbl>
  <w:p w:rsidR="00944F69" w:rsidRDefault="00944F69">
    <w:pPr>
      <w:pStyle w:val="FooterEnd"/>
    </w:pPr>
  </w:p>
  <w:p w:rsidR="00944F69" w:rsidRPr="009A7F87" w:rsidRDefault="00944F69" w:rsidP="009A7F87">
    <w:pPr>
      <w:pStyle w:val="FooterEnd"/>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44F69" w:rsidTr="005F48ED">
      <w:trPr>
        <w:trHeight w:hRule="exact" w:val="567"/>
      </w:trPr>
      <w:tc>
        <w:tcPr>
          <w:tcW w:w="510" w:type="dxa"/>
        </w:tcPr>
        <w:p w:rsidR="00944F69" w:rsidRPr="00A24443" w:rsidRDefault="00944F6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35E3D">
            <w:rPr>
              <w:rStyle w:val="PageNumber"/>
              <w:caps w:val="0"/>
              <w:noProof/>
            </w:rPr>
            <w:t>36</w:t>
          </w:r>
          <w:r w:rsidRPr="00A24443">
            <w:rPr>
              <w:rStyle w:val="PageNumber"/>
              <w:caps w:val="0"/>
            </w:rPr>
            <w:fldChar w:fldCharType="end"/>
          </w:r>
        </w:p>
      </w:tc>
      <w:tc>
        <w:tcPr>
          <w:tcW w:w="7767" w:type="dxa"/>
        </w:tcPr>
        <w:p w:rsidR="00944F69" w:rsidRPr="0013739A" w:rsidRDefault="00944F69" w:rsidP="000C0692">
          <w:pPr>
            <w:pStyle w:val="Footer"/>
            <w:rPr>
              <w:rFonts w:cs="Arial"/>
            </w:rPr>
          </w:pPr>
          <w:r>
            <w:rPr>
              <w:rFonts w:cs="Arial"/>
            </w:rPr>
            <w:t>service use measure definitions manual</w:t>
          </w:r>
        </w:p>
      </w:tc>
      <w:tc>
        <w:tcPr>
          <w:tcW w:w="510" w:type="dxa"/>
        </w:tcPr>
        <w:p w:rsidR="00944F69" w:rsidRDefault="00944F69" w:rsidP="0019293B">
          <w:pPr>
            <w:pStyle w:val="Footer"/>
          </w:pPr>
        </w:p>
      </w:tc>
    </w:tr>
  </w:tbl>
  <w:p w:rsidR="00944F69" w:rsidRDefault="00944F69" w:rsidP="0019293B">
    <w:pPr>
      <w:pStyle w:val="FooterEnd"/>
    </w:pPr>
  </w:p>
  <w:p w:rsidR="00944F69" w:rsidRPr="009A7F87" w:rsidRDefault="00944F69" w:rsidP="009A7F87">
    <w:pPr>
      <w:pStyle w:val="FooterEnd"/>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44F69" w:rsidTr="005F48ED">
      <w:trPr>
        <w:trHeight w:hRule="exact" w:val="567"/>
      </w:trPr>
      <w:tc>
        <w:tcPr>
          <w:tcW w:w="510" w:type="dxa"/>
        </w:tcPr>
        <w:p w:rsidR="00944F69" w:rsidRDefault="00944F69">
          <w:pPr>
            <w:pStyle w:val="Footer"/>
            <w:ind w:right="360" w:firstLine="360"/>
          </w:pPr>
        </w:p>
      </w:tc>
      <w:tc>
        <w:tcPr>
          <w:tcW w:w="7767" w:type="dxa"/>
        </w:tcPr>
        <w:p w:rsidR="00944F69" w:rsidRPr="00BA5B14" w:rsidRDefault="00944F69" w:rsidP="000C0692">
          <w:pPr>
            <w:pStyle w:val="Footer"/>
            <w:jc w:val="right"/>
            <w:rPr>
              <w:rFonts w:cs="Arial"/>
            </w:rPr>
          </w:pPr>
          <w:r>
            <w:rPr>
              <w:rFonts w:cs="Arial"/>
            </w:rPr>
            <w:t>adjusting for cost differentials</w:t>
          </w:r>
        </w:p>
      </w:tc>
      <w:tc>
        <w:tcPr>
          <w:tcW w:w="510" w:type="dxa"/>
        </w:tcPr>
        <w:p w:rsidR="00944F69" w:rsidRPr="00A24443" w:rsidRDefault="00944F6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35E3D">
            <w:rPr>
              <w:rStyle w:val="PageNumber"/>
              <w:caps w:val="0"/>
              <w:noProof/>
            </w:rPr>
            <w:t>37</w:t>
          </w:r>
          <w:r w:rsidRPr="00A24443">
            <w:rPr>
              <w:rStyle w:val="PageNumber"/>
              <w:caps w:val="0"/>
            </w:rPr>
            <w:fldChar w:fldCharType="end"/>
          </w:r>
        </w:p>
      </w:tc>
    </w:tr>
  </w:tbl>
  <w:p w:rsidR="00944F69" w:rsidRDefault="00944F69">
    <w:pPr>
      <w:pStyle w:val="FooterEnd"/>
    </w:pPr>
  </w:p>
  <w:p w:rsidR="00944F69" w:rsidRPr="009A7F87" w:rsidRDefault="00944F69" w:rsidP="009A7F87">
    <w:pPr>
      <w:pStyle w:val="FooterEnd"/>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44F69" w:rsidTr="005F48ED">
      <w:trPr>
        <w:trHeight w:hRule="exact" w:val="567"/>
      </w:trPr>
      <w:tc>
        <w:tcPr>
          <w:tcW w:w="510" w:type="dxa"/>
        </w:tcPr>
        <w:p w:rsidR="00944F69" w:rsidRPr="00A24443" w:rsidRDefault="00944F6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35E3D">
            <w:rPr>
              <w:rStyle w:val="PageNumber"/>
              <w:caps w:val="0"/>
              <w:noProof/>
            </w:rPr>
            <w:t>42</w:t>
          </w:r>
          <w:r w:rsidRPr="00A24443">
            <w:rPr>
              <w:rStyle w:val="PageNumber"/>
              <w:caps w:val="0"/>
            </w:rPr>
            <w:fldChar w:fldCharType="end"/>
          </w:r>
        </w:p>
      </w:tc>
      <w:tc>
        <w:tcPr>
          <w:tcW w:w="7767" w:type="dxa"/>
        </w:tcPr>
        <w:p w:rsidR="00944F69" w:rsidRPr="0013739A" w:rsidRDefault="00944F69" w:rsidP="000C0692">
          <w:pPr>
            <w:pStyle w:val="Footer"/>
            <w:rPr>
              <w:rFonts w:cs="Arial"/>
            </w:rPr>
          </w:pPr>
          <w:r>
            <w:rPr>
              <w:rFonts w:cs="Arial"/>
            </w:rPr>
            <w:t>service use measure definitions manual</w:t>
          </w:r>
        </w:p>
      </w:tc>
      <w:tc>
        <w:tcPr>
          <w:tcW w:w="510" w:type="dxa"/>
        </w:tcPr>
        <w:p w:rsidR="00944F69" w:rsidRDefault="00944F69" w:rsidP="0019293B">
          <w:pPr>
            <w:pStyle w:val="Footer"/>
          </w:pPr>
        </w:p>
      </w:tc>
    </w:tr>
  </w:tbl>
  <w:p w:rsidR="00944F69" w:rsidRDefault="00944F69" w:rsidP="0019293B">
    <w:pPr>
      <w:pStyle w:val="FooterEnd"/>
    </w:pPr>
  </w:p>
  <w:p w:rsidR="00944F69" w:rsidRPr="009A7F87" w:rsidRDefault="00944F69" w:rsidP="009A7F87">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64540" w:rsidTr="005F48ED">
      <w:trPr>
        <w:trHeight w:hRule="exact" w:val="567"/>
      </w:trPr>
      <w:tc>
        <w:tcPr>
          <w:tcW w:w="510" w:type="dxa"/>
        </w:tcPr>
        <w:p w:rsidR="00064540" w:rsidRDefault="00064540">
          <w:pPr>
            <w:pStyle w:val="Footer"/>
            <w:ind w:right="360" w:firstLine="360"/>
          </w:pPr>
        </w:p>
      </w:tc>
      <w:tc>
        <w:tcPr>
          <w:tcW w:w="7767" w:type="dxa"/>
        </w:tcPr>
        <w:p w:rsidR="00064540" w:rsidRPr="00752FFF" w:rsidRDefault="00064540" w:rsidP="00752FFF">
          <w:pPr>
            <w:pStyle w:val="Footer"/>
            <w:jc w:val="right"/>
            <w:rPr>
              <w:rFonts w:cs="Arial"/>
            </w:rPr>
          </w:pPr>
          <w:r w:rsidRPr="00BF3E69">
            <w:rPr>
              <w:bCs/>
              <w:noProof/>
              <w:lang w:val="en-US"/>
            </w:rPr>
            <w:t>Terms of reference</w:t>
          </w:r>
        </w:p>
      </w:tc>
      <w:tc>
        <w:tcPr>
          <w:tcW w:w="510" w:type="dxa"/>
        </w:tcPr>
        <w:p w:rsidR="00064540" w:rsidRPr="00A24443" w:rsidRDefault="0006454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35E3D">
            <w:rPr>
              <w:rStyle w:val="PageNumber"/>
              <w:caps w:val="0"/>
              <w:noProof/>
            </w:rPr>
            <w:t>iii</w:t>
          </w:r>
          <w:r w:rsidRPr="00A24443">
            <w:rPr>
              <w:rStyle w:val="PageNumber"/>
              <w:caps w:val="0"/>
            </w:rPr>
            <w:fldChar w:fldCharType="end"/>
          </w:r>
        </w:p>
      </w:tc>
    </w:tr>
  </w:tbl>
  <w:p w:rsidR="00064540" w:rsidRDefault="00064540">
    <w:pPr>
      <w:pStyle w:val="FooterEnd"/>
    </w:pPr>
  </w:p>
  <w:p w:rsidR="00064540" w:rsidRPr="00D01645" w:rsidRDefault="00064540" w:rsidP="00D01645">
    <w:pPr>
      <w:pStyle w:val="FooterEnd"/>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44F69" w:rsidTr="005F48ED">
      <w:trPr>
        <w:trHeight w:hRule="exact" w:val="567"/>
      </w:trPr>
      <w:tc>
        <w:tcPr>
          <w:tcW w:w="510" w:type="dxa"/>
        </w:tcPr>
        <w:p w:rsidR="00944F69" w:rsidRDefault="00944F69">
          <w:pPr>
            <w:pStyle w:val="Footer"/>
            <w:ind w:right="360" w:firstLine="360"/>
          </w:pPr>
        </w:p>
      </w:tc>
      <w:tc>
        <w:tcPr>
          <w:tcW w:w="7767" w:type="dxa"/>
        </w:tcPr>
        <w:p w:rsidR="00944F69" w:rsidRPr="00BA5B14" w:rsidRDefault="00944F69" w:rsidP="000C0692">
          <w:pPr>
            <w:pStyle w:val="Footer"/>
            <w:jc w:val="right"/>
            <w:rPr>
              <w:rFonts w:cs="Arial"/>
            </w:rPr>
          </w:pPr>
          <w:r>
            <w:rPr>
              <w:rFonts w:cs="Arial"/>
            </w:rPr>
            <w:t>indigenous specific expenditure</w:t>
          </w:r>
        </w:p>
      </w:tc>
      <w:tc>
        <w:tcPr>
          <w:tcW w:w="510" w:type="dxa"/>
        </w:tcPr>
        <w:p w:rsidR="00944F69" w:rsidRPr="00A24443" w:rsidRDefault="00944F6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35E3D">
            <w:rPr>
              <w:rStyle w:val="PageNumber"/>
              <w:caps w:val="0"/>
              <w:noProof/>
            </w:rPr>
            <w:t>43</w:t>
          </w:r>
          <w:r w:rsidRPr="00A24443">
            <w:rPr>
              <w:rStyle w:val="PageNumber"/>
              <w:caps w:val="0"/>
            </w:rPr>
            <w:fldChar w:fldCharType="end"/>
          </w:r>
        </w:p>
      </w:tc>
    </w:tr>
  </w:tbl>
  <w:p w:rsidR="00944F69" w:rsidRDefault="00944F69">
    <w:pPr>
      <w:pStyle w:val="FooterEnd"/>
    </w:pPr>
  </w:p>
  <w:p w:rsidR="00944F69" w:rsidRPr="009A7F87" w:rsidRDefault="00944F69" w:rsidP="009A7F87">
    <w:pPr>
      <w:pStyle w:val="FooterEnd"/>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44F69" w:rsidTr="005F48ED">
      <w:trPr>
        <w:trHeight w:hRule="exact" w:val="567"/>
      </w:trPr>
      <w:tc>
        <w:tcPr>
          <w:tcW w:w="510" w:type="dxa"/>
        </w:tcPr>
        <w:p w:rsidR="00944F69" w:rsidRPr="00A24443" w:rsidRDefault="00944F6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35E3D">
            <w:rPr>
              <w:rStyle w:val="PageNumber"/>
              <w:caps w:val="0"/>
              <w:noProof/>
            </w:rPr>
            <w:t>48</w:t>
          </w:r>
          <w:r w:rsidRPr="00A24443">
            <w:rPr>
              <w:rStyle w:val="PageNumber"/>
              <w:caps w:val="0"/>
            </w:rPr>
            <w:fldChar w:fldCharType="end"/>
          </w:r>
        </w:p>
      </w:tc>
      <w:tc>
        <w:tcPr>
          <w:tcW w:w="7767" w:type="dxa"/>
        </w:tcPr>
        <w:p w:rsidR="00944F69" w:rsidRPr="0013739A" w:rsidRDefault="00944F69" w:rsidP="00977D21">
          <w:pPr>
            <w:pStyle w:val="Footer"/>
            <w:rPr>
              <w:rFonts w:cs="Arial"/>
            </w:rPr>
          </w:pPr>
          <w:r>
            <w:rPr>
              <w:rFonts w:cs="Arial"/>
            </w:rPr>
            <w:t>service use measure definitions manual</w:t>
          </w:r>
        </w:p>
      </w:tc>
      <w:tc>
        <w:tcPr>
          <w:tcW w:w="510" w:type="dxa"/>
        </w:tcPr>
        <w:p w:rsidR="00944F69" w:rsidRDefault="00944F69" w:rsidP="0019293B">
          <w:pPr>
            <w:pStyle w:val="Footer"/>
          </w:pPr>
        </w:p>
      </w:tc>
    </w:tr>
  </w:tbl>
  <w:p w:rsidR="00944F69" w:rsidRDefault="00944F69" w:rsidP="0019293B">
    <w:pPr>
      <w:pStyle w:val="FooterEnd"/>
    </w:pPr>
  </w:p>
  <w:p w:rsidR="00944F69" w:rsidRPr="009A7F87" w:rsidRDefault="00944F69" w:rsidP="009A7F87">
    <w:pPr>
      <w:pStyle w:val="FooterEnd"/>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44F69" w:rsidTr="005F48ED">
      <w:trPr>
        <w:trHeight w:hRule="exact" w:val="567"/>
      </w:trPr>
      <w:tc>
        <w:tcPr>
          <w:tcW w:w="510" w:type="dxa"/>
        </w:tcPr>
        <w:p w:rsidR="00944F69" w:rsidRDefault="00944F69">
          <w:pPr>
            <w:pStyle w:val="Footer"/>
            <w:ind w:right="360" w:firstLine="360"/>
          </w:pPr>
        </w:p>
      </w:tc>
      <w:tc>
        <w:tcPr>
          <w:tcW w:w="7767" w:type="dxa"/>
        </w:tcPr>
        <w:p w:rsidR="00944F69" w:rsidRPr="00BA5B14" w:rsidRDefault="00944F69" w:rsidP="00977D21">
          <w:pPr>
            <w:pStyle w:val="Footer"/>
            <w:jc w:val="right"/>
            <w:rPr>
              <w:rFonts w:cs="Arial"/>
            </w:rPr>
          </w:pPr>
          <w:r>
            <w:rPr>
              <w:rFonts w:cs="Arial"/>
            </w:rPr>
            <w:t>australian government expenditure by state and territory</w:t>
          </w:r>
        </w:p>
      </w:tc>
      <w:tc>
        <w:tcPr>
          <w:tcW w:w="510" w:type="dxa"/>
        </w:tcPr>
        <w:p w:rsidR="00944F69" w:rsidRPr="00A24443" w:rsidRDefault="00944F6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35E3D">
            <w:rPr>
              <w:rStyle w:val="PageNumber"/>
              <w:caps w:val="0"/>
              <w:noProof/>
            </w:rPr>
            <w:t>47</w:t>
          </w:r>
          <w:r w:rsidRPr="00A24443">
            <w:rPr>
              <w:rStyle w:val="PageNumber"/>
              <w:caps w:val="0"/>
            </w:rPr>
            <w:fldChar w:fldCharType="end"/>
          </w:r>
        </w:p>
      </w:tc>
    </w:tr>
  </w:tbl>
  <w:p w:rsidR="00944F69" w:rsidRDefault="00944F69">
    <w:pPr>
      <w:pStyle w:val="FooterEnd"/>
    </w:pPr>
  </w:p>
  <w:p w:rsidR="00944F69" w:rsidRPr="009A7F87" w:rsidRDefault="00944F69" w:rsidP="009A7F87">
    <w:pPr>
      <w:pStyle w:val="FooterEnd"/>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44F69" w:rsidTr="005F48ED">
      <w:trPr>
        <w:trHeight w:hRule="exact" w:val="567"/>
      </w:trPr>
      <w:tc>
        <w:tcPr>
          <w:tcW w:w="510" w:type="dxa"/>
        </w:tcPr>
        <w:p w:rsidR="00944F69" w:rsidRPr="00A24443" w:rsidRDefault="00944F6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35E3D">
            <w:rPr>
              <w:rStyle w:val="PageNumber"/>
              <w:caps w:val="0"/>
              <w:noProof/>
            </w:rPr>
            <w:t>54</w:t>
          </w:r>
          <w:r w:rsidRPr="00A24443">
            <w:rPr>
              <w:rStyle w:val="PageNumber"/>
              <w:caps w:val="0"/>
            </w:rPr>
            <w:fldChar w:fldCharType="end"/>
          </w:r>
        </w:p>
      </w:tc>
      <w:tc>
        <w:tcPr>
          <w:tcW w:w="7767" w:type="dxa"/>
        </w:tcPr>
        <w:p w:rsidR="00944F69" w:rsidRPr="0013739A" w:rsidRDefault="00944F69" w:rsidP="00F80BDF">
          <w:pPr>
            <w:pStyle w:val="Footer"/>
            <w:rPr>
              <w:rFonts w:cs="Arial"/>
            </w:rPr>
          </w:pPr>
          <w:r>
            <w:rPr>
              <w:rFonts w:cs="Arial"/>
            </w:rPr>
            <w:t>service use measure definitions manual</w:t>
          </w:r>
          <w:bookmarkStart w:id="25" w:name="DraftReportEven"/>
          <w:bookmarkEnd w:id="25"/>
        </w:p>
      </w:tc>
      <w:tc>
        <w:tcPr>
          <w:tcW w:w="510" w:type="dxa"/>
        </w:tcPr>
        <w:p w:rsidR="00944F69" w:rsidRDefault="00944F69" w:rsidP="0019293B">
          <w:pPr>
            <w:pStyle w:val="Footer"/>
          </w:pPr>
        </w:p>
      </w:tc>
    </w:tr>
  </w:tbl>
  <w:p w:rsidR="00944F69" w:rsidRDefault="00944F69" w:rsidP="0019293B">
    <w:pPr>
      <w:pStyle w:val="FooterEnd"/>
    </w:pPr>
  </w:p>
  <w:p w:rsidR="00944F69" w:rsidRPr="009A7F87" w:rsidRDefault="00944F69" w:rsidP="009A7F87">
    <w:pPr>
      <w:pStyle w:val="FooterEnd"/>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44F69" w:rsidTr="005F48ED">
      <w:trPr>
        <w:trHeight w:hRule="exact" w:val="567"/>
      </w:trPr>
      <w:tc>
        <w:tcPr>
          <w:tcW w:w="510" w:type="dxa"/>
        </w:tcPr>
        <w:p w:rsidR="00944F69" w:rsidRDefault="00944F69">
          <w:pPr>
            <w:pStyle w:val="Footer"/>
            <w:ind w:right="360" w:firstLine="360"/>
          </w:pPr>
        </w:p>
      </w:tc>
      <w:tc>
        <w:tcPr>
          <w:tcW w:w="7767" w:type="dxa"/>
        </w:tcPr>
        <w:p w:rsidR="00944F69" w:rsidRPr="00BA5B14" w:rsidRDefault="00944F69" w:rsidP="00F80BDF">
          <w:pPr>
            <w:pStyle w:val="Footer"/>
            <w:jc w:val="right"/>
            <w:rPr>
              <w:rFonts w:cs="Arial"/>
            </w:rPr>
          </w:pPr>
          <w:r>
            <w:rPr>
              <w:rFonts w:cs="Arial"/>
            </w:rPr>
            <w:t>sensitivity analysis</w:t>
          </w:r>
        </w:p>
      </w:tc>
      <w:tc>
        <w:tcPr>
          <w:tcW w:w="510" w:type="dxa"/>
        </w:tcPr>
        <w:p w:rsidR="00944F69" w:rsidRPr="00A24443" w:rsidRDefault="00944F6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35E3D">
            <w:rPr>
              <w:rStyle w:val="PageNumber"/>
              <w:caps w:val="0"/>
              <w:noProof/>
            </w:rPr>
            <w:t>55</w:t>
          </w:r>
          <w:r w:rsidRPr="00A24443">
            <w:rPr>
              <w:rStyle w:val="PageNumber"/>
              <w:caps w:val="0"/>
            </w:rPr>
            <w:fldChar w:fldCharType="end"/>
          </w:r>
        </w:p>
      </w:tc>
    </w:tr>
  </w:tbl>
  <w:p w:rsidR="00944F69" w:rsidRDefault="00944F69">
    <w:pPr>
      <w:pStyle w:val="FooterEnd"/>
    </w:pPr>
  </w:p>
  <w:p w:rsidR="00944F69" w:rsidRPr="009A7F87" w:rsidRDefault="00944F69" w:rsidP="009A7F87">
    <w:pPr>
      <w:pStyle w:val="FooterEnd"/>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Pr="009A7F87" w:rsidRDefault="00944F69" w:rsidP="009A7F8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56</w:t>
          </w:r>
          <w:r>
            <w:rPr>
              <w:rStyle w:val="PageNumber"/>
            </w:rPr>
            <w:fldChar w:fldCharType="end"/>
          </w:r>
        </w:p>
      </w:tc>
      <w:tc>
        <w:tcPr>
          <w:tcW w:w="7767" w:type="dxa"/>
          <w:tcBorders>
            <w:top w:val="single" w:sz="4" w:space="0" w:color="auto"/>
          </w:tcBorders>
          <w:shd w:val="clear" w:color="auto" w:fill="auto"/>
        </w:tcPr>
        <w:p w:rsidR="00944F69" w:rsidRDefault="00944F69" w:rsidP="009A7F87">
          <w:pPr>
            <w:pStyle w:val="Footer"/>
          </w:pPr>
          <w:r>
            <w:t>SERVICE USE MEASURE DEFINITIONS MANUAL</w:t>
          </w:r>
        </w:p>
      </w:tc>
      <w:tc>
        <w:tcPr>
          <w:tcW w:w="510" w:type="dxa"/>
          <w:tcBorders>
            <w:top w:val="single" w:sz="4" w:space="0" w:color="auto"/>
          </w:tcBorders>
          <w:shd w:val="clear" w:color="auto" w:fill="auto"/>
        </w:tcPr>
        <w:p w:rsidR="00944F69" w:rsidRDefault="00944F69" w:rsidP="009A7F87">
          <w:pPr>
            <w:pStyle w:val="Footer"/>
          </w:pPr>
        </w:p>
      </w:tc>
    </w:tr>
  </w:tbl>
  <w:p w:rsidR="00944F69" w:rsidRPr="009A7F87" w:rsidRDefault="00944F69" w:rsidP="009A7F87">
    <w:pPr>
      <w:pStyle w:val="FooterEnd"/>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Default="00944F69" w:rsidP="009A7F87">
          <w:pPr>
            <w:pStyle w:val="Footer"/>
          </w:pPr>
        </w:p>
      </w:tc>
      <w:tc>
        <w:tcPr>
          <w:tcW w:w="7767" w:type="dxa"/>
          <w:tcBorders>
            <w:top w:val="single" w:sz="4" w:space="0" w:color="auto"/>
          </w:tcBorders>
          <w:shd w:val="clear" w:color="auto" w:fill="auto"/>
        </w:tcPr>
        <w:p w:rsidR="00944F69" w:rsidRDefault="00944F69" w:rsidP="009A7F87">
          <w:pPr>
            <w:pStyle w:val="Footer"/>
            <w:jc w:val="right"/>
          </w:pPr>
          <w:r>
            <w:t>SERVICE USE MEASURE DEFINITIONS</w:t>
          </w:r>
        </w:p>
      </w:tc>
      <w:tc>
        <w:tcPr>
          <w:tcW w:w="510" w:type="dxa"/>
          <w:tcBorders>
            <w:top w:val="single" w:sz="4" w:space="0" w:color="auto"/>
          </w:tcBorders>
          <w:shd w:val="clear" w:color="auto" w:fill="auto"/>
        </w:tcPr>
        <w:p w:rsidR="00944F69" w:rsidRPr="009A7F87" w:rsidRDefault="00944F69" w:rsidP="009A7F87">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57</w:t>
          </w:r>
          <w:r>
            <w:rPr>
              <w:rStyle w:val="PageNumber"/>
            </w:rPr>
            <w:fldChar w:fldCharType="end"/>
          </w:r>
        </w:p>
      </w:tc>
    </w:tr>
  </w:tbl>
  <w:p w:rsidR="00944F69" w:rsidRPr="009A7F87" w:rsidRDefault="00944F69" w:rsidP="009A7F87">
    <w:pPr>
      <w:pStyle w:val="FooterEnd"/>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FooterEnd"/>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FooterEnd"/>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Pr="009A7F87" w:rsidRDefault="00944F69" w:rsidP="009A7F8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62</w:t>
          </w:r>
          <w:r>
            <w:rPr>
              <w:rStyle w:val="PageNumber"/>
            </w:rPr>
            <w:fldChar w:fldCharType="end"/>
          </w:r>
        </w:p>
      </w:tc>
      <w:tc>
        <w:tcPr>
          <w:tcW w:w="7767" w:type="dxa"/>
          <w:tcBorders>
            <w:top w:val="single" w:sz="4" w:space="0" w:color="auto"/>
          </w:tcBorders>
          <w:shd w:val="clear" w:color="auto" w:fill="auto"/>
        </w:tcPr>
        <w:p w:rsidR="00944F69" w:rsidRDefault="00944F69" w:rsidP="009A7F87">
          <w:pPr>
            <w:pStyle w:val="Footer"/>
          </w:pPr>
          <w:r>
            <w:t>SERVICE USE MEASURE DEFINITIONS MANUAL</w:t>
          </w:r>
        </w:p>
      </w:tc>
      <w:tc>
        <w:tcPr>
          <w:tcW w:w="510" w:type="dxa"/>
          <w:tcBorders>
            <w:top w:val="single" w:sz="4" w:space="0" w:color="auto"/>
          </w:tcBorders>
          <w:shd w:val="clear" w:color="auto" w:fill="auto"/>
        </w:tcPr>
        <w:p w:rsidR="00944F69" w:rsidRDefault="00944F69" w:rsidP="009A7F87">
          <w:pPr>
            <w:pStyle w:val="Footer"/>
          </w:pPr>
        </w:p>
      </w:tc>
    </w:tr>
  </w:tbl>
  <w:p w:rsidR="00944F69" w:rsidRPr="009A7F87" w:rsidRDefault="00944F69" w:rsidP="009A7F87">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64540" w:rsidTr="005F48ED">
      <w:trPr>
        <w:trHeight w:hRule="exact" w:val="567"/>
      </w:trPr>
      <w:tc>
        <w:tcPr>
          <w:tcW w:w="510" w:type="dxa"/>
        </w:tcPr>
        <w:p w:rsidR="00064540" w:rsidRPr="00A24443" w:rsidRDefault="00064540"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35E3D">
            <w:rPr>
              <w:rStyle w:val="PageNumber"/>
              <w:caps w:val="0"/>
              <w:noProof/>
            </w:rPr>
            <w:t>vi</w:t>
          </w:r>
          <w:r w:rsidRPr="00A24443">
            <w:rPr>
              <w:rStyle w:val="PageNumber"/>
              <w:caps w:val="0"/>
            </w:rPr>
            <w:fldChar w:fldCharType="end"/>
          </w:r>
        </w:p>
      </w:tc>
      <w:tc>
        <w:tcPr>
          <w:tcW w:w="7767" w:type="dxa"/>
        </w:tcPr>
        <w:p w:rsidR="00064540" w:rsidRPr="0013739A" w:rsidRDefault="00064540" w:rsidP="0013739A">
          <w:pPr>
            <w:pStyle w:val="Footer"/>
            <w:rPr>
              <w:rFonts w:cs="Arial"/>
            </w:rPr>
          </w:pPr>
          <w:r>
            <w:rPr>
              <w:rFonts w:cs="Arial"/>
            </w:rPr>
            <w:t>service use measure definitions manual</w:t>
          </w:r>
        </w:p>
      </w:tc>
      <w:tc>
        <w:tcPr>
          <w:tcW w:w="510" w:type="dxa"/>
        </w:tcPr>
        <w:p w:rsidR="00064540" w:rsidRDefault="00064540" w:rsidP="0019293B">
          <w:pPr>
            <w:pStyle w:val="Footer"/>
          </w:pPr>
        </w:p>
      </w:tc>
    </w:tr>
  </w:tbl>
  <w:p w:rsidR="00064540" w:rsidRDefault="00064540" w:rsidP="0019293B">
    <w:pPr>
      <w:pStyle w:val="FooterEnd"/>
    </w:pPr>
  </w:p>
  <w:p w:rsidR="00064540" w:rsidRDefault="00064540">
    <w:pPr>
      <w:pStyle w:val="FooterEnd"/>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Default="00944F69" w:rsidP="009A7F87">
          <w:pPr>
            <w:pStyle w:val="Footer"/>
          </w:pPr>
        </w:p>
      </w:tc>
      <w:tc>
        <w:tcPr>
          <w:tcW w:w="7767" w:type="dxa"/>
          <w:tcBorders>
            <w:top w:val="single" w:sz="4" w:space="0" w:color="auto"/>
          </w:tcBorders>
          <w:shd w:val="clear" w:color="auto" w:fill="auto"/>
        </w:tcPr>
        <w:p w:rsidR="00944F69" w:rsidRDefault="00944F69" w:rsidP="009A7F87">
          <w:pPr>
            <w:pStyle w:val="Footer"/>
            <w:jc w:val="right"/>
          </w:pPr>
          <w:r>
            <w:t>SERVICE USE MEASURE DEFINITIONS – GPC 01</w:t>
          </w:r>
        </w:p>
      </w:tc>
      <w:tc>
        <w:tcPr>
          <w:tcW w:w="510" w:type="dxa"/>
          <w:tcBorders>
            <w:top w:val="single" w:sz="4" w:space="0" w:color="auto"/>
          </w:tcBorders>
          <w:shd w:val="clear" w:color="auto" w:fill="auto"/>
        </w:tcPr>
        <w:p w:rsidR="00944F69" w:rsidRPr="009A7F87" w:rsidRDefault="00944F69" w:rsidP="009A7F87">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61</w:t>
          </w:r>
          <w:r>
            <w:rPr>
              <w:rStyle w:val="PageNumber"/>
            </w:rPr>
            <w:fldChar w:fldCharType="end"/>
          </w:r>
        </w:p>
      </w:tc>
    </w:tr>
  </w:tbl>
  <w:p w:rsidR="00944F69" w:rsidRPr="009A7F87" w:rsidRDefault="00944F69" w:rsidP="009A7F87">
    <w:pPr>
      <w:pStyle w:val="FooterEnd"/>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FooterEnd"/>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FooterEnd"/>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Pr="009A7F87" w:rsidRDefault="00944F69" w:rsidP="009A7F8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p>
      </w:tc>
      <w:tc>
        <w:tcPr>
          <w:tcW w:w="7767" w:type="dxa"/>
          <w:tcBorders>
            <w:top w:val="single" w:sz="4" w:space="0" w:color="auto"/>
          </w:tcBorders>
          <w:shd w:val="clear" w:color="auto" w:fill="auto"/>
        </w:tcPr>
        <w:p w:rsidR="00944F69" w:rsidRDefault="00944F69" w:rsidP="009A7F87">
          <w:pPr>
            <w:pStyle w:val="Footer"/>
          </w:pPr>
          <w:r>
            <w:t>SERVICE USE MEASURE DEFINITIONS MANUAL</w:t>
          </w:r>
        </w:p>
      </w:tc>
      <w:tc>
        <w:tcPr>
          <w:tcW w:w="510" w:type="dxa"/>
          <w:tcBorders>
            <w:top w:val="single" w:sz="4" w:space="0" w:color="auto"/>
          </w:tcBorders>
          <w:shd w:val="clear" w:color="auto" w:fill="auto"/>
        </w:tcPr>
        <w:p w:rsidR="00944F69" w:rsidRDefault="00944F69" w:rsidP="009A7F87">
          <w:pPr>
            <w:pStyle w:val="Footer"/>
          </w:pPr>
        </w:p>
      </w:tc>
    </w:tr>
  </w:tbl>
  <w:p w:rsidR="00944F69" w:rsidRPr="009A7F87" w:rsidRDefault="00944F69" w:rsidP="009A7F87">
    <w:pPr>
      <w:pStyle w:val="FooterEnd"/>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Default="00944F69" w:rsidP="009A7F87">
          <w:pPr>
            <w:pStyle w:val="Footer"/>
          </w:pPr>
        </w:p>
      </w:tc>
      <w:tc>
        <w:tcPr>
          <w:tcW w:w="7767" w:type="dxa"/>
          <w:tcBorders>
            <w:top w:val="single" w:sz="4" w:space="0" w:color="auto"/>
          </w:tcBorders>
          <w:shd w:val="clear" w:color="auto" w:fill="auto"/>
        </w:tcPr>
        <w:p w:rsidR="00944F69" w:rsidRDefault="00944F69" w:rsidP="009A7F87">
          <w:pPr>
            <w:pStyle w:val="Footer"/>
            <w:jc w:val="right"/>
          </w:pPr>
          <w:r>
            <w:t>SERVICE USE MEASURE DEFINITIONS – GPC 02</w:t>
          </w:r>
        </w:p>
      </w:tc>
      <w:tc>
        <w:tcPr>
          <w:tcW w:w="510" w:type="dxa"/>
          <w:tcBorders>
            <w:top w:val="single" w:sz="4" w:space="0" w:color="auto"/>
          </w:tcBorders>
          <w:shd w:val="clear" w:color="auto" w:fill="auto"/>
        </w:tcPr>
        <w:p w:rsidR="00944F69" w:rsidRPr="009A7F87" w:rsidRDefault="00944F69" w:rsidP="009A7F87">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65</w:t>
          </w:r>
          <w:r>
            <w:rPr>
              <w:rStyle w:val="PageNumber"/>
            </w:rPr>
            <w:fldChar w:fldCharType="end"/>
          </w:r>
        </w:p>
      </w:tc>
    </w:tr>
  </w:tbl>
  <w:p w:rsidR="00944F69" w:rsidRPr="009A7F87" w:rsidRDefault="00944F69" w:rsidP="009A7F87">
    <w:pPr>
      <w:pStyle w:val="FooterEnd"/>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FooterEnd"/>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FooterEnd"/>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Pr="009A7F87" w:rsidRDefault="00944F69" w:rsidP="009A7F8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80</w:t>
          </w:r>
          <w:r>
            <w:rPr>
              <w:rStyle w:val="PageNumber"/>
            </w:rPr>
            <w:fldChar w:fldCharType="end"/>
          </w:r>
        </w:p>
      </w:tc>
      <w:tc>
        <w:tcPr>
          <w:tcW w:w="7767" w:type="dxa"/>
          <w:tcBorders>
            <w:top w:val="single" w:sz="4" w:space="0" w:color="auto"/>
          </w:tcBorders>
          <w:shd w:val="clear" w:color="auto" w:fill="auto"/>
        </w:tcPr>
        <w:p w:rsidR="00944F69" w:rsidRDefault="00944F69" w:rsidP="009A7F87">
          <w:pPr>
            <w:pStyle w:val="Footer"/>
          </w:pPr>
          <w:r>
            <w:t>SERVICE USE MEASURE DEFINITIONS MANUAL</w:t>
          </w:r>
        </w:p>
      </w:tc>
      <w:tc>
        <w:tcPr>
          <w:tcW w:w="510" w:type="dxa"/>
          <w:tcBorders>
            <w:top w:val="single" w:sz="4" w:space="0" w:color="auto"/>
          </w:tcBorders>
          <w:shd w:val="clear" w:color="auto" w:fill="auto"/>
        </w:tcPr>
        <w:p w:rsidR="00944F69" w:rsidRDefault="00944F69" w:rsidP="009A7F87">
          <w:pPr>
            <w:pStyle w:val="Footer"/>
          </w:pPr>
        </w:p>
      </w:tc>
    </w:tr>
  </w:tbl>
  <w:p w:rsidR="00944F69" w:rsidRPr="009A7F87" w:rsidRDefault="00944F69" w:rsidP="009A7F87">
    <w:pPr>
      <w:pStyle w:val="FooterEnd"/>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Default="00944F69" w:rsidP="009A7F87">
          <w:pPr>
            <w:pStyle w:val="Footer"/>
          </w:pPr>
        </w:p>
      </w:tc>
      <w:tc>
        <w:tcPr>
          <w:tcW w:w="7767" w:type="dxa"/>
          <w:tcBorders>
            <w:top w:val="single" w:sz="4" w:space="0" w:color="auto"/>
          </w:tcBorders>
          <w:shd w:val="clear" w:color="auto" w:fill="auto"/>
        </w:tcPr>
        <w:p w:rsidR="00944F69" w:rsidRDefault="00944F69" w:rsidP="009A7F87">
          <w:pPr>
            <w:pStyle w:val="Footer"/>
            <w:jc w:val="right"/>
          </w:pPr>
          <w:r>
            <w:t>SERVICE USE MEASURE DEFINITIONS – GPC 03</w:t>
          </w:r>
        </w:p>
      </w:tc>
      <w:tc>
        <w:tcPr>
          <w:tcW w:w="510" w:type="dxa"/>
          <w:tcBorders>
            <w:top w:val="single" w:sz="4" w:space="0" w:color="auto"/>
          </w:tcBorders>
          <w:shd w:val="clear" w:color="auto" w:fill="auto"/>
        </w:tcPr>
        <w:p w:rsidR="00944F69" w:rsidRPr="009A7F87" w:rsidRDefault="00944F69" w:rsidP="009A7F87">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79</w:t>
          </w:r>
          <w:r>
            <w:rPr>
              <w:rStyle w:val="PageNumber"/>
            </w:rPr>
            <w:fldChar w:fldCharType="end"/>
          </w:r>
        </w:p>
      </w:tc>
    </w:tr>
  </w:tbl>
  <w:p w:rsidR="00944F69" w:rsidRPr="009A7F87" w:rsidRDefault="00944F69" w:rsidP="009A7F87">
    <w:pPr>
      <w:pStyle w:val="FooterEnd"/>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64540" w:rsidTr="005F48ED">
      <w:trPr>
        <w:trHeight w:hRule="exact" w:val="567"/>
      </w:trPr>
      <w:tc>
        <w:tcPr>
          <w:tcW w:w="510" w:type="dxa"/>
        </w:tcPr>
        <w:p w:rsidR="00064540" w:rsidRDefault="00064540">
          <w:pPr>
            <w:pStyle w:val="Footer"/>
            <w:ind w:right="360" w:firstLine="360"/>
          </w:pPr>
        </w:p>
      </w:tc>
      <w:tc>
        <w:tcPr>
          <w:tcW w:w="7767" w:type="dxa"/>
        </w:tcPr>
        <w:p w:rsidR="00064540" w:rsidRPr="00BA5B14" w:rsidRDefault="00064540" w:rsidP="007448F7">
          <w:pPr>
            <w:pStyle w:val="Footer"/>
            <w:jc w:val="right"/>
            <w:rPr>
              <w:rFonts w:cs="Arial"/>
            </w:rPr>
          </w:pPr>
          <w:r>
            <w:rPr>
              <w:noProof/>
            </w:rPr>
            <w:t>Contents</w:t>
          </w:r>
          <w:r>
            <w:rPr>
              <w:rFonts w:cs="Arial"/>
            </w:rPr>
            <w:t xml:space="preserve"> </w:t>
          </w:r>
        </w:p>
      </w:tc>
      <w:tc>
        <w:tcPr>
          <w:tcW w:w="510" w:type="dxa"/>
        </w:tcPr>
        <w:p w:rsidR="00064540" w:rsidRPr="007448F7" w:rsidRDefault="00064540">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D35E3D">
            <w:rPr>
              <w:rStyle w:val="PageNumber"/>
              <w:caps w:val="0"/>
              <w:noProof/>
            </w:rPr>
            <w:t>v</w:t>
          </w:r>
          <w:r w:rsidRPr="007448F7">
            <w:rPr>
              <w:rStyle w:val="PageNumber"/>
              <w:caps w:val="0"/>
            </w:rPr>
            <w:fldChar w:fldCharType="end"/>
          </w:r>
        </w:p>
      </w:tc>
    </w:tr>
  </w:tbl>
  <w:p w:rsidR="00064540" w:rsidRDefault="00064540">
    <w:pPr>
      <w:pStyle w:val="FooterEnd"/>
    </w:pPr>
  </w:p>
  <w:p w:rsidR="00064540" w:rsidRDefault="00064540">
    <w:pPr>
      <w:pStyle w:val="FooterEnd"/>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FooterEnd"/>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Pr="009A7F87" w:rsidRDefault="00944F69" w:rsidP="009A7F8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98</w:t>
          </w:r>
          <w:r>
            <w:rPr>
              <w:rStyle w:val="PageNumber"/>
            </w:rPr>
            <w:fldChar w:fldCharType="end"/>
          </w:r>
        </w:p>
      </w:tc>
      <w:tc>
        <w:tcPr>
          <w:tcW w:w="7767" w:type="dxa"/>
          <w:tcBorders>
            <w:top w:val="single" w:sz="4" w:space="0" w:color="auto"/>
          </w:tcBorders>
          <w:shd w:val="clear" w:color="auto" w:fill="auto"/>
        </w:tcPr>
        <w:p w:rsidR="00944F69" w:rsidRDefault="00944F69" w:rsidP="009A7F87">
          <w:pPr>
            <w:pStyle w:val="Footer"/>
          </w:pPr>
          <w:r>
            <w:t>SERVICE USE MEASURE DEFINITIONS MANUAL</w:t>
          </w:r>
        </w:p>
      </w:tc>
      <w:tc>
        <w:tcPr>
          <w:tcW w:w="510" w:type="dxa"/>
          <w:tcBorders>
            <w:top w:val="single" w:sz="4" w:space="0" w:color="auto"/>
          </w:tcBorders>
          <w:shd w:val="clear" w:color="auto" w:fill="auto"/>
        </w:tcPr>
        <w:p w:rsidR="00944F69" w:rsidRDefault="00944F69" w:rsidP="009A7F87">
          <w:pPr>
            <w:pStyle w:val="Footer"/>
          </w:pPr>
        </w:p>
      </w:tc>
    </w:tr>
  </w:tbl>
  <w:p w:rsidR="00944F69" w:rsidRPr="009A7F87" w:rsidRDefault="00944F69" w:rsidP="009A7F87">
    <w:pPr>
      <w:pStyle w:val="FooterEnd"/>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Default="00944F69" w:rsidP="009A7F87">
          <w:pPr>
            <w:pStyle w:val="Footer"/>
          </w:pPr>
        </w:p>
      </w:tc>
      <w:tc>
        <w:tcPr>
          <w:tcW w:w="7767" w:type="dxa"/>
          <w:tcBorders>
            <w:top w:val="single" w:sz="4" w:space="0" w:color="auto"/>
          </w:tcBorders>
          <w:shd w:val="clear" w:color="auto" w:fill="auto"/>
        </w:tcPr>
        <w:p w:rsidR="00944F69" w:rsidRDefault="00944F69" w:rsidP="009A7F87">
          <w:pPr>
            <w:pStyle w:val="Footer"/>
            <w:jc w:val="right"/>
          </w:pPr>
          <w:r>
            <w:t>SERVICE USE MEASURE DEFINITIONS – GPC 04</w:t>
          </w:r>
        </w:p>
      </w:tc>
      <w:tc>
        <w:tcPr>
          <w:tcW w:w="510" w:type="dxa"/>
          <w:tcBorders>
            <w:top w:val="single" w:sz="4" w:space="0" w:color="auto"/>
          </w:tcBorders>
          <w:shd w:val="clear" w:color="auto" w:fill="auto"/>
        </w:tcPr>
        <w:p w:rsidR="00944F69" w:rsidRPr="009A7F87" w:rsidRDefault="00944F69" w:rsidP="009A7F87">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97</w:t>
          </w:r>
          <w:r>
            <w:rPr>
              <w:rStyle w:val="PageNumber"/>
            </w:rPr>
            <w:fldChar w:fldCharType="end"/>
          </w:r>
        </w:p>
      </w:tc>
    </w:tr>
  </w:tbl>
  <w:p w:rsidR="00944F69" w:rsidRPr="009A7F87" w:rsidRDefault="00944F69" w:rsidP="009A7F87">
    <w:pPr>
      <w:pStyle w:val="FooterEnd"/>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FooterEnd"/>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FooterEnd"/>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Pr="009A7F87" w:rsidRDefault="00944F69" w:rsidP="009A7F8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132</w:t>
          </w:r>
          <w:r>
            <w:rPr>
              <w:rStyle w:val="PageNumber"/>
            </w:rPr>
            <w:fldChar w:fldCharType="end"/>
          </w:r>
        </w:p>
      </w:tc>
      <w:tc>
        <w:tcPr>
          <w:tcW w:w="7767" w:type="dxa"/>
          <w:tcBorders>
            <w:top w:val="single" w:sz="4" w:space="0" w:color="auto"/>
          </w:tcBorders>
          <w:shd w:val="clear" w:color="auto" w:fill="auto"/>
        </w:tcPr>
        <w:p w:rsidR="00944F69" w:rsidRDefault="00944F69" w:rsidP="009A7F87">
          <w:pPr>
            <w:pStyle w:val="Footer"/>
          </w:pPr>
          <w:r>
            <w:t>SERVICE USE MEASURE DEFINITIONS MANUAL</w:t>
          </w:r>
        </w:p>
      </w:tc>
      <w:tc>
        <w:tcPr>
          <w:tcW w:w="510" w:type="dxa"/>
          <w:tcBorders>
            <w:top w:val="single" w:sz="4" w:space="0" w:color="auto"/>
          </w:tcBorders>
          <w:shd w:val="clear" w:color="auto" w:fill="auto"/>
        </w:tcPr>
        <w:p w:rsidR="00944F69" w:rsidRDefault="00944F69" w:rsidP="009A7F87">
          <w:pPr>
            <w:pStyle w:val="Footer"/>
          </w:pPr>
        </w:p>
      </w:tc>
    </w:tr>
  </w:tbl>
  <w:p w:rsidR="00944F69" w:rsidRPr="009A7F87" w:rsidRDefault="00944F69" w:rsidP="009A7F87">
    <w:pPr>
      <w:pStyle w:val="FooterEnd"/>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Default="00944F69" w:rsidP="009A7F87">
          <w:pPr>
            <w:pStyle w:val="Footer"/>
          </w:pPr>
        </w:p>
      </w:tc>
      <w:tc>
        <w:tcPr>
          <w:tcW w:w="7767" w:type="dxa"/>
          <w:tcBorders>
            <w:top w:val="single" w:sz="4" w:space="0" w:color="auto"/>
          </w:tcBorders>
          <w:shd w:val="clear" w:color="auto" w:fill="auto"/>
        </w:tcPr>
        <w:p w:rsidR="00944F69" w:rsidRDefault="00944F69" w:rsidP="009A7F87">
          <w:pPr>
            <w:pStyle w:val="Footer"/>
            <w:jc w:val="right"/>
          </w:pPr>
          <w:r>
            <w:t>SERVICE USE MEASURE DEFINITIONS – GPC 05</w:t>
          </w:r>
        </w:p>
      </w:tc>
      <w:tc>
        <w:tcPr>
          <w:tcW w:w="510" w:type="dxa"/>
          <w:tcBorders>
            <w:top w:val="single" w:sz="4" w:space="0" w:color="auto"/>
          </w:tcBorders>
          <w:shd w:val="clear" w:color="auto" w:fill="auto"/>
        </w:tcPr>
        <w:p w:rsidR="00944F69" w:rsidRPr="009A7F87" w:rsidRDefault="00944F69" w:rsidP="009A7F87">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131</w:t>
          </w:r>
          <w:r>
            <w:rPr>
              <w:rStyle w:val="PageNumber"/>
            </w:rPr>
            <w:fldChar w:fldCharType="end"/>
          </w:r>
        </w:p>
      </w:tc>
    </w:tr>
  </w:tbl>
  <w:p w:rsidR="00944F69" w:rsidRPr="009A7F87" w:rsidRDefault="00944F69" w:rsidP="009A7F87">
    <w:pPr>
      <w:pStyle w:val="FooterEnd"/>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FooterEnd"/>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FooterEnd"/>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Pr="009A7F87" w:rsidRDefault="00944F69" w:rsidP="009A7F8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150</w:t>
          </w:r>
          <w:r>
            <w:rPr>
              <w:rStyle w:val="PageNumber"/>
            </w:rPr>
            <w:fldChar w:fldCharType="end"/>
          </w:r>
        </w:p>
      </w:tc>
      <w:tc>
        <w:tcPr>
          <w:tcW w:w="7767" w:type="dxa"/>
          <w:tcBorders>
            <w:top w:val="single" w:sz="4" w:space="0" w:color="auto"/>
          </w:tcBorders>
          <w:shd w:val="clear" w:color="auto" w:fill="auto"/>
        </w:tcPr>
        <w:p w:rsidR="00944F69" w:rsidRDefault="00944F69" w:rsidP="009A7F87">
          <w:pPr>
            <w:pStyle w:val="Footer"/>
          </w:pPr>
          <w:r>
            <w:t>SERVICE USE MEASURE DEFINITIONS MANUAL</w:t>
          </w:r>
        </w:p>
      </w:tc>
      <w:tc>
        <w:tcPr>
          <w:tcW w:w="510" w:type="dxa"/>
          <w:tcBorders>
            <w:top w:val="single" w:sz="4" w:space="0" w:color="auto"/>
          </w:tcBorders>
          <w:shd w:val="clear" w:color="auto" w:fill="auto"/>
        </w:tcPr>
        <w:p w:rsidR="00944F69" w:rsidRDefault="00944F69" w:rsidP="009A7F87">
          <w:pPr>
            <w:pStyle w:val="Footer"/>
          </w:pPr>
        </w:p>
      </w:tc>
    </w:tr>
  </w:tbl>
  <w:p w:rsidR="00944F69" w:rsidRPr="009A7F87" w:rsidRDefault="00944F69" w:rsidP="009A7F87">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64540" w:rsidTr="005F48ED">
      <w:trPr>
        <w:trHeight w:hRule="exact" w:val="567"/>
      </w:trPr>
      <w:tc>
        <w:tcPr>
          <w:tcW w:w="510" w:type="dxa"/>
        </w:tcPr>
        <w:p w:rsidR="00064540" w:rsidRPr="00A24443" w:rsidRDefault="00064540"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35E3D">
            <w:rPr>
              <w:rStyle w:val="PageNumber"/>
              <w:caps w:val="0"/>
              <w:noProof/>
            </w:rPr>
            <w:t>viii</w:t>
          </w:r>
          <w:r w:rsidRPr="00A24443">
            <w:rPr>
              <w:rStyle w:val="PageNumber"/>
              <w:caps w:val="0"/>
            </w:rPr>
            <w:fldChar w:fldCharType="end"/>
          </w:r>
        </w:p>
      </w:tc>
      <w:tc>
        <w:tcPr>
          <w:tcW w:w="7767" w:type="dxa"/>
        </w:tcPr>
        <w:p w:rsidR="00064540" w:rsidRPr="0013739A" w:rsidRDefault="00064540" w:rsidP="00D71ABB">
          <w:pPr>
            <w:pStyle w:val="Footer"/>
            <w:rPr>
              <w:rFonts w:cs="Arial"/>
            </w:rPr>
          </w:pPr>
          <w:r>
            <w:rPr>
              <w:rFonts w:cs="Arial"/>
            </w:rPr>
            <w:t>service use measure definitions manual</w:t>
          </w:r>
        </w:p>
      </w:tc>
      <w:tc>
        <w:tcPr>
          <w:tcW w:w="510" w:type="dxa"/>
        </w:tcPr>
        <w:p w:rsidR="00064540" w:rsidRDefault="00064540" w:rsidP="0019293B">
          <w:pPr>
            <w:pStyle w:val="Footer"/>
          </w:pPr>
        </w:p>
      </w:tc>
    </w:tr>
  </w:tbl>
  <w:p w:rsidR="00064540" w:rsidRDefault="00064540" w:rsidP="0019293B">
    <w:pPr>
      <w:pStyle w:val="FooterEnd"/>
    </w:pPr>
  </w:p>
  <w:p w:rsidR="00064540" w:rsidRDefault="00064540">
    <w:pPr>
      <w:pStyle w:val="FooterEnd"/>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Default="00944F69" w:rsidP="009A7F87">
          <w:pPr>
            <w:pStyle w:val="Footer"/>
          </w:pPr>
        </w:p>
      </w:tc>
      <w:tc>
        <w:tcPr>
          <w:tcW w:w="7767" w:type="dxa"/>
          <w:tcBorders>
            <w:top w:val="single" w:sz="4" w:space="0" w:color="auto"/>
          </w:tcBorders>
          <w:shd w:val="clear" w:color="auto" w:fill="auto"/>
        </w:tcPr>
        <w:p w:rsidR="00944F69" w:rsidRDefault="00944F69" w:rsidP="009A7F87">
          <w:pPr>
            <w:pStyle w:val="Footer"/>
            <w:jc w:val="right"/>
          </w:pPr>
          <w:r>
            <w:t>SERVICE USE MEASURE DEFINITIONS – GPC 06</w:t>
          </w:r>
        </w:p>
      </w:tc>
      <w:tc>
        <w:tcPr>
          <w:tcW w:w="510" w:type="dxa"/>
          <w:tcBorders>
            <w:top w:val="single" w:sz="4" w:space="0" w:color="auto"/>
          </w:tcBorders>
          <w:shd w:val="clear" w:color="auto" w:fill="auto"/>
        </w:tcPr>
        <w:p w:rsidR="00944F69" w:rsidRPr="009A7F87" w:rsidRDefault="00944F69" w:rsidP="009A7F87">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149</w:t>
          </w:r>
          <w:r>
            <w:rPr>
              <w:rStyle w:val="PageNumber"/>
            </w:rPr>
            <w:fldChar w:fldCharType="end"/>
          </w:r>
        </w:p>
      </w:tc>
    </w:tr>
  </w:tbl>
  <w:p w:rsidR="00944F69" w:rsidRPr="009A7F87" w:rsidRDefault="00944F69" w:rsidP="009A7F87">
    <w:pPr>
      <w:pStyle w:val="FooterEnd"/>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FooterEnd"/>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FooterEnd"/>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Pr="009A7F87" w:rsidRDefault="00944F69" w:rsidP="009A7F8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160</w:t>
          </w:r>
          <w:r>
            <w:rPr>
              <w:rStyle w:val="PageNumber"/>
            </w:rPr>
            <w:fldChar w:fldCharType="end"/>
          </w:r>
        </w:p>
      </w:tc>
      <w:tc>
        <w:tcPr>
          <w:tcW w:w="7767" w:type="dxa"/>
          <w:tcBorders>
            <w:top w:val="single" w:sz="4" w:space="0" w:color="auto"/>
          </w:tcBorders>
          <w:shd w:val="clear" w:color="auto" w:fill="auto"/>
        </w:tcPr>
        <w:p w:rsidR="00944F69" w:rsidRDefault="00944F69" w:rsidP="009A7F87">
          <w:pPr>
            <w:pStyle w:val="Footer"/>
          </w:pPr>
          <w:r>
            <w:t>SERVICE USE MEASURE DEFINITIONS MANUAL</w:t>
          </w:r>
        </w:p>
      </w:tc>
      <w:tc>
        <w:tcPr>
          <w:tcW w:w="510" w:type="dxa"/>
          <w:tcBorders>
            <w:top w:val="single" w:sz="4" w:space="0" w:color="auto"/>
          </w:tcBorders>
          <w:shd w:val="clear" w:color="auto" w:fill="auto"/>
        </w:tcPr>
        <w:p w:rsidR="00944F69" w:rsidRDefault="00944F69" w:rsidP="009A7F87">
          <w:pPr>
            <w:pStyle w:val="Footer"/>
          </w:pPr>
        </w:p>
      </w:tc>
    </w:tr>
  </w:tbl>
  <w:p w:rsidR="00944F69" w:rsidRPr="009A7F87" w:rsidRDefault="00944F69" w:rsidP="009A7F87">
    <w:pPr>
      <w:pStyle w:val="FooterEnd"/>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Default="00944F69" w:rsidP="009A7F87">
          <w:pPr>
            <w:pStyle w:val="Footer"/>
          </w:pPr>
        </w:p>
      </w:tc>
      <w:tc>
        <w:tcPr>
          <w:tcW w:w="7767" w:type="dxa"/>
          <w:tcBorders>
            <w:top w:val="single" w:sz="4" w:space="0" w:color="auto"/>
          </w:tcBorders>
          <w:shd w:val="clear" w:color="auto" w:fill="auto"/>
        </w:tcPr>
        <w:p w:rsidR="00944F69" w:rsidRDefault="00944F69" w:rsidP="009A7F87">
          <w:pPr>
            <w:pStyle w:val="Footer"/>
            <w:jc w:val="right"/>
          </w:pPr>
          <w:r>
            <w:t>SERVICE USE MEASURE DEFINITIONS – GPC 07</w:t>
          </w:r>
        </w:p>
      </w:tc>
      <w:tc>
        <w:tcPr>
          <w:tcW w:w="510" w:type="dxa"/>
          <w:tcBorders>
            <w:top w:val="single" w:sz="4" w:space="0" w:color="auto"/>
          </w:tcBorders>
          <w:shd w:val="clear" w:color="auto" w:fill="auto"/>
        </w:tcPr>
        <w:p w:rsidR="00944F69" w:rsidRPr="009A7F87" w:rsidRDefault="00944F69" w:rsidP="009A7F87">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159</w:t>
          </w:r>
          <w:r>
            <w:rPr>
              <w:rStyle w:val="PageNumber"/>
            </w:rPr>
            <w:fldChar w:fldCharType="end"/>
          </w:r>
        </w:p>
      </w:tc>
    </w:tr>
  </w:tbl>
  <w:p w:rsidR="00944F69" w:rsidRPr="009A7F87" w:rsidRDefault="00944F69" w:rsidP="009A7F87">
    <w:pPr>
      <w:pStyle w:val="FooterEnd"/>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FooterEnd"/>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FooterEnd"/>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Pr="009A7F87" w:rsidRDefault="00944F69" w:rsidP="009A7F8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166</w:t>
          </w:r>
          <w:r>
            <w:rPr>
              <w:rStyle w:val="PageNumber"/>
            </w:rPr>
            <w:fldChar w:fldCharType="end"/>
          </w:r>
        </w:p>
      </w:tc>
      <w:tc>
        <w:tcPr>
          <w:tcW w:w="7767" w:type="dxa"/>
          <w:tcBorders>
            <w:top w:val="single" w:sz="4" w:space="0" w:color="auto"/>
          </w:tcBorders>
          <w:shd w:val="clear" w:color="auto" w:fill="auto"/>
        </w:tcPr>
        <w:p w:rsidR="00944F69" w:rsidRDefault="00944F69" w:rsidP="009A7F87">
          <w:pPr>
            <w:pStyle w:val="Footer"/>
          </w:pPr>
          <w:r>
            <w:t>SERVICE USE MEASURE DEFINITIONS MANUAL</w:t>
          </w:r>
        </w:p>
      </w:tc>
      <w:tc>
        <w:tcPr>
          <w:tcW w:w="510" w:type="dxa"/>
          <w:tcBorders>
            <w:top w:val="single" w:sz="4" w:space="0" w:color="auto"/>
          </w:tcBorders>
          <w:shd w:val="clear" w:color="auto" w:fill="auto"/>
        </w:tcPr>
        <w:p w:rsidR="00944F69" w:rsidRDefault="00944F69" w:rsidP="009A7F87">
          <w:pPr>
            <w:pStyle w:val="Footer"/>
          </w:pPr>
        </w:p>
      </w:tc>
    </w:tr>
  </w:tbl>
  <w:p w:rsidR="00944F69" w:rsidRPr="009A7F87" w:rsidRDefault="00944F69" w:rsidP="009A7F87">
    <w:pPr>
      <w:pStyle w:val="FooterEnd"/>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Default="00944F69" w:rsidP="009A7F87">
          <w:pPr>
            <w:pStyle w:val="Footer"/>
          </w:pPr>
        </w:p>
      </w:tc>
      <w:tc>
        <w:tcPr>
          <w:tcW w:w="7767" w:type="dxa"/>
          <w:tcBorders>
            <w:top w:val="single" w:sz="4" w:space="0" w:color="auto"/>
          </w:tcBorders>
          <w:shd w:val="clear" w:color="auto" w:fill="auto"/>
        </w:tcPr>
        <w:p w:rsidR="00944F69" w:rsidRDefault="00944F69" w:rsidP="009A7F87">
          <w:pPr>
            <w:pStyle w:val="Footer"/>
            <w:jc w:val="right"/>
          </w:pPr>
          <w:r>
            <w:t>SERVICE USE MEASURE DEFINITIONS – GPC 08</w:t>
          </w:r>
        </w:p>
      </w:tc>
      <w:tc>
        <w:tcPr>
          <w:tcW w:w="510" w:type="dxa"/>
          <w:tcBorders>
            <w:top w:val="single" w:sz="4" w:space="0" w:color="auto"/>
          </w:tcBorders>
          <w:shd w:val="clear" w:color="auto" w:fill="auto"/>
        </w:tcPr>
        <w:p w:rsidR="00944F69" w:rsidRPr="009A7F87" w:rsidRDefault="00944F69" w:rsidP="009A7F87">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167</w:t>
          </w:r>
          <w:r>
            <w:rPr>
              <w:rStyle w:val="PageNumber"/>
            </w:rPr>
            <w:fldChar w:fldCharType="end"/>
          </w:r>
        </w:p>
      </w:tc>
    </w:tr>
  </w:tbl>
  <w:p w:rsidR="00944F69" w:rsidRPr="009A7F87" w:rsidRDefault="00944F69" w:rsidP="009A7F87">
    <w:pPr>
      <w:pStyle w:val="FooterEnd"/>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64540" w:rsidTr="005F48ED">
      <w:trPr>
        <w:trHeight w:hRule="exact" w:val="567"/>
      </w:trPr>
      <w:tc>
        <w:tcPr>
          <w:tcW w:w="510" w:type="dxa"/>
        </w:tcPr>
        <w:p w:rsidR="00064540" w:rsidRDefault="00064540">
          <w:pPr>
            <w:pStyle w:val="Footer"/>
            <w:ind w:right="360" w:firstLine="360"/>
          </w:pPr>
        </w:p>
      </w:tc>
      <w:tc>
        <w:tcPr>
          <w:tcW w:w="7767" w:type="dxa"/>
        </w:tcPr>
        <w:p w:rsidR="00064540" w:rsidRPr="00A90DAF" w:rsidRDefault="00064540" w:rsidP="00883E8C">
          <w:pPr>
            <w:pStyle w:val="Footer"/>
            <w:jc w:val="right"/>
            <w:rPr>
              <w:rFonts w:cs="Arial"/>
            </w:rPr>
          </w:pPr>
          <w:r w:rsidRPr="00BF3E69">
            <w:rPr>
              <w:bCs/>
              <w:noProof/>
              <w:lang w:val="en-US"/>
            </w:rPr>
            <w:t>Steering</w:t>
          </w:r>
          <w:r>
            <w:rPr>
              <w:noProof/>
            </w:rPr>
            <w:t xml:space="preserve"> Committee</w:t>
          </w:r>
        </w:p>
      </w:tc>
      <w:tc>
        <w:tcPr>
          <w:tcW w:w="510" w:type="dxa"/>
        </w:tcPr>
        <w:p w:rsidR="00064540" w:rsidRPr="00A24443" w:rsidRDefault="0006454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35E3D">
            <w:rPr>
              <w:rStyle w:val="PageNumber"/>
              <w:caps w:val="0"/>
              <w:noProof/>
            </w:rPr>
            <w:t>vii</w:t>
          </w:r>
          <w:r w:rsidRPr="00A24443">
            <w:rPr>
              <w:rStyle w:val="PageNumber"/>
              <w:caps w:val="0"/>
            </w:rPr>
            <w:fldChar w:fldCharType="end"/>
          </w:r>
        </w:p>
      </w:tc>
    </w:tr>
  </w:tbl>
  <w:p w:rsidR="00064540" w:rsidRDefault="00064540">
    <w:pPr>
      <w:pStyle w:val="FooterEnd"/>
    </w:pPr>
  </w:p>
  <w:p w:rsidR="00064540" w:rsidRDefault="00064540">
    <w:pPr>
      <w:pStyle w:val="FooterEnd"/>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FooterEnd"/>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Pr="009A7F87" w:rsidRDefault="00944F69" w:rsidP="009A7F8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176</w:t>
          </w:r>
          <w:r>
            <w:rPr>
              <w:rStyle w:val="PageNumber"/>
            </w:rPr>
            <w:fldChar w:fldCharType="end"/>
          </w:r>
        </w:p>
      </w:tc>
      <w:tc>
        <w:tcPr>
          <w:tcW w:w="7767" w:type="dxa"/>
          <w:tcBorders>
            <w:top w:val="single" w:sz="4" w:space="0" w:color="auto"/>
          </w:tcBorders>
          <w:shd w:val="clear" w:color="auto" w:fill="auto"/>
        </w:tcPr>
        <w:p w:rsidR="00944F69" w:rsidRDefault="00944F69" w:rsidP="009A7F87">
          <w:pPr>
            <w:pStyle w:val="Footer"/>
          </w:pPr>
          <w:r>
            <w:t>SERVICE USE MEASURE DEFINITIONS MANUAL</w:t>
          </w:r>
        </w:p>
      </w:tc>
      <w:tc>
        <w:tcPr>
          <w:tcW w:w="510" w:type="dxa"/>
          <w:tcBorders>
            <w:top w:val="single" w:sz="4" w:space="0" w:color="auto"/>
          </w:tcBorders>
          <w:shd w:val="clear" w:color="auto" w:fill="auto"/>
        </w:tcPr>
        <w:p w:rsidR="00944F69" w:rsidRDefault="00944F69" w:rsidP="009A7F87">
          <w:pPr>
            <w:pStyle w:val="Footer"/>
          </w:pPr>
        </w:p>
      </w:tc>
    </w:tr>
  </w:tbl>
  <w:p w:rsidR="00944F69" w:rsidRPr="009A7F87" w:rsidRDefault="00944F69" w:rsidP="009A7F87">
    <w:pPr>
      <w:pStyle w:val="FooterEnd"/>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Default="00944F69" w:rsidP="009A7F87">
          <w:pPr>
            <w:pStyle w:val="Footer"/>
          </w:pPr>
        </w:p>
      </w:tc>
      <w:tc>
        <w:tcPr>
          <w:tcW w:w="7767" w:type="dxa"/>
          <w:tcBorders>
            <w:top w:val="single" w:sz="4" w:space="0" w:color="auto"/>
          </w:tcBorders>
          <w:shd w:val="clear" w:color="auto" w:fill="auto"/>
        </w:tcPr>
        <w:p w:rsidR="00944F69" w:rsidRDefault="00944F69" w:rsidP="009A7F87">
          <w:pPr>
            <w:pStyle w:val="Footer"/>
            <w:jc w:val="right"/>
          </w:pPr>
          <w:r>
            <w:t>SERVICE USE MEASURE DEFINITIONS – GPC 09</w:t>
          </w:r>
        </w:p>
      </w:tc>
      <w:tc>
        <w:tcPr>
          <w:tcW w:w="510" w:type="dxa"/>
          <w:tcBorders>
            <w:top w:val="single" w:sz="4" w:space="0" w:color="auto"/>
          </w:tcBorders>
          <w:shd w:val="clear" w:color="auto" w:fill="auto"/>
        </w:tcPr>
        <w:p w:rsidR="00944F69" w:rsidRPr="009A7F87" w:rsidRDefault="00944F69" w:rsidP="009A7F87">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177</w:t>
          </w:r>
          <w:r>
            <w:rPr>
              <w:rStyle w:val="PageNumber"/>
            </w:rPr>
            <w:fldChar w:fldCharType="end"/>
          </w:r>
        </w:p>
      </w:tc>
    </w:tr>
  </w:tbl>
  <w:p w:rsidR="00944F69" w:rsidRPr="009A7F87" w:rsidRDefault="00944F69" w:rsidP="009A7F87">
    <w:pPr>
      <w:pStyle w:val="FooterEnd"/>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FooterEnd"/>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FooterEnd"/>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Pr="009A7F87" w:rsidRDefault="00944F69" w:rsidP="009A7F8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182</w:t>
          </w:r>
          <w:r>
            <w:rPr>
              <w:rStyle w:val="PageNumber"/>
            </w:rPr>
            <w:fldChar w:fldCharType="end"/>
          </w:r>
        </w:p>
      </w:tc>
      <w:tc>
        <w:tcPr>
          <w:tcW w:w="7767" w:type="dxa"/>
          <w:tcBorders>
            <w:top w:val="single" w:sz="4" w:space="0" w:color="auto"/>
          </w:tcBorders>
          <w:shd w:val="clear" w:color="auto" w:fill="auto"/>
        </w:tcPr>
        <w:p w:rsidR="00944F69" w:rsidRDefault="00944F69" w:rsidP="009A7F87">
          <w:pPr>
            <w:pStyle w:val="Footer"/>
          </w:pPr>
          <w:r>
            <w:t>SERVICE USE MEASURE DEFINITIONS MANUAL</w:t>
          </w:r>
        </w:p>
      </w:tc>
      <w:tc>
        <w:tcPr>
          <w:tcW w:w="510" w:type="dxa"/>
          <w:tcBorders>
            <w:top w:val="single" w:sz="4" w:space="0" w:color="auto"/>
          </w:tcBorders>
          <w:shd w:val="clear" w:color="auto" w:fill="auto"/>
        </w:tcPr>
        <w:p w:rsidR="00944F69" w:rsidRDefault="00944F69" w:rsidP="009A7F87">
          <w:pPr>
            <w:pStyle w:val="Footer"/>
          </w:pPr>
        </w:p>
      </w:tc>
    </w:tr>
  </w:tbl>
  <w:p w:rsidR="00944F69" w:rsidRPr="009A7F87" w:rsidRDefault="00944F69" w:rsidP="009A7F87">
    <w:pPr>
      <w:pStyle w:val="FooterEnd"/>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Default="00944F69" w:rsidP="009A7F87">
          <w:pPr>
            <w:pStyle w:val="Footer"/>
          </w:pPr>
        </w:p>
      </w:tc>
      <w:tc>
        <w:tcPr>
          <w:tcW w:w="7767" w:type="dxa"/>
          <w:tcBorders>
            <w:top w:val="single" w:sz="4" w:space="0" w:color="auto"/>
          </w:tcBorders>
          <w:shd w:val="clear" w:color="auto" w:fill="auto"/>
        </w:tcPr>
        <w:p w:rsidR="00944F69" w:rsidRDefault="00944F69" w:rsidP="009A7F87">
          <w:pPr>
            <w:pStyle w:val="Footer"/>
            <w:jc w:val="right"/>
          </w:pPr>
          <w:r>
            <w:t>SERVICE USE MEASURE DEFINITIONS – GPC 10</w:t>
          </w:r>
        </w:p>
      </w:tc>
      <w:tc>
        <w:tcPr>
          <w:tcW w:w="510" w:type="dxa"/>
          <w:tcBorders>
            <w:top w:val="single" w:sz="4" w:space="0" w:color="auto"/>
          </w:tcBorders>
          <w:shd w:val="clear" w:color="auto" w:fill="auto"/>
        </w:tcPr>
        <w:p w:rsidR="00944F69" w:rsidRPr="009A7F87" w:rsidRDefault="00944F69" w:rsidP="009A7F87">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181</w:t>
          </w:r>
          <w:r>
            <w:rPr>
              <w:rStyle w:val="PageNumber"/>
            </w:rPr>
            <w:fldChar w:fldCharType="end"/>
          </w:r>
        </w:p>
      </w:tc>
    </w:tr>
  </w:tbl>
  <w:p w:rsidR="00944F69" w:rsidRPr="009A7F87" w:rsidRDefault="00944F69" w:rsidP="009A7F87">
    <w:pPr>
      <w:pStyle w:val="FooterEnd"/>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FooterEnd"/>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FooterEnd"/>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Pr="009A7F87" w:rsidRDefault="00944F69" w:rsidP="009A7F8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186</w:t>
          </w:r>
          <w:r>
            <w:rPr>
              <w:rStyle w:val="PageNumber"/>
            </w:rPr>
            <w:fldChar w:fldCharType="end"/>
          </w:r>
        </w:p>
      </w:tc>
      <w:tc>
        <w:tcPr>
          <w:tcW w:w="7767" w:type="dxa"/>
          <w:tcBorders>
            <w:top w:val="single" w:sz="4" w:space="0" w:color="auto"/>
          </w:tcBorders>
          <w:shd w:val="clear" w:color="auto" w:fill="auto"/>
        </w:tcPr>
        <w:p w:rsidR="00944F69" w:rsidRDefault="00944F69" w:rsidP="009A7F87">
          <w:pPr>
            <w:pStyle w:val="Footer"/>
          </w:pPr>
          <w:r>
            <w:t>SERVICE USE MEASURE DEFINITIONS MANUAL</w:t>
          </w:r>
        </w:p>
      </w:tc>
      <w:tc>
        <w:tcPr>
          <w:tcW w:w="510" w:type="dxa"/>
          <w:tcBorders>
            <w:top w:val="single" w:sz="4" w:space="0" w:color="auto"/>
          </w:tcBorders>
          <w:shd w:val="clear" w:color="auto" w:fill="auto"/>
        </w:tcPr>
        <w:p w:rsidR="00944F69" w:rsidRDefault="00944F69" w:rsidP="009A7F87">
          <w:pPr>
            <w:pStyle w:val="Footer"/>
          </w:pPr>
        </w:p>
      </w:tc>
    </w:tr>
  </w:tbl>
  <w:p w:rsidR="00944F69" w:rsidRPr="009A7F87" w:rsidRDefault="00944F69" w:rsidP="009A7F87">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64540" w:rsidTr="005F48ED">
      <w:trPr>
        <w:trHeight w:hRule="exact" w:val="567"/>
      </w:trPr>
      <w:tc>
        <w:tcPr>
          <w:tcW w:w="510" w:type="dxa"/>
        </w:tcPr>
        <w:p w:rsidR="00064540" w:rsidRPr="007448F7" w:rsidRDefault="00064540" w:rsidP="0019293B">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D35E3D">
            <w:rPr>
              <w:rStyle w:val="PageNumber"/>
              <w:caps w:val="0"/>
              <w:noProof/>
            </w:rPr>
            <w:t>x</w:t>
          </w:r>
          <w:r w:rsidRPr="007448F7">
            <w:rPr>
              <w:rStyle w:val="PageNumber"/>
              <w:caps w:val="0"/>
            </w:rPr>
            <w:fldChar w:fldCharType="end"/>
          </w:r>
        </w:p>
      </w:tc>
      <w:tc>
        <w:tcPr>
          <w:tcW w:w="7767" w:type="dxa"/>
        </w:tcPr>
        <w:p w:rsidR="00064540" w:rsidRPr="0013739A" w:rsidRDefault="00064540" w:rsidP="00F91E0D">
          <w:pPr>
            <w:pStyle w:val="Footer"/>
            <w:rPr>
              <w:rFonts w:cs="Arial"/>
            </w:rPr>
          </w:pPr>
          <w:r>
            <w:rPr>
              <w:rFonts w:cs="Arial"/>
            </w:rPr>
            <w:t>service use measure definitions manual</w:t>
          </w:r>
          <w:r w:rsidRPr="00BA5B14">
            <w:rPr>
              <w:rFonts w:cs="Arial"/>
            </w:rPr>
            <w:t xml:space="preserve"> </w:t>
          </w:r>
        </w:p>
      </w:tc>
      <w:tc>
        <w:tcPr>
          <w:tcW w:w="510" w:type="dxa"/>
        </w:tcPr>
        <w:p w:rsidR="00064540" w:rsidRDefault="00064540" w:rsidP="0019293B">
          <w:pPr>
            <w:pStyle w:val="Footer"/>
          </w:pPr>
        </w:p>
      </w:tc>
    </w:tr>
  </w:tbl>
  <w:p w:rsidR="00064540" w:rsidRDefault="00064540" w:rsidP="0019293B">
    <w:pPr>
      <w:pStyle w:val="FooterEnd"/>
    </w:pPr>
  </w:p>
  <w:p w:rsidR="00064540" w:rsidRDefault="00064540">
    <w:pPr>
      <w:pStyle w:val="FooterEnd"/>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Default="00944F69" w:rsidP="009A7F87">
          <w:pPr>
            <w:pStyle w:val="Footer"/>
          </w:pPr>
        </w:p>
      </w:tc>
      <w:tc>
        <w:tcPr>
          <w:tcW w:w="7767" w:type="dxa"/>
          <w:tcBorders>
            <w:top w:val="single" w:sz="4" w:space="0" w:color="auto"/>
          </w:tcBorders>
          <w:shd w:val="clear" w:color="auto" w:fill="auto"/>
        </w:tcPr>
        <w:p w:rsidR="00944F69" w:rsidRDefault="00944F69" w:rsidP="009A7F87">
          <w:pPr>
            <w:pStyle w:val="Footer"/>
            <w:jc w:val="right"/>
          </w:pPr>
          <w:r>
            <w:t>SERVICE USE MEASURE DEFINITIONS – GPC 11</w:t>
          </w:r>
        </w:p>
      </w:tc>
      <w:tc>
        <w:tcPr>
          <w:tcW w:w="510" w:type="dxa"/>
          <w:tcBorders>
            <w:top w:val="single" w:sz="4" w:space="0" w:color="auto"/>
          </w:tcBorders>
          <w:shd w:val="clear" w:color="auto" w:fill="auto"/>
        </w:tcPr>
        <w:p w:rsidR="00944F69" w:rsidRPr="009A7F87" w:rsidRDefault="00944F69" w:rsidP="009A7F87">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187</w:t>
          </w:r>
          <w:r>
            <w:rPr>
              <w:rStyle w:val="PageNumber"/>
            </w:rPr>
            <w:fldChar w:fldCharType="end"/>
          </w:r>
        </w:p>
      </w:tc>
    </w:tr>
  </w:tbl>
  <w:p w:rsidR="00944F69" w:rsidRPr="009A7F87" w:rsidRDefault="00944F69" w:rsidP="009A7F87">
    <w:pPr>
      <w:pStyle w:val="FooterEnd"/>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FooterEnd"/>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FooterEnd"/>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Pr="009A7F87" w:rsidRDefault="00944F69" w:rsidP="009A7F8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202</w:t>
          </w:r>
          <w:r>
            <w:rPr>
              <w:rStyle w:val="PageNumber"/>
            </w:rPr>
            <w:fldChar w:fldCharType="end"/>
          </w:r>
        </w:p>
      </w:tc>
      <w:tc>
        <w:tcPr>
          <w:tcW w:w="7767" w:type="dxa"/>
          <w:tcBorders>
            <w:top w:val="single" w:sz="4" w:space="0" w:color="auto"/>
          </w:tcBorders>
          <w:shd w:val="clear" w:color="auto" w:fill="auto"/>
        </w:tcPr>
        <w:p w:rsidR="00944F69" w:rsidRDefault="00944F69" w:rsidP="009A7F87">
          <w:pPr>
            <w:pStyle w:val="Footer"/>
          </w:pPr>
          <w:r>
            <w:t>SERVICE USE MEASURE DEFINITIONS MANUAL</w:t>
          </w:r>
        </w:p>
      </w:tc>
      <w:tc>
        <w:tcPr>
          <w:tcW w:w="510" w:type="dxa"/>
          <w:tcBorders>
            <w:top w:val="single" w:sz="4" w:space="0" w:color="auto"/>
          </w:tcBorders>
          <w:shd w:val="clear" w:color="auto" w:fill="auto"/>
        </w:tcPr>
        <w:p w:rsidR="00944F69" w:rsidRDefault="00944F69" w:rsidP="009A7F87">
          <w:pPr>
            <w:pStyle w:val="Footer"/>
          </w:pPr>
        </w:p>
      </w:tc>
    </w:tr>
  </w:tbl>
  <w:p w:rsidR="00944F69" w:rsidRPr="009A7F87" w:rsidRDefault="00944F69" w:rsidP="009A7F87">
    <w:pPr>
      <w:pStyle w:val="FooterEnd"/>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Default="00944F69" w:rsidP="009A7F87">
          <w:pPr>
            <w:pStyle w:val="Footer"/>
          </w:pPr>
        </w:p>
      </w:tc>
      <w:tc>
        <w:tcPr>
          <w:tcW w:w="7767" w:type="dxa"/>
          <w:tcBorders>
            <w:top w:val="single" w:sz="4" w:space="0" w:color="auto"/>
          </w:tcBorders>
          <w:shd w:val="clear" w:color="auto" w:fill="auto"/>
        </w:tcPr>
        <w:p w:rsidR="00944F69" w:rsidRDefault="00944F69" w:rsidP="009A7F87">
          <w:pPr>
            <w:pStyle w:val="Footer"/>
            <w:jc w:val="right"/>
          </w:pPr>
          <w:r>
            <w:t>SERVICE USE MEASURE DEFINITIONS – GPC 12</w:t>
          </w:r>
        </w:p>
      </w:tc>
      <w:tc>
        <w:tcPr>
          <w:tcW w:w="510" w:type="dxa"/>
          <w:tcBorders>
            <w:top w:val="single" w:sz="4" w:space="0" w:color="auto"/>
          </w:tcBorders>
          <w:shd w:val="clear" w:color="auto" w:fill="auto"/>
        </w:tcPr>
        <w:p w:rsidR="00944F69" w:rsidRPr="009A7F87" w:rsidRDefault="00944F69" w:rsidP="009A7F87">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201</w:t>
          </w:r>
          <w:r>
            <w:rPr>
              <w:rStyle w:val="PageNumber"/>
            </w:rPr>
            <w:fldChar w:fldCharType="end"/>
          </w:r>
        </w:p>
      </w:tc>
    </w:tr>
  </w:tbl>
  <w:p w:rsidR="00944F69" w:rsidRPr="009A7F87" w:rsidRDefault="00944F69" w:rsidP="009A7F87">
    <w:pPr>
      <w:pStyle w:val="FooterEnd"/>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FooterEnd"/>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FooterEnd"/>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Pr="009A7F87" w:rsidRDefault="00944F69" w:rsidP="009A7F8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212</w:t>
          </w:r>
          <w:r>
            <w:rPr>
              <w:rStyle w:val="PageNumber"/>
            </w:rPr>
            <w:fldChar w:fldCharType="end"/>
          </w:r>
        </w:p>
      </w:tc>
      <w:tc>
        <w:tcPr>
          <w:tcW w:w="7767" w:type="dxa"/>
          <w:tcBorders>
            <w:top w:val="single" w:sz="4" w:space="0" w:color="auto"/>
          </w:tcBorders>
          <w:shd w:val="clear" w:color="auto" w:fill="auto"/>
        </w:tcPr>
        <w:p w:rsidR="00944F69" w:rsidRDefault="00944F69" w:rsidP="009A7F87">
          <w:pPr>
            <w:pStyle w:val="Footer"/>
          </w:pPr>
          <w:r>
            <w:t>SERVICE USE MEASURE DEFINITIONS MANUAL</w:t>
          </w:r>
        </w:p>
      </w:tc>
      <w:tc>
        <w:tcPr>
          <w:tcW w:w="510" w:type="dxa"/>
          <w:tcBorders>
            <w:top w:val="single" w:sz="4" w:space="0" w:color="auto"/>
          </w:tcBorders>
          <w:shd w:val="clear" w:color="auto" w:fill="auto"/>
        </w:tcPr>
        <w:p w:rsidR="00944F69" w:rsidRDefault="00944F69" w:rsidP="009A7F87">
          <w:pPr>
            <w:pStyle w:val="Footer"/>
          </w:pPr>
        </w:p>
      </w:tc>
    </w:tr>
  </w:tbl>
  <w:p w:rsidR="00944F69" w:rsidRPr="009A7F87" w:rsidRDefault="00944F69" w:rsidP="009A7F87">
    <w:pPr>
      <w:pStyle w:val="FooterEnd"/>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Default="00944F69" w:rsidP="009A7F87">
          <w:pPr>
            <w:pStyle w:val="Footer"/>
          </w:pPr>
        </w:p>
      </w:tc>
      <w:tc>
        <w:tcPr>
          <w:tcW w:w="7767" w:type="dxa"/>
          <w:tcBorders>
            <w:top w:val="single" w:sz="4" w:space="0" w:color="auto"/>
          </w:tcBorders>
          <w:shd w:val="clear" w:color="auto" w:fill="auto"/>
        </w:tcPr>
        <w:p w:rsidR="00944F69" w:rsidRDefault="00944F69" w:rsidP="009A7F87">
          <w:pPr>
            <w:pStyle w:val="Footer"/>
            <w:jc w:val="right"/>
          </w:pPr>
          <w:r>
            <w:t>SERVICE USE MEASURE DEFINITIONS – GPC 13</w:t>
          </w:r>
        </w:p>
      </w:tc>
      <w:tc>
        <w:tcPr>
          <w:tcW w:w="510" w:type="dxa"/>
          <w:tcBorders>
            <w:top w:val="single" w:sz="4" w:space="0" w:color="auto"/>
          </w:tcBorders>
          <w:shd w:val="clear" w:color="auto" w:fill="auto"/>
        </w:tcPr>
        <w:p w:rsidR="00944F69" w:rsidRPr="009A7F87" w:rsidRDefault="00944F69" w:rsidP="009A7F87">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211</w:t>
          </w:r>
          <w:r>
            <w:rPr>
              <w:rStyle w:val="PageNumber"/>
            </w:rPr>
            <w:fldChar w:fldCharType="end"/>
          </w:r>
        </w:p>
      </w:tc>
    </w:tr>
  </w:tbl>
  <w:p w:rsidR="00944F69" w:rsidRPr="009A7F87" w:rsidRDefault="00944F69" w:rsidP="009A7F87">
    <w:pPr>
      <w:pStyle w:val="FooterEnd"/>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64540" w:rsidTr="005F48ED">
      <w:trPr>
        <w:trHeight w:hRule="exact" w:val="567"/>
      </w:trPr>
      <w:tc>
        <w:tcPr>
          <w:tcW w:w="510" w:type="dxa"/>
        </w:tcPr>
        <w:p w:rsidR="00064540" w:rsidRDefault="00064540">
          <w:pPr>
            <w:pStyle w:val="Footer"/>
            <w:ind w:right="360" w:firstLine="360"/>
          </w:pPr>
        </w:p>
      </w:tc>
      <w:tc>
        <w:tcPr>
          <w:tcW w:w="7767" w:type="dxa"/>
        </w:tcPr>
        <w:p w:rsidR="00064540" w:rsidRPr="00340511" w:rsidRDefault="00064540" w:rsidP="00340511">
          <w:pPr>
            <w:pStyle w:val="Footer"/>
            <w:jc w:val="right"/>
            <w:rPr>
              <w:rFonts w:cs="Arial"/>
            </w:rPr>
          </w:pPr>
          <w:r>
            <w:rPr>
              <w:noProof/>
            </w:rPr>
            <w:t>Working Group</w:t>
          </w:r>
        </w:p>
      </w:tc>
      <w:tc>
        <w:tcPr>
          <w:tcW w:w="510" w:type="dxa"/>
        </w:tcPr>
        <w:p w:rsidR="00064540" w:rsidRPr="00A24443" w:rsidRDefault="0006454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35E3D">
            <w:rPr>
              <w:rStyle w:val="PageNumber"/>
              <w:caps w:val="0"/>
              <w:noProof/>
            </w:rPr>
            <w:t>ix</w:t>
          </w:r>
          <w:r w:rsidRPr="00A24443">
            <w:rPr>
              <w:rStyle w:val="PageNumber"/>
              <w:caps w:val="0"/>
            </w:rPr>
            <w:fldChar w:fldCharType="end"/>
          </w:r>
        </w:p>
      </w:tc>
    </w:tr>
  </w:tbl>
  <w:p w:rsidR="00064540" w:rsidRDefault="00064540">
    <w:pPr>
      <w:pStyle w:val="FooterEnd"/>
    </w:pPr>
  </w:p>
  <w:p w:rsidR="00064540" w:rsidRDefault="00064540" w:rsidP="00B95339">
    <w:pPr>
      <w:pStyle w:val="FooterEnd"/>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FooterEnd"/>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Pr="009A7F87" w:rsidRDefault="00944F69" w:rsidP="009A7F8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218</w:t>
          </w:r>
          <w:r>
            <w:rPr>
              <w:rStyle w:val="PageNumber"/>
            </w:rPr>
            <w:fldChar w:fldCharType="end"/>
          </w:r>
        </w:p>
      </w:tc>
      <w:tc>
        <w:tcPr>
          <w:tcW w:w="7767" w:type="dxa"/>
          <w:tcBorders>
            <w:top w:val="single" w:sz="4" w:space="0" w:color="auto"/>
          </w:tcBorders>
          <w:shd w:val="clear" w:color="auto" w:fill="auto"/>
        </w:tcPr>
        <w:p w:rsidR="00944F69" w:rsidRDefault="00944F69" w:rsidP="009A7F87">
          <w:pPr>
            <w:pStyle w:val="Footer"/>
          </w:pPr>
          <w:r>
            <w:t>SERVICE USE MEASURE DEFINITIONS MANUAL</w:t>
          </w:r>
        </w:p>
      </w:tc>
      <w:tc>
        <w:tcPr>
          <w:tcW w:w="510" w:type="dxa"/>
          <w:tcBorders>
            <w:top w:val="single" w:sz="4" w:space="0" w:color="auto"/>
          </w:tcBorders>
          <w:shd w:val="clear" w:color="auto" w:fill="auto"/>
        </w:tcPr>
        <w:p w:rsidR="00944F69" w:rsidRDefault="00944F69" w:rsidP="009A7F87">
          <w:pPr>
            <w:pStyle w:val="Footer"/>
          </w:pPr>
        </w:p>
      </w:tc>
    </w:tr>
  </w:tbl>
  <w:p w:rsidR="00944F69" w:rsidRPr="009A7F87" w:rsidRDefault="00944F69" w:rsidP="009A7F87">
    <w:pPr>
      <w:pStyle w:val="FooterEnd"/>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Default="00944F69" w:rsidP="009A7F87">
          <w:pPr>
            <w:pStyle w:val="Footer"/>
          </w:pPr>
        </w:p>
      </w:tc>
      <w:tc>
        <w:tcPr>
          <w:tcW w:w="7767" w:type="dxa"/>
          <w:tcBorders>
            <w:top w:val="single" w:sz="4" w:space="0" w:color="auto"/>
          </w:tcBorders>
          <w:shd w:val="clear" w:color="auto" w:fill="auto"/>
        </w:tcPr>
        <w:p w:rsidR="00944F69" w:rsidRDefault="00944F69" w:rsidP="009A7F87">
          <w:pPr>
            <w:pStyle w:val="Footer"/>
            <w:jc w:val="right"/>
          </w:pPr>
          <w:r>
            <w:t>SERVICE USE MEASURE DEFINITIONS – GPC 14</w:t>
          </w:r>
        </w:p>
      </w:tc>
      <w:tc>
        <w:tcPr>
          <w:tcW w:w="510" w:type="dxa"/>
          <w:tcBorders>
            <w:top w:val="single" w:sz="4" w:space="0" w:color="auto"/>
          </w:tcBorders>
          <w:shd w:val="clear" w:color="auto" w:fill="auto"/>
        </w:tcPr>
        <w:p w:rsidR="00944F69" w:rsidRPr="009A7F87" w:rsidRDefault="00944F69" w:rsidP="009A7F87">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219</w:t>
          </w:r>
          <w:r>
            <w:rPr>
              <w:rStyle w:val="PageNumber"/>
            </w:rPr>
            <w:fldChar w:fldCharType="end"/>
          </w:r>
        </w:p>
      </w:tc>
    </w:tr>
  </w:tbl>
  <w:p w:rsidR="00944F69" w:rsidRPr="009A7F87" w:rsidRDefault="00944F69" w:rsidP="009A7F87">
    <w:pPr>
      <w:pStyle w:val="FooterEnd"/>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Pr="009A7F87" w:rsidRDefault="00944F69" w:rsidP="009A7F8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222</w:t>
          </w:r>
          <w:r>
            <w:rPr>
              <w:rStyle w:val="PageNumber"/>
            </w:rPr>
            <w:fldChar w:fldCharType="end"/>
          </w:r>
        </w:p>
      </w:tc>
      <w:tc>
        <w:tcPr>
          <w:tcW w:w="7767" w:type="dxa"/>
          <w:tcBorders>
            <w:top w:val="single" w:sz="4" w:space="0" w:color="auto"/>
          </w:tcBorders>
          <w:shd w:val="clear" w:color="auto" w:fill="auto"/>
        </w:tcPr>
        <w:p w:rsidR="00944F69" w:rsidRDefault="00944F69" w:rsidP="009A7F87">
          <w:pPr>
            <w:pStyle w:val="Footer"/>
          </w:pPr>
          <w:r>
            <w:t>SERVICE USE MEASURE DEFINITIONS MANUAL</w:t>
          </w:r>
        </w:p>
      </w:tc>
      <w:tc>
        <w:tcPr>
          <w:tcW w:w="510" w:type="dxa"/>
          <w:tcBorders>
            <w:top w:val="single" w:sz="4" w:space="0" w:color="auto"/>
          </w:tcBorders>
          <w:shd w:val="clear" w:color="auto" w:fill="auto"/>
        </w:tcPr>
        <w:p w:rsidR="00944F69" w:rsidRDefault="00944F69" w:rsidP="009A7F87">
          <w:pPr>
            <w:pStyle w:val="Footer"/>
          </w:pPr>
        </w:p>
      </w:tc>
    </w:tr>
  </w:tbl>
  <w:p w:rsidR="00944F69" w:rsidRPr="009A7F87" w:rsidRDefault="00944F69" w:rsidP="009A7F87">
    <w:pPr>
      <w:pStyle w:val="FooterEnd"/>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44F69" w:rsidTr="009A7F87">
      <w:trPr>
        <w:trHeight w:val="567"/>
      </w:trPr>
      <w:tc>
        <w:tcPr>
          <w:tcW w:w="510" w:type="dxa"/>
          <w:tcBorders>
            <w:top w:val="single" w:sz="4" w:space="0" w:color="auto"/>
          </w:tcBorders>
          <w:shd w:val="clear" w:color="auto" w:fill="auto"/>
        </w:tcPr>
        <w:p w:rsidR="00944F69" w:rsidRDefault="00944F69" w:rsidP="009A7F87">
          <w:pPr>
            <w:pStyle w:val="Footer"/>
          </w:pPr>
        </w:p>
      </w:tc>
      <w:tc>
        <w:tcPr>
          <w:tcW w:w="7767" w:type="dxa"/>
          <w:tcBorders>
            <w:top w:val="single" w:sz="4" w:space="0" w:color="auto"/>
          </w:tcBorders>
          <w:shd w:val="clear" w:color="auto" w:fill="auto"/>
        </w:tcPr>
        <w:p w:rsidR="00944F69" w:rsidRDefault="00944F69" w:rsidP="009A7F87">
          <w:pPr>
            <w:pStyle w:val="Footer"/>
            <w:jc w:val="right"/>
          </w:pPr>
          <w:r>
            <w:t>indigenous under-identification adjustment methods</w:t>
          </w:r>
        </w:p>
      </w:tc>
      <w:tc>
        <w:tcPr>
          <w:tcW w:w="510" w:type="dxa"/>
          <w:tcBorders>
            <w:top w:val="single" w:sz="4" w:space="0" w:color="auto"/>
          </w:tcBorders>
          <w:shd w:val="clear" w:color="auto" w:fill="auto"/>
        </w:tcPr>
        <w:p w:rsidR="00944F69" w:rsidRPr="009A7F87" w:rsidRDefault="00944F69" w:rsidP="009A7F87">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5E3D">
            <w:rPr>
              <w:rStyle w:val="PageNumber"/>
              <w:noProof/>
            </w:rPr>
            <w:t>221</w:t>
          </w:r>
          <w:r>
            <w:rPr>
              <w:rStyle w:val="PageNumber"/>
            </w:rPr>
            <w:fldChar w:fldCharType="end"/>
          </w:r>
        </w:p>
      </w:tc>
    </w:tr>
  </w:tbl>
  <w:p w:rsidR="00944F69" w:rsidRPr="009A7F87" w:rsidRDefault="00944F69" w:rsidP="009A7F87">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44F69" w:rsidTr="005F48ED">
      <w:trPr>
        <w:trHeight w:hRule="exact" w:val="567"/>
      </w:trPr>
      <w:tc>
        <w:tcPr>
          <w:tcW w:w="510" w:type="dxa"/>
        </w:tcPr>
        <w:p w:rsidR="00944F69" w:rsidRPr="00A24443" w:rsidRDefault="00944F6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35E3D">
            <w:rPr>
              <w:rStyle w:val="PageNumber"/>
              <w:caps w:val="0"/>
              <w:noProof/>
            </w:rPr>
            <w:t>6</w:t>
          </w:r>
          <w:r w:rsidRPr="00A24443">
            <w:rPr>
              <w:rStyle w:val="PageNumber"/>
              <w:caps w:val="0"/>
            </w:rPr>
            <w:fldChar w:fldCharType="end"/>
          </w:r>
        </w:p>
      </w:tc>
      <w:tc>
        <w:tcPr>
          <w:tcW w:w="7767" w:type="dxa"/>
        </w:tcPr>
        <w:p w:rsidR="00944F69" w:rsidRPr="0013739A" w:rsidRDefault="00944F69" w:rsidP="00B2262F">
          <w:pPr>
            <w:pStyle w:val="Footer"/>
            <w:rPr>
              <w:rFonts w:cs="Arial"/>
            </w:rPr>
          </w:pPr>
          <w:r>
            <w:rPr>
              <w:rFonts w:cs="Arial"/>
            </w:rPr>
            <w:t>Service use measure definitions manual</w:t>
          </w:r>
        </w:p>
      </w:tc>
      <w:tc>
        <w:tcPr>
          <w:tcW w:w="510" w:type="dxa"/>
        </w:tcPr>
        <w:p w:rsidR="00944F69" w:rsidRDefault="00944F69" w:rsidP="0019293B">
          <w:pPr>
            <w:pStyle w:val="Footer"/>
          </w:pPr>
        </w:p>
      </w:tc>
    </w:tr>
  </w:tbl>
  <w:p w:rsidR="00944F69" w:rsidRDefault="00944F69" w:rsidP="0019293B">
    <w:pPr>
      <w:pStyle w:val="FooterEnd"/>
    </w:pPr>
  </w:p>
  <w:p w:rsidR="00944F69" w:rsidRPr="009A7F87" w:rsidRDefault="00944F69" w:rsidP="009A7F87">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F69" w:rsidRDefault="00944F69">
      <w:r>
        <w:separator/>
      </w:r>
    </w:p>
  </w:footnote>
  <w:footnote w:type="continuationSeparator" w:id="0">
    <w:p w:rsidR="00944F69" w:rsidRDefault="00944F69">
      <w:r>
        <w:continuationSeparator/>
      </w:r>
    </w:p>
  </w:footnote>
  <w:footnote w:id="1">
    <w:p w:rsidR="00944F69" w:rsidRDefault="00944F69" w:rsidP="009A7F87">
      <w:pPr>
        <w:pStyle w:val="FootnoteText"/>
        <w:ind w:left="340" w:hanging="340"/>
      </w:pPr>
      <w:r>
        <w:rPr>
          <w:rStyle w:val="FootnoteReference"/>
        </w:rPr>
        <w:footnoteRef/>
      </w:r>
      <w:r>
        <w:t xml:space="preserve"> </w:t>
      </w:r>
      <w:r>
        <w:tab/>
        <w:t>The responsibility for developing and reporting against the National Framework was transferred from the Indigenous Expenditure Report Steering Committee to the Steering Committee for the Review of Government Service Provision by COAG on 13 February 2011. The members of the Indigenous Expenditure Report Steering Committee continued their involvement as the Indigenous Expenditure Report Working Group which provides advice to the Review Steering Committee.</w:t>
      </w:r>
    </w:p>
  </w:footnote>
  <w:footnote w:id="2">
    <w:p w:rsidR="00944F69" w:rsidRDefault="00944F69" w:rsidP="009A7F87">
      <w:pPr>
        <w:pStyle w:val="FootnoteText"/>
        <w:tabs>
          <w:tab w:val="clear" w:pos="284"/>
          <w:tab w:val="left" w:pos="340"/>
        </w:tabs>
        <w:ind w:left="340" w:hanging="340"/>
      </w:pPr>
      <w:r>
        <w:rPr>
          <w:rStyle w:val="FootnoteReference"/>
        </w:rPr>
        <w:footnoteRef/>
      </w:r>
      <w:r>
        <w:t xml:space="preserve"> </w:t>
      </w:r>
      <w:r>
        <w:tab/>
        <w:t>For example, the Australian Institute of Health and Welfare (AIHW) estimates of expenditure on health services for Aboriginal and Torres Strait Islander peoples, and the Northern Territory Indigenous expenditure reviews.</w:t>
      </w:r>
    </w:p>
  </w:footnote>
  <w:footnote w:id="3">
    <w:p w:rsidR="00944F69" w:rsidRDefault="00944F69" w:rsidP="009A7F87">
      <w:pPr>
        <w:pStyle w:val="FootnoteText"/>
      </w:pPr>
      <w:r>
        <w:rPr>
          <w:rStyle w:val="FootnoteReference"/>
        </w:rPr>
        <w:footnoteRef/>
      </w:r>
      <w:r>
        <w:t xml:space="preserve"> </w:t>
      </w:r>
      <w:r w:rsidRPr="002E14A1">
        <w:t xml:space="preserve">Conceptually, the derivation of mainstream expenditure should also account for targeted services that specifically </w:t>
      </w:r>
      <w:r w:rsidRPr="00661A60">
        <w:rPr>
          <w:i/>
        </w:rPr>
        <w:t>exclude</w:t>
      </w:r>
      <w:r>
        <w:t xml:space="preserve"> Aboriginal and Torres Strait Islander Australians — non</w:t>
      </w:r>
      <w:r>
        <w:noBreakHyphen/>
      </w:r>
      <w:r w:rsidRPr="002E14A1">
        <w:t xml:space="preserve">Indigenous specific expenditure. The Report </w:t>
      </w:r>
      <w:r>
        <w:t>method currently assumes that non</w:t>
      </w:r>
      <w:r>
        <w:noBreakHyphen/>
      </w:r>
      <w:r w:rsidRPr="002E14A1">
        <w:t>Indigenous specific expenditure is zero, and its exclusion from the method does not have a material impact on estim</w:t>
      </w:r>
      <w:r>
        <w:t>ates. By not accounting for non</w:t>
      </w:r>
      <w:r>
        <w:noBreakHyphen/>
      </w:r>
      <w:r w:rsidRPr="002E14A1">
        <w:t xml:space="preserve">Indigenous specific expenditure, the final estimate of the </w:t>
      </w:r>
      <w:r>
        <w:t>Aboriginal and Torres Strait Islander</w:t>
      </w:r>
      <w:r w:rsidRPr="002E14A1">
        <w:t xml:space="preserve"> share of mainstrea</w:t>
      </w:r>
      <w:r>
        <w:t>m expenditure may be overstated</w:t>
      </w:r>
      <w:r>
        <w:tab/>
      </w:r>
    </w:p>
  </w:footnote>
  <w:footnote w:id="4">
    <w:p w:rsidR="00944F69" w:rsidRPr="003172CB" w:rsidRDefault="00944F69" w:rsidP="009A7F87">
      <w:pPr>
        <w:pStyle w:val="FootnoteText"/>
        <w:tabs>
          <w:tab w:val="clear" w:pos="284"/>
          <w:tab w:val="left" w:pos="142"/>
        </w:tabs>
        <w:ind w:left="142" w:hanging="142"/>
        <w:rPr>
          <w:b/>
        </w:rPr>
      </w:pPr>
      <w:r>
        <w:rPr>
          <w:rStyle w:val="FootnoteReference"/>
        </w:rPr>
        <w:footnoteRef/>
      </w:r>
      <w:r>
        <w:t xml:space="preserve"> The terms of reference are reproduced on page </w:t>
      </w:r>
      <w:r w:rsidR="00B36994">
        <w:t>iii</w:t>
      </w:r>
      <w:r w:rsidRPr="0095517F">
        <w:t xml:space="preserve"> of this manual.</w:t>
      </w:r>
    </w:p>
  </w:footnote>
  <w:footnote w:id="5">
    <w:p w:rsidR="00944F69" w:rsidRDefault="00944F69" w:rsidP="009A7F87">
      <w:pPr>
        <w:pStyle w:val="FootnoteText"/>
        <w:tabs>
          <w:tab w:val="clear" w:pos="284"/>
          <w:tab w:val="left" w:pos="340"/>
        </w:tabs>
        <w:ind w:left="340" w:hanging="340"/>
      </w:pPr>
      <w:r>
        <w:rPr>
          <w:rStyle w:val="FootnoteReference"/>
        </w:rPr>
        <w:footnoteRef/>
      </w:r>
      <w:r>
        <w:tab/>
      </w:r>
      <w:r w:rsidRPr="00E62EB3">
        <w:t xml:space="preserve">Australian Institute </w:t>
      </w:r>
      <w:r>
        <w:t>of Health and Welfare </w:t>
      </w:r>
      <w:r w:rsidRPr="00E62EB3">
        <w:t>20</w:t>
      </w:r>
      <w:r>
        <w:t>13</w:t>
      </w:r>
      <w:r w:rsidRPr="00E62EB3">
        <w:t xml:space="preserve">, </w:t>
      </w:r>
      <w:r w:rsidRPr="00E62EB3">
        <w:rPr>
          <w:i/>
        </w:rPr>
        <w:t>Expenditure on Health for Aborigi</w:t>
      </w:r>
      <w:r>
        <w:rPr>
          <w:i/>
        </w:rPr>
        <w:t>nal and Torres Strait Islander P</w:t>
      </w:r>
      <w:r w:rsidRPr="00E62EB3">
        <w:rPr>
          <w:i/>
        </w:rPr>
        <w:t>eople 20</w:t>
      </w:r>
      <w:r>
        <w:rPr>
          <w:i/>
        </w:rPr>
        <w:t>1</w:t>
      </w:r>
      <w:r w:rsidRPr="00E62EB3">
        <w:rPr>
          <w:i/>
        </w:rPr>
        <w:t>0-</w:t>
      </w:r>
      <w:r>
        <w:rPr>
          <w:i/>
        </w:rPr>
        <w:t>11</w:t>
      </w:r>
      <w:r w:rsidRPr="00E62EB3">
        <w:t xml:space="preserve">, Health and Welfare Expenditure Series no. </w:t>
      </w:r>
      <w:r>
        <w:t>57</w:t>
      </w:r>
      <w:r w:rsidRPr="00E62EB3">
        <w:t>, Australian Institute of Health and Welfare, Canberra.</w:t>
      </w:r>
    </w:p>
  </w:footnote>
  <w:footnote w:id="6">
    <w:p w:rsidR="00944F69" w:rsidRDefault="00944F69" w:rsidP="009A7F87">
      <w:pPr>
        <w:pStyle w:val="FootnoteText"/>
        <w:tabs>
          <w:tab w:val="clear" w:pos="284"/>
          <w:tab w:val="left" w:pos="340"/>
        </w:tabs>
        <w:ind w:left="340" w:hanging="340"/>
      </w:pPr>
      <w:r>
        <w:rPr>
          <w:rStyle w:val="FootnoteReference"/>
        </w:rPr>
        <w:footnoteRef/>
      </w:r>
      <w:r>
        <w:tab/>
      </w:r>
      <w:r w:rsidRPr="004609DB">
        <w:rPr>
          <w:szCs w:val="26"/>
        </w:rPr>
        <w:t>Northern Territory Treasury</w:t>
      </w:r>
      <w:r>
        <w:rPr>
          <w:szCs w:val="26"/>
        </w:rPr>
        <w:t> </w:t>
      </w:r>
      <w:r w:rsidRPr="004609DB">
        <w:rPr>
          <w:szCs w:val="26"/>
        </w:rPr>
        <w:t xml:space="preserve">2006 </w:t>
      </w:r>
      <w:r w:rsidRPr="004609DB">
        <w:rPr>
          <w:i/>
          <w:szCs w:val="26"/>
        </w:rPr>
        <w:t>Indigenous Expenditure Review</w:t>
      </w:r>
      <w:r w:rsidRPr="004609DB">
        <w:rPr>
          <w:szCs w:val="26"/>
        </w:rPr>
        <w:t>, September 2006, NT Treasury, Darwin.</w:t>
      </w:r>
    </w:p>
  </w:footnote>
  <w:footnote w:id="7">
    <w:p w:rsidR="00944F69" w:rsidRDefault="00944F69" w:rsidP="009A7F87">
      <w:pPr>
        <w:pStyle w:val="FootnoteText"/>
      </w:pPr>
      <w:r>
        <w:rPr>
          <w:rStyle w:val="FootnoteReference"/>
        </w:rPr>
        <w:footnoteRef/>
      </w:r>
      <w:r>
        <w:t xml:space="preserve"> </w:t>
      </w:r>
      <w:r>
        <w:tab/>
        <w:t>Australian Government expenditure is allocated across states and territories using the approach described in chapter 7 before this method is applied.</w:t>
      </w:r>
    </w:p>
  </w:footnote>
  <w:footnote w:id="8">
    <w:p w:rsidR="00944F69" w:rsidRDefault="00944F69" w:rsidP="009A7F87">
      <w:pPr>
        <w:pStyle w:val="FootnoteText"/>
      </w:pPr>
      <w:r>
        <w:rPr>
          <w:rStyle w:val="FootnoteReference"/>
        </w:rPr>
        <w:footnoteRef/>
      </w:r>
      <w:r>
        <w:t xml:space="preserve"> </w:t>
      </w:r>
      <w:r>
        <w:tab/>
        <w:t>Australian Government expenditure is allocated across states and territories using the approach described in chapter 7 before this method is applied.</w:t>
      </w:r>
    </w:p>
  </w:footnote>
  <w:footnote w:id="9">
    <w:p w:rsidR="00944F69" w:rsidRDefault="00944F69" w:rsidP="009A7F87">
      <w:pPr>
        <w:pStyle w:val="FootnoteText"/>
      </w:pPr>
      <w:r>
        <w:rPr>
          <w:rStyle w:val="FootnoteReference"/>
        </w:rPr>
        <w:footnoteRef/>
      </w:r>
      <w:r>
        <w:t xml:space="preserve"> </w:t>
      </w:r>
      <w:r>
        <w:tab/>
        <w:t>Australian Government expenditure is allocated across states and territories using the approach described in chapter 7 before this method is applied.</w:t>
      </w:r>
    </w:p>
  </w:footnote>
  <w:footnote w:id="10">
    <w:p w:rsidR="00944F69" w:rsidRPr="00383148" w:rsidRDefault="00944F69" w:rsidP="009A7F87">
      <w:pPr>
        <w:pStyle w:val="FootnoteText"/>
        <w:rPr>
          <w:szCs w:val="22"/>
        </w:rPr>
      </w:pPr>
      <w:r>
        <w:rPr>
          <w:rStyle w:val="FootnoteReference"/>
        </w:rPr>
        <w:footnoteRef/>
      </w:r>
      <w:r>
        <w:t xml:space="preserve"> </w:t>
      </w:r>
      <w:r>
        <w:tab/>
      </w:r>
      <w:r w:rsidRPr="00383148">
        <w:rPr>
          <w:szCs w:val="22"/>
        </w:rPr>
        <w:t>Australian Government expenditure is allocated across states and territories using the approach described in chapter 7 before this method is applied.</w:t>
      </w:r>
    </w:p>
  </w:footnote>
  <w:footnote w:id="11">
    <w:p w:rsidR="00944F69" w:rsidRDefault="00944F69" w:rsidP="009A7F87">
      <w:pPr>
        <w:pStyle w:val="FootnoteText"/>
        <w:tabs>
          <w:tab w:val="clear" w:pos="284"/>
          <w:tab w:val="left" w:pos="340"/>
        </w:tabs>
        <w:ind w:left="340" w:hanging="340"/>
      </w:pPr>
      <w:r w:rsidRPr="00383148">
        <w:rPr>
          <w:rStyle w:val="FootnoteReference"/>
          <w:szCs w:val="22"/>
        </w:rPr>
        <w:footnoteRef/>
      </w:r>
      <w:r w:rsidRPr="00383148">
        <w:rPr>
          <w:szCs w:val="22"/>
        </w:rPr>
        <w:tab/>
        <w:t xml:space="preserve">Steering Committee for the Review of Government Service Provision, 2017, </w:t>
      </w:r>
      <w:r w:rsidRPr="00383148">
        <w:rPr>
          <w:i/>
          <w:szCs w:val="22"/>
        </w:rPr>
        <w:t xml:space="preserve">Expenditure Data Manual, </w:t>
      </w:r>
      <w:r w:rsidRPr="00383148">
        <w:rPr>
          <w:szCs w:val="22"/>
        </w:rPr>
        <w:t>2017 Indigenous Expenditure Report,</w:t>
      </w:r>
      <w:r w:rsidRPr="00383148">
        <w:rPr>
          <w:i/>
          <w:szCs w:val="22"/>
        </w:rPr>
        <w:t xml:space="preserve"> </w:t>
      </w:r>
      <w:r w:rsidRPr="00383148">
        <w:rPr>
          <w:szCs w:val="22"/>
        </w:rPr>
        <w:t>Productivity Commission.</w:t>
      </w:r>
    </w:p>
  </w:footnote>
  <w:footnote w:id="12">
    <w:p w:rsidR="00944F69" w:rsidRDefault="00944F69" w:rsidP="009A7F87">
      <w:pPr>
        <w:pStyle w:val="FootnoteText"/>
        <w:ind w:left="340" w:hanging="340"/>
      </w:pPr>
      <w:r>
        <w:rPr>
          <w:rStyle w:val="FootnoteReference"/>
        </w:rPr>
        <w:footnoteRef/>
      </w:r>
      <w:r>
        <w:t xml:space="preserve"> </w:t>
      </w:r>
      <w:r>
        <w:tab/>
        <w:t>T</w:t>
      </w:r>
      <w:r w:rsidRPr="003E76BB">
        <w:t>here can</w:t>
      </w:r>
      <w:r>
        <w:t xml:space="preserve">, however, </w:t>
      </w:r>
      <w:r w:rsidRPr="003E76BB">
        <w:t>be some use of these services and programs by non</w:t>
      </w:r>
      <w:r>
        <w:t>-</w:t>
      </w:r>
      <w:r w:rsidRPr="003E76BB">
        <w:t xml:space="preserve">Indigenous </w:t>
      </w:r>
      <w:r>
        <w:t>Australians</w:t>
      </w:r>
      <w:r w:rsidRPr="003E76BB">
        <w:t xml:space="preserve"> in </w:t>
      </w:r>
      <w:r>
        <w:t>particular</w:t>
      </w:r>
      <w:r w:rsidRPr="003E76BB">
        <w:t xml:space="preserve"> locations</w:t>
      </w:r>
      <w:r>
        <w:t xml:space="preserve"> (for example, Indigenous specific health services in remote communities)</w:t>
      </w:r>
      <w:r w:rsidRPr="003E76BB">
        <w:t>.</w:t>
      </w:r>
    </w:p>
  </w:footnote>
  <w:footnote w:id="13">
    <w:p w:rsidR="00944F69" w:rsidRDefault="00944F69" w:rsidP="009A7F87">
      <w:pPr>
        <w:pStyle w:val="FootnoteText"/>
        <w:tabs>
          <w:tab w:val="clear" w:pos="284"/>
          <w:tab w:val="left" w:pos="340"/>
        </w:tabs>
        <w:ind w:left="340" w:hanging="340"/>
      </w:pPr>
      <w:r>
        <w:rPr>
          <w:rStyle w:val="FootnoteReference"/>
        </w:rPr>
        <w:footnoteRef/>
      </w:r>
      <w:r>
        <w:tab/>
        <w:t>In this manual lower case state and territory refers to the geographical boundaries of jurisdictions, and upper case State and Territory refers to the jurisdictional governments.</w:t>
      </w:r>
    </w:p>
  </w:footnote>
  <w:footnote w:id="14">
    <w:p w:rsidR="00944F69" w:rsidRPr="00D56768" w:rsidRDefault="00944F69" w:rsidP="009A7F87">
      <w:pPr>
        <w:pStyle w:val="FootnoteText"/>
        <w:tabs>
          <w:tab w:val="clear" w:pos="284"/>
          <w:tab w:val="left" w:pos="340"/>
        </w:tabs>
        <w:ind w:left="340" w:hanging="340"/>
        <w:rPr>
          <w:szCs w:val="22"/>
        </w:rPr>
      </w:pPr>
      <w:r>
        <w:rPr>
          <w:rStyle w:val="FootnoteReference"/>
        </w:rPr>
        <w:footnoteRef/>
      </w:r>
      <w:r>
        <w:tab/>
      </w:r>
      <w:r w:rsidRPr="00D56768">
        <w:t xml:space="preserve">Steering </w:t>
      </w:r>
      <w:r w:rsidRPr="00D56768">
        <w:rPr>
          <w:szCs w:val="22"/>
        </w:rPr>
        <w:t xml:space="preserve">Committee for the Review of Government Service Provision, </w:t>
      </w:r>
      <w:r w:rsidRPr="007526AF">
        <w:rPr>
          <w:szCs w:val="22"/>
        </w:rPr>
        <w:t xml:space="preserve">2017, </w:t>
      </w:r>
      <w:r w:rsidRPr="007526AF">
        <w:rPr>
          <w:i/>
          <w:szCs w:val="22"/>
        </w:rPr>
        <w:t>Expenditure Data Manual</w:t>
      </w:r>
      <w:r w:rsidRPr="007526AF">
        <w:rPr>
          <w:szCs w:val="22"/>
        </w:rPr>
        <w:t>, 2017 Indigenous Expenditure Report,</w:t>
      </w:r>
      <w:r w:rsidRPr="007526AF">
        <w:rPr>
          <w:i/>
          <w:szCs w:val="22"/>
        </w:rPr>
        <w:t xml:space="preserve"> </w:t>
      </w:r>
      <w:r w:rsidRPr="007526AF">
        <w:rPr>
          <w:szCs w:val="22"/>
        </w:rPr>
        <w:t>Productivity Comm</w:t>
      </w:r>
      <w:r w:rsidRPr="00D56768">
        <w:rPr>
          <w:szCs w:val="22"/>
        </w:rPr>
        <w:t>ission, Canberra.</w:t>
      </w:r>
    </w:p>
  </w:footnote>
  <w:footnote w:id="15">
    <w:p w:rsidR="00944F69" w:rsidRDefault="00944F69" w:rsidP="009A7F87">
      <w:pPr>
        <w:pStyle w:val="FootnoteText"/>
        <w:tabs>
          <w:tab w:val="clear" w:pos="284"/>
          <w:tab w:val="left" w:pos="340"/>
        </w:tabs>
        <w:ind w:left="340" w:hanging="340"/>
      </w:pPr>
      <w:r>
        <w:rPr>
          <w:rStyle w:val="FootnoteReference"/>
        </w:rPr>
        <w:footnoteRef/>
      </w:r>
      <w:r>
        <w:t xml:space="preserve"> </w:t>
      </w:r>
      <w:r>
        <w:tab/>
        <w:t>The allocation of government expenditure to the appropriate ABS GPC categories is the key issue relating to expenditure data quality. The agreed guidelines for these allocations are set out in the 2017 Report Expenditure</w:t>
      </w:r>
      <w:r w:rsidRPr="00476C68">
        <w:t xml:space="preserve"> Data Manual</w:t>
      </w:r>
      <w:r>
        <w:t>. Over time, jurisdictions are expected to be able to improve their reporting against these guidelines, but this might require improvements in information systems and processes. In the interim, deviations from the agreed guidelines will be detailed in explanatory notes to the reported data.</w:t>
      </w:r>
    </w:p>
  </w:footnote>
  <w:footnote w:id="16">
    <w:p w:rsidR="00944F69" w:rsidRDefault="00944F69" w:rsidP="009A7F87">
      <w:pPr>
        <w:pStyle w:val="FootnoteText"/>
        <w:tabs>
          <w:tab w:val="clear" w:pos="284"/>
          <w:tab w:val="left" w:pos="340"/>
        </w:tabs>
        <w:ind w:left="340" w:hanging="340"/>
      </w:pPr>
      <w:r>
        <w:rPr>
          <w:rStyle w:val="FootnoteReference"/>
        </w:rPr>
        <w:footnoteRef/>
      </w:r>
      <w:r>
        <w:tab/>
        <w:t xml:space="preserve">ABS 2009, </w:t>
      </w:r>
      <w:r>
        <w:rPr>
          <w:i/>
        </w:rPr>
        <w:t>ABS Data Quality Framework, May 2009</w:t>
      </w:r>
      <w:r>
        <w:t>, ABS Cat. no. 1520.0, Canberra.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064540">
      <w:tc>
        <w:tcPr>
          <w:tcW w:w="2155" w:type="dxa"/>
          <w:tcBorders>
            <w:top w:val="single" w:sz="24" w:space="0" w:color="auto"/>
          </w:tcBorders>
        </w:tcPr>
        <w:p w:rsidR="00064540" w:rsidRDefault="00064540">
          <w:pPr>
            <w:pStyle w:val="Header"/>
          </w:pPr>
        </w:p>
      </w:tc>
      <w:tc>
        <w:tcPr>
          <w:tcW w:w="6634" w:type="dxa"/>
          <w:tcBorders>
            <w:top w:val="single" w:sz="6" w:space="0" w:color="auto"/>
          </w:tcBorders>
        </w:tcPr>
        <w:p w:rsidR="00064540" w:rsidRDefault="00064540">
          <w:pPr>
            <w:pStyle w:val="Header"/>
          </w:pPr>
        </w:p>
      </w:tc>
    </w:tr>
  </w:tbl>
  <w:p w:rsidR="00064540" w:rsidRDefault="00064540">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44F69">
      <w:tc>
        <w:tcPr>
          <w:tcW w:w="6634" w:type="dxa"/>
          <w:tcBorders>
            <w:top w:val="single" w:sz="6" w:space="0" w:color="auto"/>
          </w:tcBorders>
        </w:tcPr>
        <w:p w:rsidR="00944F69" w:rsidRDefault="00944F69" w:rsidP="00E669E2">
          <w:pPr>
            <w:pStyle w:val="HeaderOdd"/>
          </w:pPr>
        </w:p>
      </w:tc>
      <w:tc>
        <w:tcPr>
          <w:tcW w:w="2155" w:type="dxa"/>
          <w:tcBorders>
            <w:top w:val="single" w:sz="24" w:space="0" w:color="auto"/>
          </w:tcBorders>
        </w:tcPr>
        <w:p w:rsidR="00944F69" w:rsidRDefault="00944F69" w:rsidP="00E669E2">
          <w:pPr>
            <w:pStyle w:val="HeaderOdd"/>
          </w:pPr>
        </w:p>
      </w:tc>
    </w:tr>
  </w:tbl>
  <w:p w:rsidR="00944F69" w:rsidRDefault="00944F69" w:rsidP="00E669E2">
    <w:pPr>
      <w:pStyle w:val="HeaderEnd"/>
    </w:pPr>
  </w:p>
  <w:p w:rsidR="00944F69" w:rsidRPr="009A7F87" w:rsidRDefault="00944F69" w:rsidP="009A7F87">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540" w:rsidRDefault="0006454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44F69">
      <w:tc>
        <w:tcPr>
          <w:tcW w:w="2155" w:type="dxa"/>
          <w:tcBorders>
            <w:top w:val="single" w:sz="24" w:space="0" w:color="auto"/>
          </w:tcBorders>
        </w:tcPr>
        <w:p w:rsidR="00944F69" w:rsidRDefault="00944F69" w:rsidP="0019293B">
          <w:pPr>
            <w:pStyle w:val="HeaderEven"/>
          </w:pPr>
        </w:p>
      </w:tc>
      <w:tc>
        <w:tcPr>
          <w:tcW w:w="6634" w:type="dxa"/>
          <w:tcBorders>
            <w:top w:val="single" w:sz="6" w:space="0" w:color="auto"/>
          </w:tcBorders>
        </w:tcPr>
        <w:p w:rsidR="00944F69" w:rsidRDefault="00944F69" w:rsidP="0019293B">
          <w:pPr>
            <w:pStyle w:val="HeaderEven"/>
          </w:pPr>
        </w:p>
      </w:tc>
    </w:tr>
  </w:tbl>
  <w:p w:rsidR="00944F69" w:rsidRDefault="00944F69" w:rsidP="0019293B">
    <w:pPr>
      <w:pStyle w:val="HeaderEnd"/>
    </w:pPr>
  </w:p>
  <w:p w:rsidR="00944F69" w:rsidRPr="009A7F87" w:rsidRDefault="00944F69" w:rsidP="009A7F87">
    <w:pPr>
      <w:pStyle w:val="HeaderEn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44F69">
      <w:tc>
        <w:tcPr>
          <w:tcW w:w="6634" w:type="dxa"/>
          <w:tcBorders>
            <w:top w:val="single" w:sz="6" w:space="0" w:color="auto"/>
          </w:tcBorders>
        </w:tcPr>
        <w:p w:rsidR="00944F69" w:rsidRDefault="00944F69" w:rsidP="00E669E2">
          <w:pPr>
            <w:pStyle w:val="HeaderOdd"/>
          </w:pPr>
        </w:p>
      </w:tc>
      <w:tc>
        <w:tcPr>
          <w:tcW w:w="2155" w:type="dxa"/>
          <w:tcBorders>
            <w:top w:val="single" w:sz="24" w:space="0" w:color="auto"/>
          </w:tcBorders>
        </w:tcPr>
        <w:p w:rsidR="00944F69" w:rsidRDefault="00944F69" w:rsidP="00E669E2">
          <w:pPr>
            <w:pStyle w:val="HeaderOdd"/>
          </w:pPr>
        </w:p>
      </w:tc>
    </w:tr>
  </w:tbl>
  <w:p w:rsidR="00944F69" w:rsidRDefault="00944F69" w:rsidP="00E669E2">
    <w:pPr>
      <w:pStyle w:val="HeaderEnd"/>
    </w:pPr>
  </w:p>
  <w:p w:rsidR="00944F69" w:rsidRPr="009A7F87" w:rsidRDefault="00944F69" w:rsidP="009A7F87">
    <w:pPr>
      <w:pStyle w:val="HeaderEnd"/>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44F69">
      <w:tc>
        <w:tcPr>
          <w:tcW w:w="2155" w:type="dxa"/>
          <w:tcBorders>
            <w:top w:val="single" w:sz="24" w:space="0" w:color="auto"/>
          </w:tcBorders>
        </w:tcPr>
        <w:p w:rsidR="00944F69" w:rsidRDefault="00944F69" w:rsidP="0019293B">
          <w:pPr>
            <w:pStyle w:val="HeaderEven"/>
          </w:pPr>
        </w:p>
      </w:tc>
      <w:tc>
        <w:tcPr>
          <w:tcW w:w="6634" w:type="dxa"/>
          <w:tcBorders>
            <w:top w:val="single" w:sz="6" w:space="0" w:color="auto"/>
          </w:tcBorders>
        </w:tcPr>
        <w:p w:rsidR="00944F69" w:rsidRDefault="00944F69" w:rsidP="0019293B">
          <w:pPr>
            <w:pStyle w:val="HeaderEven"/>
          </w:pPr>
        </w:p>
      </w:tc>
    </w:tr>
  </w:tbl>
  <w:p w:rsidR="00944F69" w:rsidRDefault="00944F69" w:rsidP="0019293B">
    <w:pPr>
      <w:pStyle w:val="HeaderEnd"/>
    </w:pPr>
  </w:p>
  <w:p w:rsidR="00944F69" w:rsidRPr="009A7F87" w:rsidRDefault="00944F69" w:rsidP="009A7F87">
    <w:pPr>
      <w:pStyle w:val="HeaderEnd"/>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44F69">
      <w:tc>
        <w:tcPr>
          <w:tcW w:w="6634" w:type="dxa"/>
          <w:tcBorders>
            <w:top w:val="single" w:sz="6" w:space="0" w:color="auto"/>
          </w:tcBorders>
        </w:tcPr>
        <w:p w:rsidR="00944F69" w:rsidRDefault="00944F69" w:rsidP="00E669E2">
          <w:pPr>
            <w:pStyle w:val="HeaderOdd"/>
          </w:pPr>
        </w:p>
      </w:tc>
      <w:tc>
        <w:tcPr>
          <w:tcW w:w="2155" w:type="dxa"/>
          <w:tcBorders>
            <w:top w:val="single" w:sz="24" w:space="0" w:color="auto"/>
          </w:tcBorders>
        </w:tcPr>
        <w:p w:rsidR="00944F69" w:rsidRDefault="00944F69" w:rsidP="00E669E2">
          <w:pPr>
            <w:pStyle w:val="HeaderOdd"/>
          </w:pPr>
        </w:p>
      </w:tc>
    </w:tr>
  </w:tbl>
  <w:p w:rsidR="00944F69" w:rsidRDefault="00944F69" w:rsidP="00E669E2">
    <w:pPr>
      <w:pStyle w:val="HeaderEnd"/>
    </w:pPr>
  </w:p>
  <w:p w:rsidR="00944F69" w:rsidRPr="009A7F87" w:rsidRDefault="00944F69" w:rsidP="009A7F87">
    <w:pPr>
      <w:pStyle w:val="HeaderEnd"/>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44F69">
      <w:tc>
        <w:tcPr>
          <w:tcW w:w="2155" w:type="dxa"/>
          <w:tcBorders>
            <w:top w:val="single" w:sz="24" w:space="0" w:color="auto"/>
          </w:tcBorders>
        </w:tcPr>
        <w:p w:rsidR="00944F69" w:rsidRDefault="00944F69" w:rsidP="0019293B">
          <w:pPr>
            <w:pStyle w:val="HeaderEven"/>
          </w:pPr>
        </w:p>
      </w:tc>
      <w:tc>
        <w:tcPr>
          <w:tcW w:w="6634" w:type="dxa"/>
          <w:tcBorders>
            <w:top w:val="single" w:sz="6" w:space="0" w:color="auto"/>
          </w:tcBorders>
        </w:tcPr>
        <w:p w:rsidR="00944F69" w:rsidRDefault="00944F69" w:rsidP="0019293B">
          <w:pPr>
            <w:pStyle w:val="HeaderEven"/>
          </w:pPr>
        </w:p>
      </w:tc>
    </w:tr>
  </w:tbl>
  <w:p w:rsidR="00944F69" w:rsidRDefault="00944F69" w:rsidP="0019293B">
    <w:pPr>
      <w:pStyle w:val="HeaderEnd"/>
    </w:pPr>
  </w:p>
  <w:p w:rsidR="00944F69" w:rsidRPr="009A7F87" w:rsidRDefault="00944F69" w:rsidP="009A7F87">
    <w:pPr>
      <w:pStyle w:val="HeaderEnd"/>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44F69">
      <w:tc>
        <w:tcPr>
          <w:tcW w:w="6634" w:type="dxa"/>
          <w:tcBorders>
            <w:top w:val="single" w:sz="6" w:space="0" w:color="auto"/>
          </w:tcBorders>
        </w:tcPr>
        <w:p w:rsidR="00944F69" w:rsidRDefault="00944F69" w:rsidP="00E669E2">
          <w:pPr>
            <w:pStyle w:val="HeaderOdd"/>
          </w:pPr>
        </w:p>
      </w:tc>
      <w:tc>
        <w:tcPr>
          <w:tcW w:w="2155" w:type="dxa"/>
          <w:tcBorders>
            <w:top w:val="single" w:sz="24" w:space="0" w:color="auto"/>
          </w:tcBorders>
        </w:tcPr>
        <w:p w:rsidR="00944F69" w:rsidRDefault="00944F69" w:rsidP="00E669E2">
          <w:pPr>
            <w:pStyle w:val="HeaderOdd"/>
          </w:pPr>
        </w:p>
      </w:tc>
    </w:tr>
  </w:tbl>
  <w:p w:rsidR="00944F69" w:rsidRDefault="00944F69" w:rsidP="00E669E2">
    <w:pPr>
      <w:pStyle w:val="HeaderEnd"/>
    </w:pPr>
  </w:p>
  <w:p w:rsidR="00944F69" w:rsidRPr="009A7F87" w:rsidRDefault="00944F69" w:rsidP="009A7F87">
    <w:pPr>
      <w:pStyle w:val="HeaderEnd"/>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44F69">
      <w:tc>
        <w:tcPr>
          <w:tcW w:w="2155" w:type="dxa"/>
          <w:tcBorders>
            <w:top w:val="single" w:sz="24" w:space="0" w:color="auto"/>
          </w:tcBorders>
        </w:tcPr>
        <w:p w:rsidR="00944F69" w:rsidRDefault="00944F69" w:rsidP="0019293B">
          <w:pPr>
            <w:pStyle w:val="HeaderEven"/>
          </w:pPr>
        </w:p>
      </w:tc>
      <w:tc>
        <w:tcPr>
          <w:tcW w:w="6634" w:type="dxa"/>
          <w:tcBorders>
            <w:top w:val="single" w:sz="6" w:space="0" w:color="auto"/>
          </w:tcBorders>
        </w:tcPr>
        <w:p w:rsidR="00944F69" w:rsidRDefault="00944F69" w:rsidP="0019293B">
          <w:pPr>
            <w:pStyle w:val="HeaderEven"/>
          </w:pPr>
        </w:p>
      </w:tc>
    </w:tr>
  </w:tbl>
  <w:p w:rsidR="00944F69" w:rsidRDefault="00944F69" w:rsidP="0019293B">
    <w:pPr>
      <w:pStyle w:val="HeaderEnd"/>
    </w:pPr>
  </w:p>
  <w:p w:rsidR="00944F69" w:rsidRPr="009A7F87" w:rsidRDefault="00944F69" w:rsidP="009A7F87">
    <w:pPr>
      <w:pStyle w:val="HeaderEnd"/>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44F69">
      <w:tc>
        <w:tcPr>
          <w:tcW w:w="6634" w:type="dxa"/>
          <w:tcBorders>
            <w:top w:val="single" w:sz="6" w:space="0" w:color="auto"/>
          </w:tcBorders>
        </w:tcPr>
        <w:p w:rsidR="00944F69" w:rsidRDefault="00944F69" w:rsidP="00E669E2">
          <w:pPr>
            <w:pStyle w:val="HeaderOdd"/>
          </w:pPr>
        </w:p>
      </w:tc>
      <w:tc>
        <w:tcPr>
          <w:tcW w:w="2155" w:type="dxa"/>
          <w:tcBorders>
            <w:top w:val="single" w:sz="24" w:space="0" w:color="auto"/>
          </w:tcBorders>
        </w:tcPr>
        <w:p w:rsidR="00944F69" w:rsidRDefault="00944F69" w:rsidP="00E669E2">
          <w:pPr>
            <w:pStyle w:val="HeaderOdd"/>
          </w:pPr>
        </w:p>
      </w:tc>
    </w:tr>
  </w:tbl>
  <w:p w:rsidR="00944F69" w:rsidRDefault="00944F69" w:rsidP="00E669E2">
    <w:pPr>
      <w:pStyle w:val="HeaderEnd"/>
    </w:pPr>
  </w:p>
  <w:p w:rsidR="00944F69" w:rsidRPr="009A7F87" w:rsidRDefault="00944F69" w:rsidP="009A7F87">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64540">
      <w:tc>
        <w:tcPr>
          <w:tcW w:w="6634" w:type="dxa"/>
          <w:tcBorders>
            <w:top w:val="single" w:sz="6" w:space="0" w:color="auto"/>
          </w:tcBorders>
        </w:tcPr>
        <w:p w:rsidR="00064540" w:rsidRDefault="00064540" w:rsidP="00E669E2">
          <w:pPr>
            <w:pStyle w:val="HeaderOdd"/>
          </w:pPr>
        </w:p>
      </w:tc>
      <w:tc>
        <w:tcPr>
          <w:tcW w:w="2155" w:type="dxa"/>
          <w:tcBorders>
            <w:top w:val="single" w:sz="24" w:space="0" w:color="auto"/>
          </w:tcBorders>
        </w:tcPr>
        <w:p w:rsidR="00064540" w:rsidRDefault="00064540" w:rsidP="00E669E2">
          <w:pPr>
            <w:pStyle w:val="HeaderOdd"/>
          </w:pPr>
        </w:p>
      </w:tc>
    </w:tr>
  </w:tbl>
  <w:p w:rsidR="00064540" w:rsidRDefault="00064540" w:rsidP="00E669E2">
    <w:pPr>
      <w:pStyle w:val="HeaderEnd"/>
    </w:pPr>
  </w:p>
  <w:p w:rsidR="00064540" w:rsidRPr="00D01645" w:rsidRDefault="00064540" w:rsidP="00D01645">
    <w:pPr>
      <w:pStyle w:val="HeaderEnd"/>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44F69">
      <w:tc>
        <w:tcPr>
          <w:tcW w:w="2155" w:type="dxa"/>
          <w:tcBorders>
            <w:top w:val="single" w:sz="24" w:space="0" w:color="auto"/>
          </w:tcBorders>
        </w:tcPr>
        <w:p w:rsidR="00944F69" w:rsidRDefault="00944F69" w:rsidP="0019293B">
          <w:pPr>
            <w:pStyle w:val="HeaderEven"/>
          </w:pPr>
        </w:p>
      </w:tc>
      <w:tc>
        <w:tcPr>
          <w:tcW w:w="6634" w:type="dxa"/>
          <w:tcBorders>
            <w:top w:val="single" w:sz="6" w:space="0" w:color="auto"/>
          </w:tcBorders>
        </w:tcPr>
        <w:p w:rsidR="00944F69" w:rsidRDefault="00944F69" w:rsidP="0019293B">
          <w:pPr>
            <w:pStyle w:val="HeaderEven"/>
          </w:pPr>
        </w:p>
      </w:tc>
    </w:tr>
  </w:tbl>
  <w:p w:rsidR="00944F69" w:rsidRDefault="00944F69" w:rsidP="0019293B">
    <w:pPr>
      <w:pStyle w:val="HeaderEnd"/>
    </w:pPr>
  </w:p>
  <w:p w:rsidR="00944F69" w:rsidRPr="009A7F87" w:rsidRDefault="00944F69" w:rsidP="009A7F87">
    <w:pPr>
      <w:pStyle w:val="HeaderEnd"/>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44F69">
      <w:tc>
        <w:tcPr>
          <w:tcW w:w="6634" w:type="dxa"/>
          <w:tcBorders>
            <w:top w:val="single" w:sz="6" w:space="0" w:color="auto"/>
          </w:tcBorders>
        </w:tcPr>
        <w:p w:rsidR="00944F69" w:rsidRDefault="00944F69" w:rsidP="00E669E2">
          <w:pPr>
            <w:pStyle w:val="HeaderOdd"/>
          </w:pPr>
        </w:p>
      </w:tc>
      <w:tc>
        <w:tcPr>
          <w:tcW w:w="2155" w:type="dxa"/>
          <w:tcBorders>
            <w:top w:val="single" w:sz="24" w:space="0" w:color="auto"/>
          </w:tcBorders>
        </w:tcPr>
        <w:p w:rsidR="00944F69" w:rsidRDefault="00944F69" w:rsidP="00E669E2">
          <w:pPr>
            <w:pStyle w:val="HeaderOdd"/>
          </w:pPr>
        </w:p>
      </w:tc>
    </w:tr>
  </w:tbl>
  <w:p w:rsidR="00944F69" w:rsidRDefault="00944F69" w:rsidP="00E669E2">
    <w:pPr>
      <w:pStyle w:val="HeaderEnd"/>
    </w:pPr>
  </w:p>
  <w:p w:rsidR="00944F69" w:rsidRPr="009A7F87" w:rsidRDefault="00944F69" w:rsidP="009A7F87">
    <w:pPr>
      <w:pStyle w:val="HeaderEnd"/>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44F69">
      <w:tc>
        <w:tcPr>
          <w:tcW w:w="2155" w:type="dxa"/>
          <w:tcBorders>
            <w:top w:val="single" w:sz="24" w:space="0" w:color="auto"/>
          </w:tcBorders>
        </w:tcPr>
        <w:p w:rsidR="00944F69" w:rsidRDefault="00944F69" w:rsidP="0019293B">
          <w:pPr>
            <w:pStyle w:val="HeaderEven"/>
          </w:pPr>
        </w:p>
      </w:tc>
      <w:tc>
        <w:tcPr>
          <w:tcW w:w="6634" w:type="dxa"/>
          <w:tcBorders>
            <w:top w:val="single" w:sz="6" w:space="0" w:color="auto"/>
          </w:tcBorders>
        </w:tcPr>
        <w:p w:rsidR="00944F69" w:rsidRDefault="00944F69" w:rsidP="0019293B">
          <w:pPr>
            <w:pStyle w:val="HeaderEven"/>
          </w:pPr>
        </w:p>
      </w:tc>
    </w:tr>
  </w:tbl>
  <w:p w:rsidR="00944F69" w:rsidRDefault="00944F69" w:rsidP="0019293B">
    <w:pPr>
      <w:pStyle w:val="HeaderEnd"/>
    </w:pPr>
  </w:p>
  <w:p w:rsidR="00944F69" w:rsidRPr="009A7F87" w:rsidRDefault="00944F69" w:rsidP="009A7F87">
    <w:pPr>
      <w:pStyle w:val="HeaderEnd"/>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44F69">
      <w:tc>
        <w:tcPr>
          <w:tcW w:w="6634" w:type="dxa"/>
          <w:tcBorders>
            <w:top w:val="single" w:sz="6" w:space="0" w:color="auto"/>
          </w:tcBorders>
        </w:tcPr>
        <w:p w:rsidR="00944F69" w:rsidRDefault="00944F69" w:rsidP="00E669E2">
          <w:pPr>
            <w:pStyle w:val="HeaderOdd"/>
          </w:pPr>
        </w:p>
      </w:tc>
      <w:tc>
        <w:tcPr>
          <w:tcW w:w="2155" w:type="dxa"/>
          <w:tcBorders>
            <w:top w:val="single" w:sz="24" w:space="0" w:color="auto"/>
          </w:tcBorders>
        </w:tcPr>
        <w:p w:rsidR="00944F69" w:rsidRDefault="00944F69" w:rsidP="00E669E2">
          <w:pPr>
            <w:pStyle w:val="HeaderOdd"/>
          </w:pPr>
        </w:p>
      </w:tc>
    </w:tr>
  </w:tbl>
  <w:p w:rsidR="00944F69" w:rsidRDefault="00944F69" w:rsidP="00E669E2">
    <w:pPr>
      <w:pStyle w:val="HeaderEnd"/>
    </w:pPr>
  </w:p>
  <w:p w:rsidR="00944F69" w:rsidRPr="009A7F87" w:rsidRDefault="00944F69" w:rsidP="009A7F87">
    <w:pPr>
      <w:pStyle w:val="HeaderEnd"/>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44F69">
      <w:tc>
        <w:tcPr>
          <w:tcW w:w="2155" w:type="dxa"/>
          <w:tcBorders>
            <w:top w:val="single" w:sz="24" w:space="0" w:color="auto"/>
          </w:tcBorders>
        </w:tcPr>
        <w:p w:rsidR="00944F69" w:rsidRDefault="00944F69" w:rsidP="0019293B">
          <w:pPr>
            <w:pStyle w:val="HeaderEven"/>
          </w:pPr>
        </w:p>
      </w:tc>
      <w:tc>
        <w:tcPr>
          <w:tcW w:w="6634" w:type="dxa"/>
          <w:tcBorders>
            <w:top w:val="single" w:sz="6" w:space="0" w:color="auto"/>
          </w:tcBorders>
        </w:tcPr>
        <w:p w:rsidR="00944F69" w:rsidRDefault="00944F69" w:rsidP="0019293B">
          <w:pPr>
            <w:pStyle w:val="HeaderEven"/>
          </w:pPr>
        </w:p>
      </w:tc>
    </w:tr>
  </w:tbl>
  <w:p w:rsidR="00944F69" w:rsidRDefault="00944F69" w:rsidP="0019293B">
    <w:pPr>
      <w:pStyle w:val="HeaderEnd"/>
    </w:pPr>
  </w:p>
  <w:p w:rsidR="00944F69" w:rsidRPr="009A7F87" w:rsidRDefault="00944F69" w:rsidP="009A7F87">
    <w:pPr>
      <w:pStyle w:val="HeaderEnd"/>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44F69">
      <w:tc>
        <w:tcPr>
          <w:tcW w:w="6634" w:type="dxa"/>
          <w:tcBorders>
            <w:top w:val="single" w:sz="6" w:space="0" w:color="auto"/>
          </w:tcBorders>
        </w:tcPr>
        <w:p w:rsidR="00944F69" w:rsidRDefault="00944F69" w:rsidP="00E669E2">
          <w:pPr>
            <w:pStyle w:val="HeaderOdd"/>
          </w:pPr>
        </w:p>
      </w:tc>
      <w:tc>
        <w:tcPr>
          <w:tcW w:w="2155" w:type="dxa"/>
          <w:tcBorders>
            <w:top w:val="single" w:sz="24" w:space="0" w:color="auto"/>
          </w:tcBorders>
        </w:tcPr>
        <w:p w:rsidR="00944F69" w:rsidRDefault="00944F69" w:rsidP="00E669E2">
          <w:pPr>
            <w:pStyle w:val="HeaderOdd"/>
          </w:pPr>
        </w:p>
      </w:tc>
    </w:tr>
  </w:tbl>
  <w:p w:rsidR="00944F69" w:rsidRDefault="00944F69" w:rsidP="00E669E2">
    <w:pPr>
      <w:pStyle w:val="HeaderEnd"/>
    </w:pPr>
  </w:p>
  <w:p w:rsidR="00944F69" w:rsidRPr="009A7F87" w:rsidRDefault="00944F69" w:rsidP="009A7F87">
    <w:pPr>
      <w:pStyle w:val="HeaderEnd"/>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Ind w:w="108" w:type="dxa"/>
      <w:tblLayout w:type="fixed"/>
      <w:tblCellMar>
        <w:left w:w="0" w:type="dxa"/>
        <w:right w:w="0" w:type="dxa"/>
      </w:tblCellMar>
      <w:tblLook w:val="0000" w:firstRow="0" w:lastRow="0" w:firstColumn="0" w:lastColumn="0" w:noHBand="0" w:noVBand="0"/>
    </w:tblPr>
    <w:tblGrid>
      <w:gridCol w:w="2154"/>
      <w:gridCol w:w="6633"/>
    </w:tblGrid>
    <w:tr w:rsidR="00944F69" w:rsidTr="009A7F87">
      <w:trPr>
        <w:trHeight w:val="300"/>
      </w:trPr>
      <w:tc>
        <w:tcPr>
          <w:tcW w:w="2154" w:type="dxa"/>
          <w:tcBorders>
            <w:top w:val="single" w:sz="24" w:space="0" w:color="auto"/>
          </w:tcBorders>
          <w:shd w:val="clear" w:color="auto" w:fill="auto"/>
        </w:tcPr>
        <w:p w:rsidR="00944F69" w:rsidRDefault="00944F69" w:rsidP="009A7F87">
          <w:pPr>
            <w:pStyle w:val="HeaderEven"/>
          </w:pPr>
        </w:p>
      </w:tc>
      <w:tc>
        <w:tcPr>
          <w:tcW w:w="6633" w:type="dxa"/>
          <w:tcBorders>
            <w:top w:val="single" w:sz="6" w:space="0" w:color="auto"/>
          </w:tcBorders>
          <w:shd w:val="clear" w:color="auto" w:fill="auto"/>
        </w:tcPr>
        <w:p w:rsidR="00944F69" w:rsidRDefault="00944F69" w:rsidP="009A7F87">
          <w:pPr>
            <w:pStyle w:val="HeaderEven"/>
          </w:pPr>
        </w:p>
      </w:tc>
    </w:tr>
  </w:tbl>
  <w:p w:rsidR="00944F69" w:rsidRPr="009A7F87" w:rsidRDefault="00944F69" w:rsidP="009A7F87">
    <w:pPr>
      <w:pStyle w:val="HeaderEnd"/>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Ind w:w="108" w:type="dxa"/>
      <w:tblLayout w:type="fixed"/>
      <w:tblCellMar>
        <w:left w:w="0" w:type="dxa"/>
        <w:right w:w="0" w:type="dxa"/>
      </w:tblCellMar>
      <w:tblLook w:val="0000" w:firstRow="0" w:lastRow="0" w:firstColumn="0" w:lastColumn="0" w:noHBand="0" w:noVBand="0"/>
    </w:tblPr>
    <w:tblGrid>
      <w:gridCol w:w="6633"/>
      <w:gridCol w:w="2154"/>
    </w:tblGrid>
    <w:tr w:rsidR="00944F69" w:rsidTr="009A7F87">
      <w:trPr>
        <w:trHeight w:val="300"/>
      </w:trPr>
      <w:tc>
        <w:tcPr>
          <w:tcW w:w="6633" w:type="dxa"/>
          <w:tcBorders>
            <w:top w:val="single" w:sz="6" w:space="0" w:color="auto"/>
          </w:tcBorders>
          <w:shd w:val="clear" w:color="auto" w:fill="auto"/>
        </w:tcPr>
        <w:p w:rsidR="00944F69" w:rsidRDefault="00944F69" w:rsidP="009A7F87">
          <w:pPr>
            <w:pStyle w:val="HeaderOdd"/>
          </w:pPr>
        </w:p>
      </w:tc>
      <w:tc>
        <w:tcPr>
          <w:tcW w:w="2154" w:type="dxa"/>
          <w:tcBorders>
            <w:top w:val="single" w:sz="24" w:space="0" w:color="auto"/>
          </w:tcBorders>
          <w:shd w:val="clear" w:color="auto" w:fill="auto"/>
        </w:tcPr>
        <w:p w:rsidR="00944F69" w:rsidRDefault="00944F69" w:rsidP="009A7F87">
          <w:pPr>
            <w:pStyle w:val="HeaderOdd"/>
          </w:pPr>
        </w:p>
      </w:tc>
    </w:tr>
  </w:tbl>
  <w:p w:rsidR="00944F69" w:rsidRPr="009A7F87" w:rsidRDefault="00944F69" w:rsidP="009A7F87">
    <w:pPr>
      <w:pStyle w:val="HeaderEnd"/>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HeaderEnd"/>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064540">
      <w:tc>
        <w:tcPr>
          <w:tcW w:w="2155" w:type="dxa"/>
          <w:tcBorders>
            <w:top w:val="single" w:sz="24" w:space="0" w:color="auto"/>
          </w:tcBorders>
        </w:tcPr>
        <w:p w:rsidR="00064540" w:rsidRDefault="00064540">
          <w:pPr>
            <w:pStyle w:val="Header"/>
          </w:pPr>
        </w:p>
      </w:tc>
      <w:tc>
        <w:tcPr>
          <w:tcW w:w="6634" w:type="dxa"/>
          <w:tcBorders>
            <w:top w:val="single" w:sz="6" w:space="0" w:color="auto"/>
          </w:tcBorders>
        </w:tcPr>
        <w:p w:rsidR="00064540" w:rsidRDefault="00064540">
          <w:pPr>
            <w:pStyle w:val="Header"/>
          </w:pPr>
        </w:p>
      </w:tc>
    </w:tr>
  </w:tbl>
  <w:p w:rsidR="00064540" w:rsidRDefault="00064540">
    <w:pPr>
      <w:pStyle w:val="HeaderEnd"/>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44F69">
      <w:tc>
        <w:tcPr>
          <w:tcW w:w="2155" w:type="dxa"/>
          <w:tcBorders>
            <w:top w:val="single" w:sz="24" w:space="0" w:color="auto"/>
          </w:tcBorders>
        </w:tcPr>
        <w:p w:rsidR="00944F69" w:rsidRDefault="00944F69" w:rsidP="0019293B">
          <w:pPr>
            <w:pStyle w:val="HeaderEven"/>
          </w:pPr>
        </w:p>
      </w:tc>
      <w:tc>
        <w:tcPr>
          <w:tcW w:w="6634" w:type="dxa"/>
          <w:tcBorders>
            <w:top w:val="single" w:sz="6" w:space="0" w:color="auto"/>
          </w:tcBorders>
        </w:tcPr>
        <w:p w:rsidR="00944F69" w:rsidRDefault="00944F69" w:rsidP="0019293B">
          <w:pPr>
            <w:pStyle w:val="HeaderEven"/>
          </w:pPr>
        </w:p>
      </w:tc>
    </w:tr>
  </w:tbl>
  <w:p w:rsidR="00944F69" w:rsidRDefault="00944F69" w:rsidP="0019293B">
    <w:pPr>
      <w:pStyle w:val="HeaderEnd"/>
    </w:pPr>
  </w:p>
  <w:p w:rsidR="00944F69" w:rsidRPr="009A7F87" w:rsidRDefault="00944F69" w:rsidP="009A7F87">
    <w:pPr>
      <w:pStyle w:val="HeaderEnd"/>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44F69">
      <w:tc>
        <w:tcPr>
          <w:tcW w:w="6634" w:type="dxa"/>
          <w:tcBorders>
            <w:top w:val="single" w:sz="6" w:space="0" w:color="auto"/>
          </w:tcBorders>
        </w:tcPr>
        <w:p w:rsidR="00944F69" w:rsidRDefault="00944F69" w:rsidP="00E669E2">
          <w:pPr>
            <w:pStyle w:val="HeaderOdd"/>
          </w:pPr>
        </w:p>
      </w:tc>
      <w:tc>
        <w:tcPr>
          <w:tcW w:w="2155" w:type="dxa"/>
          <w:tcBorders>
            <w:top w:val="single" w:sz="24" w:space="0" w:color="auto"/>
          </w:tcBorders>
        </w:tcPr>
        <w:p w:rsidR="00944F69" w:rsidRDefault="00944F69" w:rsidP="00E669E2">
          <w:pPr>
            <w:pStyle w:val="HeaderOdd"/>
          </w:pPr>
        </w:p>
      </w:tc>
    </w:tr>
  </w:tbl>
  <w:p w:rsidR="00944F69" w:rsidRDefault="00944F69" w:rsidP="00E669E2">
    <w:pPr>
      <w:pStyle w:val="HeaderEnd"/>
    </w:pPr>
  </w:p>
  <w:p w:rsidR="00944F69" w:rsidRPr="009A7F87" w:rsidRDefault="00944F69" w:rsidP="009A7F87">
    <w:pPr>
      <w:pStyle w:val="HeaderEnd"/>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HeaderEnd"/>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HeaderEnd"/>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Ind w:w="108" w:type="dxa"/>
      <w:tblLayout w:type="fixed"/>
      <w:tblCellMar>
        <w:left w:w="0" w:type="dxa"/>
        <w:right w:w="0" w:type="dxa"/>
      </w:tblCellMar>
      <w:tblLook w:val="0000" w:firstRow="0" w:lastRow="0" w:firstColumn="0" w:lastColumn="0" w:noHBand="0" w:noVBand="0"/>
    </w:tblPr>
    <w:tblGrid>
      <w:gridCol w:w="2154"/>
      <w:gridCol w:w="6633"/>
    </w:tblGrid>
    <w:tr w:rsidR="00944F69" w:rsidTr="009A7F87">
      <w:trPr>
        <w:trHeight w:val="300"/>
      </w:trPr>
      <w:tc>
        <w:tcPr>
          <w:tcW w:w="2154" w:type="dxa"/>
          <w:tcBorders>
            <w:top w:val="single" w:sz="24" w:space="0" w:color="auto"/>
          </w:tcBorders>
          <w:shd w:val="clear" w:color="auto" w:fill="auto"/>
        </w:tcPr>
        <w:p w:rsidR="00944F69" w:rsidRDefault="00944F69" w:rsidP="009A7F87">
          <w:pPr>
            <w:pStyle w:val="HeaderEven"/>
          </w:pPr>
        </w:p>
      </w:tc>
      <w:tc>
        <w:tcPr>
          <w:tcW w:w="6633" w:type="dxa"/>
          <w:tcBorders>
            <w:top w:val="single" w:sz="6" w:space="0" w:color="auto"/>
          </w:tcBorders>
          <w:shd w:val="clear" w:color="auto" w:fill="auto"/>
        </w:tcPr>
        <w:p w:rsidR="00944F69" w:rsidRDefault="00944F69" w:rsidP="009A7F87">
          <w:pPr>
            <w:pStyle w:val="HeaderEven"/>
          </w:pPr>
        </w:p>
      </w:tc>
    </w:tr>
  </w:tbl>
  <w:p w:rsidR="00944F69" w:rsidRPr="009A7F87" w:rsidRDefault="00944F69" w:rsidP="009A7F87">
    <w:pPr>
      <w:pStyle w:val="HeaderEnd"/>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44F69">
      <w:tc>
        <w:tcPr>
          <w:tcW w:w="6634" w:type="dxa"/>
          <w:tcBorders>
            <w:top w:val="single" w:sz="6" w:space="0" w:color="auto"/>
          </w:tcBorders>
        </w:tcPr>
        <w:p w:rsidR="00944F69" w:rsidRDefault="00944F69" w:rsidP="00E669E2">
          <w:pPr>
            <w:pStyle w:val="HeaderOdd"/>
          </w:pPr>
        </w:p>
      </w:tc>
      <w:tc>
        <w:tcPr>
          <w:tcW w:w="2155" w:type="dxa"/>
          <w:tcBorders>
            <w:top w:val="single" w:sz="24" w:space="0" w:color="auto"/>
          </w:tcBorders>
        </w:tcPr>
        <w:p w:rsidR="00944F69" w:rsidRDefault="00944F69" w:rsidP="00E669E2">
          <w:pPr>
            <w:pStyle w:val="HeaderOdd"/>
          </w:pPr>
        </w:p>
      </w:tc>
    </w:tr>
  </w:tbl>
  <w:p w:rsidR="00944F69" w:rsidRDefault="00944F69" w:rsidP="00E669E2">
    <w:pPr>
      <w:pStyle w:val="HeaderEnd"/>
    </w:pPr>
  </w:p>
  <w:p w:rsidR="00944F69" w:rsidRPr="009A7F87" w:rsidRDefault="00944F69" w:rsidP="009A7F87">
    <w:pPr>
      <w:pStyle w:val="HeaderEnd"/>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HeaderEnd"/>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HeaderEnd"/>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44F69">
      <w:tc>
        <w:tcPr>
          <w:tcW w:w="2155" w:type="dxa"/>
          <w:tcBorders>
            <w:top w:val="single" w:sz="24" w:space="0" w:color="auto"/>
          </w:tcBorders>
        </w:tcPr>
        <w:p w:rsidR="00944F69" w:rsidRDefault="00944F69" w:rsidP="0019293B">
          <w:pPr>
            <w:pStyle w:val="HeaderEven"/>
          </w:pPr>
        </w:p>
      </w:tc>
      <w:tc>
        <w:tcPr>
          <w:tcW w:w="6634" w:type="dxa"/>
          <w:tcBorders>
            <w:top w:val="single" w:sz="6" w:space="0" w:color="auto"/>
          </w:tcBorders>
        </w:tcPr>
        <w:p w:rsidR="00944F69" w:rsidRDefault="00944F69" w:rsidP="0019293B">
          <w:pPr>
            <w:pStyle w:val="HeaderEven"/>
          </w:pPr>
        </w:p>
      </w:tc>
    </w:tr>
  </w:tbl>
  <w:p w:rsidR="00944F69" w:rsidRDefault="00944F69" w:rsidP="0019293B">
    <w:pPr>
      <w:pStyle w:val="HeaderEnd"/>
    </w:pPr>
  </w:p>
  <w:p w:rsidR="00944F69" w:rsidRPr="009A7F87" w:rsidRDefault="00944F69" w:rsidP="009A7F87">
    <w:pPr>
      <w:pStyle w:val="HeaderEnd"/>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44F69">
      <w:tc>
        <w:tcPr>
          <w:tcW w:w="6634" w:type="dxa"/>
          <w:tcBorders>
            <w:top w:val="single" w:sz="6" w:space="0" w:color="auto"/>
          </w:tcBorders>
        </w:tcPr>
        <w:p w:rsidR="00944F69" w:rsidRDefault="00944F69" w:rsidP="00E669E2">
          <w:pPr>
            <w:pStyle w:val="HeaderOdd"/>
          </w:pPr>
        </w:p>
      </w:tc>
      <w:tc>
        <w:tcPr>
          <w:tcW w:w="2155" w:type="dxa"/>
          <w:tcBorders>
            <w:top w:val="single" w:sz="24" w:space="0" w:color="auto"/>
          </w:tcBorders>
        </w:tcPr>
        <w:p w:rsidR="00944F69" w:rsidRDefault="00944F69" w:rsidP="00E669E2">
          <w:pPr>
            <w:pStyle w:val="HeaderOdd"/>
          </w:pPr>
        </w:p>
      </w:tc>
    </w:tr>
  </w:tbl>
  <w:p w:rsidR="00944F69" w:rsidRDefault="00944F69" w:rsidP="00E669E2">
    <w:pPr>
      <w:pStyle w:val="HeaderEnd"/>
    </w:pPr>
  </w:p>
  <w:p w:rsidR="00944F69" w:rsidRPr="009A7F87" w:rsidRDefault="00944F69" w:rsidP="009A7F87">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64540" w:rsidTr="005C68FE">
      <w:tc>
        <w:tcPr>
          <w:tcW w:w="6634" w:type="dxa"/>
          <w:tcBorders>
            <w:top w:val="single" w:sz="6" w:space="0" w:color="auto"/>
          </w:tcBorders>
        </w:tcPr>
        <w:p w:rsidR="00064540" w:rsidRDefault="00064540" w:rsidP="005C68FE">
          <w:pPr>
            <w:pStyle w:val="HeaderOdd"/>
          </w:pPr>
        </w:p>
      </w:tc>
      <w:tc>
        <w:tcPr>
          <w:tcW w:w="2155" w:type="dxa"/>
          <w:tcBorders>
            <w:top w:val="single" w:sz="24" w:space="0" w:color="auto"/>
          </w:tcBorders>
        </w:tcPr>
        <w:p w:rsidR="00064540" w:rsidRDefault="00064540" w:rsidP="005C68FE">
          <w:pPr>
            <w:pStyle w:val="HeaderOdd"/>
          </w:pPr>
        </w:p>
      </w:tc>
    </w:tr>
  </w:tbl>
  <w:p w:rsidR="00064540" w:rsidRPr="005C68FE" w:rsidRDefault="00064540" w:rsidP="005C68FE">
    <w:pPr>
      <w:pStyle w:val="HeaderEnd"/>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HeaderEnd"/>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HeaderEnd"/>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44F69">
      <w:tc>
        <w:tcPr>
          <w:tcW w:w="2155" w:type="dxa"/>
          <w:tcBorders>
            <w:top w:val="single" w:sz="24" w:space="0" w:color="auto"/>
          </w:tcBorders>
        </w:tcPr>
        <w:p w:rsidR="00944F69" w:rsidRDefault="00944F69" w:rsidP="0019293B">
          <w:pPr>
            <w:pStyle w:val="HeaderEven"/>
          </w:pPr>
        </w:p>
      </w:tc>
      <w:tc>
        <w:tcPr>
          <w:tcW w:w="6634" w:type="dxa"/>
          <w:tcBorders>
            <w:top w:val="single" w:sz="6" w:space="0" w:color="auto"/>
          </w:tcBorders>
        </w:tcPr>
        <w:p w:rsidR="00944F69" w:rsidRDefault="00944F69" w:rsidP="0019293B">
          <w:pPr>
            <w:pStyle w:val="HeaderEven"/>
          </w:pPr>
        </w:p>
      </w:tc>
    </w:tr>
  </w:tbl>
  <w:p w:rsidR="00944F69" w:rsidRDefault="00944F69" w:rsidP="0019293B">
    <w:pPr>
      <w:pStyle w:val="HeaderEnd"/>
    </w:pPr>
  </w:p>
  <w:p w:rsidR="00944F69" w:rsidRPr="009A7F87" w:rsidRDefault="00944F69" w:rsidP="009A7F87">
    <w:pPr>
      <w:pStyle w:val="HeaderEnd"/>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44F69">
      <w:tc>
        <w:tcPr>
          <w:tcW w:w="6634" w:type="dxa"/>
          <w:tcBorders>
            <w:top w:val="single" w:sz="6" w:space="0" w:color="auto"/>
          </w:tcBorders>
        </w:tcPr>
        <w:p w:rsidR="00944F69" w:rsidRDefault="00944F69" w:rsidP="00E669E2">
          <w:pPr>
            <w:pStyle w:val="HeaderOdd"/>
          </w:pPr>
        </w:p>
      </w:tc>
      <w:tc>
        <w:tcPr>
          <w:tcW w:w="2155" w:type="dxa"/>
          <w:tcBorders>
            <w:top w:val="single" w:sz="24" w:space="0" w:color="auto"/>
          </w:tcBorders>
        </w:tcPr>
        <w:p w:rsidR="00944F69" w:rsidRDefault="00944F69" w:rsidP="00E669E2">
          <w:pPr>
            <w:pStyle w:val="HeaderOdd"/>
          </w:pPr>
        </w:p>
      </w:tc>
    </w:tr>
  </w:tbl>
  <w:p w:rsidR="00944F69" w:rsidRDefault="00944F69" w:rsidP="00E669E2">
    <w:pPr>
      <w:pStyle w:val="HeaderEnd"/>
    </w:pPr>
  </w:p>
  <w:p w:rsidR="00944F69" w:rsidRPr="009A7F87" w:rsidRDefault="00944F69" w:rsidP="009A7F87">
    <w:pPr>
      <w:pStyle w:val="HeaderEnd"/>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HeaderEnd"/>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HeaderEnd"/>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44F69">
      <w:tc>
        <w:tcPr>
          <w:tcW w:w="2155" w:type="dxa"/>
          <w:tcBorders>
            <w:top w:val="single" w:sz="24" w:space="0" w:color="auto"/>
          </w:tcBorders>
        </w:tcPr>
        <w:p w:rsidR="00944F69" w:rsidRDefault="00944F69" w:rsidP="0019293B">
          <w:pPr>
            <w:pStyle w:val="HeaderEven"/>
          </w:pPr>
        </w:p>
      </w:tc>
      <w:tc>
        <w:tcPr>
          <w:tcW w:w="6634" w:type="dxa"/>
          <w:tcBorders>
            <w:top w:val="single" w:sz="6" w:space="0" w:color="auto"/>
          </w:tcBorders>
        </w:tcPr>
        <w:p w:rsidR="00944F69" w:rsidRDefault="00944F69" w:rsidP="0019293B">
          <w:pPr>
            <w:pStyle w:val="HeaderEven"/>
          </w:pPr>
        </w:p>
      </w:tc>
    </w:tr>
  </w:tbl>
  <w:p w:rsidR="00944F69" w:rsidRDefault="00944F69" w:rsidP="0019293B">
    <w:pPr>
      <w:pStyle w:val="HeaderEnd"/>
    </w:pPr>
  </w:p>
  <w:p w:rsidR="00944F69" w:rsidRPr="009A7F87" w:rsidRDefault="00944F69" w:rsidP="009A7F87">
    <w:pPr>
      <w:pStyle w:val="HeaderEnd"/>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44F69">
      <w:tc>
        <w:tcPr>
          <w:tcW w:w="6634" w:type="dxa"/>
          <w:tcBorders>
            <w:top w:val="single" w:sz="6" w:space="0" w:color="auto"/>
          </w:tcBorders>
        </w:tcPr>
        <w:p w:rsidR="00944F69" w:rsidRDefault="00944F69" w:rsidP="00E669E2">
          <w:pPr>
            <w:pStyle w:val="HeaderOdd"/>
          </w:pPr>
        </w:p>
      </w:tc>
      <w:tc>
        <w:tcPr>
          <w:tcW w:w="2155" w:type="dxa"/>
          <w:tcBorders>
            <w:top w:val="single" w:sz="24" w:space="0" w:color="auto"/>
          </w:tcBorders>
        </w:tcPr>
        <w:p w:rsidR="00944F69" w:rsidRDefault="00944F69" w:rsidP="00E669E2">
          <w:pPr>
            <w:pStyle w:val="HeaderOdd"/>
          </w:pPr>
        </w:p>
      </w:tc>
    </w:tr>
  </w:tbl>
  <w:p w:rsidR="00944F69" w:rsidRDefault="00944F69" w:rsidP="00E669E2">
    <w:pPr>
      <w:pStyle w:val="HeaderEnd"/>
    </w:pPr>
  </w:p>
  <w:p w:rsidR="00944F69" w:rsidRPr="009A7F87" w:rsidRDefault="00944F69" w:rsidP="009A7F87">
    <w:pPr>
      <w:pStyle w:val="HeaderEnd"/>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HeaderEnd"/>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64540">
      <w:tc>
        <w:tcPr>
          <w:tcW w:w="2155" w:type="dxa"/>
          <w:tcBorders>
            <w:top w:val="single" w:sz="24" w:space="0" w:color="auto"/>
          </w:tcBorders>
        </w:tcPr>
        <w:p w:rsidR="00064540" w:rsidRDefault="00064540">
          <w:pPr>
            <w:pStyle w:val="HeaderEven"/>
          </w:pPr>
        </w:p>
      </w:tc>
      <w:tc>
        <w:tcPr>
          <w:tcW w:w="6634" w:type="dxa"/>
          <w:tcBorders>
            <w:top w:val="single" w:sz="6" w:space="0" w:color="auto"/>
          </w:tcBorders>
        </w:tcPr>
        <w:p w:rsidR="00064540" w:rsidRDefault="00064540">
          <w:pPr>
            <w:pStyle w:val="HeaderEven"/>
          </w:pPr>
        </w:p>
      </w:tc>
    </w:tr>
  </w:tbl>
  <w:p w:rsidR="00064540" w:rsidRDefault="00064540">
    <w:pPr>
      <w:pStyle w:val="HeaderEnd"/>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44F69">
      <w:tc>
        <w:tcPr>
          <w:tcW w:w="2155" w:type="dxa"/>
          <w:tcBorders>
            <w:top w:val="single" w:sz="24" w:space="0" w:color="auto"/>
          </w:tcBorders>
        </w:tcPr>
        <w:p w:rsidR="00944F69" w:rsidRDefault="00944F69" w:rsidP="0019293B">
          <w:pPr>
            <w:pStyle w:val="HeaderEven"/>
          </w:pPr>
        </w:p>
      </w:tc>
      <w:tc>
        <w:tcPr>
          <w:tcW w:w="6634" w:type="dxa"/>
          <w:tcBorders>
            <w:top w:val="single" w:sz="6" w:space="0" w:color="auto"/>
          </w:tcBorders>
        </w:tcPr>
        <w:p w:rsidR="00944F69" w:rsidRDefault="00944F69" w:rsidP="0019293B">
          <w:pPr>
            <w:pStyle w:val="HeaderEven"/>
          </w:pPr>
        </w:p>
      </w:tc>
    </w:tr>
  </w:tbl>
  <w:p w:rsidR="00944F69" w:rsidRDefault="00944F69" w:rsidP="0019293B">
    <w:pPr>
      <w:pStyle w:val="HeaderEnd"/>
    </w:pPr>
  </w:p>
  <w:p w:rsidR="00944F69" w:rsidRPr="009A7F87" w:rsidRDefault="00944F69" w:rsidP="009A7F87">
    <w:pPr>
      <w:pStyle w:val="HeaderEnd"/>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44F69">
      <w:tc>
        <w:tcPr>
          <w:tcW w:w="6634" w:type="dxa"/>
          <w:tcBorders>
            <w:top w:val="single" w:sz="6" w:space="0" w:color="auto"/>
          </w:tcBorders>
        </w:tcPr>
        <w:p w:rsidR="00944F69" w:rsidRDefault="00944F69" w:rsidP="00E669E2">
          <w:pPr>
            <w:pStyle w:val="HeaderOdd"/>
          </w:pPr>
        </w:p>
      </w:tc>
      <w:tc>
        <w:tcPr>
          <w:tcW w:w="2155" w:type="dxa"/>
          <w:tcBorders>
            <w:top w:val="single" w:sz="24" w:space="0" w:color="auto"/>
          </w:tcBorders>
        </w:tcPr>
        <w:p w:rsidR="00944F69" w:rsidRDefault="00944F69" w:rsidP="00E669E2">
          <w:pPr>
            <w:pStyle w:val="HeaderOdd"/>
          </w:pPr>
        </w:p>
      </w:tc>
    </w:tr>
  </w:tbl>
  <w:p w:rsidR="00944F69" w:rsidRDefault="00944F69" w:rsidP="00E669E2">
    <w:pPr>
      <w:pStyle w:val="HeaderEnd"/>
    </w:pPr>
  </w:p>
  <w:p w:rsidR="00944F69" w:rsidRPr="009A7F87" w:rsidRDefault="00944F69" w:rsidP="009A7F87">
    <w:pPr>
      <w:pStyle w:val="HeaderEnd"/>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HeaderEnd"/>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HeaderEnd"/>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44F69">
      <w:tc>
        <w:tcPr>
          <w:tcW w:w="2155" w:type="dxa"/>
          <w:tcBorders>
            <w:top w:val="single" w:sz="24" w:space="0" w:color="auto"/>
          </w:tcBorders>
        </w:tcPr>
        <w:p w:rsidR="00944F69" w:rsidRDefault="00944F69" w:rsidP="0019293B">
          <w:pPr>
            <w:pStyle w:val="HeaderEven"/>
          </w:pPr>
        </w:p>
      </w:tc>
      <w:tc>
        <w:tcPr>
          <w:tcW w:w="6634" w:type="dxa"/>
          <w:tcBorders>
            <w:top w:val="single" w:sz="6" w:space="0" w:color="auto"/>
          </w:tcBorders>
        </w:tcPr>
        <w:p w:rsidR="00944F69" w:rsidRDefault="00944F69" w:rsidP="0019293B">
          <w:pPr>
            <w:pStyle w:val="HeaderEven"/>
          </w:pPr>
        </w:p>
      </w:tc>
    </w:tr>
  </w:tbl>
  <w:p w:rsidR="00944F69" w:rsidRDefault="00944F69" w:rsidP="0019293B">
    <w:pPr>
      <w:pStyle w:val="HeaderEnd"/>
    </w:pPr>
  </w:p>
  <w:p w:rsidR="00944F69" w:rsidRPr="009A7F87" w:rsidRDefault="00944F69" w:rsidP="009A7F87">
    <w:pPr>
      <w:pStyle w:val="HeaderEnd"/>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44F69">
      <w:tc>
        <w:tcPr>
          <w:tcW w:w="6634" w:type="dxa"/>
          <w:tcBorders>
            <w:top w:val="single" w:sz="6" w:space="0" w:color="auto"/>
          </w:tcBorders>
        </w:tcPr>
        <w:p w:rsidR="00944F69" w:rsidRDefault="00944F69" w:rsidP="00E669E2">
          <w:pPr>
            <w:pStyle w:val="HeaderOdd"/>
          </w:pPr>
        </w:p>
      </w:tc>
      <w:tc>
        <w:tcPr>
          <w:tcW w:w="2155" w:type="dxa"/>
          <w:tcBorders>
            <w:top w:val="single" w:sz="24" w:space="0" w:color="auto"/>
          </w:tcBorders>
        </w:tcPr>
        <w:p w:rsidR="00944F69" w:rsidRDefault="00944F69" w:rsidP="00E669E2">
          <w:pPr>
            <w:pStyle w:val="HeaderOdd"/>
          </w:pPr>
        </w:p>
      </w:tc>
    </w:tr>
  </w:tbl>
  <w:p w:rsidR="00944F69" w:rsidRDefault="00944F69" w:rsidP="00E669E2">
    <w:pPr>
      <w:pStyle w:val="HeaderEnd"/>
    </w:pPr>
  </w:p>
  <w:p w:rsidR="00944F69" w:rsidRPr="009A7F87" w:rsidRDefault="00944F69" w:rsidP="009A7F87">
    <w:pPr>
      <w:pStyle w:val="HeaderEnd"/>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HeaderEnd"/>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HeaderEnd"/>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44F69">
      <w:tc>
        <w:tcPr>
          <w:tcW w:w="2155" w:type="dxa"/>
          <w:tcBorders>
            <w:top w:val="single" w:sz="24" w:space="0" w:color="auto"/>
          </w:tcBorders>
        </w:tcPr>
        <w:p w:rsidR="00944F69" w:rsidRDefault="00944F69" w:rsidP="0019293B">
          <w:pPr>
            <w:pStyle w:val="HeaderEven"/>
          </w:pPr>
        </w:p>
      </w:tc>
      <w:tc>
        <w:tcPr>
          <w:tcW w:w="6634" w:type="dxa"/>
          <w:tcBorders>
            <w:top w:val="single" w:sz="6" w:space="0" w:color="auto"/>
          </w:tcBorders>
        </w:tcPr>
        <w:p w:rsidR="00944F69" w:rsidRDefault="00944F69" w:rsidP="0019293B">
          <w:pPr>
            <w:pStyle w:val="HeaderEven"/>
          </w:pPr>
        </w:p>
      </w:tc>
    </w:tr>
  </w:tbl>
  <w:p w:rsidR="00944F69" w:rsidRDefault="00944F69" w:rsidP="0019293B">
    <w:pPr>
      <w:pStyle w:val="HeaderEnd"/>
    </w:pPr>
  </w:p>
  <w:p w:rsidR="00944F69" w:rsidRPr="009A7F87" w:rsidRDefault="00944F69" w:rsidP="009A7F87">
    <w:pPr>
      <w:pStyle w:val="HeaderEnd"/>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44F69">
      <w:tc>
        <w:tcPr>
          <w:tcW w:w="6634" w:type="dxa"/>
          <w:tcBorders>
            <w:top w:val="single" w:sz="6" w:space="0" w:color="auto"/>
          </w:tcBorders>
        </w:tcPr>
        <w:p w:rsidR="00944F69" w:rsidRDefault="00944F69" w:rsidP="00E669E2">
          <w:pPr>
            <w:pStyle w:val="HeaderOdd"/>
          </w:pPr>
        </w:p>
      </w:tc>
      <w:tc>
        <w:tcPr>
          <w:tcW w:w="2155" w:type="dxa"/>
          <w:tcBorders>
            <w:top w:val="single" w:sz="24" w:space="0" w:color="auto"/>
          </w:tcBorders>
        </w:tcPr>
        <w:p w:rsidR="00944F69" w:rsidRDefault="00944F69" w:rsidP="00E669E2">
          <w:pPr>
            <w:pStyle w:val="HeaderOdd"/>
          </w:pPr>
        </w:p>
      </w:tc>
    </w:tr>
  </w:tbl>
  <w:p w:rsidR="00944F69" w:rsidRDefault="00944F69" w:rsidP="00E669E2">
    <w:pPr>
      <w:pStyle w:val="HeaderEnd"/>
    </w:pPr>
  </w:p>
  <w:p w:rsidR="00944F69" w:rsidRPr="009A7F87" w:rsidRDefault="00944F69" w:rsidP="009A7F87">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64540">
      <w:tc>
        <w:tcPr>
          <w:tcW w:w="6634" w:type="dxa"/>
          <w:tcBorders>
            <w:top w:val="single" w:sz="6" w:space="0" w:color="auto"/>
          </w:tcBorders>
        </w:tcPr>
        <w:p w:rsidR="00064540" w:rsidRDefault="00064540">
          <w:pPr>
            <w:pStyle w:val="HeaderOdd"/>
          </w:pPr>
        </w:p>
      </w:tc>
      <w:tc>
        <w:tcPr>
          <w:tcW w:w="2155" w:type="dxa"/>
          <w:tcBorders>
            <w:top w:val="single" w:sz="24" w:space="0" w:color="auto"/>
            <w:bottom w:val="nil"/>
          </w:tcBorders>
        </w:tcPr>
        <w:p w:rsidR="00064540" w:rsidRDefault="00064540">
          <w:pPr>
            <w:pStyle w:val="HeaderOdd"/>
          </w:pPr>
        </w:p>
      </w:tc>
    </w:tr>
  </w:tbl>
  <w:p w:rsidR="00064540" w:rsidRDefault="00064540">
    <w:pPr>
      <w:pStyle w:val="HeaderEnd"/>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HeaderEnd"/>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HeaderEnd"/>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44F69">
      <w:tc>
        <w:tcPr>
          <w:tcW w:w="2155" w:type="dxa"/>
          <w:tcBorders>
            <w:top w:val="single" w:sz="24" w:space="0" w:color="auto"/>
          </w:tcBorders>
        </w:tcPr>
        <w:p w:rsidR="00944F69" w:rsidRDefault="00944F69" w:rsidP="0019293B">
          <w:pPr>
            <w:pStyle w:val="HeaderEven"/>
          </w:pPr>
        </w:p>
      </w:tc>
      <w:tc>
        <w:tcPr>
          <w:tcW w:w="6634" w:type="dxa"/>
          <w:tcBorders>
            <w:top w:val="single" w:sz="6" w:space="0" w:color="auto"/>
          </w:tcBorders>
        </w:tcPr>
        <w:p w:rsidR="00944F69" w:rsidRDefault="00944F69" w:rsidP="0019293B">
          <w:pPr>
            <w:pStyle w:val="HeaderEven"/>
          </w:pPr>
        </w:p>
      </w:tc>
    </w:tr>
  </w:tbl>
  <w:p w:rsidR="00944F69" w:rsidRDefault="00944F69" w:rsidP="0019293B">
    <w:pPr>
      <w:pStyle w:val="HeaderEnd"/>
    </w:pPr>
  </w:p>
  <w:p w:rsidR="00944F69" w:rsidRPr="009A7F87" w:rsidRDefault="00944F69" w:rsidP="009A7F87">
    <w:pPr>
      <w:pStyle w:val="HeaderEnd"/>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44F69">
      <w:tc>
        <w:tcPr>
          <w:tcW w:w="6634" w:type="dxa"/>
          <w:tcBorders>
            <w:top w:val="single" w:sz="6" w:space="0" w:color="auto"/>
          </w:tcBorders>
        </w:tcPr>
        <w:p w:rsidR="00944F69" w:rsidRDefault="00944F69" w:rsidP="00E669E2">
          <w:pPr>
            <w:pStyle w:val="HeaderOdd"/>
          </w:pPr>
        </w:p>
      </w:tc>
      <w:tc>
        <w:tcPr>
          <w:tcW w:w="2155" w:type="dxa"/>
          <w:tcBorders>
            <w:top w:val="single" w:sz="24" w:space="0" w:color="auto"/>
          </w:tcBorders>
        </w:tcPr>
        <w:p w:rsidR="00944F69" w:rsidRDefault="00944F69" w:rsidP="00E669E2">
          <w:pPr>
            <w:pStyle w:val="HeaderOdd"/>
          </w:pPr>
        </w:p>
      </w:tc>
    </w:tr>
  </w:tbl>
  <w:p w:rsidR="00944F69" w:rsidRDefault="00944F69" w:rsidP="00E669E2">
    <w:pPr>
      <w:pStyle w:val="HeaderEnd"/>
    </w:pPr>
  </w:p>
  <w:p w:rsidR="00944F69" w:rsidRPr="009A7F87" w:rsidRDefault="00944F69" w:rsidP="009A7F87">
    <w:pPr>
      <w:pStyle w:val="HeaderEnd"/>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HeaderEnd"/>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HeaderEnd"/>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44F69">
      <w:tc>
        <w:tcPr>
          <w:tcW w:w="2155" w:type="dxa"/>
          <w:tcBorders>
            <w:top w:val="single" w:sz="24" w:space="0" w:color="auto"/>
          </w:tcBorders>
        </w:tcPr>
        <w:p w:rsidR="00944F69" w:rsidRDefault="00944F69" w:rsidP="0019293B">
          <w:pPr>
            <w:pStyle w:val="HeaderEven"/>
          </w:pPr>
        </w:p>
      </w:tc>
      <w:tc>
        <w:tcPr>
          <w:tcW w:w="6634" w:type="dxa"/>
          <w:tcBorders>
            <w:top w:val="single" w:sz="6" w:space="0" w:color="auto"/>
          </w:tcBorders>
        </w:tcPr>
        <w:p w:rsidR="00944F69" w:rsidRDefault="00944F69" w:rsidP="0019293B">
          <w:pPr>
            <w:pStyle w:val="HeaderEven"/>
          </w:pPr>
        </w:p>
      </w:tc>
    </w:tr>
  </w:tbl>
  <w:p w:rsidR="00944F69" w:rsidRDefault="00944F69" w:rsidP="0019293B">
    <w:pPr>
      <w:pStyle w:val="HeaderEnd"/>
    </w:pPr>
  </w:p>
  <w:p w:rsidR="00944F69" w:rsidRPr="009A7F87" w:rsidRDefault="00944F69" w:rsidP="009A7F87">
    <w:pPr>
      <w:pStyle w:val="HeaderEnd"/>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44F69">
      <w:tc>
        <w:tcPr>
          <w:tcW w:w="6634" w:type="dxa"/>
          <w:tcBorders>
            <w:top w:val="single" w:sz="6" w:space="0" w:color="auto"/>
          </w:tcBorders>
        </w:tcPr>
        <w:p w:rsidR="00944F69" w:rsidRDefault="00944F69" w:rsidP="00E669E2">
          <w:pPr>
            <w:pStyle w:val="HeaderOdd"/>
          </w:pPr>
        </w:p>
      </w:tc>
      <w:tc>
        <w:tcPr>
          <w:tcW w:w="2155" w:type="dxa"/>
          <w:tcBorders>
            <w:top w:val="single" w:sz="24" w:space="0" w:color="auto"/>
          </w:tcBorders>
        </w:tcPr>
        <w:p w:rsidR="00944F69" w:rsidRDefault="00944F69" w:rsidP="00E669E2">
          <w:pPr>
            <w:pStyle w:val="HeaderOdd"/>
          </w:pPr>
        </w:p>
      </w:tc>
    </w:tr>
  </w:tbl>
  <w:p w:rsidR="00944F69" w:rsidRDefault="00944F69" w:rsidP="00E669E2">
    <w:pPr>
      <w:pStyle w:val="HeaderEnd"/>
    </w:pPr>
  </w:p>
  <w:p w:rsidR="00944F69" w:rsidRPr="009A7F87" w:rsidRDefault="00944F69" w:rsidP="009A7F87">
    <w:pPr>
      <w:pStyle w:val="HeaderEnd"/>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HeaderEnd"/>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64540">
      <w:tc>
        <w:tcPr>
          <w:tcW w:w="2155" w:type="dxa"/>
          <w:tcBorders>
            <w:top w:val="single" w:sz="24" w:space="0" w:color="auto"/>
          </w:tcBorders>
        </w:tcPr>
        <w:p w:rsidR="00064540" w:rsidRDefault="00064540" w:rsidP="0019293B">
          <w:pPr>
            <w:pStyle w:val="HeaderEven"/>
          </w:pPr>
        </w:p>
      </w:tc>
      <w:tc>
        <w:tcPr>
          <w:tcW w:w="6634" w:type="dxa"/>
          <w:tcBorders>
            <w:top w:val="single" w:sz="6" w:space="0" w:color="auto"/>
          </w:tcBorders>
        </w:tcPr>
        <w:p w:rsidR="00064540" w:rsidRDefault="00064540" w:rsidP="0019293B">
          <w:pPr>
            <w:pStyle w:val="HeaderEven"/>
          </w:pPr>
        </w:p>
      </w:tc>
    </w:tr>
  </w:tbl>
  <w:p w:rsidR="00064540" w:rsidRDefault="00064540" w:rsidP="0019293B">
    <w:pPr>
      <w:pStyle w:val="HeaderEnd"/>
    </w:pPr>
  </w:p>
  <w:p w:rsidR="00064540" w:rsidRDefault="00064540" w:rsidP="00D732FE">
    <w:pPr>
      <w:pStyle w:val="HeaderEnd"/>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44F69">
      <w:tc>
        <w:tcPr>
          <w:tcW w:w="2155" w:type="dxa"/>
          <w:tcBorders>
            <w:top w:val="single" w:sz="24" w:space="0" w:color="auto"/>
          </w:tcBorders>
        </w:tcPr>
        <w:p w:rsidR="00944F69" w:rsidRDefault="00944F69" w:rsidP="0019293B">
          <w:pPr>
            <w:pStyle w:val="HeaderEven"/>
          </w:pPr>
        </w:p>
      </w:tc>
      <w:tc>
        <w:tcPr>
          <w:tcW w:w="6634" w:type="dxa"/>
          <w:tcBorders>
            <w:top w:val="single" w:sz="6" w:space="0" w:color="auto"/>
          </w:tcBorders>
        </w:tcPr>
        <w:p w:rsidR="00944F69" w:rsidRDefault="00944F69" w:rsidP="0019293B">
          <w:pPr>
            <w:pStyle w:val="HeaderEven"/>
          </w:pPr>
        </w:p>
      </w:tc>
    </w:tr>
  </w:tbl>
  <w:p w:rsidR="00944F69" w:rsidRDefault="00944F69" w:rsidP="0019293B">
    <w:pPr>
      <w:pStyle w:val="HeaderEnd"/>
    </w:pPr>
  </w:p>
  <w:p w:rsidR="00944F69" w:rsidRPr="009A7F87" w:rsidRDefault="00944F69" w:rsidP="009A7F87">
    <w:pPr>
      <w:pStyle w:val="HeaderEnd"/>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44F69">
      <w:tc>
        <w:tcPr>
          <w:tcW w:w="6634" w:type="dxa"/>
          <w:tcBorders>
            <w:top w:val="single" w:sz="6" w:space="0" w:color="auto"/>
          </w:tcBorders>
        </w:tcPr>
        <w:p w:rsidR="00944F69" w:rsidRDefault="00944F69" w:rsidP="00E669E2">
          <w:pPr>
            <w:pStyle w:val="HeaderOdd"/>
          </w:pPr>
        </w:p>
      </w:tc>
      <w:tc>
        <w:tcPr>
          <w:tcW w:w="2155" w:type="dxa"/>
          <w:tcBorders>
            <w:top w:val="single" w:sz="24" w:space="0" w:color="auto"/>
          </w:tcBorders>
        </w:tcPr>
        <w:p w:rsidR="00944F69" w:rsidRDefault="00944F69" w:rsidP="00E669E2">
          <w:pPr>
            <w:pStyle w:val="HeaderOdd"/>
          </w:pPr>
        </w:p>
      </w:tc>
    </w:tr>
  </w:tbl>
  <w:p w:rsidR="00944F69" w:rsidRDefault="00944F69" w:rsidP="00E669E2">
    <w:pPr>
      <w:pStyle w:val="HeaderEnd"/>
    </w:pPr>
  </w:p>
  <w:p w:rsidR="00944F69" w:rsidRPr="009A7F87" w:rsidRDefault="00944F69" w:rsidP="009A7F87">
    <w:pPr>
      <w:pStyle w:val="HeaderEnd"/>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HeaderEnd"/>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HeaderEnd"/>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44F69">
      <w:tc>
        <w:tcPr>
          <w:tcW w:w="2155" w:type="dxa"/>
          <w:tcBorders>
            <w:top w:val="single" w:sz="24" w:space="0" w:color="auto"/>
          </w:tcBorders>
        </w:tcPr>
        <w:p w:rsidR="00944F69" w:rsidRDefault="00944F69" w:rsidP="0019293B">
          <w:pPr>
            <w:pStyle w:val="HeaderEven"/>
          </w:pPr>
        </w:p>
      </w:tc>
      <w:tc>
        <w:tcPr>
          <w:tcW w:w="6634" w:type="dxa"/>
          <w:tcBorders>
            <w:top w:val="single" w:sz="6" w:space="0" w:color="auto"/>
          </w:tcBorders>
        </w:tcPr>
        <w:p w:rsidR="00944F69" w:rsidRDefault="00944F69" w:rsidP="0019293B">
          <w:pPr>
            <w:pStyle w:val="HeaderEven"/>
          </w:pPr>
        </w:p>
      </w:tc>
    </w:tr>
  </w:tbl>
  <w:p w:rsidR="00944F69" w:rsidRDefault="00944F69" w:rsidP="0019293B">
    <w:pPr>
      <w:pStyle w:val="HeaderEnd"/>
    </w:pPr>
  </w:p>
  <w:p w:rsidR="00944F69" w:rsidRPr="009A7F87" w:rsidRDefault="00944F69" w:rsidP="009A7F87">
    <w:pPr>
      <w:pStyle w:val="HeaderEnd"/>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44F69">
      <w:tc>
        <w:tcPr>
          <w:tcW w:w="6634" w:type="dxa"/>
          <w:tcBorders>
            <w:top w:val="single" w:sz="6" w:space="0" w:color="auto"/>
          </w:tcBorders>
        </w:tcPr>
        <w:p w:rsidR="00944F69" w:rsidRDefault="00944F69" w:rsidP="00E669E2">
          <w:pPr>
            <w:pStyle w:val="HeaderOdd"/>
          </w:pPr>
        </w:p>
      </w:tc>
      <w:tc>
        <w:tcPr>
          <w:tcW w:w="2155" w:type="dxa"/>
          <w:tcBorders>
            <w:top w:val="single" w:sz="24" w:space="0" w:color="auto"/>
          </w:tcBorders>
        </w:tcPr>
        <w:p w:rsidR="00944F69" w:rsidRDefault="00944F69" w:rsidP="00E669E2">
          <w:pPr>
            <w:pStyle w:val="HeaderOdd"/>
          </w:pPr>
        </w:p>
      </w:tc>
    </w:tr>
  </w:tbl>
  <w:p w:rsidR="00944F69" w:rsidRDefault="00944F69" w:rsidP="00E669E2">
    <w:pPr>
      <w:pStyle w:val="HeaderEnd"/>
    </w:pPr>
  </w:p>
  <w:p w:rsidR="00944F69" w:rsidRPr="009A7F87" w:rsidRDefault="00944F69" w:rsidP="009A7F87">
    <w:pPr>
      <w:pStyle w:val="HeaderEnd"/>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HeaderEnd"/>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HeaderEnd"/>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44F69">
      <w:tc>
        <w:tcPr>
          <w:tcW w:w="2155" w:type="dxa"/>
          <w:tcBorders>
            <w:top w:val="single" w:sz="24" w:space="0" w:color="auto"/>
          </w:tcBorders>
        </w:tcPr>
        <w:p w:rsidR="00944F69" w:rsidRDefault="00944F69" w:rsidP="0019293B">
          <w:pPr>
            <w:pStyle w:val="HeaderEven"/>
          </w:pPr>
        </w:p>
      </w:tc>
      <w:tc>
        <w:tcPr>
          <w:tcW w:w="6634" w:type="dxa"/>
          <w:tcBorders>
            <w:top w:val="single" w:sz="6" w:space="0" w:color="auto"/>
          </w:tcBorders>
        </w:tcPr>
        <w:p w:rsidR="00944F69" w:rsidRDefault="00944F69" w:rsidP="0019293B">
          <w:pPr>
            <w:pStyle w:val="HeaderEven"/>
          </w:pPr>
        </w:p>
      </w:tc>
    </w:tr>
  </w:tbl>
  <w:p w:rsidR="00944F69" w:rsidRDefault="00944F69" w:rsidP="0019293B">
    <w:pPr>
      <w:pStyle w:val="HeaderEnd"/>
    </w:pPr>
  </w:p>
  <w:p w:rsidR="00944F69" w:rsidRPr="009A7F87" w:rsidRDefault="00944F69" w:rsidP="009A7F87">
    <w:pPr>
      <w:pStyle w:val="HeaderEnd"/>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44F69">
      <w:tc>
        <w:tcPr>
          <w:tcW w:w="6634" w:type="dxa"/>
          <w:tcBorders>
            <w:top w:val="single" w:sz="6" w:space="0" w:color="auto"/>
          </w:tcBorders>
        </w:tcPr>
        <w:p w:rsidR="00944F69" w:rsidRDefault="00944F69" w:rsidP="00E669E2">
          <w:pPr>
            <w:pStyle w:val="HeaderOdd"/>
          </w:pPr>
        </w:p>
      </w:tc>
      <w:tc>
        <w:tcPr>
          <w:tcW w:w="2155" w:type="dxa"/>
          <w:tcBorders>
            <w:top w:val="single" w:sz="24" w:space="0" w:color="auto"/>
          </w:tcBorders>
        </w:tcPr>
        <w:p w:rsidR="00944F69" w:rsidRDefault="00944F69" w:rsidP="00E669E2">
          <w:pPr>
            <w:pStyle w:val="HeaderOdd"/>
          </w:pPr>
        </w:p>
      </w:tc>
    </w:tr>
  </w:tbl>
  <w:p w:rsidR="00944F69" w:rsidRDefault="00944F69" w:rsidP="00E669E2">
    <w:pPr>
      <w:pStyle w:val="HeaderEnd"/>
    </w:pPr>
  </w:p>
  <w:p w:rsidR="00944F69" w:rsidRPr="009A7F87" w:rsidRDefault="00944F69" w:rsidP="009A7F87">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64540">
      <w:tc>
        <w:tcPr>
          <w:tcW w:w="6634" w:type="dxa"/>
          <w:tcBorders>
            <w:top w:val="single" w:sz="6" w:space="0" w:color="auto"/>
          </w:tcBorders>
        </w:tcPr>
        <w:p w:rsidR="00064540" w:rsidRDefault="00064540">
          <w:pPr>
            <w:pStyle w:val="HeaderOdd"/>
          </w:pPr>
        </w:p>
      </w:tc>
      <w:tc>
        <w:tcPr>
          <w:tcW w:w="2155" w:type="dxa"/>
          <w:tcBorders>
            <w:top w:val="single" w:sz="24" w:space="0" w:color="auto"/>
          </w:tcBorders>
        </w:tcPr>
        <w:p w:rsidR="00064540" w:rsidRDefault="00064540">
          <w:pPr>
            <w:pStyle w:val="HeaderOdd"/>
          </w:pPr>
        </w:p>
      </w:tc>
    </w:tr>
  </w:tbl>
  <w:p w:rsidR="00064540" w:rsidRDefault="00064540" w:rsidP="00B95339">
    <w:pPr>
      <w:pStyle w:val="HeaderEnd"/>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HeaderEnd"/>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69" w:rsidRPr="009A7F87" w:rsidRDefault="00944F69" w:rsidP="009A7F87">
    <w:pPr>
      <w:pStyle w:val="HeaderEnd"/>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44F69">
      <w:tc>
        <w:tcPr>
          <w:tcW w:w="2155" w:type="dxa"/>
          <w:tcBorders>
            <w:top w:val="single" w:sz="24" w:space="0" w:color="auto"/>
          </w:tcBorders>
        </w:tcPr>
        <w:p w:rsidR="00944F69" w:rsidRDefault="00944F69" w:rsidP="0019293B">
          <w:pPr>
            <w:pStyle w:val="HeaderEven"/>
          </w:pPr>
        </w:p>
      </w:tc>
      <w:tc>
        <w:tcPr>
          <w:tcW w:w="6634" w:type="dxa"/>
          <w:tcBorders>
            <w:top w:val="single" w:sz="6" w:space="0" w:color="auto"/>
          </w:tcBorders>
        </w:tcPr>
        <w:p w:rsidR="00944F69" w:rsidRDefault="00944F69" w:rsidP="0019293B">
          <w:pPr>
            <w:pStyle w:val="HeaderEven"/>
          </w:pPr>
        </w:p>
      </w:tc>
    </w:tr>
  </w:tbl>
  <w:p w:rsidR="00944F69" w:rsidRDefault="00944F69" w:rsidP="0019293B">
    <w:pPr>
      <w:pStyle w:val="HeaderEnd"/>
    </w:pPr>
  </w:p>
  <w:p w:rsidR="00944F69" w:rsidRPr="009A7F87" w:rsidRDefault="00944F69" w:rsidP="009A7F87">
    <w:pPr>
      <w:pStyle w:val="HeaderEnd"/>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44F69">
      <w:tc>
        <w:tcPr>
          <w:tcW w:w="6634" w:type="dxa"/>
          <w:tcBorders>
            <w:top w:val="single" w:sz="6" w:space="0" w:color="auto"/>
          </w:tcBorders>
        </w:tcPr>
        <w:p w:rsidR="00944F69" w:rsidRDefault="00944F69" w:rsidP="00E669E2">
          <w:pPr>
            <w:pStyle w:val="HeaderOdd"/>
          </w:pPr>
        </w:p>
      </w:tc>
      <w:tc>
        <w:tcPr>
          <w:tcW w:w="2155" w:type="dxa"/>
          <w:tcBorders>
            <w:top w:val="single" w:sz="24" w:space="0" w:color="auto"/>
          </w:tcBorders>
        </w:tcPr>
        <w:p w:rsidR="00944F69" w:rsidRDefault="00944F69" w:rsidP="00E669E2">
          <w:pPr>
            <w:pStyle w:val="HeaderOdd"/>
          </w:pPr>
        </w:p>
      </w:tc>
    </w:tr>
  </w:tbl>
  <w:p w:rsidR="00944F69" w:rsidRDefault="00944F69" w:rsidP="00E669E2">
    <w:pPr>
      <w:pStyle w:val="HeaderEnd"/>
    </w:pPr>
  </w:p>
  <w:p w:rsidR="00944F69" w:rsidRPr="009A7F87" w:rsidRDefault="00944F69" w:rsidP="009A7F87">
    <w:pPr>
      <w:pStyle w:val="HeaderEnd"/>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44F69">
      <w:tc>
        <w:tcPr>
          <w:tcW w:w="2155" w:type="dxa"/>
          <w:tcBorders>
            <w:top w:val="single" w:sz="24" w:space="0" w:color="auto"/>
          </w:tcBorders>
        </w:tcPr>
        <w:p w:rsidR="00944F69" w:rsidRDefault="00944F69" w:rsidP="0019293B">
          <w:pPr>
            <w:pStyle w:val="HeaderEven"/>
          </w:pPr>
        </w:p>
      </w:tc>
      <w:tc>
        <w:tcPr>
          <w:tcW w:w="6634" w:type="dxa"/>
          <w:tcBorders>
            <w:top w:val="single" w:sz="6" w:space="0" w:color="auto"/>
          </w:tcBorders>
        </w:tcPr>
        <w:p w:rsidR="00944F69" w:rsidRDefault="00944F69" w:rsidP="0019293B">
          <w:pPr>
            <w:pStyle w:val="HeaderEven"/>
          </w:pPr>
        </w:p>
      </w:tc>
    </w:tr>
  </w:tbl>
  <w:p w:rsidR="00944F69" w:rsidRDefault="00944F69" w:rsidP="0019293B">
    <w:pPr>
      <w:pStyle w:val="HeaderEnd"/>
    </w:pPr>
  </w:p>
  <w:p w:rsidR="00944F69" w:rsidRPr="009A7F87" w:rsidRDefault="00944F69" w:rsidP="009A7F87">
    <w:pPr>
      <w:pStyle w:val="HeaderEnd"/>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44F69">
      <w:tc>
        <w:tcPr>
          <w:tcW w:w="6634" w:type="dxa"/>
          <w:tcBorders>
            <w:top w:val="single" w:sz="6" w:space="0" w:color="auto"/>
          </w:tcBorders>
        </w:tcPr>
        <w:p w:rsidR="00944F69" w:rsidRDefault="00944F69" w:rsidP="00E669E2">
          <w:pPr>
            <w:pStyle w:val="HeaderOdd"/>
          </w:pPr>
        </w:p>
      </w:tc>
      <w:tc>
        <w:tcPr>
          <w:tcW w:w="2155" w:type="dxa"/>
          <w:tcBorders>
            <w:top w:val="single" w:sz="24" w:space="0" w:color="auto"/>
          </w:tcBorders>
        </w:tcPr>
        <w:p w:rsidR="00944F69" w:rsidRDefault="00944F69" w:rsidP="00E669E2">
          <w:pPr>
            <w:pStyle w:val="HeaderOdd"/>
          </w:pPr>
        </w:p>
      </w:tc>
    </w:tr>
  </w:tbl>
  <w:p w:rsidR="00944F69" w:rsidRDefault="00944F69" w:rsidP="00E669E2">
    <w:pPr>
      <w:pStyle w:val="HeaderEnd"/>
    </w:pPr>
  </w:p>
  <w:p w:rsidR="00944F69" w:rsidRPr="009A7F87" w:rsidRDefault="00944F69" w:rsidP="009A7F87">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44F69">
      <w:tc>
        <w:tcPr>
          <w:tcW w:w="2155" w:type="dxa"/>
          <w:tcBorders>
            <w:top w:val="single" w:sz="24" w:space="0" w:color="auto"/>
          </w:tcBorders>
        </w:tcPr>
        <w:p w:rsidR="00944F69" w:rsidRDefault="00944F69" w:rsidP="0019293B">
          <w:pPr>
            <w:pStyle w:val="HeaderEven"/>
          </w:pPr>
        </w:p>
      </w:tc>
      <w:tc>
        <w:tcPr>
          <w:tcW w:w="6634" w:type="dxa"/>
          <w:tcBorders>
            <w:top w:val="single" w:sz="6" w:space="0" w:color="auto"/>
          </w:tcBorders>
        </w:tcPr>
        <w:p w:rsidR="00944F69" w:rsidRDefault="00944F69" w:rsidP="0019293B">
          <w:pPr>
            <w:pStyle w:val="HeaderEven"/>
          </w:pPr>
        </w:p>
      </w:tc>
    </w:tr>
  </w:tbl>
  <w:p w:rsidR="00944F69" w:rsidRDefault="00944F69" w:rsidP="0019293B">
    <w:pPr>
      <w:pStyle w:val="HeaderEnd"/>
    </w:pPr>
  </w:p>
  <w:p w:rsidR="00944F69" w:rsidRPr="009A7F87" w:rsidRDefault="00944F69" w:rsidP="009A7F87">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1997014"/>
    <w:multiLevelType w:val="singleLevel"/>
    <w:tmpl w:val="397CAF56"/>
    <w:lvl w:ilvl="0">
      <w:start w:val="1"/>
      <w:numFmt w:val="lowerLetter"/>
      <w:lvlText w:val="(%1)"/>
      <w:legacy w:legacy="1" w:legacySpace="0" w:legacyIndent="340"/>
      <w:lvlJc w:val="left"/>
      <w:pPr>
        <w:ind w:left="680" w:hanging="340"/>
      </w:pPr>
    </w:lvl>
  </w:abstractNum>
  <w:abstractNum w:abstractNumId="4">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362021B"/>
    <w:multiLevelType w:val="hybridMultilevel"/>
    <w:tmpl w:val="2444A216"/>
    <w:lvl w:ilvl="0" w:tplc="B67A1CB2">
      <w:start w:val="1"/>
      <w:numFmt w:val="bullet"/>
      <w:pStyle w:val="TableBullet2"/>
      <w:lvlText w:val="-"/>
      <w:lvlJc w:val="left"/>
      <w:pPr>
        <w:tabs>
          <w:tab w:val="num" w:pos="678"/>
        </w:tabs>
        <w:ind w:left="678" w:hanging="283"/>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7">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8">
    <w:nsid w:val="0D3E2DA7"/>
    <w:multiLevelType w:val="singleLevel"/>
    <w:tmpl w:val="397CAF56"/>
    <w:lvl w:ilvl="0">
      <w:start w:val="1"/>
      <w:numFmt w:val="lowerLetter"/>
      <w:lvlText w:val="(%1)"/>
      <w:legacy w:legacy="1" w:legacySpace="0" w:legacyIndent="340"/>
      <w:lvlJc w:val="left"/>
      <w:pPr>
        <w:ind w:left="680" w:hanging="340"/>
      </w:pPr>
    </w:lvl>
  </w:abstractNum>
  <w:abstractNum w:abstractNumId="9">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164D4B02"/>
    <w:multiLevelType w:val="hybridMultilevel"/>
    <w:tmpl w:val="0674FA74"/>
    <w:lvl w:ilvl="0" w:tplc="6AFA5FC2">
      <w:start w:val="1"/>
      <w:numFmt w:val="decimal"/>
      <w:lvlText w:val="%1."/>
      <w:legacy w:legacy="1" w:legacySpace="0" w:legacyIndent="284"/>
      <w:lvlJc w:val="left"/>
      <w:pPr>
        <w:ind w:left="284" w:hanging="284"/>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5">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nsid w:val="388F11BD"/>
    <w:multiLevelType w:val="singleLevel"/>
    <w:tmpl w:val="3B188B36"/>
    <w:lvl w:ilvl="0">
      <w:start w:val="1"/>
      <w:numFmt w:val="decimal"/>
      <w:lvlText w:val="%1."/>
      <w:legacy w:legacy="1" w:legacySpace="0" w:legacyIndent="340"/>
      <w:lvlJc w:val="left"/>
      <w:pPr>
        <w:ind w:left="340" w:hanging="340"/>
      </w:pPr>
    </w:lvl>
  </w:abstractNum>
  <w:abstractNum w:abstractNumId="18">
    <w:nsid w:val="451E63A9"/>
    <w:multiLevelType w:val="hybridMultilevel"/>
    <w:tmpl w:val="2C088F66"/>
    <w:lvl w:ilvl="0" w:tplc="039AA380">
      <w:start w:val="1"/>
      <w:numFmt w:val="bullet"/>
      <w:lvlText w:val=""/>
      <w:lvlJc w:val="left"/>
      <w:pPr>
        <w:tabs>
          <w:tab w:val="num" w:pos="170"/>
        </w:tabs>
        <w:ind w:left="170" w:hanging="170"/>
      </w:pPr>
      <w:rPr>
        <w:rFonts w:ascii="Symbol" w:hAnsi="Symbol" w:hint="default"/>
        <w:b w:val="0"/>
        <w:i w:val="0"/>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1002919"/>
    <w:multiLevelType w:val="hybridMultilevel"/>
    <w:tmpl w:val="A13276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2304F0D"/>
    <w:multiLevelType w:val="hybridMultilevel"/>
    <w:tmpl w:val="DCEE2466"/>
    <w:lvl w:ilvl="0" w:tplc="0C09000F">
      <w:start w:val="1"/>
      <w:numFmt w:val="decimal"/>
      <w:lvlText w:val="%1."/>
      <w:lvlJc w:val="left"/>
      <w:pPr>
        <w:tabs>
          <w:tab w:val="num" w:pos="360"/>
        </w:tabs>
        <w:ind w:left="360" w:hanging="360"/>
      </w:pPr>
      <w:rPr>
        <w:rFonts w:hint="default"/>
        <w:b w:val="0"/>
        <w:i w:val="0"/>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2D2193B"/>
    <w:multiLevelType w:val="singleLevel"/>
    <w:tmpl w:val="B4744B66"/>
    <w:lvl w:ilvl="0">
      <w:start w:val="1"/>
      <w:numFmt w:val="decimal"/>
      <w:lvlText w:val="%1."/>
      <w:legacy w:legacy="1" w:legacySpace="0" w:legacyIndent="340"/>
      <w:lvlJc w:val="left"/>
      <w:pPr>
        <w:ind w:left="340" w:hanging="340"/>
      </w:pPr>
    </w:lvl>
  </w:abstractNum>
  <w:abstractNum w:abstractNumId="2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nsid w:val="5E1E6283"/>
    <w:multiLevelType w:val="singleLevel"/>
    <w:tmpl w:val="397CAF56"/>
    <w:lvl w:ilvl="0">
      <w:start w:val="1"/>
      <w:numFmt w:val="lowerLetter"/>
      <w:lvlText w:val="(%1)"/>
      <w:legacy w:legacy="1" w:legacySpace="0" w:legacyIndent="340"/>
      <w:lvlJc w:val="left"/>
      <w:pPr>
        <w:ind w:left="680" w:hanging="340"/>
      </w:pPr>
    </w:lvl>
  </w:abstractNum>
  <w:abstractNum w:abstractNumId="28">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0">
    <w:nsid w:val="711806E6"/>
    <w:multiLevelType w:val="hybridMultilevel"/>
    <w:tmpl w:val="A5C645DA"/>
    <w:lvl w:ilvl="0" w:tplc="1026E76C">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2">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6"/>
  </w:num>
  <w:num w:numId="2">
    <w:abstractNumId w:val="4"/>
  </w:num>
  <w:num w:numId="3">
    <w:abstractNumId w:val="23"/>
  </w:num>
  <w:num w:numId="4">
    <w:abstractNumId w:val="6"/>
  </w:num>
  <w:num w:numId="5">
    <w:abstractNumId w:val="29"/>
  </w:num>
  <w:num w:numId="6">
    <w:abstractNumId w:val="25"/>
  </w:num>
  <w:num w:numId="7">
    <w:abstractNumId w:val="11"/>
  </w:num>
  <w:num w:numId="8">
    <w:abstractNumId w:val="24"/>
  </w:num>
  <w:num w:numId="9">
    <w:abstractNumId w:val="10"/>
  </w:num>
  <w:num w:numId="10">
    <w:abstractNumId w:val="9"/>
  </w:num>
  <w:num w:numId="11">
    <w:abstractNumId w:val="14"/>
  </w:num>
  <w:num w:numId="12">
    <w:abstractNumId w:val="15"/>
  </w:num>
  <w:num w:numId="13">
    <w:abstractNumId w:val="7"/>
  </w:num>
  <w:num w:numId="14">
    <w:abstractNumId w:val="26"/>
  </w:num>
  <w:num w:numId="15">
    <w:abstractNumId w:val="31"/>
  </w:num>
  <w:num w:numId="16">
    <w:abstractNumId w:val="19"/>
  </w:num>
  <w:num w:numId="17">
    <w:abstractNumId w:val="32"/>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8"/>
  </w:num>
  <w:num w:numId="21">
    <w:abstractNumId w:val="12"/>
  </w:num>
  <w:num w:numId="22">
    <w:abstractNumId w:val="30"/>
  </w:num>
  <w:num w:numId="23">
    <w:abstractNumId w:val="20"/>
  </w:num>
  <w:num w:numId="24">
    <w:abstractNumId w:val="18"/>
  </w:num>
  <w:num w:numId="25">
    <w:abstractNumId w:val="5"/>
  </w:num>
  <w:num w:numId="26">
    <w:abstractNumId w:val="13"/>
  </w:num>
  <w:num w:numId="27">
    <w:abstractNumId w:val="21"/>
  </w:num>
  <w:num w:numId="28">
    <w:abstractNumId w:val="17"/>
  </w:num>
  <w:num w:numId="29">
    <w:abstractNumId w:val="1"/>
  </w:num>
  <w:num w:numId="30">
    <w:abstractNumId w:val="22"/>
  </w:num>
  <w:num w:numId="31">
    <w:abstractNumId w:val="8"/>
  </w:num>
  <w:num w:numId="32">
    <w:abstractNumId w:val="3"/>
  </w:num>
  <w:num w:numId="33">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9A7F87"/>
    <w:rsid w:val="000227D5"/>
    <w:rsid w:val="000245AA"/>
    <w:rsid w:val="0002551A"/>
    <w:rsid w:val="0003664B"/>
    <w:rsid w:val="0004111F"/>
    <w:rsid w:val="00055077"/>
    <w:rsid w:val="000565B3"/>
    <w:rsid w:val="00064540"/>
    <w:rsid w:val="00067550"/>
    <w:rsid w:val="0007150B"/>
    <w:rsid w:val="000938F5"/>
    <w:rsid w:val="00095663"/>
    <w:rsid w:val="00096E55"/>
    <w:rsid w:val="0009783E"/>
    <w:rsid w:val="000B1022"/>
    <w:rsid w:val="000B601B"/>
    <w:rsid w:val="000C0692"/>
    <w:rsid w:val="000C207E"/>
    <w:rsid w:val="000D41E9"/>
    <w:rsid w:val="000E0C9E"/>
    <w:rsid w:val="000F0035"/>
    <w:rsid w:val="000F04E7"/>
    <w:rsid w:val="000F060A"/>
    <w:rsid w:val="000F420B"/>
    <w:rsid w:val="00110116"/>
    <w:rsid w:val="00120072"/>
    <w:rsid w:val="00126EB8"/>
    <w:rsid w:val="001274D4"/>
    <w:rsid w:val="001363AA"/>
    <w:rsid w:val="0013739A"/>
    <w:rsid w:val="00142165"/>
    <w:rsid w:val="00144C20"/>
    <w:rsid w:val="00160E45"/>
    <w:rsid w:val="00162434"/>
    <w:rsid w:val="00183E82"/>
    <w:rsid w:val="001878BB"/>
    <w:rsid w:val="00191AE0"/>
    <w:rsid w:val="0019293B"/>
    <w:rsid w:val="0019426B"/>
    <w:rsid w:val="001A3F0E"/>
    <w:rsid w:val="001A6A4B"/>
    <w:rsid w:val="001C0865"/>
    <w:rsid w:val="001C0AED"/>
    <w:rsid w:val="001C3ABA"/>
    <w:rsid w:val="001C5111"/>
    <w:rsid w:val="001E7BE8"/>
    <w:rsid w:val="001F0248"/>
    <w:rsid w:val="001F3EB3"/>
    <w:rsid w:val="001F4F86"/>
    <w:rsid w:val="00202C2C"/>
    <w:rsid w:val="00203050"/>
    <w:rsid w:val="002135AB"/>
    <w:rsid w:val="002144BE"/>
    <w:rsid w:val="00242279"/>
    <w:rsid w:val="00243997"/>
    <w:rsid w:val="0024516C"/>
    <w:rsid w:val="00245C82"/>
    <w:rsid w:val="00261C4E"/>
    <w:rsid w:val="0026311D"/>
    <w:rsid w:val="002724BA"/>
    <w:rsid w:val="00291B40"/>
    <w:rsid w:val="002B4008"/>
    <w:rsid w:val="002C439F"/>
    <w:rsid w:val="002D0C42"/>
    <w:rsid w:val="002D0E8E"/>
    <w:rsid w:val="002E2409"/>
    <w:rsid w:val="002F6F8F"/>
    <w:rsid w:val="00301189"/>
    <w:rsid w:val="00301E4A"/>
    <w:rsid w:val="003168B8"/>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B23C2"/>
    <w:rsid w:val="003C38B5"/>
    <w:rsid w:val="003C5D99"/>
    <w:rsid w:val="003D1087"/>
    <w:rsid w:val="003E2F59"/>
    <w:rsid w:val="003E746B"/>
    <w:rsid w:val="003F0789"/>
    <w:rsid w:val="00401882"/>
    <w:rsid w:val="004100C8"/>
    <w:rsid w:val="00411DBD"/>
    <w:rsid w:val="00412ACE"/>
    <w:rsid w:val="004145D2"/>
    <w:rsid w:val="00426CB4"/>
    <w:rsid w:val="00431249"/>
    <w:rsid w:val="00434C19"/>
    <w:rsid w:val="0044346B"/>
    <w:rsid w:val="00450810"/>
    <w:rsid w:val="004556BF"/>
    <w:rsid w:val="00462C59"/>
    <w:rsid w:val="00470737"/>
    <w:rsid w:val="00477144"/>
    <w:rsid w:val="00491380"/>
    <w:rsid w:val="00493FDF"/>
    <w:rsid w:val="0049459F"/>
    <w:rsid w:val="004A38DD"/>
    <w:rsid w:val="004B43AE"/>
    <w:rsid w:val="004C30ED"/>
    <w:rsid w:val="004D5675"/>
    <w:rsid w:val="00517795"/>
    <w:rsid w:val="00523639"/>
    <w:rsid w:val="005319A3"/>
    <w:rsid w:val="00531FE5"/>
    <w:rsid w:val="005402FA"/>
    <w:rsid w:val="005729BD"/>
    <w:rsid w:val="00580154"/>
    <w:rsid w:val="00583C39"/>
    <w:rsid w:val="00586A90"/>
    <w:rsid w:val="00587F28"/>
    <w:rsid w:val="005909CF"/>
    <w:rsid w:val="00591E71"/>
    <w:rsid w:val="005A0D41"/>
    <w:rsid w:val="005A6681"/>
    <w:rsid w:val="005D329F"/>
    <w:rsid w:val="005F48ED"/>
    <w:rsid w:val="00606E78"/>
    <w:rsid w:val="00607BF1"/>
    <w:rsid w:val="0062370A"/>
    <w:rsid w:val="00630D4D"/>
    <w:rsid w:val="00632A74"/>
    <w:rsid w:val="00654D42"/>
    <w:rsid w:val="00666E02"/>
    <w:rsid w:val="006A4655"/>
    <w:rsid w:val="006B2B3C"/>
    <w:rsid w:val="006C1D81"/>
    <w:rsid w:val="006C7038"/>
    <w:rsid w:val="006E73EF"/>
    <w:rsid w:val="007079C9"/>
    <w:rsid w:val="00714D4D"/>
    <w:rsid w:val="007266D3"/>
    <w:rsid w:val="00732029"/>
    <w:rsid w:val="007604BB"/>
    <w:rsid w:val="00760FFA"/>
    <w:rsid w:val="00772909"/>
    <w:rsid w:val="00785232"/>
    <w:rsid w:val="0079701E"/>
    <w:rsid w:val="007A21EB"/>
    <w:rsid w:val="007B1A93"/>
    <w:rsid w:val="007C36C9"/>
    <w:rsid w:val="007D6401"/>
    <w:rsid w:val="007E01E4"/>
    <w:rsid w:val="007E7A12"/>
    <w:rsid w:val="007F7107"/>
    <w:rsid w:val="00800D4C"/>
    <w:rsid w:val="0081030F"/>
    <w:rsid w:val="00812F4A"/>
    <w:rsid w:val="0082087D"/>
    <w:rsid w:val="00835771"/>
    <w:rsid w:val="008419FF"/>
    <w:rsid w:val="00842933"/>
    <w:rsid w:val="00844B9C"/>
    <w:rsid w:val="0086082C"/>
    <w:rsid w:val="00864ADC"/>
    <w:rsid w:val="00880153"/>
    <w:rsid w:val="00880F97"/>
    <w:rsid w:val="0088133A"/>
    <w:rsid w:val="00892381"/>
    <w:rsid w:val="0089285E"/>
    <w:rsid w:val="0089436C"/>
    <w:rsid w:val="008A66F7"/>
    <w:rsid w:val="008D365C"/>
    <w:rsid w:val="008D7622"/>
    <w:rsid w:val="009021A6"/>
    <w:rsid w:val="009030BF"/>
    <w:rsid w:val="00903B52"/>
    <w:rsid w:val="0091032F"/>
    <w:rsid w:val="00914368"/>
    <w:rsid w:val="00931076"/>
    <w:rsid w:val="00933AEE"/>
    <w:rsid w:val="009345D9"/>
    <w:rsid w:val="00934B15"/>
    <w:rsid w:val="0093701F"/>
    <w:rsid w:val="00940C87"/>
    <w:rsid w:val="00942B62"/>
    <w:rsid w:val="00944F69"/>
    <w:rsid w:val="0095323B"/>
    <w:rsid w:val="00956A0C"/>
    <w:rsid w:val="00956BD9"/>
    <w:rsid w:val="00962489"/>
    <w:rsid w:val="00967CD3"/>
    <w:rsid w:val="00977D21"/>
    <w:rsid w:val="00990C2C"/>
    <w:rsid w:val="009A5171"/>
    <w:rsid w:val="009A7F87"/>
    <w:rsid w:val="009B3496"/>
    <w:rsid w:val="009E1844"/>
    <w:rsid w:val="009F0D1B"/>
    <w:rsid w:val="009F14B3"/>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54AB"/>
    <w:rsid w:val="00A57062"/>
    <w:rsid w:val="00A64EEF"/>
    <w:rsid w:val="00A672D0"/>
    <w:rsid w:val="00A67781"/>
    <w:rsid w:val="00A73D12"/>
    <w:rsid w:val="00A761F9"/>
    <w:rsid w:val="00A92B53"/>
    <w:rsid w:val="00A94FA6"/>
    <w:rsid w:val="00AA49A0"/>
    <w:rsid w:val="00AA6710"/>
    <w:rsid w:val="00AB0681"/>
    <w:rsid w:val="00AC3A15"/>
    <w:rsid w:val="00AD520B"/>
    <w:rsid w:val="00AE3BCC"/>
    <w:rsid w:val="00B2262F"/>
    <w:rsid w:val="00B36994"/>
    <w:rsid w:val="00B412F1"/>
    <w:rsid w:val="00B425C3"/>
    <w:rsid w:val="00B440AD"/>
    <w:rsid w:val="00B479BB"/>
    <w:rsid w:val="00B53E7E"/>
    <w:rsid w:val="00B6342E"/>
    <w:rsid w:val="00B7113F"/>
    <w:rsid w:val="00BA2BCF"/>
    <w:rsid w:val="00BA5B14"/>
    <w:rsid w:val="00BA73B6"/>
    <w:rsid w:val="00BA7E27"/>
    <w:rsid w:val="00BB2603"/>
    <w:rsid w:val="00BB4FCD"/>
    <w:rsid w:val="00BC04E9"/>
    <w:rsid w:val="00BD13EA"/>
    <w:rsid w:val="00BD3517"/>
    <w:rsid w:val="00BE3808"/>
    <w:rsid w:val="00C03B88"/>
    <w:rsid w:val="00C062E9"/>
    <w:rsid w:val="00C07B64"/>
    <w:rsid w:val="00C13721"/>
    <w:rsid w:val="00C14FE4"/>
    <w:rsid w:val="00C3066D"/>
    <w:rsid w:val="00C459B4"/>
    <w:rsid w:val="00C52416"/>
    <w:rsid w:val="00C543F4"/>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5FDF"/>
    <w:rsid w:val="00CC64A1"/>
    <w:rsid w:val="00CF3B11"/>
    <w:rsid w:val="00D270A4"/>
    <w:rsid w:val="00D31FE9"/>
    <w:rsid w:val="00D34E1B"/>
    <w:rsid w:val="00D35E3D"/>
    <w:rsid w:val="00D376BA"/>
    <w:rsid w:val="00D434A0"/>
    <w:rsid w:val="00D45634"/>
    <w:rsid w:val="00D5568A"/>
    <w:rsid w:val="00D63D73"/>
    <w:rsid w:val="00D64452"/>
    <w:rsid w:val="00D66E1E"/>
    <w:rsid w:val="00D70696"/>
    <w:rsid w:val="00D75722"/>
    <w:rsid w:val="00D80CF5"/>
    <w:rsid w:val="00D8163E"/>
    <w:rsid w:val="00DA5BBA"/>
    <w:rsid w:val="00DB26D2"/>
    <w:rsid w:val="00DB67C9"/>
    <w:rsid w:val="00DC0C95"/>
    <w:rsid w:val="00DC4F0B"/>
    <w:rsid w:val="00DD6580"/>
    <w:rsid w:val="00DE1DF1"/>
    <w:rsid w:val="00E01D7F"/>
    <w:rsid w:val="00E05C03"/>
    <w:rsid w:val="00E10DB8"/>
    <w:rsid w:val="00E17C72"/>
    <w:rsid w:val="00E21FC6"/>
    <w:rsid w:val="00E431A9"/>
    <w:rsid w:val="00E43374"/>
    <w:rsid w:val="00E669E2"/>
    <w:rsid w:val="00E76135"/>
    <w:rsid w:val="00E82F4F"/>
    <w:rsid w:val="00E864DF"/>
    <w:rsid w:val="00E91A7D"/>
    <w:rsid w:val="00E97D3E"/>
    <w:rsid w:val="00EB2CC3"/>
    <w:rsid w:val="00EC2844"/>
    <w:rsid w:val="00EC5500"/>
    <w:rsid w:val="00ED18F8"/>
    <w:rsid w:val="00EE6EDA"/>
    <w:rsid w:val="00EE778E"/>
    <w:rsid w:val="00EF6719"/>
    <w:rsid w:val="00EF6C6C"/>
    <w:rsid w:val="00F056FC"/>
    <w:rsid w:val="00F0632F"/>
    <w:rsid w:val="00F069AE"/>
    <w:rsid w:val="00F10476"/>
    <w:rsid w:val="00F135D8"/>
    <w:rsid w:val="00F31299"/>
    <w:rsid w:val="00F3534A"/>
    <w:rsid w:val="00F35BFB"/>
    <w:rsid w:val="00F36ACC"/>
    <w:rsid w:val="00F50066"/>
    <w:rsid w:val="00F51609"/>
    <w:rsid w:val="00F55C25"/>
    <w:rsid w:val="00F67055"/>
    <w:rsid w:val="00F73727"/>
    <w:rsid w:val="00F766A7"/>
    <w:rsid w:val="00F80BDF"/>
    <w:rsid w:val="00F81006"/>
    <w:rsid w:val="00F85325"/>
    <w:rsid w:val="00FD22B1"/>
    <w:rsid w:val="00FD3172"/>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toc 1" w:uiPriority="39"/>
    <w:lsdException w:name="toc 2" w:uiPriority="39"/>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02826"/>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ew legislation style,Body Text Char1 Char,Body Text Char Char Char,Body Text Char1 Char Char Char,Body Text Char Char Char Char Char1,Body Text Char2 Char1 Char Char Char Char Char,Body Text Char2 Char,new legislation style Char1 Char"/>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aliases w:val="List Bullet1"/>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85325"/>
    <w:pPr>
      <w:numPr>
        <w:numId w:val="11"/>
      </w:numPr>
      <w:spacing w:before="80"/>
    </w:pPr>
  </w:style>
  <w:style w:type="paragraph" w:customStyle="1" w:styleId="RecBNoTitle">
    <w:name w:val="RecB NoTitle"/>
    <w:basedOn w:val="RecB"/>
    <w:link w:val="RecBNoTitleChar"/>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Body Text Char2 Char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FootnoteTextChar">
    <w:name w:val="Footnote Text Char"/>
    <w:link w:val="FootnoteText"/>
    <w:uiPriority w:val="99"/>
    <w:rsid w:val="009A7F87"/>
  </w:style>
  <w:style w:type="character" w:customStyle="1" w:styleId="TableBodyTextChar">
    <w:name w:val="Table Body Text Char"/>
    <w:link w:val="TableBodyText"/>
    <w:rsid w:val="009A7F87"/>
    <w:rPr>
      <w:rFonts w:ascii="Arial" w:hAnsi="Arial"/>
      <w:sz w:val="18"/>
    </w:rPr>
  </w:style>
  <w:style w:type="character" w:customStyle="1" w:styleId="RecBNoTitleChar">
    <w:name w:val="RecB NoTitle Char"/>
    <w:link w:val="RecBNoTitle"/>
    <w:rsid w:val="009A7F87"/>
    <w:rPr>
      <w:b/>
      <w:i/>
      <w:sz w:val="24"/>
    </w:rPr>
  </w:style>
  <w:style w:type="character" w:customStyle="1" w:styleId="Heading3Char">
    <w:name w:val="Heading 3 Char"/>
    <w:link w:val="Heading3"/>
    <w:rsid w:val="009A7F87"/>
    <w:rPr>
      <w:rFonts w:ascii="Arial" w:hAnsi="Arial"/>
      <w:b/>
      <w:sz w:val="26"/>
    </w:rPr>
  </w:style>
  <w:style w:type="character" w:customStyle="1" w:styleId="TableBulletChar">
    <w:name w:val="Table Bullet Char"/>
    <w:link w:val="TableBullet"/>
    <w:rsid w:val="009A7F87"/>
    <w:rPr>
      <w:rFonts w:ascii="Arial" w:hAnsi="Arial"/>
      <w:sz w:val="18"/>
    </w:rPr>
  </w:style>
  <w:style w:type="paragraph" w:customStyle="1" w:styleId="TableBullet2">
    <w:name w:val="Table Bullet 2"/>
    <w:basedOn w:val="TableBullet"/>
    <w:link w:val="TableBullet2Char"/>
    <w:rsid w:val="009A7F87"/>
    <w:pPr>
      <w:numPr>
        <w:numId w:val="25"/>
      </w:numPr>
      <w:tabs>
        <w:tab w:val="clear" w:pos="678"/>
        <w:tab w:val="num" w:pos="567"/>
        <w:tab w:val="left" w:pos="680"/>
      </w:tabs>
      <w:spacing w:line="220" w:lineRule="atLeast"/>
      <w:ind w:left="567" w:right="0"/>
    </w:pPr>
    <w:rPr>
      <w:sz w:val="20"/>
      <w:lang w:eastAsia="en-US"/>
    </w:rPr>
  </w:style>
  <w:style w:type="character" w:customStyle="1" w:styleId="TableBullet2Char">
    <w:name w:val="Table Bullet 2 Char"/>
    <w:link w:val="TableBullet2"/>
    <w:rsid w:val="009A7F87"/>
    <w:rPr>
      <w:rFonts w:ascii="Arial" w:hAnsi="Arial"/>
      <w:lang w:eastAsia="en-US"/>
    </w:rPr>
  </w:style>
  <w:style w:type="character" w:customStyle="1" w:styleId="NoteChar">
    <w:name w:val="Note Char"/>
    <w:link w:val="Note"/>
    <w:rsid w:val="009A7F87"/>
    <w:rPr>
      <w:rFonts w:ascii="Arial" w:hAnsi="Arial"/>
      <w:sz w:val="18"/>
    </w:rPr>
  </w:style>
  <w:style w:type="character" w:customStyle="1" w:styleId="Continuedintitle">
    <w:name w:val="Continued (in title)"/>
    <w:basedOn w:val="DefaultParagraphFont"/>
    <w:rsid w:val="009A7F87"/>
    <w:rPr>
      <w:rFonts w:ascii="Arial" w:hAnsi="Arial"/>
      <w:b/>
      <w:sz w:val="18"/>
    </w:rPr>
  </w:style>
  <w:style w:type="character" w:styleId="Hyperlink">
    <w:name w:val="Hyperlink"/>
    <w:basedOn w:val="DefaultParagraphFont"/>
    <w:uiPriority w:val="99"/>
    <w:semiHidden/>
    <w:unhideWhenUsed/>
    <w:rsid w:val="00A73D12"/>
    <w:rPr>
      <w:color w:val="0563C1"/>
      <w:u w:val="single"/>
    </w:rPr>
  </w:style>
  <w:style w:type="paragraph" w:customStyle="1" w:styleId="Heading1NotTOC">
    <w:name w:val="Heading 1 Not TOC"/>
    <w:basedOn w:val="Heading1"/>
    <w:next w:val="BodyText"/>
    <w:rsid w:val="00064540"/>
    <w:rPr>
      <w:kern w:val="28"/>
      <w:szCs w:val="26"/>
      <w:lang w:eastAsia="en-US"/>
    </w:rPr>
  </w:style>
  <w:style w:type="paragraph" w:customStyle="1" w:styleId="Copyrightheading">
    <w:name w:val="Copyright heading"/>
    <w:basedOn w:val="TOC1"/>
    <w:link w:val="CopyrightheadingChar"/>
    <w:qFormat/>
    <w:rsid w:val="00064540"/>
    <w:pPr>
      <w:spacing w:line="300" w:lineRule="exact"/>
    </w:pPr>
    <w:rPr>
      <w:sz w:val="22"/>
    </w:rPr>
  </w:style>
  <w:style w:type="character" w:customStyle="1" w:styleId="CopyrightheadingChar">
    <w:name w:val="Copyright heading Char"/>
    <w:basedOn w:val="TOC1Char"/>
    <w:link w:val="Copyrightheading"/>
    <w:rsid w:val="00064540"/>
    <w:rPr>
      <w:rFonts w:ascii="Arial" w:hAnsi="Arial"/>
      <w:b/>
      <w:sz w:val="22"/>
      <w:szCs w:val="26"/>
      <w:lang w:eastAsia="en-US"/>
    </w:rPr>
  </w:style>
  <w:style w:type="paragraph" w:customStyle="1" w:styleId="Copyrightsubtitle">
    <w:name w:val="Copyright subtitle"/>
    <w:basedOn w:val="BodyText"/>
    <w:rsid w:val="00064540"/>
    <w:rPr>
      <w:rFonts w:ascii="Arial" w:hAnsi="Arial"/>
      <w:b/>
      <w:sz w:val="22"/>
      <w:szCs w:val="25"/>
    </w:rPr>
  </w:style>
  <w:style w:type="paragraph" w:customStyle="1" w:styleId="Copyrightbodytext">
    <w:name w:val="Copyright bodytext"/>
    <w:basedOn w:val="BodyText"/>
    <w:link w:val="CopyrightbodytextChar"/>
    <w:qFormat/>
    <w:rsid w:val="00064540"/>
    <w:pPr>
      <w:spacing w:before="60"/>
    </w:pPr>
  </w:style>
  <w:style w:type="character" w:customStyle="1" w:styleId="CopyrightbodytextChar">
    <w:name w:val="Copyright bodytext Char"/>
    <w:basedOn w:val="BodyTextChar"/>
    <w:link w:val="Copyrightbodytext"/>
    <w:rsid w:val="0006454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toc 1" w:uiPriority="39"/>
    <w:lsdException w:name="toc 2" w:uiPriority="39"/>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02826"/>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ew legislation style,Body Text Char1 Char,Body Text Char Char Char,Body Text Char1 Char Char Char,Body Text Char Char Char Char Char1,Body Text Char2 Char1 Char Char Char Char Char,Body Text Char2 Char,new legislation style Char1 Char"/>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aliases w:val="List Bullet1"/>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85325"/>
    <w:pPr>
      <w:numPr>
        <w:numId w:val="11"/>
      </w:numPr>
      <w:spacing w:before="80"/>
    </w:pPr>
  </w:style>
  <w:style w:type="paragraph" w:customStyle="1" w:styleId="RecBNoTitle">
    <w:name w:val="RecB NoTitle"/>
    <w:basedOn w:val="RecB"/>
    <w:link w:val="RecBNoTitleChar"/>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Body Text Char2 Char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FootnoteTextChar">
    <w:name w:val="Footnote Text Char"/>
    <w:link w:val="FootnoteText"/>
    <w:uiPriority w:val="99"/>
    <w:rsid w:val="009A7F87"/>
  </w:style>
  <w:style w:type="character" w:customStyle="1" w:styleId="TableBodyTextChar">
    <w:name w:val="Table Body Text Char"/>
    <w:link w:val="TableBodyText"/>
    <w:rsid w:val="009A7F87"/>
    <w:rPr>
      <w:rFonts w:ascii="Arial" w:hAnsi="Arial"/>
      <w:sz w:val="18"/>
    </w:rPr>
  </w:style>
  <w:style w:type="character" w:customStyle="1" w:styleId="RecBNoTitleChar">
    <w:name w:val="RecB NoTitle Char"/>
    <w:link w:val="RecBNoTitle"/>
    <w:rsid w:val="009A7F87"/>
    <w:rPr>
      <w:b/>
      <w:i/>
      <w:sz w:val="24"/>
    </w:rPr>
  </w:style>
  <w:style w:type="character" w:customStyle="1" w:styleId="Heading3Char">
    <w:name w:val="Heading 3 Char"/>
    <w:link w:val="Heading3"/>
    <w:rsid w:val="009A7F87"/>
    <w:rPr>
      <w:rFonts w:ascii="Arial" w:hAnsi="Arial"/>
      <w:b/>
      <w:sz w:val="26"/>
    </w:rPr>
  </w:style>
  <w:style w:type="character" w:customStyle="1" w:styleId="TableBulletChar">
    <w:name w:val="Table Bullet Char"/>
    <w:link w:val="TableBullet"/>
    <w:rsid w:val="009A7F87"/>
    <w:rPr>
      <w:rFonts w:ascii="Arial" w:hAnsi="Arial"/>
      <w:sz w:val="18"/>
    </w:rPr>
  </w:style>
  <w:style w:type="paragraph" w:customStyle="1" w:styleId="TableBullet2">
    <w:name w:val="Table Bullet 2"/>
    <w:basedOn w:val="TableBullet"/>
    <w:link w:val="TableBullet2Char"/>
    <w:rsid w:val="009A7F87"/>
    <w:pPr>
      <w:numPr>
        <w:numId w:val="25"/>
      </w:numPr>
      <w:tabs>
        <w:tab w:val="clear" w:pos="678"/>
        <w:tab w:val="num" w:pos="567"/>
        <w:tab w:val="left" w:pos="680"/>
      </w:tabs>
      <w:spacing w:line="220" w:lineRule="atLeast"/>
      <w:ind w:left="567" w:right="0"/>
    </w:pPr>
    <w:rPr>
      <w:sz w:val="20"/>
      <w:lang w:eastAsia="en-US"/>
    </w:rPr>
  </w:style>
  <w:style w:type="character" w:customStyle="1" w:styleId="TableBullet2Char">
    <w:name w:val="Table Bullet 2 Char"/>
    <w:link w:val="TableBullet2"/>
    <w:rsid w:val="009A7F87"/>
    <w:rPr>
      <w:rFonts w:ascii="Arial" w:hAnsi="Arial"/>
      <w:lang w:eastAsia="en-US"/>
    </w:rPr>
  </w:style>
  <w:style w:type="character" w:customStyle="1" w:styleId="NoteChar">
    <w:name w:val="Note Char"/>
    <w:link w:val="Note"/>
    <w:rsid w:val="009A7F87"/>
    <w:rPr>
      <w:rFonts w:ascii="Arial" w:hAnsi="Arial"/>
      <w:sz w:val="18"/>
    </w:rPr>
  </w:style>
  <w:style w:type="character" w:customStyle="1" w:styleId="Continuedintitle">
    <w:name w:val="Continued (in title)"/>
    <w:basedOn w:val="DefaultParagraphFont"/>
    <w:rsid w:val="009A7F87"/>
    <w:rPr>
      <w:rFonts w:ascii="Arial" w:hAnsi="Arial"/>
      <w:b/>
      <w:sz w:val="18"/>
    </w:rPr>
  </w:style>
  <w:style w:type="character" w:styleId="Hyperlink">
    <w:name w:val="Hyperlink"/>
    <w:basedOn w:val="DefaultParagraphFont"/>
    <w:uiPriority w:val="99"/>
    <w:semiHidden/>
    <w:unhideWhenUsed/>
    <w:rsid w:val="00A73D12"/>
    <w:rPr>
      <w:color w:val="0563C1"/>
      <w:u w:val="single"/>
    </w:rPr>
  </w:style>
  <w:style w:type="paragraph" w:customStyle="1" w:styleId="Heading1NotTOC">
    <w:name w:val="Heading 1 Not TOC"/>
    <w:basedOn w:val="Heading1"/>
    <w:next w:val="BodyText"/>
    <w:rsid w:val="00064540"/>
    <w:rPr>
      <w:kern w:val="28"/>
      <w:szCs w:val="26"/>
      <w:lang w:eastAsia="en-US"/>
    </w:rPr>
  </w:style>
  <w:style w:type="paragraph" w:customStyle="1" w:styleId="Copyrightheading">
    <w:name w:val="Copyright heading"/>
    <w:basedOn w:val="TOC1"/>
    <w:link w:val="CopyrightheadingChar"/>
    <w:qFormat/>
    <w:rsid w:val="00064540"/>
    <w:pPr>
      <w:spacing w:line="300" w:lineRule="exact"/>
    </w:pPr>
    <w:rPr>
      <w:sz w:val="22"/>
    </w:rPr>
  </w:style>
  <w:style w:type="character" w:customStyle="1" w:styleId="CopyrightheadingChar">
    <w:name w:val="Copyright heading Char"/>
    <w:basedOn w:val="TOC1Char"/>
    <w:link w:val="Copyrightheading"/>
    <w:rsid w:val="00064540"/>
    <w:rPr>
      <w:rFonts w:ascii="Arial" w:hAnsi="Arial"/>
      <w:b/>
      <w:sz w:val="22"/>
      <w:szCs w:val="26"/>
      <w:lang w:eastAsia="en-US"/>
    </w:rPr>
  </w:style>
  <w:style w:type="paragraph" w:customStyle="1" w:styleId="Copyrightsubtitle">
    <w:name w:val="Copyright subtitle"/>
    <w:basedOn w:val="BodyText"/>
    <w:rsid w:val="00064540"/>
    <w:rPr>
      <w:rFonts w:ascii="Arial" w:hAnsi="Arial"/>
      <w:b/>
      <w:sz w:val="22"/>
      <w:szCs w:val="25"/>
    </w:rPr>
  </w:style>
  <w:style w:type="paragraph" w:customStyle="1" w:styleId="Copyrightbodytext">
    <w:name w:val="Copyright bodytext"/>
    <w:basedOn w:val="BodyText"/>
    <w:link w:val="CopyrightbodytextChar"/>
    <w:qFormat/>
    <w:rsid w:val="00064540"/>
    <w:pPr>
      <w:spacing w:before="60"/>
    </w:pPr>
  </w:style>
  <w:style w:type="character" w:customStyle="1" w:styleId="CopyrightbodytextChar">
    <w:name w:val="Copyright bodytext Char"/>
    <w:basedOn w:val="BodyTextChar"/>
    <w:link w:val="Copyrightbodytext"/>
    <w:rsid w:val="000645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04791">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117" Type="http://schemas.openxmlformats.org/officeDocument/2006/relationships/footer" Target="footer49.xml"/><Relationship Id="rId21" Type="http://schemas.openxmlformats.org/officeDocument/2006/relationships/footer" Target="footer5.xml"/><Relationship Id="rId42" Type="http://schemas.openxmlformats.org/officeDocument/2006/relationships/image" Target="media/image5.emf"/><Relationship Id="rId47" Type="http://schemas.openxmlformats.org/officeDocument/2006/relationships/header" Target="header18.xml"/><Relationship Id="rId63" Type="http://schemas.openxmlformats.org/officeDocument/2006/relationships/header" Target="header24.xml"/><Relationship Id="rId68" Type="http://schemas.openxmlformats.org/officeDocument/2006/relationships/header" Target="header27.xml"/><Relationship Id="rId84" Type="http://schemas.openxmlformats.org/officeDocument/2006/relationships/header" Target="header35.xml"/><Relationship Id="rId89" Type="http://schemas.openxmlformats.org/officeDocument/2006/relationships/footer" Target="footer35.xml"/><Relationship Id="rId112" Type="http://schemas.openxmlformats.org/officeDocument/2006/relationships/header" Target="header49.xml"/><Relationship Id="rId133" Type="http://schemas.openxmlformats.org/officeDocument/2006/relationships/footer" Target="footer57.xml"/><Relationship Id="rId138" Type="http://schemas.openxmlformats.org/officeDocument/2006/relationships/footer" Target="footer60.xml"/><Relationship Id="rId154" Type="http://schemas.openxmlformats.org/officeDocument/2006/relationships/footer" Target="footer68.xml"/><Relationship Id="rId159" Type="http://schemas.openxmlformats.org/officeDocument/2006/relationships/header" Target="header72.xml"/><Relationship Id="rId175" Type="http://schemas.openxmlformats.org/officeDocument/2006/relationships/header" Target="header80.xml"/><Relationship Id="rId170" Type="http://schemas.openxmlformats.org/officeDocument/2006/relationships/footer" Target="footer76.xml"/><Relationship Id="rId16" Type="http://schemas.openxmlformats.org/officeDocument/2006/relationships/header" Target="header4.xml"/><Relationship Id="rId107" Type="http://schemas.openxmlformats.org/officeDocument/2006/relationships/header" Target="header46.xml"/><Relationship Id="rId11" Type="http://schemas.openxmlformats.org/officeDocument/2006/relationships/header" Target="header1.xml"/><Relationship Id="rId32" Type="http://schemas.openxmlformats.org/officeDocument/2006/relationships/header" Target="header11.xml"/><Relationship Id="rId37" Type="http://schemas.openxmlformats.org/officeDocument/2006/relationships/header" Target="header14.xml"/><Relationship Id="rId53" Type="http://schemas.openxmlformats.org/officeDocument/2006/relationships/image" Target="media/image8.wmf"/><Relationship Id="rId58" Type="http://schemas.openxmlformats.org/officeDocument/2006/relationships/header" Target="header22.xml"/><Relationship Id="rId74" Type="http://schemas.openxmlformats.org/officeDocument/2006/relationships/footer" Target="footer28.xml"/><Relationship Id="rId79" Type="http://schemas.openxmlformats.org/officeDocument/2006/relationships/header" Target="header32.xml"/><Relationship Id="rId102" Type="http://schemas.openxmlformats.org/officeDocument/2006/relationships/footer" Target="footer42.xml"/><Relationship Id="rId123" Type="http://schemas.openxmlformats.org/officeDocument/2006/relationships/header" Target="header54.xml"/><Relationship Id="rId128" Type="http://schemas.openxmlformats.org/officeDocument/2006/relationships/header" Target="header57.xml"/><Relationship Id="rId144" Type="http://schemas.openxmlformats.org/officeDocument/2006/relationships/header" Target="header65.xml"/><Relationship Id="rId149" Type="http://schemas.openxmlformats.org/officeDocument/2006/relationships/footer" Target="footer65.xml"/><Relationship Id="rId5" Type="http://schemas.openxmlformats.org/officeDocument/2006/relationships/settings" Target="settings.xml"/><Relationship Id="rId90" Type="http://schemas.openxmlformats.org/officeDocument/2006/relationships/footer" Target="footer36.xml"/><Relationship Id="rId95" Type="http://schemas.openxmlformats.org/officeDocument/2006/relationships/header" Target="header40.xml"/><Relationship Id="rId160" Type="http://schemas.openxmlformats.org/officeDocument/2006/relationships/header" Target="header73.xml"/><Relationship Id="rId165" Type="http://schemas.openxmlformats.org/officeDocument/2006/relationships/footer" Target="footer73.xml"/><Relationship Id="rId181" Type="http://schemas.openxmlformats.org/officeDocument/2006/relationships/footer" Target="footer81.xml"/><Relationship Id="rId186" Type="http://schemas.openxmlformats.org/officeDocument/2006/relationships/footer" Target="footer84.xml"/><Relationship Id="rId22" Type="http://schemas.openxmlformats.org/officeDocument/2006/relationships/footer" Target="footer6.xml"/><Relationship Id="rId27" Type="http://schemas.openxmlformats.org/officeDocument/2006/relationships/image" Target="media/image3.emf"/><Relationship Id="rId43" Type="http://schemas.openxmlformats.org/officeDocument/2006/relationships/header" Target="header16.xml"/><Relationship Id="rId48" Type="http://schemas.openxmlformats.org/officeDocument/2006/relationships/header" Target="header19.xml"/><Relationship Id="rId64" Type="http://schemas.openxmlformats.org/officeDocument/2006/relationships/header" Target="header25.xml"/><Relationship Id="rId69" Type="http://schemas.openxmlformats.org/officeDocument/2006/relationships/footer" Target="footer25.xml"/><Relationship Id="rId113" Type="http://schemas.openxmlformats.org/officeDocument/2006/relationships/footer" Target="footer47.xml"/><Relationship Id="rId118" Type="http://schemas.openxmlformats.org/officeDocument/2006/relationships/footer" Target="footer50.xml"/><Relationship Id="rId134" Type="http://schemas.openxmlformats.org/officeDocument/2006/relationships/footer" Target="footer58.xml"/><Relationship Id="rId139" Type="http://schemas.openxmlformats.org/officeDocument/2006/relationships/header" Target="header62.xml"/><Relationship Id="rId80" Type="http://schemas.openxmlformats.org/officeDocument/2006/relationships/header" Target="header33.xml"/><Relationship Id="rId85" Type="http://schemas.openxmlformats.org/officeDocument/2006/relationships/footer" Target="footer33.xml"/><Relationship Id="rId150" Type="http://schemas.openxmlformats.org/officeDocument/2006/relationships/footer" Target="footer66.xml"/><Relationship Id="rId155" Type="http://schemas.openxmlformats.org/officeDocument/2006/relationships/header" Target="header70.xml"/><Relationship Id="rId171" Type="http://schemas.openxmlformats.org/officeDocument/2006/relationships/header" Target="header78.xml"/><Relationship Id="rId176" Type="http://schemas.openxmlformats.org/officeDocument/2006/relationships/header" Target="header81.xml"/><Relationship Id="rId12" Type="http://schemas.openxmlformats.org/officeDocument/2006/relationships/header" Target="header2.xml"/><Relationship Id="rId17" Type="http://schemas.openxmlformats.org/officeDocument/2006/relationships/footer" Target="footer3.xml"/><Relationship Id="rId33" Type="http://schemas.openxmlformats.org/officeDocument/2006/relationships/header" Target="header12.xml"/><Relationship Id="rId38" Type="http://schemas.openxmlformats.org/officeDocument/2006/relationships/header" Target="header15.xml"/><Relationship Id="rId59" Type="http://schemas.openxmlformats.org/officeDocument/2006/relationships/header" Target="header23.xml"/><Relationship Id="rId103" Type="http://schemas.openxmlformats.org/officeDocument/2006/relationships/header" Target="header44.xml"/><Relationship Id="rId108" Type="http://schemas.openxmlformats.org/officeDocument/2006/relationships/header" Target="header47.xml"/><Relationship Id="rId124" Type="http://schemas.openxmlformats.org/officeDocument/2006/relationships/header" Target="header55.xml"/><Relationship Id="rId129" Type="http://schemas.openxmlformats.org/officeDocument/2006/relationships/footer" Target="footer55.xml"/><Relationship Id="rId54" Type="http://schemas.openxmlformats.org/officeDocument/2006/relationships/header" Target="header20.xml"/><Relationship Id="rId70" Type="http://schemas.openxmlformats.org/officeDocument/2006/relationships/footer" Target="footer26.xml"/><Relationship Id="rId75" Type="http://schemas.openxmlformats.org/officeDocument/2006/relationships/header" Target="header30.xml"/><Relationship Id="rId91" Type="http://schemas.openxmlformats.org/officeDocument/2006/relationships/header" Target="header38.xml"/><Relationship Id="rId96" Type="http://schemas.openxmlformats.org/officeDocument/2006/relationships/header" Target="header41.xml"/><Relationship Id="rId140" Type="http://schemas.openxmlformats.org/officeDocument/2006/relationships/header" Target="header63.xml"/><Relationship Id="rId145" Type="http://schemas.openxmlformats.org/officeDocument/2006/relationships/footer" Target="footer63.xml"/><Relationship Id="rId161" Type="http://schemas.openxmlformats.org/officeDocument/2006/relationships/footer" Target="footer71.xml"/><Relationship Id="rId166" Type="http://schemas.openxmlformats.org/officeDocument/2006/relationships/footer" Target="footer74.xml"/><Relationship Id="rId182" Type="http://schemas.openxmlformats.org/officeDocument/2006/relationships/footer" Target="footer82.xm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eader" Target="header7.xml"/><Relationship Id="rId28" Type="http://schemas.openxmlformats.org/officeDocument/2006/relationships/header" Target="header9.xml"/><Relationship Id="rId49" Type="http://schemas.openxmlformats.org/officeDocument/2006/relationships/footer" Target="footer17.xml"/><Relationship Id="rId114" Type="http://schemas.openxmlformats.org/officeDocument/2006/relationships/footer" Target="footer48.xml"/><Relationship Id="rId119" Type="http://schemas.openxmlformats.org/officeDocument/2006/relationships/header" Target="header52.xml"/><Relationship Id="rId44" Type="http://schemas.openxmlformats.org/officeDocument/2006/relationships/header" Target="header17.xml"/><Relationship Id="rId60" Type="http://schemas.openxmlformats.org/officeDocument/2006/relationships/footer" Target="footer21.xml"/><Relationship Id="rId65" Type="http://schemas.openxmlformats.org/officeDocument/2006/relationships/footer" Target="footer23.xml"/><Relationship Id="rId81" Type="http://schemas.openxmlformats.org/officeDocument/2006/relationships/footer" Target="footer31.xml"/><Relationship Id="rId86" Type="http://schemas.openxmlformats.org/officeDocument/2006/relationships/footer" Target="footer34.xml"/><Relationship Id="rId130" Type="http://schemas.openxmlformats.org/officeDocument/2006/relationships/footer" Target="footer56.xml"/><Relationship Id="rId135" Type="http://schemas.openxmlformats.org/officeDocument/2006/relationships/header" Target="header60.xml"/><Relationship Id="rId151" Type="http://schemas.openxmlformats.org/officeDocument/2006/relationships/header" Target="header68.xml"/><Relationship Id="rId156" Type="http://schemas.openxmlformats.org/officeDocument/2006/relationships/header" Target="header71.xml"/><Relationship Id="rId177" Type="http://schemas.openxmlformats.org/officeDocument/2006/relationships/footer" Target="footer79.xml"/><Relationship Id="rId172" Type="http://schemas.openxmlformats.org/officeDocument/2006/relationships/header" Target="header79.xm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footer" Target="footer13.xml"/><Relationship Id="rId109" Type="http://schemas.openxmlformats.org/officeDocument/2006/relationships/footer" Target="footer45.xml"/><Relationship Id="rId34" Type="http://schemas.openxmlformats.org/officeDocument/2006/relationships/header" Target="header13.xml"/><Relationship Id="rId50" Type="http://schemas.openxmlformats.org/officeDocument/2006/relationships/footer" Target="footer18.xml"/><Relationship Id="rId55" Type="http://schemas.openxmlformats.org/officeDocument/2006/relationships/header" Target="header21.xml"/><Relationship Id="rId76" Type="http://schemas.openxmlformats.org/officeDocument/2006/relationships/header" Target="header31.xml"/><Relationship Id="rId97" Type="http://schemas.openxmlformats.org/officeDocument/2006/relationships/footer" Target="footer39.xml"/><Relationship Id="rId104" Type="http://schemas.openxmlformats.org/officeDocument/2006/relationships/header" Target="header45.xml"/><Relationship Id="rId120" Type="http://schemas.openxmlformats.org/officeDocument/2006/relationships/header" Target="header53.xml"/><Relationship Id="rId125" Type="http://schemas.openxmlformats.org/officeDocument/2006/relationships/footer" Target="footer53.xml"/><Relationship Id="rId141" Type="http://schemas.openxmlformats.org/officeDocument/2006/relationships/footer" Target="footer61.xml"/><Relationship Id="rId146" Type="http://schemas.openxmlformats.org/officeDocument/2006/relationships/footer" Target="footer64.xml"/><Relationship Id="rId167" Type="http://schemas.openxmlformats.org/officeDocument/2006/relationships/header" Target="header76.xml"/><Relationship Id="rId188"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28.xml"/><Relationship Id="rId92" Type="http://schemas.openxmlformats.org/officeDocument/2006/relationships/header" Target="header39.xml"/><Relationship Id="rId162" Type="http://schemas.openxmlformats.org/officeDocument/2006/relationships/footer" Target="footer72.xml"/><Relationship Id="rId183" Type="http://schemas.openxmlformats.org/officeDocument/2006/relationships/header" Target="header84.xml"/><Relationship Id="rId2" Type="http://schemas.openxmlformats.org/officeDocument/2006/relationships/numbering" Target="numbering.xml"/><Relationship Id="rId29" Type="http://schemas.openxmlformats.org/officeDocument/2006/relationships/header" Target="header10.xml"/><Relationship Id="rId24" Type="http://schemas.openxmlformats.org/officeDocument/2006/relationships/header" Target="header8.xml"/><Relationship Id="rId40" Type="http://schemas.openxmlformats.org/officeDocument/2006/relationships/footer" Target="footer14.xml"/><Relationship Id="rId45" Type="http://schemas.openxmlformats.org/officeDocument/2006/relationships/footer" Target="footer15.xml"/><Relationship Id="rId66" Type="http://schemas.openxmlformats.org/officeDocument/2006/relationships/footer" Target="footer24.xml"/><Relationship Id="rId87" Type="http://schemas.openxmlformats.org/officeDocument/2006/relationships/header" Target="header36.xml"/><Relationship Id="rId110" Type="http://schemas.openxmlformats.org/officeDocument/2006/relationships/footer" Target="footer46.xml"/><Relationship Id="rId115" Type="http://schemas.openxmlformats.org/officeDocument/2006/relationships/header" Target="header50.xml"/><Relationship Id="rId131" Type="http://schemas.openxmlformats.org/officeDocument/2006/relationships/header" Target="header58.xml"/><Relationship Id="rId136" Type="http://schemas.openxmlformats.org/officeDocument/2006/relationships/header" Target="header61.xml"/><Relationship Id="rId157" Type="http://schemas.openxmlformats.org/officeDocument/2006/relationships/footer" Target="footer69.xml"/><Relationship Id="rId178" Type="http://schemas.openxmlformats.org/officeDocument/2006/relationships/footer" Target="footer80.xml"/><Relationship Id="rId61" Type="http://schemas.openxmlformats.org/officeDocument/2006/relationships/footer" Target="footer22.xml"/><Relationship Id="rId82" Type="http://schemas.openxmlformats.org/officeDocument/2006/relationships/footer" Target="footer32.xml"/><Relationship Id="rId152" Type="http://schemas.openxmlformats.org/officeDocument/2006/relationships/header" Target="header69.xml"/><Relationship Id="rId173" Type="http://schemas.openxmlformats.org/officeDocument/2006/relationships/footer" Target="footer77.xml"/><Relationship Id="rId19" Type="http://schemas.openxmlformats.org/officeDocument/2006/relationships/header" Target="header5.xml"/><Relationship Id="rId14" Type="http://schemas.openxmlformats.org/officeDocument/2006/relationships/footer" Target="footer2.xml"/><Relationship Id="rId30" Type="http://schemas.openxmlformats.org/officeDocument/2006/relationships/footer" Target="footer9.xml"/><Relationship Id="rId35" Type="http://schemas.openxmlformats.org/officeDocument/2006/relationships/footer" Target="footer11.xml"/><Relationship Id="rId56" Type="http://schemas.openxmlformats.org/officeDocument/2006/relationships/footer" Target="footer19.xml"/><Relationship Id="rId77" Type="http://schemas.openxmlformats.org/officeDocument/2006/relationships/footer" Target="footer29.xml"/><Relationship Id="rId100" Type="http://schemas.openxmlformats.org/officeDocument/2006/relationships/header" Target="header43.xml"/><Relationship Id="rId105" Type="http://schemas.openxmlformats.org/officeDocument/2006/relationships/footer" Target="footer43.xml"/><Relationship Id="rId126" Type="http://schemas.openxmlformats.org/officeDocument/2006/relationships/footer" Target="footer54.xml"/><Relationship Id="rId147" Type="http://schemas.openxmlformats.org/officeDocument/2006/relationships/header" Target="header66.xml"/><Relationship Id="rId168" Type="http://schemas.openxmlformats.org/officeDocument/2006/relationships/header" Target="header77.xml"/><Relationship Id="rId8" Type="http://schemas.openxmlformats.org/officeDocument/2006/relationships/endnotes" Target="endnotes.xml"/><Relationship Id="rId51" Type="http://schemas.openxmlformats.org/officeDocument/2006/relationships/image" Target="media/image6.wmf"/><Relationship Id="rId72" Type="http://schemas.openxmlformats.org/officeDocument/2006/relationships/header" Target="header29.xml"/><Relationship Id="rId93" Type="http://schemas.openxmlformats.org/officeDocument/2006/relationships/footer" Target="footer37.xml"/><Relationship Id="rId98" Type="http://schemas.openxmlformats.org/officeDocument/2006/relationships/footer" Target="footer40.xml"/><Relationship Id="rId121" Type="http://schemas.openxmlformats.org/officeDocument/2006/relationships/footer" Target="footer51.xml"/><Relationship Id="rId142" Type="http://schemas.openxmlformats.org/officeDocument/2006/relationships/footer" Target="footer62.xml"/><Relationship Id="rId163" Type="http://schemas.openxmlformats.org/officeDocument/2006/relationships/header" Target="header74.xml"/><Relationship Id="rId184" Type="http://schemas.openxmlformats.org/officeDocument/2006/relationships/header" Target="header85.xml"/><Relationship Id="rId3" Type="http://schemas.openxmlformats.org/officeDocument/2006/relationships/styles" Target="styles.xml"/><Relationship Id="rId25" Type="http://schemas.openxmlformats.org/officeDocument/2006/relationships/footer" Target="footer7.xml"/><Relationship Id="rId46" Type="http://schemas.openxmlformats.org/officeDocument/2006/relationships/footer" Target="footer16.xml"/><Relationship Id="rId67" Type="http://schemas.openxmlformats.org/officeDocument/2006/relationships/header" Target="header26.xml"/><Relationship Id="rId116" Type="http://schemas.openxmlformats.org/officeDocument/2006/relationships/header" Target="header51.xml"/><Relationship Id="rId137" Type="http://schemas.openxmlformats.org/officeDocument/2006/relationships/footer" Target="footer59.xml"/><Relationship Id="rId158" Type="http://schemas.openxmlformats.org/officeDocument/2006/relationships/footer" Target="footer70.xml"/><Relationship Id="rId20" Type="http://schemas.openxmlformats.org/officeDocument/2006/relationships/header" Target="header6.xml"/><Relationship Id="rId41" Type="http://schemas.openxmlformats.org/officeDocument/2006/relationships/image" Target="media/image4.png"/><Relationship Id="rId62" Type="http://schemas.openxmlformats.org/officeDocument/2006/relationships/image" Target="media/image9.emf"/><Relationship Id="rId83" Type="http://schemas.openxmlformats.org/officeDocument/2006/relationships/header" Target="header34.xml"/><Relationship Id="rId88" Type="http://schemas.openxmlformats.org/officeDocument/2006/relationships/header" Target="header37.xml"/><Relationship Id="rId111" Type="http://schemas.openxmlformats.org/officeDocument/2006/relationships/header" Target="header48.xml"/><Relationship Id="rId132" Type="http://schemas.openxmlformats.org/officeDocument/2006/relationships/header" Target="header59.xml"/><Relationship Id="rId153" Type="http://schemas.openxmlformats.org/officeDocument/2006/relationships/footer" Target="footer67.xml"/><Relationship Id="rId174" Type="http://schemas.openxmlformats.org/officeDocument/2006/relationships/footer" Target="footer78.xml"/><Relationship Id="rId179" Type="http://schemas.openxmlformats.org/officeDocument/2006/relationships/header" Target="header82.xml"/><Relationship Id="rId15" Type="http://schemas.openxmlformats.org/officeDocument/2006/relationships/header" Target="header3.xml"/><Relationship Id="rId36" Type="http://schemas.openxmlformats.org/officeDocument/2006/relationships/footer" Target="footer12.xml"/><Relationship Id="rId57" Type="http://schemas.openxmlformats.org/officeDocument/2006/relationships/footer" Target="footer20.xml"/><Relationship Id="rId106" Type="http://schemas.openxmlformats.org/officeDocument/2006/relationships/footer" Target="footer44.xml"/><Relationship Id="rId127" Type="http://schemas.openxmlformats.org/officeDocument/2006/relationships/header" Target="header56.xml"/><Relationship Id="rId10" Type="http://schemas.openxmlformats.org/officeDocument/2006/relationships/image" Target="media/image2.png"/><Relationship Id="rId31" Type="http://schemas.openxmlformats.org/officeDocument/2006/relationships/footer" Target="footer10.xml"/><Relationship Id="rId52" Type="http://schemas.openxmlformats.org/officeDocument/2006/relationships/image" Target="media/image7.wmf"/><Relationship Id="rId73" Type="http://schemas.openxmlformats.org/officeDocument/2006/relationships/footer" Target="footer27.xml"/><Relationship Id="rId78" Type="http://schemas.openxmlformats.org/officeDocument/2006/relationships/footer" Target="footer30.xml"/><Relationship Id="rId94" Type="http://schemas.openxmlformats.org/officeDocument/2006/relationships/footer" Target="footer38.xml"/><Relationship Id="rId99" Type="http://schemas.openxmlformats.org/officeDocument/2006/relationships/header" Target="header42.xml"/><Relationship Id="rId101" Type="http://schemas.openxmlformats.org/officeDocument/2006/relationships/footer" Target="footer41.xml"/><Relationship Id="rId122" Type="http://schemas.openxmlformats.org/officeDocument/2006/relationships/footer" Target="footer52.xml"/><Relationship Id="rId143" Type="http://schemas.openxmlformats.org/officeDocument/2006/relationships/header" Target="header64.xml"/><Relationship Id="rId148" Type="http://schemas.openxmlformats.org/officeDocument/2006/relationships/header" Target="header67.xml"/><Relationship Id="rId164" Type="http://schemas.openxmlformats.org/officeDocument/2006/relationships/header" Target="header75.xml"/><Relationship Id="rId169" Type="http://schemas.openxmlformats.org/officeDocument/2006/relationships/footer" Target="footer75.xml"/><Relationship Id="rId185" Type="http://schemas.openxmlformats.org/officeDocument/2006/relationships/footer" Target="footer83.xm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eader" Target="header83.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_compil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BA87E-CF9A-42BF-BFD4-5DC82AE31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chapter_compiler.dotm</Template>
  <TotalTime>177</TotalTime>
  <Pages>232</Pages>
  <Words>49702</Words>
  <Characters>303411</Characters>
  <Application>Microsoft Office Word</Application>
  <DocSecurity>0</DocSecurity>
  <Lines>2528</Lines>
  <Paragraphs>704</Paragraphs>
  <ScaleCrop>false</ScaleCrop>
  <HeadingPairs>
    <vt:vector size="2" baseType="variant">
      <vt:variant>
        <vt:lpstr>Title</vt:lpstr>
      </vt:variant>
      <vt:variant>
        <vt:i4>1</vt:i4>
      </vt:variant>
    </vt:vector>
  </HeadingPairs>
  <TitlesOfParts>
    <vt:vector size="1" baseType="lpstr">
      <vt:lpstr>Service Use Measure Definitions Manual: 2017 Indigenous Expenditure Report</vt:lpstr>
    </vt:vector>
  </TitlesOfParts>
  <Company>Productivity Commission</Company>
  <LinksUpToDate>false</LinksUpToDate>
  <CharactersWithSpaces>352409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Use Measure Definitions Manual: 2017 Indigenous Expenditure Report</dc:title>
  <dc:subject/>
  <dc:creator>Steering Committee for the Review of Government Service Provision</dc:creator>
  <cp:keywords/>
  <dc:description/>
  <cp:lastModifiedBy>Alston, Chris</cp:lastModifiedBy>
  <cp:revision>40</cp:revision>
  <cp:lastPrinted>2014-07-13T11:30:00Z</cp:lastPrinted>
  <dcterms:created xsi:type="dcterms:W3CDTF">2017-09-20T02:05:00Z</dcterms:created>
  <dcterms:modified xsi:type="dcterms:W3CDTF">2017-10-17T22:27:00Z</dcterms:modified>
</cp:coreProperties>
</file>