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FF" w:rsidRDefault="001D1D91" w:rsidP="001D1D91">
      <w:pPr>
        <w:pStyle w:val="Heading1"/>
        <w:spacing w:before="0"/>
      </w:pPr>
      <w:bookmarkStart w:id="0" w:name="ChapterNumber"/>
      <w:r>
        <w:t>1</w:t>
      </w:r>
      <w:bookmarkEnd w:id="0"/>
      <w:r>
        <w:tab/>
      </w:r>
      <w:bookmarkStart w:id="1" w:name="ChapterTitle"/>
      <w:r>
        <w:t>About this report</w:t>
      </w:r>
      <w:bookmarkEnd w:id="1"/>
    </w:p>
    <w:p w:rsidR="00AE7384" w:rsidRDefault="00AE7384">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AE7384" w:rsidTr="00B31E15">
        <w:tc>
          <w:tcPr>
            <w:tcW w:w="8771" w:type="dxa"/>
            <w:tcBorders>
              <w:top w:val="single" w:sz="6" w:space="0" w:color="78A22F"/>
              <w:left w:val="nil"/>
              <w:bottom w:val="nil"/>
              <w:right w:val="nil"/>
            </w:tcBorders>
            <w:shd w:val="clear" w:color="auto" w:fill="F2F2F2"/>
          </w:tcPr>
          <w:p w:rsidR="00AE7384" w:rsidRDefault="00AE7384">
            <w:pPr>
              <w:pStyle w:val="BoxTitle"/>
            </w:pPr>
            <w:r w:rsidRPr="001F1CD5">
              <w:t>Aboriginal and Torres Strait Islander terminology</w:t>
            </w:r>
          </w:p>
        </w:tc>
      </w:tr>
      <w:tr w:rsidR="00AE7384" w:rsidTr="00B31E15">
        <w:trPr>
          <w:cantSplit/>
        </w:trPr>
        <w:tc>
          <w:tcPr>
            <w:tcW w:w="8771" w:type="dxa"/>
            <w:tcBorders>
              <w:top w:val="nil"/>
              <w:left w:val="nil"/>
              <w:bottom w:val="nil"/>
              <w:right w:val="nil"/>
            </w:tcBorders>
            <w:shd w:val="clear" w:color="auto" w:fill="F2F2F2"/>
          </w:tcPr>
          <w:p w:rsidR="00AE7384" w:rsidRDefault="00AE7384" w:rsidP="00AE7384">
            <w:pPr>
              <w:pStyle w:val="Box"/>
            </w:pPr>
            <w:r>
              <w:t xml:space="preserve">The Steering Committee acknowledges current debate around appropriate terminology to refer to the Indigenous peoples of Australia. </w:t>
            </w:r>
          </w:p>
          <w:p w:rsidR="00AE7384" w:rsidRDefault="00AE7384" w:rsidP="00784972">
            <w:pPr>
              <w:pStyle w:val="Box"/>
            </w:pPr>
            <w:r>
              <w:t>Following feedback on previous editions of the report, this report generally uses the term ‘Aboriginal and Torres Strait Islander Australians’ to describe Australia’s first peoples and ‘non</w:t>
            </w:r>
            <w:r w:rsidR="00784972">
              <w:noBreakHyphen/>
            </w:r>
            <w:r>
              <w:t>Indigenous Australians’ to refer to Australians of other backgrounds, except where quoting other sources, and in  charts, figures and attachment tables.</w:t>
            </w:r>
          </w:p>
        </w:tc>
      </w:tr>
      <w:tr w:rsidR="00AE7384" w:rsidTr="00B31E15">
        <w:trPr>
          <w:cantSplit/>
        </w:trPr>
        <w:tc>
          <w:tcPr>
            <w:tcW w:w="8771" w:type="dxa"/>
            <w:tcBorders>
              <w:top w:val="nil"/>
              <w:left w:val="nil"/>
              <w:bottom w:val="single" w:sz="6" w:space="0" w:color="78A22F"/>
              <w:right w:val="nil"/>
            </w:tcBorders>
            <w:shd w:val="clear" w:color="auto" w:fill="F2F2F2"/>
          </w:tcPr>
          <w:p w:rsidR="00AE7384" w:rsidRDefault="00AE7384">
            <w:pPr>
              <w:pStyle w:val="Box"/>
              <w:spacing w:before="0" w:line="120" w:lineRule="exact"/>
            </w:pPr>
          </w:p>
        </w:tc>
      </w:tr>
      <w:tr w:rsidR="00AE7384" w:rsidRPr="000863A5" w:rsidTr="00B31E15">
        <w:tc>
          <w:tcPr>
            <w:tcW w:w="8771" w:type="dxa"/>
            <w:tcBorders>
              <w:top w:val="single" w:sz="6" w:space="0" w:color="78A22F"/>
              <w:left w:val="nil"/>
              <w:bottom w:val="nil"/>
              <w:right w:val="nil"/>
            </w:tcBorders>
          </w:tcPr>
          <w:p w:rsidR="00AE7384" w:rsidRPr="00626D32" w:rsidRDefault="00AE7384" w:rsidP="00B31E15">
            <w:pPr>
              <w:pStyle w:val="BoxSpaceBelow"/>
            </w:pPr>
          </w:p>
        </w:tc>
      </w:tr>
    </w:tbl>
    <w:p w:rsidR="001F1CD5" w:rsidRDefault="001F1CD5" w:rsidP="001F1CD5">
      <w:pPr>
        <w:pStyle w:val="BodyText"/>
      </w:pPr>
      <w:bookmarkStart w:id="2" w:name="begin"/>
      <w:bookmarkEnd w:id="2"/>
      <w:r>
        <w:t>This is the sixth report in the Overcoming Indigenous Disadvantage (OID) series. The OID report measures the wellbeing of Aboriginal and Torres Strait Islander Australians, and Aboriginal and Torres Strait Islander Australians have been actively involved in the development and production of the report.</w:t>
      </w:r>
    </w:p>
    <w:p w:rsidR="00DB26D2" w:rsidRDefault="001F1CD5" w:rsidP="001F1CD5">
      <w:pPr>
        <w:pStyle w:val="BodyText"/>
      </w:pPr>
      <w:r>
        <w:t>Section 1.1 describes the origins of the report, and section 1.2 describes its key objectives. Section 1.3 provides a brief historical narrative to help put the information in the report into context. Section 1.4 summarises some recent developments in government policy that have influenced the report and section 1.5 provides further information on the Steering Committee and the Overcoming Indigenous Disadvantage Working Group that advises it.</w:t>
      </w:r>
    </w:p>
    <w:p w:rsidR="001F1CD5" w:rsidRDefault="001F1CD5" w:rsidP="004D7C96">
      <w:pPr>
        <w:pStyle w:val="Heading2"/>
      </w:pPr>
      <w:r w:rsidRPr="001F1CD5">
        <w:t>1.1</w:t>
      </w:r>
      <w:r w:rsidRPr="001F1CD5">
        <w:tab/>
        <w:t>Origins of the OID report</w:t>
      </w:r>
    </w:p>
    <w:p w:rsidR="001F1CD5" w:rsidRDefault="001F1CD5" w:rsidP="001F1CD5">
      <w:pPr>
        <w:pStyle w:val="BodyText"/>
      </w:pPr>
      <w:r>
        <w:t>The origins of this report can be traced back to the Council for Aboriginal Reconciliation’s final report, National Strategies to A</w:t>
      </w:r>
      <w:r w:rsidR="008420E5">
        <w:t xml:space="preserve">dvance Reconciliation </w:t>
      </w:r>
      <w:r w:rsidR="008420E5" w:rsidRPr="008420E5">
        <w:rPr>
          <w:szCs w:val="24"/>
        </w:rPr>
        <w:t>(CAR 2000)</w:t>
      </w:r>
      <w:r>
        <w:t xml:space="preserve">, which called on all governments to report against measurable program performance benchmarks. </w:t>
      </w:r>
    </w:p>
    <w:p w:rsidR="009E1844" w:rsidRDefault="001F1CD5" w:rsidP="001F1CD5">
      <w:pPr>
        <w:pStyle w:val="BodyText"/>
      </w:pPr>
      <w:r>
        <w:t>In December 2000, the (then) Prime Minister wrote to the (then) Ministerial Council for Aboriginal and Torres Strait Islander Affairs (</w:t>
      </w:r>
      <w:proofErr w:type="spellStart"/>
      <w:r>
        <w:t>MCATSIA</w:t>
      </w:r>
      <w:proofErr w:type="spellEnd"/>
      <w:r>
        <w:t xml:space="preserve">), requesting it to develop performance reporting strategies and benchmarks. When the Council of Australian Governments (COAG) commissioned the OID report in 2002, the </w:t>
      </w:r>
      <w:proofErr w:type="spellStart"/>
      <w:r>
        <w:t>MCATSIA</w:t>
      </w:r>
      <w:proofErr w:type="spellEnd"/>
      <w:r>
        <w:t xml:space="preserve"> work formed the basis of extensive consultations to develop the framework for the first report.</w:t>
      </w:r>
    </w:p>
    <w:p w:rsidR="001F1CD5" w:rsidRDefault="001F1CD5" w:rsidP="001F1CD5">
      <w:pPr>
        <w:pStyle w:val="BodyText"/>
      </w:pPr>
      <w:r>
        <w:t>The original terms of reference for the OID report requested the Steering Committee for the Review of Government Service Provision to:</w:t>
      </w:r>
    </w:p>
    <w:p w:rsidR="001F1CD5" w:rsidRDefault="001F1CD5" w:rsidP="001F1CD5">
      <w:pPr>
        <w:pStyle w:val="Quote"/>
      </w:pPr>
      <w:r>
        <w:t xml:space="preserve">… produce a regular report against key indicators of Indigenous disadvantage. This report will help to measure the impact of changes to policy settings and service delivery and provide a </w:t>
      </w:r>
      <w:r>
        <w:lastRenderedPageBreak/>
        <w:t>concrete way to measure the effect of the Council’s commitment to reconciliation through a jointly agr</w:t>
      </w:r>
      <w:r w:rsidR="00045984">
        <w:t>eed set of indicators (</w:t>
      </w:r>
      <w:r w:rsidR="00045984" w:rsidRPr="00045984">
        <w:rPr>
          <w:szCs w:val="24"/>
        </w:rPr>
        <w:t>COAG 2002</w:t>
      </w:r>
      <w:r>
        <w:t>, appendix 1).</w:t>
      </w:r>
    </w:p>
    <w:p w:rsidR="001F1CD5" w:rsidRDefault="001F1CD5" w:rsidP="001F1CD5">
      <w:pPr>
        <w:pStyle w:val="BodyText"/>
      </w:pPr>
      <w:r>
        <w:t>The report’s terms of reference was updated in 2009. The new terms of reference noted the report’s significance as:</w:t>
      </w:r>
    </w:p>
    <w:p w:rsidR="001F1CD5" w:rsidRPr="00212FF5" w:rsidRDefault="001F1CD5" w:rsidP="001F1CD5">
      <w:pPr>
        <w:pStyle w:val="Quote"/>
      </w:pPr>
      <w:r>
        <w:t xml:space="preserve">… a source of high quality information on the progress being made in addressing Indigenous disadvantage across a range of key indicators. The OID report has been used by governments and the broader community to understand the nature of Indigenous disadvantage and, as a result, has helped inform the development of policies to address Indigenous disadvantage. </w:t>
      </w:r>
      <w:r w:rsidR="001D1D91" w:rsidRPr="00212FF5">
        <w:t>(p. </w:t>
      </w:r>
      <w:r w:rsidR="00212FF5" w:rsidRPr="00212FF5">
        <w:t>I</w:t>
      </w:r>
      <w:r w:rsidRPr="00212FF5">
        <w:t>V)</w:t>
      </w:r>
    </w:p>
    <w:p w:rsidR="001F1CD5" w:rsidRPr="00816A43" w:rsidRDefault="001F1CD5" w:rsidP="001F1CD5">
      <w:pPr>
        <w:pStyle w:val="BodyText"/>
        <w:rPr>
          <w:rStyle w:val="DraftingNote"/>
        </w:rPr>
      </w:pPr>
      <w:r>
        <w:t>Following an independent review of the report in 2012, the Steering Committee adopted suggestions from Aboriginal and Torres Strait Islander Australians that the focus of the report be expanded to incorporate more strengths-based reporting (see section 2.2 in chapter 2). In</w:t>
      </w:r>
      <w:r w:rsidR="00B2391C">
        <w:t xml:space="preserve"> September 2014</w:t>
      </w:r>
      <w:r>
        <w:t>, COAG Senior Officials endorsed the Steering Committee’s proposed changes to the framework, including the addition of several new indicators that measure outcomes that Aboriginal and Torres Strait Islander Australians said are important to them.</w:t>
      </w:r>
      <w:r w:rsidR="00816A43">
        <w:t xml:space="preserve"> </w:t>
      </w:r>
    </w:p>
    <w:p w:rsidR="001F1CD5" w:rsidRDefault="004D7C96" w:rsidP="004D7C96">
      <w:pPr>
        <w:pStyle w:val="Heading2"/>
      </w:pPr>
      <w:r w:rsidRPr="004D7C96">
        <w:t>1.2</w:t>
      </w:r>
      <w:r w:rsidRPr="004D7C96">
        <w:tab/>
        <w:t>Role of the OID report</w:t>
      </w:r>
    </w:p>
    <w:p w:rsidR="004D7C96" w:rsidRDefault="004D7C96" w:rsidP="004D7C96">
      <w:pPr>
        <w:pStyle w:val="BodyText"/>
      </w:pPr>
      <w:r>
        <w:t>COAG nominated two core objectives for the Overcoming Indigenous Disadvantage: Key Indicators report:</w:t>
      </w:r>
    </w:p>
    <w:p w:rsidR="004D7C96" w:rsidRDefault="004D7C96" w:rsidP="004D7C96">
      <w:pPr>
        <w:pStyle w:val="ListBullet"/>
      </w:pPr>
      <w:r>
        <w:t>to inform Australian governments about whether policy programs and interventions are achieving improved outcomes for Aboriginal and Torres Strait Islander Australians</w:t>
      </w:r>
    </w:p>
    <w:p w:rsidR="004D7C96" w:rsidRDefault="004D7C96" w:rsidP="004D7C96">
      <w:pPr>
        <w:pStyle w:val="ListBullet"/>
      </w:pPr>
      <w:r>
        <w:t xml:space="preserve">to be meaningful to Aboriginal and Torres Strait Islander Australians. </w:t>
      </w:r>
    </w:p>
    <w:p w:rsidR="004D7C96" w:rsidRDefault="004D7C96" w:rsidP="004D7C96">
      <w:pPr>
        <w:pStyle w:val="BodyText"/>
      </w:pPr>
      <w:r>
        <w:t>The report therefore aims to be more than a collection of data — numerous other reports and academic publications have been produced containing statistical information on Aboriginal and Torres Strait Islander Australians (box 1.2</w:t>
      </w:r>
      <w:r w:rsidR="00CD424B">
        <w:t>.1</w:t>
      </w:r>
      <w:r>
        <w:t>). This report aims to provide a practical tool for both government agencies and Aboriginal and Torres Strait Islander people and organisations.</w:t>
      </w:r>
    </w:p>
    <w:p w:rsidR="00E002FA" w:rsidRDefault="004D7C96" w:rsidP="004D7C96">
      <w:pPr>
        <w:pStyle w:val="BodyText"/>
      </w:pPr>
      <w:r w:rsidRPr="004D7C96">
        <w:t xml:space="preserve">The information in this report provides a high level view of the wellbeing of Aboriginal and Torres Strait Islander Australians. It identifies where progress is being made and draws attention to where more change is needed. The report’s framework of indicators focuses on </w:t>
      </w:r>
      <w:r w:rsidR="00096873" w:rsidRPr="00596E3F">
        <w:t>some of</w:t>
      </w:r>
      <w:r w:rsidR="00096873">
        <w:t xml:space="preserve"> </w:t>
      </w:r>
      <w:r w:rsidRPr="004D7C96">
        <w:t xml:space="preserve">the factors that ultimately cause disadvantage and the factors that </w:t>
      </w:r>
      <w:r w:rsidR="00096873" w:rsidRPr="00596E3F">
        <w:t>can</w:t>
      </w:r>
      <w:r w:rsidR="00096873">
        <w:t xml:space="preserve"> </w:t>
      </w:r>
      <w:r w:rsidRPr="004D7C96">
        <w:t>contribute to wellbeing — those areas where evidence, logic and experience suggest that targeted policies will have the greatest impact.</w:t>
      </w:r>
    </w:p>
    <w:p w:rsidR="00AE7384" w:rsidRDefault="00AE7384">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AE7384" w:rsidTr="007F28B3">
        <w:tc>
          <w:tcPr>
            <w:tcW w:w="8771" w:type="dxa"/>
            <w:tcBorders>
              <w:top w:val="single" w:sz="6" w:space="0" w:color="78A22F"/>
              <w:left w:val="nil"/>
              <w:bottom w:val="nil"/>
              <w:right w:val="nil"/>
            </w:tcBorders>
            <w:shd w:val="clear" w:color="auto" w:fill="F2F2F2"/>
          </w:tcPr>
          <w:p w:rsidR="00AE7384" w:rsidRDefault="00AE7384">
            <w:pPr>
              <w:pStyle w:val="BoxTitle"/>
            </w:pPr>
            <w:r>
              <w:rPr>
                <w:b w:val="0"/>
              </w:rPr>
              <w:t xml:space="preserve">Box </w:t>
            </w:r>
            <w:r w:rsidR="00CD424B">
              <w:rPr>
                <w:b w:val="0"/>
              </w:rPr>
              <w:t>1.</w:t>
            </w:r>
            <w:r w:rsidR="008C7A2F">
              <w:rPr>
                <w:b w:val="0"/>
                <w:noProof/>
              </w:rPr>
              <w:t>1</w:t>
            </w:r>
            <w:r w:rsidR="00CD424B">
              <w:rPr>
                <w:b w:val="0"/>
              </w:rPr>
              <w:t>.1</w:t>
            </w:r>
            <w:r>
              <w:tab/>
            </w:r>
            <w:r w:rsidRPr="006B6C53">
              <w:t>Nat</w:t>
            </w:r>
            <w:r>
              <w:t>ional reports on Aboriginal and Torres Strait Islander Australians</w:t>
            </w:r>
          </w:p>
        </w:tc>
      </w:tr>
      <w:tr w:rsidR="00AE7384" w:rsidTr="008945A9">
        <w:tblPrEx>
          <w:tblBorders>
            <w:top w:val="single" w:sz="6" w:space="0" w:color="auto"/>
            <w:left w:val="single" w:sz="6" w:space="0" w:color="auto"/>
            <w:bottom w:val="single" w:sz="6" w:space="0" w:color="auto"/>
            <w:right w:val="single" w:sz="6" w:space="0" w:color="auto"/>
          </w:tblBorders>
        </w:tblPrEx>
        <w:trPr>
          <w:cantSplit/>
          <w:trHeight w:val="8929"/>
        </w:trPr>
        <w:tc>
          <w:tcPr>
            <w:tcW w:w="8771" w:type="dxa"/>
            <w:tcBorders>
              <w:top w:val="nil"/>
              <w:left w:val="nil"/>
              <w:bottom w:val="nil"/>
              <w:right w:val="nil"/>
            </w:tcBorders>
            <w:shd w:val="clear" w:color="auto" w:fill="F2F2F2" w:themeFill="background1" w:themeFillShade="F2"/>
          </w:tcPr>
          <w:p w:rsidR="00AE7384" w:rsidRDefault="008945A9" w:rsidP="00B31E15">
            <w:pPr>
              <w:pStyle w:val="Box"/>
            </w:pPr>
            <w:r>
              <w:rPr>
                <w:noProof/>
              </w:rPr>
              <mc:AlternateContent>
                <mc:Choice Requires="wps">
                  <w:drawing>
                    <wp:anchor distT="0" distB="0" distL="114300" distR="114300" simplePos="0" relativeHeight="251680768" behindDoc="0" locked="0" layoutInCell="1" allowOverlap="1" wp14:anchorId="367044EF" wp14:editId="0C11438B">
                      <wp:simplePos x="0" y="0"/>
                      <wp:positionH relativeFrom="margin">
                        <wp:posOffset>2699282</wp:posOffset>
                      </wp:positionH>
                      <wp:positionV relativeFrom="paragraph">
                        <wp:posOffset>3890099</wp:posOffset>
                      </wp:positionV>
                      <wp:extent cx="2750185" cy="1732915"/>
                      <wp:effectExtent l="0" t="0" r="12065" b="1968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185" cy="1732915"/>
                              </a:xfrm>
                              <a:prstGeom prst="rect">
                                <a:avLst/>
                              </a:prstGeom>
                              <a:solidFill>
                                <a:srgbClr val="5D805D"/>
                              </a:solidFill>
                              <a:ln w="12700">
                                <a:solidFill>
                                  <a:srgbClr val="5D805D"/>
                                </a:solidFill>
                                <a:miter lim="800000"/>
                                <a:headEnd/>
                                <a:tailEnd/>
                              </a:ln>
                            </wps:spPr>
                            <wps:txbx>
                              <w:txbxContent>
                                <w:p w:rsidR="008C7A2F" w:rsidRPr="007840E8" w:rsidRDefault="008C7A2F" w:rsidP="00AE7384">
                                  <w:pPr>
                                    <w:spacing w:after="60"/>
                                    <w:jc w:val="center"/>
                                    <w:rPr>
                                      <w:rFonts w:ascii="Tahoma" w:hAnsi="Tahoma" w:cs="Tahoma"/>
                                      <w:b/>
                                      <w:color w:val="FFFFFF" w:themeColor="background1"/>
                                      <w:sz w:val="16"/>
                                      <w:szCs w:val="16"/>
                                    </w:rPr>
                                  </w:pPr>
                                  <w:r w:rsidRPr="007840E8">
                                    <w:rPr>
                                      <w:rFonts w:ascii="Tahoma" w:hAnsi="Tahoma" w:cs="Tahoma"/>
                                      <w:b/>
                                      <w:color w:val="FFFFFF" w:themeColor="background1"/>
                                      <w:sz w:val="16"/>
                                      <w:szCs w:val="16"/>
                                    </w:rPr>
                                    <w:t>Closing the Gap – Prime Minister’s Report</w:t>
                                  </w:r>
                                </w:p>
                                <w:p w:rsidR="008C7A2F" w:rsidRPr="007840E8" w:rsidRDefault="008C7A2F" w:rsidP="00AE7384">
                                  <w:pPr>
                                    <w:spacing w:after="60"/>
                                    <w:jc w:val="center"/>
                                    <w:rPr>
                                      <w:rFonts w:ascii="Tahoma" w:hAnsi="Tahoma" w:cs="Tahoma"/>
                                      <w:color w:val="FFFFFF" w:themeColor="background1"/>
                                      <w:sz w:val="16"/>
                                      <w:szCs w:val="16"/>
                                    </w:rPr>
                                  </w:pPr>
                                  <w:r w:rsidRPr="007840E8">
                                    <w:rPr>
                                      <w:rFonts w:ascii="Tahoma" w:hAnsi="Tahoma" w:cs="Tahoma"/>
                                      <w:color w:val="FFFFFF" w:themeColor="background1"/>
                                      <w:sz w:val="16"/>
                                      <w:szCs w:val="16"/>
                                    </w:rPr>
                                    <w:t xml:space="preserve">Requested by </w:t>
                                  </w:r>
                                  <w:r w:rsidRPr="007840E8">
                                    <w:rPr>
                                      <w:rFonts w:ascii="Tahoma" w:hAnsi="Tahoma" w:cs="Tahoma"/>
                                      <w:b/>
                                      <w:color w:val="FFFFFF" w:themeColor="background1"/>
                                      <w:sz w:val="16"/>
                                      <w:szCs w:val="16"/>
                                    </w:rPr>
                                    <w:t>Prime Minister</w:t>
                                  </w:r>
                                </w:p>
                                <w:p w:rsidR="008C7A2F" w:rsidRPr="007840E8" w:rsidRDefault="008C7A2F" w:rsidP="00AE7384">
                                  <w:pPr>
                                    <w:spacing w:after="60"/>
                                    <w:jc w:val="center"/>
                                    <w:rPr>
                                      <w:rFonts w:ascii="Tahoma" w:hAnsi="Tahoma" w:cs="Tahoma"/>
                                      <w:b/>
                                      <w:color w:val="FFFFFF" w:themeColor="background1"/>
                                      <w:sz w:val="16"/>
                                      <w:szCs w:val="16"/>
                                    </w:rPr>
                                  </w:pPr>
                                  <w:r w:rsidRPr="007840E8">
                                    <w:rPr>
                                      <w:rFonts w:ascii="Tahoma" w:hAnsi="Tahoma" w:cs="Tahoma"/>
                                      <w:color w:val="FFFFFF" w:themeColor="background1"/>
                                      <w:sz w:val="16"/>
                                      <w:szCs w:val="16"/>
                                    </w:rPr>
                                    <w:t>Produced by:</w:t>
                                  </w:r>
                                  <w:r w:rsidRPr="007840E8">
                                    <w:rPr>
                                      <w:rFonts w:ascii="Tahoma" w:hAnsi="Tahoma" w:cs="Tahoma"/>
                                      <w:b/>
                                      <w:color w:val="FFFFFF" w:themeColor="background1"/>
                                      <w:sz w:val="16"/>
                                      <w:szCs w:val="16"/>
                                    </w:rPr>
                                    <w:t xml:space="preserve"> PM&amp;C</w:t>
                                  </w:r>
                                  <w:r w:rsidRPr="007840E8">
                                    <w:rPr>
                                      <w:rStyle w:val="NoteLabel"/>
                                      <w:color w:val="FFFFFF" w:themeColor="background1"/>
                                    </w:rPr>
                                    <w:t>b</w:t>
                                  </w:r>
                                </w:p>
                                <w:p w:rsidR="008C7A2F" w:rsidRPr="007840E8" w:rsidRDefault="008C7A2F" w:rsidP="00AE7384">
                                  <w:pPr>
                                    <w:spacing w:after="60"/>
                                    <w:jc w:val="center"/>
                                    <w:rPr>
                                      <w:rFonts w:ascii="Tahoma" w:hAnsi="Tahoma" w:cs="Tahoma"/>
                                      <w:b/>
                                      <w:color w:val="FFFFFF" w:themeColor="background1"/>
                                      <w:sz w:val="16"/>
                                      <w:szCs w:val="16"/>
                                    </w:rPr>
                                  </w:pPr>
                                  <w:r w:rsidRPr="007840E8">
                                    <w:rPr>
                                      <w:rFonts w:ascii="Tahoma" w:hAnsi="Tahoma" w:cs="Tahoma"/>
                                      <w:color w:val="FFFFFF" w:themeColor="background1"/>
                                      <w:sz w:val="16"/>
                                      <w:szCs w:val="16"/>
                                    </w:rPr>
                                    <w:t>Frequency</w:t>
                                  </w:r>
                                  <w:r w:rsidRPr="007840E8">
                                    <w:rPr>
                                      <w:rFonts w:ascii="Tahoma" w:hAnsi="Tahoma" w:cs="Tahoma"/>
                                      <w:b/>
                                      <w:color w:val="FFFFFF" w:themeColor="background1"/>
                                      <w:sz w:val="16"/>
                                      <w:szCs w:val="16"/>
                                    </w:rPr>
                                    <w:t xml:space="preserve"> Annual</w:t>
                                  </w:r>
                                </w:p>
                                <w:p w:rsidR="008C7A2F" w:rsidRPr="007840E8" w:rsidRDefault="008C7A2F" w:rsidP="00AE7384">
                                  <w:pPr>
                                    <w:spacing w:after="60"/>
                                    <w:jc w:val="center"/>
                                    <w:rPr>
                                      <w:rFonts w:ascii="Tahoma" w:hAnsi="Tahoma" w:cs="Tahoma"/>
                                      <w:color w:val="FFFFFF" w:themeColor="background1"/>
                                      <w:sz w:val="16"/>
                                      <w:szCs w:val="16"/>
                                    </w:rPr>
                                  </w:pPr>
                                  <w:r w:rsidRPr="007840E8">
                                    <w:rPr>
                                      <w:rFonts w:ascii="Tahoma" w:hAnsi="Tahoma" w:cs="Tahoma"/>
                                      <w:b/>
                                      <w:color w:val="FFFFFF" w:themeColor="background1"/>
                                      <w:sz w:val="16"/>
                                      <w:szCs w:val="16"/>
                                    </w:rPr>
                                    <w:t xml:space="preserve">Purpose: </w:t>
                                  </w:r>
                                  <w:r w:rsidRPr="007840E8">
                                    <w:rPr>
                                      <w:rFonts w:ascii="Tahoma" w:hAnsi="Tahoma" w:cs="Tahoma"/>
                                      <w:color w:val="FFFFFF" w:themeColor="background1"/>
                                      <w:sz w:val="16"/>
                                      <w:szCs w:val="16"/>
                                    </w:rPr>
                                    <w:t>Prime Minister’s report to Parliament on progress against the six Closing the Gap targets and developments in Australian Government Indigenous policies and programs.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12.55pt;margin-top:306.3pt;width:216.55pt;height:136.4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" fillcolor="#5d805d" strokecolor="#5d805d" strokeweight="1pt">
                      <v:textbox>
                        <w:txbxContent>
                          <w:p w:rsidR="008C7A2F" w:rsidRPr="007840E8" w:rsidRDefault="008C7A2F" w:rsidP="00AE7384">
                            <w:pPr>
                              <w:spacing w:after="60"/>
                              <w:jc w:val="center"/>
                              <w:rPr>
                                <w:rFonts w:ascii="Tahoma" w:hAnsi="Tahoma" w:cs="Tahoma"/>
                                <w:b/>
                                <w:color w:val="FFFFFF" w:themeColor="background1"/>
                                <w:sz w:val="16"/>
                                <w:szCs w:val="16"/>
                              </w:rPr>
                            </w:pPr>
                            <w:r w:rsidRPr="007840E8">
                              <w:rPr>
                                <w:rFonts w:ascii="Tahoma" w:hAnsi="Tahoma" w:cs="Tahoma"/>
                                <w:b/>
                                <w:color w:val="FFFFFF" w:themeColor="background1"/>
                                <w:sz w:val="16"/>
                                <w:szCs w:val="16"/>
                              </w:rPr>
                              <w:t>Closing the Gap – Prime Minister’s Report</w:t>
                            </w:r>
                          </w:p>
                          <w:p w:rsidR="008C7A2F" w:rsidRPr="007840E8" w:rsidRDefault="008C7A2F" w:rsidP="00AE7384">
                            <w:pPr>
                              <w:spacing w:after="60"/>
                              <w:jc w:val="center"/>
                              <w:rPr>
                                <w:rFonts w:ascii="Tahoma" w:hAnsi="Tahoma" w:cs="Tahoma"/>
                                <w:color w:val="FFFFFF" w:themeColor="background1"/>
                                <w:sz w:val="16"/>
                                <w:szCs w:val="16"/>
                              </w:rPr>
                            </w:pPr>
                            <w:r w:rsidRPr="007840E8">
                              <w:rPr>
                                <w:rFonts w:ascii="Tahoma" w:hAnsi="Tahoma" w:cs="Tahoma"/>
                                <w:color w:val="FFFFFF" w:themeColor="background1"/>
                                <w:sz w:val="16"/>
                                <w:szCs w:val="16"/>
                              </w:rPr>
                              <w:t xml:space="preserve">Requested by </w:t>
                            </w:r>
                            <w:r w:rsidRPr="007840E8">
                              <w:rPr>
                                <w:rFonts w:ascii="Tahoma" w:hAnsi="Tahoma" w:cs="Tahoma"/>
                                <w:b/>
                                <w:color w:val="FFFFFF" w:themeColor="background1"/>
                                <w:sz w:val="16"/>
                                <w:szCs w:val="16"/>
                              </w:rPr>
                              <w:t>Prime Minister</w:t>
                            </w:r>
                          </w:p>
                          <w:p w:rsidR="008C7A2F" w:rsidRPr="007840E8" w:rsidRDefault="008C7A2F" w:rsidP="00AE7384">
                            <w:pPr>
                              <w:spacing w:after="60"/>
                              <w:jc w:val="center"/>
                              <w:rPr>
                                <w:rFonts w:ascii="Tahoma" w:hAnsi="Tahoma" w:cs="Tahoma"/>
                                <w:b/>
                                <w:color w:val="FFFFFF" w:themeColor="background1"/>
                                <w:sz w:val="16"/>
                                <w:szCs w:val="16"/>
                              </w:rPr>
                            </w:pPr>
                            <w:r w:rsidRPr="007840E8">
                              <w:rPr>
                                <w:rFonts w:ascii="Tahoma" w:hAnsi="Tahoma" w:cs="Tahoma"/>
                                <w:color w:val="FFFFFF" w:themeColor="background1"/>
                                <w:sz w:val="16"/>
                                <w:szCs w:val="16"/>
                              </w:rPr>
                              <w:t>Produced by:</w:t>
                            </w:r>
                            <w:r w:rsidRPr="007840E8">
                              <w:rPr>
                                <w:rFonts w:ascii="Tahoma" w:hAnsi="Tahoma" w:cs="Tahoma"/>
                                <w:b/>
                                <w:color w:val="FFFFFF" w:themeColor="background1"/>
                                <w:sz w:val="16"/>
                                <w:szCs w:val="16"/>
                              </w:rPr>
                              <w:t xml:space="preserve"> PM&amp;C</w:t>
                            </w:r>
                            <w:r w:rsidRPr="007840E8">
                              <w:rPr>
                                <w:rStyle w:val="NoteLabel"/>
                                <w:color w:val="FFFFFF" w:themeColor="background1"/>
                              </w:rPr>
                              <w:t>b</w:t>
                            </w:r>
                          </w:p>
                          <w:p w:rsidR="008C7A2F" w:rsidRPr="007840E8" w:rsidRDefault="008C7A2F" w:rsidP="00AE7384">
                            <w:pPr>
                              <w:spacing w:after="60"/>
                              <w:jc w:val="center"/>
                              <w:rPr>
                                <w:rFonts w:ascii="Tahoma" w:hAnsi="Tahoma" w:cs="Tahoma"/>
                                <w:b/>
                                <w:color w:val="FFFFFF" w:themeColor="background1"/>
                                <w:sz w:val="16"/>
                                <w:szCs w:val="16"/>
                              </w:rPr>
                            </w:pPr>
                            <w:r w:rsidRPr="007840E8">
                              <w:rPr>
                                <w:rFonts w:ascii="Tahoma" w:hAnsi="Tahoma" w:cs="Tahoma"/>
                                <w:color w:val="FFFFFF" w:themeColor="background1"/>
                                <w:sz w:val="16"/>
                                <w:szCs w:val="16"/>
                              </w:rPr>
                              <w:t>Frequency</w:t>
                            </w:r>
                            <w:r w:rsidRPr="007840E8">
                              <w:rPr>
                                <w:rFonts w:ascii="Tahoma" w:hAnsi="Tahoma" w:cs="Tahoma"/>
                                <w:b/>
                                <w:color w:val="FFFFFF" w:themeColor="background1"/>
                                <w:sz w:val="16"/>
                                <w:szCs w:val="16"/>
                              </w:rPr>
                              <w:t xml:space="preserve"> Annual</w:t>
                            </w:r>
                          </w:p>
                          <w:p w:rsidR="008C7A2F" w:rsidRPr="007840E8" w:rsidRDefault="008C7A2F" w:rsidP="00AE7384">
                            <w:pPr>
                              <w:spacing w:after="60"/>
                              <w:jc w:val="center"/>
                              <w:rPr>
                                <w:rFonts w:ascii="Tahoma" w:hAnsi="Tahoma" w:cs="Tahoma"/>
                                <w:color w:val="FFFFFF" w:themeColor="background1"/>
                                <w:sz w:val="16"/>
                                <w:szCs w:val="16"/>
                              </w:rPr>
                            </w:pPr>
                            <w:r w:rsidRPr="007840E8">
                              <w:rPr>
                                <w:rFonts w:ascii="Tahoma" w:hAnsi="Tahoma" w:cs="Tahoma"/>
                                <w:b/>
                                <w:color w:val="FFFFFF" w:themeColor="background1"/>
                                <w:sz w:val="16"/>
                                <w:szCs w:val="16"/>
                              </w:rPr>
                              <w:t xml:space="preserve">Purpose: </w:t>
                            </w:r>
                            <w:r w:rsidRPr="007840E8">
                              <w:rPr>
                                <w:rFonts w:ascii="Tahoma" w:hAnsi="Tahoma" w:cs="Tahoma"/>
                                <w:color w:val="FFFFFF" w:themeColor="background1"/>
                                <w:sz w:val="16"/>
                                <w:szCs w:val="16"/>
                              </w:rPr>
                              <w:t>Prime Minister’s report to Parliament on progress against the six Closing the Gap targets and developments in Australian Government Indigenous policies and programs.</w:t>
                            </w:r>
                          </w:p>
                        </w:txbxContent>
                      </v:textbox>
                      <w10:wrap anchorx="margin"/>
                    </v:shape>
                  </w:pict>
                </mc:Fallback>
              </mc:AlternateContent>
            </w:r>
            <w:r>
              <w:rPr>
                <w:noProof/>
              </w:rPr>
              <mc:AlternateContent>
                <mc:Choice Requires="wps">
                  <w:drawing>
                    <wp:anchor distT="0" distB="0" distL="114300" distR="114300" simplePos="0" relativeHeight="251679744" behindDoc="0" locked="0" layoutInCell="1" allowOverlap="1" wp14:anchorId="0D58E040" wp14:editId="259FA5EF">
                      <wp:simplePos x="0" y="0"/>
                      <wp:positionH relativeFrom="column">
                        <wp:posOffset>-86995</wp:posOffset>
                      </wp:positionH>
                      <wp:positionV relativeFrom="paragraph">
                        <wp:posOffset>3890010</wp:posOffset>
                      </wp:positionV>
                      <wp:extent cx="2714625" cy="1732915"/>
                      <wp:effectExtent l="0" t="0" r="28575" b="1968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732915"/>
                              </a:xfrm>
                              <a:prstGeom prst="rect">
                                <a:avLst/>
                              </a:prstGeom>
                              <a:solidFill>
                                <a:srgbClr val="5D805D"/>
                              </a:solidFill>
                              <a:ln w="12700">
                                <a:solidFill>
                                  <a:srgbClr val="5D805D"/>
                                </a:solidFill>
                                <a:miter lim="800000"/>
                                <a:headEnd/>
                                <a:tailEnd/>
                              </a:ln>
                            </wps:spPr>
                            <wps:txbx>
                              <w:txbxContent>
                                <w:p w:rsidR="008C7A2F" w:rsidRPr="007840E8" w:rsidRDefault="008C7A2F" w:rsidP="00AE7384">
                                  <w:pPr>
                                    <w:spacing w:after="60"/>
                                    <w:jc w:val="center"/>
                                    <w:rPr>
                                      <w:rFonts w:ascii="Tahoma" w:hAnsi="Tahoma" w:cs="Tahoma"/>
                                      <w:b/>
                                      <w:color w:val="FFFFFF" w:themeColor="background1"/>
                                      <w:sz w:val="16"/>
                                      <w:szCs w:val="16"/>
                                    </w:rPr>
                                  </w:pPr>
                                  <w:r w:rsidRPr="007840E8">
                                    <w:rPr>
                                      <w:rFonts w:ascii="Tahoma" w:hAnsi="Tahoma" w:cs="Tahoma"/>
                                      <w:b/>
                                      <w:color w:val="FFFFFF" w:themeColor="background1"/>
                                      <w:sz w:val="16"/>
                                      <w:szCs w:val="16"/>
                                    </w:rPr>
                                    <w:t>Closing the Gap Clearinghouse Publications</w:t>
                                  </w:r>
                                </w:p>
                                <w:p w:rsidR="008C7A2F" w:rsidRPr="007840E8" w:rsidRDefault="008C7A2F" w:rsidP="00AE7384">
                                  <w:pPr>
                                    <w:spacing w:after="60"/>
                                    <w:jc w:val="center"/>
                                    <w:rPr>
                                      <w:rFonts w:ascii="Tahoma" w:hAnsi="Tahoma" w:cs="Tahoma"/>
                                      <w:b/>
                                      <w:color w:val="FFFFFF" w:themeColor="background1"/>
                                      <w:sz w:val="16"/>
                                      <w:szCs w:val="16"/>
                                    </w:rPr>
                                  </w:pPr>
                                  <w:r w:rsidRPr="007840E8">
                                    <w:rPr>
                                      <w:rFonts w:ascii="Tahoma" w:hAnsi="Tahoma" w:cs="Tahoma"/>
                                      <w:b/>
                                      <w:color w:val="FFFFFF" w:themeColor="background1"/>
                                      <w:sz w:val="16"/>
                                      <w:szCs w:val="16"/>
                                    </w:rPr>
                                    <w:t xml:space="preserve"> </w:t>
                                  </w:r>
                                  <w:r w:rsidRPr="007840E8">
                                    <w:rPr>
                                      <w:rFonts w:ascii="Tahoma" w:hAnsi="Tahoma" w:cs="Tahoma"/>
                                      <w:color w:val="FFFFFF" w:themeColor="background1"/>
                                      <w:sz w:val="16"/>
                                      <w:szCs w:val="16"/>
                                    </w:rPr>
                                    <w:t xml:space="preserve">Requested by </w:t>
                                  </w:r>
                                  <w:r w:rsidRPr="007840E8">
                                    <w:rPr>
                                      <w:rFonts w:ascii="Tahoma" w:hAnsi="Tahoma" w:cs="Tahoma"/>
                                      <w:b/>
                                      <w:color w:val="FFFFFF" w:themeColor="background1"/>
                                      <w:sz w:val="16"/>
                                      <w:szCs w:val="16"/>
                                    </w:rPr>
                                    <w:t xml:space="preserve">COAG </w:t>
                                  </w:r>
                                </w:p>
                                <w:p w:rsidR="008C7A2F" w:rsidRPr="007840E8" w:rsidRDefault="008C7A2F" w:rsidP="00AE7384">
                                  <w:pPr>
                                    <w:spacing w:after="60"/>
                                    <w:jc w:val="center"/>
                                    <w:rPr>
                                      <w:rFonts w:ascii="Tahoma" w:hAnsi="Tahoma" w:cs="Tahoma"/>
                                      <w:b/>
                                      <w:color w:val="FFFFFF" w:themeColor="background1"/>
                                      <w:sz w:val="16"/>
                                      <w:szCs w:val="16"/>
                                    </w:rPr>
                                  </w:pPr>
                                  <w:r w:rsidRPr="007840E8">
                                    <w:rPr>
                                      <w:rFonts w:ascii="Tahoma" w:hAnsi="Tahoma" w:cs="Tahoma"/>
                                      <w:color w:val="FFFFFF" w:themeColor="background1"/>
                                      <w:sz w:val="16"/>
                                      <w:szCs w:val="16"/>
                                    </w:rPr>
                                    <w:t>Produced by</w:t>
                                  </w:r>
                                  <w:r w:rsidRPr="007840E8">
                                    <w:rPr>
                                      <w:rFonts w:ascii="Tahoma" w:hAnsi="Tahoma" w:cs="Tahoma"/>
                                      <w:b/>
                                      <w:color w:val="FFFFFF" w:themeColor="background1"/>
                                      <w:sz w:val="16"/>
                                      <w:szCs w:val="16"/>
                                    </w:rPr>
                                    <w:t xml:space="preserve"> AIHW in collaboration with AIFS</w:t>
                                  </w:r>
                                </w:p>
                                <w:p w:rsidR="008C7A2F" w:rsidRPr="007840E8" w:rsidRDefault="008C7A2F" w:rsidP="00AE7384">
                                  <w:pPr>
                                    <w:spacing w:after="60"/>
                                    <w:jc w:val="center"/>
                                    <w:rPr>
                                      <w:rFonts w:ascii="Tahoma" w:hAnsi="Tahoma" w:cs="Tahoma"/>
                                      <w:color w:val="FFFFFF" w:themeColor="background1"/>
                                      <w:sz w:val="16"/>
                                      <w:szCs w:val="16"/>
                                    </w:rPr>
                                  </w:pPr>
                                  <w:r w:rsidRPr="007840E8">
                                    <w:rPr>
                                      <w:rFonts w:ascii="Tahoma" w:hAnsi="Tahoma" w:cs="Tahoma"/>
                                      <w:color w:val="FFFFFF" w:themeColor="background1"/>
                                      <w:sz w:val="16"/>
                                      <w:szCs w:val="16"/>
                                    </w:rPr>
                                    <w:t>Frequency</w:t>
                                  </w:r>
                                  <w:r w:rsidRPr="007840E8">
                                    <w:rPr>
                                      <w:rFonts w:ascii="Tahoma" w:hAnsi="Tahoma" w:cs="Tahoma"/>
                                      <w:b/>
                                      <w:color w:val="FFFFFF" w:themeColor="background1"/>
                                      <w:sz w:val="16"/>
                                      <w:szCs w:val="16"/>
                                    </w:rPr>
                                    <w:t xml:space="preserve"> Regular </w:t>
                                  </w:r>
                                </w:p>
                                <w:p w:rsidR="008C7A2F" w:rsidRPr="007840E8" w:rsidRDefault="008C7A2F" w:rsidP="00AE7384">
                                  <w:pPr>
                                    <w:spacing w:after="60"/>
                                    <w:jc w:val="center"/>
                                    <w:rPr>
                                      <w:rFonts w:ascii="Tahoma" w:hAnsi="Tahoma" w:cs="Tahoma"/>
                                      <w:color w:val="FFFFFF" w:themeColor="background1"/>
                                      <w:sz w:val="16"/>
                                      <w:szCs w:val="16"/>
                                    </w:rPr>
                                  </w:pPr>
                                  <w:r w:rsidRPr="007840E8">
                                    <w:rPr>
                                      <w:rFonts w:ascii="Tahoma" w:hAnsi="Tahoma" w:cs="Tahoma"/>
                                      <w:b/>
                                      <w:color w:val="FFFFFF" w:themeColor="background1"/>
                                      <w:sz w:val="16"/>
                                      <w:szCs w:val="16"/>
                                    </w:rPr>
                                    <w:t xml:space="preserve">Purpose: </w:t>
                                  </w:r>
                                  <w:r w:rsidRPr="007840E8">
                                    <w:rPr>
                                      <w:rFonts w:ascii="Tahoma" w:hAnsi="Tahoma" w:cs="Tahoma"/>
                                      <w:color w:val="FFFFFF" w:themeColor="background1"/>
                                      <w:sz w:val="16"/>
                                      <w:szCs w:val="16"/>
                                    </w:rPr>
                                    <w:t>The Closing the Gap Clearinghouse publications synthesis</w:t>
                                  </w:r>
                                  <w:r>
                                    <w:rPr>
                                      <w:rFonts w:ascii="Tahoma" w:hAnsi="Tahoma" w:cs="Tahoma"/>
                                      <w:color w:val="FFFFFF" w:themeColor="background1"/>
                                      <w:sz w:val="16"/>
                                      <w:szCs w:val="16"/>
                                    </w:rPr>
                                    <w:t>e</w:t>
                                  </w:r>
                                  <w:r w:rsidRPr="007840E8">
                                    <w:rPr>
                                      <w:rFonts w:ascii="Tahoma" w:hAnsi="Tahoma" w:cs="Tahoma"/>
                                      <w:color w:val="FFFFFF" w:themeColor="background1"/>
                                      <w:sz w:val="16"/>
                                      <w:szCs w:val="16"/>
                                    </w:rPr>
                                    <w:t xml:space="preserve"> research and evaluation evidence about what works to overcome Indigenous disadvantage. The Clearinghouse provides a single point for gathering and disseminating reliable information to underpin policy development in Indigenous affairs.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6.85pt;margin-top:306.3pt;width:213.75pt;height:136.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" fillcolor="#5d805d" strokecolor="#5d805d" strokeweight="1pt">
                      <v:textbox>
                        <w:txbxContent>
                          <w:p w:rsidR="008C7A2F" w:rsidRPr="007840E8" w:rsidRDefault="008C7A2F" w:rsidP="00AE7384">
                            <w:pPr>
                              <w:spacing w:after="60"/>
                              <w:jc w:val="center"/>
                              <w:rPr>
                                <w:rFonts w:ascii="Tahoma" w:hAnsi="Tahoma" w:cs="Tahoma"/>
                                <w:b/>
                                <w:color w:val="FFFFFF" w:themeColor="background1"/>
                                <w:sz w:val="16"/>
                                <w:szCs w:val="16"/>
                              </w:rPr>
                            </w:pPr>
                            <w:r w:rsidRPr="007840E8">
                              <w:rPr>
                                <w:rFonts w:ascii="Tahoma" w:hAnsi="Tahoma" w:cs="Tahoma"/>
                                <w:b/>
                                <w:color w:val="FFFFFF" w:themeColor="background1"/>
                                <w:sz w:val="16"/>
                                <w:szCs w:val="16"/>
                              </w:rPr>
                              <w:t>Closing the Gap Clearinghouse Publications</w:t>
                            </w:r>
                          </w:p>
                          <w:p w:rsidR="008C7A2F" w:rsidRPr="007840E8" w:rsidRDefault="008C7A2F" w:rsidP="00AE7384">
                            <w:pPr>
                              <w:spacing w:after="60"/>
                              <w:jc w:val="center"/>
                              <w:rPr>
                                <w:rFonts w:ascii="Tahoma" w:hAnsi="Tahoma" w:cs="Tahoma"/>
                                <w:b/>
                                <w:color w:val="FFFFFF" w:themeColor="background1"/>
                                <w:sz w:val="16"/>
                                <w:szCs w:val="16"/>
                              </w:rPr>
                            </w:pPr>
                            <w:r w:rsidRPr="007840E8">
                              <w:rPr>
                                <w:rFonts w:ascii="Tahoma" w:hAnsi="Tahoma" w:cs="Tahoma"/>
                                <w:b/>
                                <w:color w:val="FFFFFF" w:themeColor="background1"/>
                                <w:sz w:val="16"/>
                                <w:szCs w:val="16"/>
                              </w:rPr>
                              <w:t xml:space="preserve"> </w:t>
                            </w:r>
                            <w:r w:rsidRPr="007840E8">
                              <w:rPr>
                                <w:rFonts w:ascii="Tahoma" w:hAnsi="Tahoma" w:cs="Tahoma"/>
                                <w:color w:val="FFFFFF" w:themeColor="background1"/>
                                <w:sz w:val="16"/>
                                <w:szCs w:val="16"/>
                              </w:rPr>
                              <w:t xml:space="preserve">Requested by </w:t>
                            </w:r>
                            <w:r w:rsidRPr="007840E8">
                              <w:rPr>
                                <w:rFonts w:ascii="Tahoma" w:hAnsi="Tahoma" w:cs="Tahoma"/>
                                <w:b/>
                                <w:color w:val="FFFFFF" w:themeColor="background1"/>
                                <w:sz w:val="16"/>
                                <w:szCs w:val="16"/>
                              </w:rPr>
                              <w:t xml:space="preserve">COAG </w:t>
                            </w:r>
                          </w:p>
                          <w:p w:rsidR="008C7A2F" w:rsidRPr="007840E8" w:rsidRDefault="008C7A2F" w:rsidP="00AE7384">
                            <w:pPr>
                              <w:spacing w:after="60"/>
                              <w:jc w:val="center"/>
                              <w:rPr>
                                <w:rFonts w:ascii="Tahoma" w:hAnsi="Tahoma" w:cs="Tahoma"/>
                                <w:b/>
                                <w:color w:val="FFFFFF" w:themeColor="background1"/>
                                <w:sz w:val="16"/>
                                <w:szCs w:val="16"/>
                              </w:rPr>
                            </w:pPr>
                            <w:r w:rsidRPr="007840E8">
                              <w:rPr>
                                <w:rFonts w:ascii="Tahoma" w:hAnsi="Tahoma" w:cs="Tahoma"/>
                                <w:color w:val="FFFFFF" w:themeColor="background1"/>
                                <w:sz w:val="16"/>
                                <w:szCs w:val="16"/>
                              </w:rPr>
                              <w:t>Produced by</w:t>
                            </w:r>
                            <w:r w:rsidRPr="007840E8">
                              <w:rPr>
                                <w:rFonts w:ascii="Tahoma" w:hAnsi="Tahoma" w:cs="Tahoma"/>
                                <w:b/>
                                <w:color w:val="FFFFFF" w:themeColor="background1"/>
                                <w:sz w:val="16"/>
                                <w:szCs w:val="16"/>
                              </w:rPr>
                              <w:t xml:space="preserve"> AIHW in collaboration with AIFS</w:t>
                            </w:r>
                          </w:p>
                          <w:p w:rsidR="008C7A2F" w:rsidRPr="007840E8" w:rsidRDefault="008C7A2F" w:rsidP="00AE7384">
                            <w:pPr>
                              <w:spacing w:after="60"/>
                              <w:jc w:val="center"/>
                              <w:rPr>
                                <w:rFonts w:ascii="Tahoma" w:hAnsi="Tahoma" w:cs="Tahoma"/>
                                <w:color w:val="FFFFFF" w:themeColor="background1"/>
                                <w:sz w:val="16"/>
                                <w:szCs w:val="16"/>
                              </w:rPr>
                            </w:pPr>
                            <w:r w:rsidRPr="007840E8">
                              <w:rPr>
                                <w:rFonts w:ascii="Tahoma" w:hAnsi="Tahoma" w:cs="Tahoma"/>
                                <w:color w:val="FFFFFF" w:themeColor="background1"/>
                                <w:sz w:val="16"/>
                                <w:szCs w:val="16"/>
                              </w:rPr>
                              <w:t>Frequency</w:t>
                            </w:r>
                            <w:r w:rsidRPr="007840E8">
                              <w:rPr>
                                <w:rFonts w:ascii="Tahoma" w:hAnsi="Tahoma" w:cs="Tahoma"/>
                                <w:b/>
                                <w:color w:val="FFFFFF" w:themeColor="background1"/>
                                <w:sz w:val="16"/>
                                <w:szCs w:val="16"/>
                              </w:rPr>
                              <w:t xml:space="preserve"> Regular </w:t>
                            </w:r>
                          </w:p>
                          <w:p w:rsidR="008C7A2F" w:rsidRPr="007840E8" w:rsidRDefault="008C7A2F" w:rsidP="00AE7384">
                            <w:pPr>
                              <w:spacing w:after="60"/>
                              <w:jc w:val="center"/>
                              <w:rPr>
                                <w:rFonts w:ascii="Tahoma" w:hAnsi="Tahoma" w:cs="Tahoma"/>
                                <w:color w:val="FFFFFF" w:themeColor="background1"/>
                                <w:sz w:val="16"/>
                                <w:szCs w:val="16"/>
                              </w:rPr>
                            </w:pPr>
                            <w:r w:rsidRPr="007840E8">
                              <w:rPr>
                                <w:rFonts w:ascii="Tahoma" w:hAnsi="Tahoma" w:cs="Tahoma"/>
                                <w:b/>
                                <w:color w:val="FFFFFF" w:themeColor="background1"/>
                                <w:sz w:val="16"/>
                                <w:szCs w:val="16"/>
                              </w:rPr>
                              <w:t xml:space="preserve">Purpose: </w:t>
                            </w:r>
                            <w:r w:rsidRPr="007840E8">
                              <w:rPr>
                                <w:rFonts w:ascii="Tahoma" w:hAnsi="Tahoma" w:cs="Tahoma"/>
                                <w:color w:val="FFFFFF" w:themeColor="background1"/>
                                <w:sz w:val="16"/>
                                <w:szCs w:val="16"/>
                              </w:rPr>
                              <w:t>The Closing the Gap Clearinghouse publications synthesis</w:t>
                            </w:r>
                            <w:r>
                              <w:rPr>
                                <w:rFonts w:ascii="Tahoma" w:hAnsi="Tahoma" w:cs="Tahoma"/>
                                <w:color w:val="FFFFFF" w:themeColor="background1"/>
                                <w:sz w:val="16"/>
                                <w:szCs w:val="16"/>
                              </w:rPr>
                              <w:t>e</w:t>
                            </w:r>
                            <w:r w:rsidRPr="007840E8">
                              <w:rPr>
                                <w:rFonts w:ascii="Tahoma" w:hAnsi="Tahoma" w:cs="Tahoma"/>
                                <w:color w:val="FFFFFF" w:themeColor="background1"/>
                                <w:sz w:val="16"/>
                                <w:szCs w:val="16"/>
                              </w:rPr>
                              <w:t xml:space="preserve"> research and evaluation evidence about what works to overcome Indigenous disadvantage. The Clearinghouse provides a single point for gathering and disseminating reliable information to underpin policy development in Indigenous affairs.</w:t>
                            </w:r>
                          </w:p>
                        </w:txbxContent>
                      </v:textbox>
                    </v:shape>
                  </w:pict>
                </mc:Fallback>
              </mc:AlternateContent>
            </w:r>
            <w:r w:rsidR="00691239">
              <w:rPr>
                <w:noProof/>
              </w:rPr>
              <mc:AlternateContent>
                <mc:Choice Requires="wps">
                  <w:drawing>
                    <wp:anchor distT="0" distB="0" distL="114300" distR="114300" simplePos="0" relativeHeight="251684864" behindDoc="0" locked="0" layoutInCell="1" allowOverlap="1" wp14:anchorId="78AD7B84" wp14:editId="326871E9">
                      <wp:simplePos x="0" y="0"/>
                      <wp:positionH relativeFrom="margin">
                        <wp:posOffset>3507105</wp:posOffset>
                      </wp:positionH>
                      <wp:positionV relativeFrom="paragraph">
                        <wp:posOffset>125730</wp:posOffset>
                      </wp:positionV>
                      <wp:extent cx="1947545" cy="1626870"/>
                      <wp:effectExtent l="0" t="0" r="14605" b="1143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545" cy="1626870"/>
                              </a:xfrm>
                              <a:prstGeom prst="rect">
                                <a:avLst/>
                              </a:prstGeom>
                              <a:solidFill>
                                <a:srgbClr val="5D805D"/>
                              </a:solidFill>
                              <a:ln w="12700">
                                <a:solidFill>
                                  <a:srgbClr val="5D805D"/>
                                </a:solidFill>
                                <a:miter lim="800000"/>
                                <a:headEnd/>
                                <a:tailEnd/>
                              </a:ln>
                            </wps:spPr>
                            <wps:txbx>
                              <w:txbxContent>
                                <w:p w:rsidR="008C7A2F" w:rsidRPr="007840E8" w:rsidRDefault="008C7A2F" w:rsidP="00691239">
                                  <w:pPr>
                                    <w:spacing w:after="60"/>
                                    <w:jc w:val="center"/>
                                    <w:rPr>
                                      <w:rFonts w:ascii="Tahoma" w:hAnsi="Tahoma" w:cs="Tahoma"/>
                                      <w:color w:val="FFFFFF" w:themeColor="background1"/>
                                      <w:sz w:val="16"/>
                                      <w:szCs w:val="16"/>
                                    </w:rPr>
                                  </w:pPr>
                                  <w:r w:rsidRPr="007840E8">
                                    <w:rPr>
                                      <w:rFonts w:ascii="Tahoma" w:hAnsi="Tahoma" w:cs="Tahoma"/>
                                      <w:b/>
                                      <w:color w:val="FFFFFF" w:themeColor="background1"/>
                                      <w:sz w:val="16"/>
                                      <w:szCs w:val="16"/>
                                    </w:rPr>
                                    <w:t xml:space="preserve">National Indigenous Reform Agreement Performance Report </w:t>
                                  </w:r>
                                  <w:r w:rsidRPr="007840E8">
                                    <w:rPr>
                                      <w:rFonts w:ascii="Tahoma" w:hAnsi="Tahoma" w:cs="Tahoma"/>
                                      <w:color w:val="FFFFFF" w:themeColor="background1"/>
                                      <w:sz w:val="16"/>
                                      <w:szCs w:val="16"/>
                                    </w:rPr>
                                    <w:t xml:space="preserve">Requested by </w:t>
                                  </w:r>
                                  <w:r w:rsidRPr="007840E8">
                                    <w:rPr>
                                      <w:rFonts w:ascii="Tahoma" w:hAnsi="Tahoma" w:cs="Tahoma"/>
                                      <w:b/>
                                      <w:color w:val="FFFFFF" w:themeColor="background1"/>
                                      <w:sz w:val="16"/>
                                      <w:szCs w:val="16"/>
                                    </w:rPr>
                                    <w:t>COAG</w:t>
                                  </w:r>
                                </w:p>
                                <w:p w:rsidR="008C7A2F" w:rsidRPr="007840E8" w:rsidRDefault="008C7A2F" w:rsidP="00691239">
                                  <w:pPr>
                                    <w:spacing w:after="60"/>
                                    <w:jc w:val="center"/>
                                    <w:rPr>
                                      <w:rFonts w:ascii="Tahoma" w:hAnsi="Tahoma" w:cs="Tahoma"/>
                                      <w:b/>
                                      <w:color w:val="FFFFFF" w:themeColor="background1"/>
                                      <w:sz w:val="16"/>
                                      <w:szCs w:val="16"/>
                                    </w:rPr>
                                  </w:pPr>
                                  <w:r w:rsidRPr="007840E8">
                                    <w:rPr>
                                      <w:rFonts w:ascii="Tahoma" w:hAnsi="Tahoma" w:cs="Tahoma"/>
                                      <w:color w:val="FFFFFF" w:themeColor="background1"/>
                                      <w:sz w:val="16"/>
                                      <w:szCs w:val="16"/>
                                    </w:rPr>
                                    <w:t>Produced by</w:t>
                                  </w:r>
                                  <w:r w:rsidRPr="007840E8">
                                    <w:rPr>
                                      <w:rFonts w:ascii="Tahoma" w:hAnsi="Tahoma" w:cs="Tahoma"/>
                                      <w:b/>
                                      <w:color w:val="FFFFFF" w:themeColor="background1"/>
                                      <w:sz w:val="16"/>
                                      <w:szCs w:val="16"/>
                                    </w:rPr>
                                    <w:t xml:space="preserve"> CRC</w:t>
                                  </w:r>
                                  <w:r w:rsidRPr="007840E8">
                                    <w:rPr>
                                      <w:rStyle w:val="NoteLabel"/>
                                      <w:color w:val="FFFFFF" w:themeColor="background1"/>
                                    </w:rPr>
                                    <w:t>a</w:t>
                                  </w:r>
                                </w:p>
                                <w:p w:rsidR="008C7A2F" w:rsidRPr="007840E8" w:rsidRDefault="008C7A2F" w:rsidP="00691239">
                                  <w:pPr>
                                    <w:spacing w:after="60"/>
                                    <w:jc w:val="center"/>
                                    <w:rPr>
                                      <w:rFonts w:ascii="Tahoma" w:hAnsi="Tahoma" w:cs="Tahoma"/>
                                      <w:b/>
                                      <w:color w:val="FFFFFF" w:themeColor="background1"/>
                                      <w:sz w:val="16"/>
                                      <w:szCs w:val="16"/>
                                    </w:rPr>
                                  </w:pPr>
                                  <w:r w:rsidRPr="007840E8">
                                    <w:rPr>
                                      <w:rFonts w:ascii="Tahoma" w:hAnsi="Tahoma" w:cs="Tahoma"/>
                                      <w:color w:val="FFFFFF" w:themeColor="background1"/>
                                      <w:sz w:val="16"/>
                                      <w:szCs w:val="16"/>
                                    </w:rPr>
                                    <w:t>Frequency</w:t>
                                  </w:r>
                                  <w:r w:rsidRPr="007840E8">
                                    <w:rPr>
                                      <w:rFonts w:ascii="Tahoma" w:hAnsi="Tahoma" w:cs="Tahoma"/>
                                      <w:b/>
                                      <w:color w:val="FFFFFF" w:themeColor="background1"/>
                                      <w:sz w:val="16"/>
                                      <w:szCs w:val="16"/>
                                    </w:rPr>
                                    <w:t xml:space="preserve"> Annual</w:t>
                                  </w:r>
                                </w:p>
                                <w:p w:rsidR="008C7A2F" w:rsidRPr="007840E8" w:rsidRDefault="008C7A2F" w:rsidP="00691239">
                                  <w:pPr>
                                    <w:spacing w:after="60"/>
                                    <w:jc w:val="center"/>
                                    <w:rPr>
                                      <w:rFonts w:ascii="Tahoma" w:hAnsi="Tahoma" w:cs="Tahoma"/>
                                      <w:color w:val="FFFFFF" w:themeColor="background1"/>
                                      <w:sz w:val="16"/>
                                      <w:szCs w:val="16"/>
                                    </w:rPr>
                                  </w:pPr>
                                  <w:r w:rsidRPr="007840E8">
                                    <w:rPr>
                                      <w:rFonts w:ascii="Tahoma" w:hAnsi="Tahoma" w:cs="Tahoma"/>
                                      <w:b/>
                                      <w:color w:val="FFFFFF" w:themeColor="background1"/>
                                      <w:sz w:val="16"/>
                                      <w:szCs w:val="16"/>
                                    </w:rPr>
                                    <w:t xml:space="preserve">Purpose: </w:t>
                                  </w:r>
                                  <w:r w:rsidRPr="007840E8">
                                    <w:rPr>
                                      <w:rFonts w:ascii="Tahoma" w:hAnsi="Tahoma" w:cs="Tahoma"/>
                                      <w:color w:val="FFFFFF" w:themeColor="background1"/>
                                      <w:sz w:val="16"/>
                                      <w:szCs w:val="16"/>
                                    </w:rPr>
                                    <w:t>Independent assessment of Australian Government and State and Territory government progress toward</w:t>
                                  </w:r>
                                  <w:r w:rsidR="00CE6950">
                                    <w:rPr>
                                      <w:rFonts w:ascii="Tahoma" w:hAnsi="Tahoma" w:cs="Tahoma"/>
                                      <w:color w:val="FFFFFF" w:themeColor="background1"/>
                                      <w:sz w:val="16"/>
                                      <w:szCs w:val="16"/>
                                    </w:rPr>
                                    <w:t>s</w:t>
                                  </w:r>
                                  <w:r w:rsidRPr="007840E8">
                                    <w:rPr>
                                      <w:rFonts w:ascii="Tahoma" w:hAnsi="Tahoma" w:cs="Tahoma"/>
                                      <w:color w:val="FFFFFF" w:themeColor="background1"/>
                                      <w:sz w:val="16"/>
                                      <w:szCs w:val="16"/>
                                    </w:rPr>
                                    <w:t xml:space="preserve"> the six Closing the Gap targets, and associated performance indicators.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276.15pt;margin-top:9.9pt;width:153.35pt;height:128.1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" fillcolor="#5d805d" strokecolor="#5d805d" strokeweight="1pt">
                      <v:textbox>
                        <w:txbxContent>
                          <w:p w:rsidR="008C7A2F" w:rsidRPr="007840E8" w:rsidRDefault="008C7A2F" w:rsidP="00691239">
                            <w:pPr>
                              <w:spacing w:after="60"/>
                              <w:jc w:val="center"/>
                              <w:rPr>
                                <w:rFonts w:ascii="Tahoma" w:hAnsi="Tahoma" w:cs="Tahoma"/>
                                <w:color w:val="FFFFFF" w:themeColor="background1"/>
                                <w:sz w:val="16"/>
                                <w:szCs w:val="16"/>
                              </w:rPr>
                            </w:pPr>
                            <w:r w:rsidRPr="007840E8">
                              <w:rPr>
                                <w:rFonts w:ascii="Tahoma" w:hAnsi="Tahoma" w:cs="Tahoma"/>
                                <w:b/>
                                <w:color w:val="FFFFFF" w:themeColor="background1"/>
                                <w:sz w:val="16"/>
                                <w:szCs w:val="16"/>
                              </w:rPr>
                              <w:t xml:space="preserve">National Indigenous Reform Agreement Performance Report </w:t>
                            </w:r>
                            <w:r w:rsidRPr="007840E8">
                              <w:rPr>
                                <w:rFonts w:ascii="Tahoma" w:hAnsi="Tahoma" w:cs="Tahoma"/>
                                <w:color w:val="FFFFFF" w:themeColor="background1"/>
                                <w:sz w:val="16"/>
                                <w:szCs w:val="16"/>
                              </w:rPr>
                              <w:t xml:space="preserve">Requested by </w:t>
                            </w:r>
                            <w:r w:rsidRPr="007840E8">
                              <w:rPr>
                                <w:rFonts w:ascii="Tahoma" w:hAnsi="Tahoma" w:cs="Tahoma"/>
                                <w:b/>
                                <w:color w:val="FFFFFF" w:themeColor="background1"/>
                                <w:sz w:val="16"/>
                                <w:szCs w:val="16"/>
                              </w:rPr>
                              <w:t>COAG</w:t>
                            </w:r>
                          </w:p>
                          <w:p w:rsidR="008C7A2F" w:rsidRPr="007840E8" w:rsidRDefault="008C7A2F" w:rsidP="00691239">
                            <w:pPr>
                              <w:spacing w:after="60"/>
                              <w:jc w:val="center"/>
                              <w:rPr>
                                <w:rFonts w:ascii="Tahoma" w:hAnsi="Tahoma" w:cs="Tahoma"/>
                                <w:b/>
                                <w:color w:val="FFFFFF" w:themeColor="background1"/>
                                <w:sz w:val="16"/>
                                <w:szCs w:val="16"/>
                              </w:rPr>
                            </w:pPr>
                            <w:r w:rsidRPr="007840E8">
                              <w:rPr>
                                <w:rFonts w:ascii="Tahoma" w:hAnsi="Tahoma" w:cs="Tahoma"/>
                                <w:color w:val="FFFFFF" w:themeColor="background1"/>
                                <w:sz w:val="16"/>
                                <w:szCs w:val="16"/>
                              </w:rPr>
                              <w:t>Produced by</w:t>
                            </w:r>
                            <w:r w:rsidRPr="007840E8">
                              <w:rPr>
                                <w:rFonts w:ascii="Tahoma" w:hAnsi="Tahoma" w:cs="Tahoma"/>
                                <w:b/>
                                <w:color w:val="FFFFFF" w:themeColor="background1"/>
                                <w:sz w:val="16"/>
                                <w:szCs w:val="16"/>
                              </w:rPr>
                              <w:t xml:space="preserve"> CRC</w:t>
                            </w:r>
                            <w:r w:rsidRPr="007840E8">
                              <w:rPr>
                                <w:rStyle w:val="NoteLabel"/>
                                <w:color w:val="FFFFFF" w:themeColor="background1"/>
                              </w:rPr>
                              <w:t>a</w:t>
                            </w:r>
                          </w:p>
                          <w:p w:rsidR="008C7A2F" w:rsidRPr="007840E8" w:rsidRDefault="008C7A2F" w:rsidP="00691239">
                            <w:pPr>
                              <w:spacing w:after="60"/>
                              <w:jc w:val="center"/>
                              <w:rPr>
                                <w:rFonts w:ascii="Tahoma" w:hAnsi="Tahoma" w:cs="Tahoma"/>
                                <w:b/>
                                <w:color w:val="FFFFFF" w:themeColor="background1"/>
                                <w:sz w:val="16"/>
                                <w:szCs w:val="16"/>
                              </w:rPr>
                            </w:pPr>
                            <w:r w:rsidRPr="007840E8">
                              <w:rPr>
                                <w:rFonts w:ascii="Tahoma" w:hAnsi="Tahoma" w:cs="Tahoma"/>
                                <w:color w:val="FFFFFF" w:themeColor="background1"/>
                                <w:sz w:val="16"/>
                                <w:szCs w:val="16"/>
                              </w:rPr>
                              <w:t>Frequency</w:t>
                            </w:r>
                            <w:r w:rsidRPr="007840E8">
                              <w:rPr>
                                <w:rFonts w:ascii="Tahoma" w:hAnsi="Tahoma" w:cs="Tahoma"/>
                                <w:b/>
                                <w:color w:val="FFFFFF" w:themeColor="background1"/>
                                <w:sz w:val="16"/>
                                <w:szCs w:val="16"/>
                              </w:rPr>
                              <w:t xml:space="preserve"> Annual</w:t>
                            </w:r>
                          </w:p>
                          <w:p w:rsidR="008C7A2F" w:rsidRPr="007840E8" w:rsidRDefault="008C7A2F" w:rsidP="00691239">
                            <w:pPr>
                              <w:spacing w:after="60"/>
                              <w:jc w:val="center"/>
                              <w:rPr>
                                <w:rFonts w:ascii="Tahoma" w:hAnsi="Tahoma" w:cs="Tahoma"/>
                                <w:color w:val="FFFFFF" w:themeColor="background1"/>
                                <w:sz w:val="16"/>
                                <w:szCs w:val="16"/>
                              </w:rPr>
                            </w:pPr>
                            <w:r w:rsidRPr="007840E8">
                              <w:rPr>
                                <w:rFonts w:ascii="Tahoma" w:hAnsi="Tahoma" w:cs="Tahoma"/>
                                <w:b/>
                                <w:color w:val="FFFFFF" w:themeColor="background1"/>
                                <w:sz w:val="16"/>
                                <w:szCs w:val="16"/>
                              </w:rPr>
                              <w:t xml:space="preserve">Purpose: </w:t>
                            </w:r>
                            <w:r w:rsidRPr="007840E8">
                              <w:rPr>
                                <w:rFonts w:ascii="Tahoma" w:hAnsi="Tahoma" w:cs="Tahoma"/>
                                <w:color w:val="FFFFFF" w:themeColor="background1"/>
                                <w:sz w:val="16"/>
                                <w:szCs w:val="16"/>
                              </w:rPr>
                              <w:t>Independent assessment of Australian Government and State and Territory government progress toward</w:t>
                            </w:r>
                            <w:r w:rsidR="00CE6950">
                              <w:rPr>
                                <w:rFonts w:ascii="Tahoma" w:hAnsi="Tahoma" w:cs="Tahoma"/>
                                <w:color w:val="FFFFFF" w:themeColor="background1"/>
                                <w:sz w:val="16"/>
                                <w:szCs w:val="16"/>
                              </w:rPr>
                              <w:t>s</w:t>
                            </w:r>
                            <w:r w:rsidRPr="007840E8">
                              <w:rPr>
                                <w:rFonts w:ascii="Tahoma" w:hAnsi="Tahoma" w:cs="Tahoma"/>
                                <w:color w:val="FFFFFF" w:themeColor="background1"/>
                                <w:sz w:val="16"/>
                                <w:szCs w:val="16"/>
                              </w:rPr>
                              <w:t xml:space="preserve"> the six Closing the Gap targets, and associated performance indicators.</w:t>
                            </w:r>
                          </w:p>
                        </w:txbxContent>
                      </v:textbox>
                      <w10:wrap anchorx="margin"/>
                    </v:shape>
                  </w:pict>
                </mc:Fallback>
              </mc:AlternateContent>
            </w:r>
            <w:r w:rsidR="00691239">
              <w:rPr>
                <w:noProof/>
              </w:rPr>
              <mc:AlternateContent>
                <mc:Choice Requires="wps">
                  <w:drawing>
                    <wp:anchor distT="0" distB="0" distL="114300" distR="114300" simplePos="0" relativeHeight="251674624" behindDoc="0" locked="0" layoutInCell="1" allowOverlap="1" wp14:anchorId="6BE6D454" wp14:editId="116C8ECF">
                      <wp:simplePos x="0" y="0"/>
                      <wp:positionH relativeFrom="column">
                        <wp:posOffset>1859280</wp:posOffset>
                      </wp:positionH>
                      <wp:positionV relativeFrom="paragraph">
                        <wp:posOffset>19685</wp:posOffset>
                      </wp:positionV>
                      <wp:extent cx="1584325" cy="1721485"/>
                      <wp:effectExtent l="0" t="0" r="15875" b="1206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325" cy="1721485"/>
                              </a:xfrm>
                              <a:prstGeom prst="rect">
                                <a:avLst/>
                              </a:prstGeom>
                              <a:solidFill>
                                <a:srgbClr val="5D805D"/>
                              </a:solidFill>
                              <a:ln w="12700">
                                <a:solidFill>
                                  <a:srgbClr val="5D805D"/>
                                </a:solidFill>
                                <a:miter lim="800000"/>
                                <a:headEnd/>
                                <a:tailEnd/>
                              </a:ln>
                            </wps:spPr>
                            <wps:txbx>
                              <w:txbxContent>
                                <w:p w:rsidR="008C7A2F" w:rsidRPr="007840E8" w:rsidRDefault="008C7A2F" w:rsidP="00AE7384">
                                  <w:pPr>
                                    <w:spacing w:after="60"/>
                                    <w:jc w:val="center"/>
                                    <w:rPr>
                                      <w:rFonts w:ascii="Tahoma" w:hAnsi="Tahoma" w:cs="Tahoma"/>
                                      <w:b/>
                                      <w:color w:val="FFFFFF" w:themeColor="background1"/>
                                      <w:sz w:val="16"/>
                                      <w:szCs w:val="16"/>
                                    </w:rPr>
                                  </w:pPr>
                                  <w:r w:rsidRPr="007840E8">
                                    <w:rPr>
                                      <w:rFonts w:ascii="Tahoma" w:hAnsi="Tahoma" w:cs="Tahoma"/>
                                      <w:b/>
                                      <w:color w:val="FFFFFF" w:themeColor="background1"/>
                                      <w:sz w:val="16"/>
                                      <w:szCs w:val="16"/>
                                    </w:rPr>
                                    <w:t>Indigenous Expenditure Report</w:t>
                                  </w:r>
                                </w:p>
                                <w:p w:rsidR="008C7A2F" w:rsidRPr="007840E8" w:rsidRDefault="008C7A2F" w:rsidP="00AE7384">
                                  <w:pPr>
                                    <w:spacing w:before="180" w:after="60"/>
                                    <w:jc w:val="center"/>
                                    <w:rPr>
                                      <w:rFonts w:ascii="Tahoma" w:hAnsi="Tahoma" w:cs="Tahoma"/>
                                      <w:color w:val="FFFFFF" w:themeColor="background1"/>
                                      <w:sz w:val="16"/>
                                      <w:szCs w:val="16"/>
                                    </w:rPr>
                                  </w:pPr>
                                  <w:r w:rsidRPr="007840E8">
                                    <w:rPr>
                                      <w:rFonts w:ascii="Tahoma" w:hAnsi="Tahoma" w:cs="Tahoma"/>
                                      <w:color w:val="FFFFFF" w:themeColor="background1"/>
                                      <w:sz w:val="16"/>
                                      <w:szCs w:val="16"/>
                                    </w:rPr>
                                    <w:t>Requested by</w:t>
                                  </w:r>
                                  <w:r w:rsidRPr="007840E8">
                                    <w:rPr>
                                      <w:rFonts w:ascii="Tahoma" w:hAnsi="Tahoma" w:cs="Tahoma"/>
                                      <w:b/>
                                      <w:color w:val="FFFFFF" w:themeColor="background1"/>
                                      <w:sz w:val="16"/>
                                      <w:szCs w:val="16"/>
                                    </w:rPr>
                                    <w:t xml:space="preserve"> COAG</w:t>
                                  </w:r>
                                </w:p>
                                <w:p w:rsidR="008C7A2F" w:rsidRPr="007840E8" w:rsidRDefault="008C7A2F" w:rsidP="00AE7384">
                                  <w:pPr>
                                    <w:spacing w:after="60"/>
                                    <w:jc w:val="center"/>
                                    <w:rPr>
                                      <w:rFonts w:ascii="Tahoma" w:hAnsi="Tahoma" w:cs="Tahoma"/>
                                      <w:b/>
                                      <w:color w:val="FFFFFF" w:themeColor="background1"/>
                                      <w:sz w:val="16"/>
                                      <w:szCs w:val="16"/>
                                    </w:rPr>
                                  </w:pPr>
                                  <w:r w:rsidRPr="007840E8">
                                    <w:rPr>
                                      <w:rFonts w:ascii="Tahoma" w:hAnsi="Tahoma" w:cs="Tahoma"/>
                                      <w:color w:val="FFFFFF" w:themeColor="background1"/>
                                      <w:sz w:val="16"/>
                                      <w:szCs w:val="16"/>
                                    </w:rPr>
                                    <w:t>Produced by</w:t>
                                  </w:r>
                                  <w:r w:rsidRPr="007840E8">
                                    <w:rPr>
                                      <w:rFonts w:ascii="Tahoma" w:hAnsi="Tahoma" w:cs="Tahoma"/>
                                      <w:b/>
                                      <w:color w:val="FFFFFF" w:themeColor="background1"/>
                                      <w:sz w:val="16"/>
                                      <w:szCs w:val="16"/>
                                    </w:rPr>
                                    <w:t xml:space="preserve"> SCRGSP</w:t>
                                  </w:r>
                                </w:p>
                                <w:p w:rsidR="008C7A2F" w:rsidRPr="007840E8" w:rsidRDefault="008C7A2F" w:rsidP="00AE7384">
                                  <w:pPr>
                                    <w:spacing w:after="60"/>
                                    <w:jc w:val="center"/>
                                    <w:rPr>
                                      <w:rFonts w:ascii="Tahoma" w:hAnsi="Tahoma" w:cs="Tahoma"/>
                                      <w:b/>
                                      <w:color w:val="FFFFFF" w:themeColor="background1"/>
                                      <w:sz w:val="16"/>
                                      <w:szCs w:val="16"/>
                                    </w:rPr>
                                  </w:pPr>
                                  <w:r w:rsidRPr="007840E8">
                                    <w:rPr>
                                      <w:rFonts w:ascii="Tahoma" w:hAnsi="Tahoma" w:cs="Tahoma"/>
                                      <w:color w:val="FFFFFF" w:themeColor="background1"/>
                                      <w:sz w:val="16"/>
                                      <w:szCs w:val="16"/>
                                    </w:rPr>
                                    <w:t>Frequency</w:t>
                                  </w:r>
                                  <w:r w:rsidRPr="007840E8">
                                    <w:rPr>
                                      <w:rFonts w:ascii="Tahoma" w:hAnsi="Tahoma" w:cs="Tahoma"/>
                                      <w:b/>
                                      <w:color w:val="FFFFFF" w:themeColor="background1"/>
                                      <w:sz w:val="16"/>
                                      <w:szCs w:val="16"/>
                                    </w:rPr>
                                    <w:t xml:space="preserve"> Biennial</w:t>
                                  </w:r>
                                </w:p>
                                <w:p w:rsidR="008C7A2F" w:rsidRPr="007840E8" w:rsidRDefault="008C7A2F" w:rsidP="00AE7384">
                                  <w:pPr>
                                    <w:spacing w:after="60"/>
                                    <w:jc w:val="center"/>
                                    <w:rPr>
                                      <w:rFonts w:ascii="Tahoma" w:hAnsi="Tahoma" w:cs="Tahoma"/>
                                      <w:color w:val="FFFFFF" w:themeColor="background1"/>
                                      <w:sz w:val="16"/>
                                      <w:szCs w:val="16"/>
                                    </w:rPr>
                                  </w:pPr>
                                  <w:r w:rsidRPr="007840E8">
                                    <w:rPr>
                                      <w:rFonts w:ascii="Tahoma" w:hAnsi="Tahoma" w:cs="Tahoma"/>
                                      <w:b/>
                                      <w:color w:val="FFFFFF" w:themeColor="background1"/>
                                      <w:sz w:val="16"/>
                                      <w:szCs w:val="16"/>
                                    </w:rPr>
                                    <w:t xml:space="preserve">Purpose: </w:t>
                                  </w:r>
                                  <w:r w:rsidRPr="007840E8">
                                    <w:rPr>
                                      <w:rFonts w:ascii="Tahoma" w:hAnsi="Tahoma" w:cs="Tahoma"/>
                                      <w:color w:val="FFFFFF" w:themeColor="background1"/>
                                      <w:sz w:val="16"/>
                                      <w:szCs w:val="16"/>
                                    </w:rPr>
                                    <w:t>Assist governments to understand levels and patterns of expenditure on services that relate to Indigenous Australians.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left:0;text-align:left;margin-left:146.4pt;margin-top:1.55pt;width:124.75pt;height:13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" fillcolor="#5d805d" strokecolor="#5d805d" strokeweight="1pt">
                      <v:textbox>
                        <w:txbxContent>
                          <w:p w:rsidR="008C7A2F" w:rsidRPr="007840E8" w:rsidRDefault="008C7A2F" w:rsidP="00AE7384">
                            <w:pPr>
                              <w:spacing w:after="60"/>
                              <w:jc w:val="center"/>
                              <w:rPr>
                                <w:rFonts w:ascii="Tahoma" w:hAnsi="Tahoma" w:cs="Tahoma"/>
                                <w:b/>
                                <w:color w:val="FFFFFF" w:themeColor="background1"/>
                                <w:sz w:val="16"/>
                                <w:szCs w:val="16"/>
                              </w:rPr>
                            </w:pPr>
                            <w:r w:rsidRPr="007840E8">
                              <w:rPr>
                                <w:rFonts w:ascii="Tahoma" w:hAnsi="Tahoma" w:cs="Tahoma"/>
                                <w:b/>
                                <w:color w:val="FFFFFF" w:themeColor="background1"/>
                                <w:sz w:val="16"/>
                                <w:szCs w:val="16"/>
                              </w:rPr>
                              <w:t>Indigenous Expenditure Report</w:t>
                            </w:r>
                          </w:p>
                          <w:p w:rsidR="008C7A2F" w:rsidRPr="007840E8" w:rsidRDefault="008C7A2F" w:rsidP="00AE7384">
                            <w:pPr>
                              <w:spacing w:before="180" w:after="60"/>
                              <w:jc w:val="center"/>
                              <w:rPr>
                                <w:rFonts w:ascii="Tahoma" w:hAnsi="Tahoma" w:cs="Tahoma"/>
                                <w:color w:val="FFFFFF" w:themeColor="background1"/>
                                <w:sz w:val="16"/>
                                <w:szCs w:val="16"/>
                              </w:rPr>
                            </w:pPr>
                            <w:r w:rsidRPr="007840E8">
                              <w:rPr>
                                <w:rFonts w:ascii="Tahoma" w:hAnsi="Tahoma" w:cs="Tahoma"/>
                                <w:color w:val="FFFFFF" w:themeColor="background1"/>
                                <w:sz w:val="16"/>
                                <w:szCs w:val="16"/>
                              </w:rPr>
                              <w:t>Requested by</w:t>
                            </w:r>
                            <w:r w:rsidRPr="007840E8">
                              <w:rPr>
                                <w:rFonts w:ascii="Tahoma" w:hAnsi="Tahoma" w:cs="Tahoma"/>
                                <w:b/>
                                <w:color w:val="FFFFFF" w:themeColor="background1"/>
                                <w:sz w:val="16"/>
                                <w:szCs w:val="16"/>
                              </w:rPr>
                              <w:t xml:space="preserve"> COAG</w:t>
                            </w:r>
                          </w:p>
                          <w:p w:rsidR="008C7A2F" w:rsidRPr="007840E8" w:rsidRDefault="008C7A2F" w:rsidP="00AE7384">
                            <w:pPr>
                              <w:spacing w:after="60"/>
                              <w:jc w:val="center"/>
                              <w:rPr>
                                <w:rFonts w:ascii="Tahoma" w:hAnsi="Tahoma" w:cs="Tahoma"/>
                                <w:b/>
                                <w:color w:val="FFFFFF" w:themeColor="background1"/>
                                <w:sz w:val="16"/>
                                <w:szCs w:val="16"/>
                              </w:rPr>
                            </w:pPr>
                            <w:r w:rsidRPr="007840E8">
                              <w:rPr>
                                <w:rFonts w:ascii="Tahoma" w:hAnsi="Tahoma" w:cs="Tahoma"/>
                                <w:color w:val="FFFFFF" w:themeColor="background1"/>
                                <w:sz w:val="16"/>
                                <w:szCs w:val="16"/>
                              </w:rPr>
                              <w:t>Produced by</w:t>
                            </w:r>
                            <w:r w:rsidRPr="007840E8">
                              <w:rPr>
                                <w:rFonts w:ascii="Tahoma" w:hAnsi="Tahoma" w:cs="Tahoma"/>
                                <w:b/>
                                <w:color w:val="FFFFFF" w:themeColor="background1"/>
                                <w:sz w:val="16"/>
                                <w:szCs w:val="16"/>
                              </w:rPr>
                              <w:t xml:space="preserve"> SCRGSP</w:t>
                            </w:r>
                          </w:p>
                          <w:p w:rsidR="008C7A2F" w:rsidRPr="007840E8" w:rsidRDefault="008C7A2F" w:rsidP="00AE7384">
                            <w:pPr>
                              <w:spacing w:after="60"/>
                              <w:jc w:val="center"/>
                              <w:rPr>
                                <w:rFonts w:ascii="Tahoma" w:hAnsi="Tahoma" w:cs="Tahoma"/>
                                <w:b/>
                                <w:color w:val="FFFFFF" w:themeColor="background1"/>
                                <w:sz w:val="16"/>
                                <w:szCs w:val="16"/>
                              </w:rPr>
                            </w:pPr>
                            <w:r w:rsidRPr="007840E8">
                              <w:rPr>
                                <w:rFonts w:ascii="Tahoma" w:hAnsi="Tahoma" w:cs="Tahoma"/>
                                <w:color w:val="FFFFFF" w:themeColor="background1"/>
                                <w:sz w:val="16"/>
                                <w:szCs w:val="16"/>
                              </w:rPr>
                              <w:t>Frequency</w:t>
                            </w:r>
                            <w:r w:rsidRPr="007840E8">
                              <w:rPr>
                                <w:rFonts w:ascii="Tahoma" w:hAnsi="Tahoma" w:cs="Tahoma"/>
                                <w:b/>
                                <w:color w:val="FFFFFF" w:themeColor="background1"/>
                                <w:sz w:val="16"/>
                                <w:szCs w:val="16"/>
                              </w:rPr>
                              <w:t xml:space="preserve"> Biennial</w:t>
                            </w:r>
                          </w:p>
                          <w:p w:rsidR="008C7A2F" w:rsidRPr="007840E8" w:rsidRDefault="008C7A2F" w:rsidP="00AE7384">
                            <w:pPr>
                              <w:spacing w:after="60"/>
                              <w:jc w:val="center"/>
                              <w:rPr>
                                <w:rFonts w:ascii="Tahoma" w:hAnsi="Tahoma" w:cs="Tahoma"/>
                                <w:color w:val="FFFFFF" w:themeColor="background1"/>
                                <w:sz w:val="16"/>
                                <w:szCs w:val="16"/>
                              </w:rPr>
                            </w:pPr>
                            <w:r w:rsidRPr="007840E8">
                              <w:rPr>
                                <w:rFonts w:ascii="Tahoma" w:hAnsi="Tahoma" w:cs="Tahoma"/>
                                <w:b/>
                                <w:color w:val="FFFFFF" w:themeColor="background1"/>
                                <w:sz w:val="16"/>
                                <w:szCs w:val="16"/>
                              </w:rPr>
                              <w:t xml:space="preserve">Purpose: </w:t>
                            </w:r>
                            <w:r w:rsidRPr="007840E8">
                              <w:rPr>
                                <w:rFonts w:ascii="Tahoma" w:hAnsi="Tahoma" w:cs="Tahoma"/>
                                <w:color w:val="FFFFFF" w:themeColor="background1"/>
                                <w:sz w:val="16"/>
                                <w:szCs w:val="16"/>
                              </w:rPr>
                              <w:t>Assist governments to understand levels and patterns of expenditure on services that relate to Indigenous Australians.</w:t>
                            </w:r>
                          </w:p>
                        </w:txbxContent>
                      </v:textbox>
                    </v:shape>
                  </w:pict>
                </mc:Fallback>
              </mc:AlternateContent>
            </w:r>
            <w:r w:rsidR="00691239">
              <w:rPr>
                <w:noProof/>
              </w:rPr>
              <mc:AlternateContent>
                <mc:Choice Requires="wps">
                  <w:drawing>
                    <wp:anchor distT="0" distB="0" distL="114300" distR="114300" simplePos="0" relativeHeight="251686912" behindDoc="0" locked="0" layoutInCell="1" allowOverlap="1" wp14:anchorId="0CAF4B15" wp14:editId="3BE01ABA">
                      <wp:simplePos x="0" y="0"/>
                      <wp:positionH relativeFrom="margin">
                        <wp:posOffset>-80373</wp:posOffset>
                      </wp:positionH>
                      <wp:positionV relativeFrom="paragraph">
                        <wp:posOffset>125483</wp:posOffset>
                      </wp:positionV>
                      <wp:extent cx="1876301" cy="1626870"/>
                      <wp:effectExtent l="0" t="0" r="1016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301" cy="1626870"/>
                              </a:xfrm>
                              <a:prstGeom prst="rect">
                                <a:avLst/>
                              </a:prstGeom>
                              <a:solidFill>
                                <a:srgbClr val="5D805D"/>
                              </a:solidFill>
                              <a:ln w="12700">
                                <a:solidFill>
                                  <a:srgbClr val="5D805D"/>
                                </a:solidFill>
                                <a:miter lim="800000"/>
                                <a:headEnd/>
                                <a:tailEnd/>
                              </a:ln>
                            </wps:spPr>
                            <wps:txbx>
                              <w:txbxContent>
                                <w:p w:rsidR="008C7A2F" w:rsidRPr="007840E8" w:rsidRDefault="008C7A2F" w:rsidP="00691239">
                                  <w:pPr>
                                    <w:spacing w:after="60"/>
                                    <w:jc w:val="center"/>
                                    <w:rPr>
                                      <w:rFonts w:ascii="Tahoma" w:hAnsi="Tahoma" w:cs="Tahoma"/>
                                      <w:color w:val="FFFFFF" w:themeColor="background1"/>
                                      <w:sz w:val="16"/>
                                      <w:szCs w:val="16"/>
                                    </w:rPr>
                                  </w:pPr>
                                  <w:r w:rsidRPr="007840E8">
                                    <w:rPr>
                                      <w:rFonts w:ascii="Tahoma" w:hAnsi="Tahoma" w:cs="Tahoma"/>
                                      <w:b/>
                                      <w:color w:val="FFFFFF" w:themeColor="background1"/>
                                      <w:sz w:val="16"/>
                                      <w:szCs w:val="16"/>
                                    </w:rPr>
                                    <w:t xml:space="preserve">Report on Government Services Indigenous Compendium </w:t>
                                  </w:r>
                                  <w:r w:rsidRPr="007840E8">
                                    <w:rPr>
                                      <w:rFonts w:ascii="Tahoma" w:hAnsi="Tahoma" w:cs="Tahoma"/>
                                      <w:color w:val="FFFFFF" w:themeColor="background1"/>
                                      <w:sz w:val="16"/>
                                      <w:szCs w:val="16"/>
                                    </w:rPr>
                                    <w:t xml:space="preserve">Requested by </w:t>
                                  </w:r>
                                  <w:r w:rsidRPr="007840E8">
                                    <w:rPr>
                                      <w:rFonts w:ascii="Tahoma" w:hAnsi="Tahoma" w:cs="Tahoma"/>
                                      <w:b/>
                                      <w:color w:val="FFFFFF" w:themeColor="background1"/>
                                      <w:sz w:val="16"/>
                                      <w:szCs w:val="16"/>
                                    </w:rPr>
                                    <w:t>COAG</w:t>
                                  </w:r>
                                </w:p>
                                <w:p w:rsidR="008C7A2F" w:rsidRPr="007840E8" w:rsidRDefault="008C7A2F" w:rsidP="00691239">
                                  <w:pPr>
                                    <w:spacing w:after="60"/>
                                    <w:jc w:val="center"/>
                                    <w:rPr>
                                      <w:rFonts w:ascii="Tahoma" w:hAnsi="Tahoma" w:cs="Tahoma"/>
                                      <w:b/>
                                      <w:color w:val="FFFFFF" w:themeColor="background1"/>
                                      <w:sz w:val="16"/>
                                      <w:szCs w:val="16"/>
                                    </w:rPr>
                                  </w:pPr>
                                  <w:r w:rsidRPr="007840E8">
                                    <w:rPr>
                                      <w:rFonts w:ascii="Tahoma" w:hAnsi="Tahoma" w:cs="Tahoma"/>
                                      <w:color w:val="FFFFFF" w:themeColor="background1"/>
                                      <w:sz w:val="16"/>
                                      <w:szCs w:val="16"/>
                                    </w:rPr>
                                    <w:t>Produced by</w:t>
                                  </w:r>
                                  <w:r w:rsidRPr="007840E8">
                                    <w:rPr>
                                      <w:rFonts w:ascii="Tahoma" w:hAnsi="Tahoma" w:cs="Tahoma"/>
                                      <w:b/>
                                      <w:color w:val="FFFFFF" w:themeColor="background1"/>
                                      <w:sz w:val="16"/>
                                      <w:szCs w:val="16"/>
                                    </w:rPr>
                                    <w:t xml:space="preserve"> SCRGSP</w:t>
                                  </w:r>
                                </w:p>
                                <w:p w:rsidR="008C7A2F" w:rsidRPr="007840E8" w:rsidRDefault="008C7A2F" w:rsidP="00691239">
                                  <w:pPr>
                                    <w:spacing w:after="60"/>
                                    <w:jc w:val="center"/>
                                    <w:rPr>
                                      <w:rFonts w:ascii="Tahoma" w:hAnsi="Tahoma" w:cs="Tahoma"/>
                                      <w:b/>
                                      <w:color w:val="FFFFFF" w:themeColor="background1"/>
                                      <w:sz w:val="16"/>
                                      <w:szCs w:val="16"/>
                                    </w:rPr>
                                  </w:pPr>
                                  <w:r w:rsidRPr="007840E8">
                                    <w:rPr>
                                      <w:rFonts w:ascii="Tahoma" w:hAnsi="Tahoma" w:cs="Tahoma"/>
                                      <w:color w:val="FFFFFF" w:themeColor="background1"/>
                                      <w:sz w:val="16"/>
                                      <w:szCs w:val="16"/>
                                    </w:rPr>
                                    <w:t>Frequency</w:t>
                                  </w:r>
                                  <w:r w:rsidRPr="007840E8">
                                    <w:rPr>
                                      <w:rFonts w:ascii="Tahoma" w:hAnsi="Tahoma" w:cs="Tahoma"/>
                                      <w:b/>
                                      <w:color w:val="FFFFFF" w:themeColor="background1"/>
                                      <w:sz w:val="16"/>
                                      <w:szCs w:val="16"/>
                                    </w:rPr>
                                    <w:t xml:space="preserve"> Annual</w:t>
                                  </w:r>
                                </w:p>
                                <w:p w:rsidR="008C7A2F" w:rsidRPr="007840E8" w:rsidRDefault="008C7A2F" w:rsidP="00691239">
                                  <w:pPr>
                                    <w:spacing w:after="60"/>
                                    <w:jc w:val="center"/>
                                    <w:rPr>
                                      <w:rFonts w:ascii="Tahoma" w:hAnsi="Tahoma" w:cs="Tahoma"/>
                                      <w:color w:val="FFFFFF" w:themeColor="background1"/>
                                      <w:sz w:val="16"/>
                                      <w:szCs w:val="16"/>
                                    </w:rPr>
                                  </w:pPr>
                                  <w:r w:rsidRPr="007840E8">
                                    <w:rPr>
                                      <w:rFonts w:ascii="Tahoma" w:hAnsi="Tahoma" w:cs="Tahoma"/>
                                      <w:b/>
                                      <w:color w:val="FFFFFF" w:themeColor="background1"/>
                                      <w:sz w:val="16"/>
                                      <w:szCs w:val="16"/>
                                    </w:rPr>
                                    <w:t xml:space="preserve">Purpose: </w:t>
                                  </w:r>
                                  <w:r w:rsidRPr="007840E8">
                                    <w:rPr>
                                      <w:rFonts w:ascii="Tahoma" w:hAnsi="Tahoma" w:cs="Tahoma"/>
                                      <w:color w:val="FFFFFF" w:themeColor="background1"/>
                                      <w:sz w:val="16"/>
                                      <w:szCs w:val="16"/>
                                    </w:rPr>
                                    <w:t>Performance of (mostly mainstream) government funded and/or provided services to Indigenous Australians.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left:0;text-align:left;margin-left:-6.35pt;margin-top:9.9pt;width:147.75pt;height:128.1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" fillcolor="#5d805d" strokecolor="#5d805d" strokeweight="1pt">
                      <v:textbox>
                        <w:txbxContent>
                          <w:p w:rsidR="008C7A2F" w:rsidRPr="007840E8" w:rsidRDefault="008C7A2F" w:rsidP="00691239">
                            <w:pPr>
                              <w:spacing w:after="60"/>
                              <w:jc w:val="center"/>
                              <w:rPr>
                                <w:rFonts w:ascii="Tahoma" w:hAnsi="Tahoma" w:cs="Tahoma"/>
                                <w:color w:val="FFFFFF" w:themeColor="background1"/>
                                <w:sz w:val="16"/>
                                <w:szCs w:val="16"/>
                              </w:rPr>
                            </w:pPr>
                            <w:r w:rsidRPr="007840E8">
                              <w:rPr>
                                <w:rFonts w:ascii="Tahoma" w:hAnsi="Tahoma" w:cs="Tahoma"/>
                                <w:b/>
                                <w:color w:val="FFFFFF" w:themeColor="background1"/>
                                <w:sz w:val="16"/>
                                <w:szCs w:val="16"/>
                              </w:rPr>
                              <w:t xml:space="preserve">Report on Government Services Indigenous Compendium </w:t>
                            </w:r>
                            <w:r w:rsidRPr="007840E8">
                              <w:rPr>
                                <w:rFonts w:ascii="Tahoma" w:hAnsi="Tahoma" w:cs="Tahoma"/>
                                <w:color w:val="FFFFFF" w:themeColor="background1"/>
                                <w:sz w:val="16"/>
                                <w:szCs w:val="16"/>
                              </w:rPr>
                              <w:t xml:space="preserve">Requested by </w:t>
                            </w:r>
                            <w:r w:rsidRPr="007840E8">
                              <w:rPr>
                                <w:rFonts w:ascii="Tahoma" w:hAnsi="Tahoma" w:cs="Tahoma"/>
                                <w:b/>
                                <w:color w:val="FFFFFF" w:themeColor="background1"/>
                                <w:sz w:val="16"/>
                                <w:szCs w:val="16"/>
                              </w:rPr>
                              <w:t>COAG</w:t>
                            </w:r>
                          </w:p>
                          <w:p w:rsidR="008C7A2F" w:rsidRPr="007840E8" w:rsidRDefault="008C7A2F" w:rsidP="00691239">
                            <w:pPr>
                              <w:spacing w:after="60"/>
                              <w:jc w:val="center"/>
                              <w:rPr>
                                <w:rFonts w:ascii="Tahoma" w:hAnsi="Tahoma" w:cs="Tahoma"/>
                                <w:b/>
                                <w:color w:val="FFFFFF" w:themeColor="background1"/>
                                <w:sz w:val="16"/>
                                <w:szCs w:val="16"/>
                              </w:rPr>
                            </w:pPr>
                            <w:r w:rsidRPr="007840E8">
                              <w:rPr>
                                <w:rFonts w:ascii="Tahoma" w:hAnsi="Tahoma" w:cs="Tahoma"/>
                                <w:color w:val="FFFFFF" w:themeColor="background1"/>
                                <w:sz w:val="16"/>
                                <w:szCs w:val="16"/>
                              </w:rPr>
                              <w:t>Produced by</w:t>
                            </w:r>
                            <w:r w:rsidRPr="007840E8">
                              <w:rPr>
                                <w:rFonts w:ascii="Tahoma" w:hAnsi="Tahoma" w:cs="Tahoma"/>
                                <w:b/>
                                <w:color w:val="FFFFFF" w:themeColor="background1"/>
                                <w:sz w:val="16"/>
                                <w:szCs w:val="16"/>
                              </w:rPr>
                              <w:t xml:space="preserve"> SCRGSP</w:t>
                            </w:r>
                          </w:p>
                          <w:p w:rsidR="008C7A2F" w:rsidRPr="007840E8" w:rsidRDefault="008C7A2F" w:rsidP="00691239">
                            <w:pPr>
                              <w:spacing w:after="60"/>
                              <w:jc w:val="center"/>
                              <w:rPr>
                                <w:rFonts w:ascii="Tahoma" w:hAnsi="Tahoma" w:cs="Tahoma"/>
                                <w:b/>
                                <w:color w:val="FFFFFF" w:themeColor="background1"/>
                                <w:sz w:val="16"/>
                                <w:szCs w:val="16"/>
                              </w:rPr>
                            </w:pPr>
                            <w:r w:rsidRPr="007840E8">
                              <w:rPr>
                                <w:rFonts w:ascii="Tahoma" w:hAnsi="Tahoma" w:cs="Tahoma"/>
                                <w:color w:val="FFFFFF" w:themeColor="background1"/>
                                <w:sz w:val="16"/>
                                <w:szCs w:val="16"/>
                              </w:rPr>
                              <w:t>Frequency</w:t>
                            </w:r>
                            <w:r w:rsidRPr="007840E8">
                              <w:rPr>
                                <w:rFonts w:ascii="Tahoma" w:hAnsi="Tahoma" w:cs="Tahoma"/>
                                <w:b/>
                                <w:color w:val="FFFFFF" w:themeColor="background1"/>
                                <w:sz w:val="16"/>
                                <w:szCs w:val="16"/>
                              </w:rPr>
                              <w:t xml:space="preserve"> Annual</w:t>
                            </w:r>
                          </w:p>
                          <w:p w:rsidR="008C7A2F" w:rsidRPr="007840E8" w:rsidRDefault="008C7A2F" w:rsidP="00691239">
                            <w:pPr>
                              <w:spacing w:after="60"/>
                              <w:jc w:val="center"/>
                              <w:rPr>
                                <w:rFonts w:ascii="Tahoma" w:hAnsi="Tahoma" w:cs="Tahoma"/>
                                <w:color w:val="FFFFFF" w:themeColor="background1"/>
                                <w:sz w:val="16"/>
                                <w:szCs w:val="16"/>
                              </w:rPr>
                            </w:pPr>
                            <w:r w:rsidRPr="007840E8">
                              <w:rPr>
                                <w:rFonts w:ascii="Tahoma" w:hAnsi="Tahoma" w:cs="Tahoma"/>
                                <w:b/>
                                <w:color w:val="FFFFFF" w:themeColor="background1"/>
                                <w:sz w:val="16"/>
                                <w:szCs w:val="16"/>
                              </w:rPr>
                              <w:t xml:space="preserve">Purpose: </w:t>
                            </w:r>
                            <w:r w:rsidRPr="007840E8">
                              <w:rPr>
                                <w:rFonts w:ascii="Tahoma" w:hAnsi="Tahoma" w:cs="Tahoma"/>
                                <w:color w:val="FFFFFF" w:themeColor="background1"/>
                                <w:sz w:val="16"/>
                                <w:szCs w:val="16"/>
                              </w:rPr>
                              <w:t>Performance of (mostly mainstream) government funded and/or provided services to Indigenous Australians.</w:t>
                            </w:r>
                          </w:p>
                        </w:txbxContent>
                      </v:textbox>
                      <w10:wrap anchorx="margin"/>
                    </v:shape>
                  </w:pict>
                </mc:Fallback>
              </mc:AlternateContent>
            </w:r>
            <w:r w:rsidR="002C5594">
              <w:rPr>
                <w:noProof/>
              </w:rPr>
              <mc:AlternateContent>
                <mc:Choice Requires="wps">
                  <w:drawing>
                    <wp:anchor distT="0" distB="0" distL="114300" distR="114300" simplePos="0" relativeHeight="251677696" behindDoc="0" locked="0" layoutInCell="1" allowOverlap="1" wp14:anchorId="1F6E30F5" wp14:editId="6158E33F">
                      <wp:simplePos x="0" y="0"/>
                      <wp:positionH relativeFrom="column">
                        <wp:posOffset>1510665</wp:posOffset>
                      </wp:positionH>
                      <wp:positionV relativeFrom="paragraph">
                        <wp:posOffset>1811655</wp:posOffset>
                      </wp:positionV>
                      <wp:extent cx="2286000" cy="1994535"/>
                      <wp:effectExtent l="19050" t="19050" r="19050" b="2476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994535"/>
                              </a:xfrm>
                              <a:prstGeom prst="rect">
                                <a:avLst/>
                              </a:prstGeom>
                              <a:solidFill>
                                <a:srgbClr val="CA5A2B"/>
                              </a:solidFill>
                              <a:ln w="38100">
                                <a:solidFill>
                                  <a:srgbClr val="CA5A2B"/>
                                </a:solidFill>
                                <a:miter lim="800000"/>
                                <a:headEnd/>
                                <a:tailEnd/>
                              </a:ln>
                            </wps:spPr>
                            <wps:txbx>
                              <w:txbxContent>
                                <w:p w:rsidR="008C7A2F" w:rsidRPr="007840E8" w:rsidRDefault="008C7A2F" w:rsidP="00AE7384">
                                  <w:pPr>
                                    <w:spacing w:after="60"/>
                                    <w:jc w:val="center"/>
                                    <w:rPr>
                                      <w:rFonts w:ascii="Tahoma" w:hAnsi="Tahoma" w:cs="Tahoma"/>
                                      <w:b/>
                                      <w:color w:val="FFFFFF" w:themeColor="background1"/>
                                      <w:sz w:val="16"/>
                                      <w:szCs w:val="16"/>
                                    </w:rPr>
                                  </w:pPr>
                                  <w:r w:rsidRPr="007840E8">
                                    <w:rPr>
                                      <w:rFonts w:ascii="Tahoma" w:hAnsi="Tahoma" w:cs="Tahoma"/>
                                      <w:b/>
                                      <w:color w:val="FFFFFF" w:themeColor="background1"/>
                                      <w:sz w:val="16"/>
                                      <w:szCs w:val="16"/>
                                    </w:rPr>
                                    <w:t>Overcoming Indigenous Disadvantage</w:t>
                                  </w:r>
                                </w:p>
                                <w:p w:rsidR="008C7A2F" w:rsidRPr="007840E8" w:rsidRDefault="008C7A2F" w:rsidP="00AE7384">
                                  <w:pPr>
                                    <w:spacing w:before="60" w:after="60"/>
                                    <w:jc w:val="center"/>
                                    <w:rPr>
                                      <w:rFonts w:ascii="Tahoma" w:hAnsi="Tahoma" w:cs="Tahoma"/>
                                      <w:color w:val="FFFFFF" w:themeColor="background1"/>
                                      <w:sz w:val="16"/>
                                      <w:szCs w:val="16"/>
                                    </w:rPr>
                                  </w:pPr>
                                  <w:r w:rsidRPr="007840E8">
                                    <w:rPr>
                                      <w:rFonts w:ascii="Tahoma" w:hAnsi="Tahoma" w:cs="Tahoma"/>
                                      <w:color w:val="FFFFFF" w:themeColor="background1"/>
                                      <w:sz w:val="16"/>
                                      <w:szCs w:val="16"/>
                                    </w:rPr>
                                    <w:t xml:space="preserve">Requested by </w:t>
                                  </w:r>
                                  <w:r w:rsidRPr="007840E8">
                                    <w:rPr>
                                      <w:rFonts w:ascii="Tahoma" w:hAnsi="Tahoma" w:cs="Tahoma"/>
                                      <w:b/>
                                      <w:color w:val="FFFFFF" w:themeColor="background1"/>
                                      <w:sz w:val="16"/>
                                      <w:szCs w:val="16"/>
                                    </w:rPr>
                                    <w:t>COAG</w:t>
                                  </w:r>
                                </w:p>
                                <w:p w:rsidR="008C7A2F" w:rsidRPr="007840E8" w:rsidRDefault="008C7A2F" w:rsidP="00AE7384">
                                  <w:pPr>
                                    <w:spacing w:after="60"/>
                                    <w:jc w:val="center"/>
                                    <w:rPr>
                                      <w:rFonts w:ascii="Tahoma" w:hAnsi="Tahoma" w:cs="Tahoma"/>
                                      <w:b/>
                                      <w:color w:val="FFFFFF" w:themeColor="background1"/>
                                      <w:sz w:val="16"/>
                                      <w:szCs w:val="16"/>
                                    </w:rPr>
                                  </w:pPr>
                                  <w:r w:rsidRPr="007840E8">
                                    <w:rPr>
                                      <w:rFonts w:ascii="Tahoma" w:hAnsi="Tahoma" w:cs="Tahoma"/>
                                      <w:color w:val="FFFFFF" w:themeColor="background1"/>
                                      <w:sz w:val="16"/>
                                      <w:szCs w:val="16"/>
                                    </w:rPr>
                                    <w:t>Produced by</w:t>
                                  </w:r>
                                  <w:r w:rsidRPr="007840E8">
                                    <w:rPr>
                                      <w:rFonts w:ascii="Tahoma" w:hAnsi="Tahoma" w:cs="Tahoma"/>
                                      <w:b/>
                                      <w:color w:val="FFFFFF" w:themeColor="background1"/>
                                      <w:sz w:val="16"/>
                                      <w:szCs w:val="16"/>
                                    </w:rPr>
                                    <w:t xml:space="preserve"> SCRGSP</w:t>
                                  </w:r>
                                </w:p>
                                <w:p w:rsidR="008C7A2F" w:rsidRPr="007840E8" w:rsidRDefault="008C7A2F" w:rsidP="00AE7384">
                                  <w:pPr>
                                    <w:spacing w:after="60"/>
                                    <w:jc w:val="center"/>
                                    <w:rPr>
                                      <w:rFonts w:ascii="Tahoma" w:hAnsi="Tahoma" w:cs="Tahoma"/>
                                      <w:b/>
                                      <w:color w:val="FFFFFF" w:themeColor="background1"/>
                                      <w:sz w:val="16"/>
                                      <w:szCs w:val="16"/>
                                    </w:rPr>
                                  </w:pPr>
                                  <w:r w:rsidRPr="007840E8">
                                    <w:rPr>
                                      <w:rFonts w:ascii="Tahoma" w:hAnsi="Tahoma" w:cs="Tahoma"/>
                                      <w:color w:val="FFFFFF" w:themeColor="background1"/>
                                      <w:sz w:val="16"/>
                                      <w:szCs w:val="16"/>
                                    </w:rPr>
                                    <w:t>Frequency</w:t>
                                  </w:r>
                                  <w:r w:rsidRPr="007840E8">
                                    <w:rPr>
                                      <w:rFonts w:ascii="Tahoma" w:hAnsi="Tahoma" w:cs="Tahoma"/>
                                      <w:b/>
                                      <w:color w:val="FFFFFF" w:themeColor="background1"/>
                                      <w:sz w:val="16"/>
                                      <w:szCs w:val="16"/>
                                    </w:rPr>
                                    <w:t xml:space="preserve"> Biennial</w:t>
                                  </w:r>
                                </w:p>
                                <w:p w:rsidR="008C7A2F" w:rsidRPr="007840E8" w:rsidRDefault="008C7A2F" w:rsidP="00AE7384">
                                  <w:pPr>
                                    <w:spacing w:after="60"/>
                                    <w:jc w:val="center"/>
                                    <w:rPr>
                                      <w:rFonts w:ascii="Tahoma" w:hAnsi="Tahoma" w:cs="Tahoma"/>
                                      <w:b/>
                                      <w:color w:val="FFFFFF" w:themeColor="background1"/>
                                      <w:sz w:val="16"/>
                                      <w:szCs w:val="16"/>
                                    </w:rPr>
                                  </w:pPr>
                                  <w:r w:rsidRPr="007840E8">
                                    <w:rPr>
                                      <w:rFonts w:ascii="Tahoma" w:hAnsi="Tahoma" w:cs="Tahoma"/>
                                      <w:b/>
                                      <w:color w:val="FFFFFF" w:themeColor="background1"/>
                                      <w:sz w:val="16"/>
                                      <w:szCs w:val="16"/>
                                    </w:rPr>
                                    <w:t>Purpose</w:t>
                                  </w:r>
                                </w:p>
                                <w:p w:rsidR="008C7A2F" w:rsidRPr="007840E8" w:rsidRDefault="008C7A2F" w:rsidP="00AE7384">
                                  <w:pPr>
                                    <w:spacing w:after="60"/>
                                    <w:jc w:val="center"/>
                                    <w:rPr>
                                      <w:rFonts w:ascii="Tahoma" w:hAnsi="Tahoma" w:cs="Tahoma"/>
                                      <w:color w:val="FFFFFF" w:themeColor="background1"/>
                                      <w:sz w:val="16"/>
                                      <w:szCs w:val="16"/>
                                    </w:rPr>
                                  </w:pPr>
                                  <w:r w:rsidRPr="007840E8">
                                    <w:rPr>
                                      <w:rFonts w:ascii="Tahoma" w:hAnsi="Tahoma" w:cs="Tahoma"/>
                                      <w:color w:val="FFFFFF" w:themeColor="background1"/>
                                      <w:sz w:val="16"/>
                                      <w:szCs w:val="16"/>
                                    </w:rPr>
                                    <w:t>The nationally recognised set of indicators on the wellbeing of Australia’s Indigenous peoples.</w:t>
                                  </w:r>
                                </w:p>
                                <w:p w:rsidR="008C7A2F" w:rsidRPr="007840E8" w:rsidRDefault="008C7A2F" w:rsidP="00AE7384">
                                  <w:pPr>
                                    <w:jc w:val="center"/>
                                    <w:rPr>
                                      <w:rFonts w:ascii="Tahoma" w:hAnsi="Tahoma" w:cs="Tahoma"/>
                                      <w:b/>
                                      <w:color w:val="FFFFFF" w:themeColor="background1"/>
                                      <w:sz w:val="16"/>
                                      <w:szCs w:val="16"/>
                                    </w:rPr>
                                  </w:pPr>
                                  <w:r w:rsidRPr="007840E8">
                                    <w:rPr>
                                      <w:rFonts w:ascii="Tahoma" w:hAnsi="Tahoma" w:cs="Tahoma"/>
                                      <w:b/>
                                      <w:color w:val="FFFFFF" w:themeColor="background1"/>
                                      <w:sz w:val="16"/>
                                      <w:szCs w:val="16"/>
                                    </w:rPr>
                                    <w:t>Content</w:t>
                                  </w:r>
                                </w:p>
                                <w:p w:rsidR="008C7A2F" w:rsidRPr="007840E8" w:rsidRDefault="008C7A2F" w:rsidP="00AE7384">
                                  <w:pPr>
                                    <w:spacing w:after="60"/>
                                    <w:jc w:val="center"/>
                                    <w:rPr>
                                      <w:rFonts w:ascii="Tahoma" w:hAnsi="Tahoma" w:cs="Tahoma"/>
                                      <w:color w:val="FFFFFF" w:themeColor="background1"/>
                                      <w:sz w:val="16"/>
                                      <w:szCs w:val="16"/>
                                    </w:rPr>
                                  </w:pPr>
                                  <w:r w:rsidRPr="007840E8">
                                    <w:rPr>
                                      <w:rFonts w:ascii="Tahoma" w:hAnsi="Tahoma" w:cs="Tahoma"/>
                                      <w:color w:val="FFFFFF" w:themeColor="background1"/>
                                      <w:sz w:val="16"/>
                                      <w:szCs w:val="16"/>
                                    </w:rPr>
                                    <w:t>Strategic framework of outcome indicators, whole of government perspective to achievement of</w:t>
                                  </w:r>
                                  <w:r w:rsidRPr="007840E8">
                                    <w:rPr>
                                      <w:color w:val="FFFFFF" w:themeColor="background1"/>
                                      <w:sz w:val="16"/>
                                      <w:szCs w:val="16"/>
                                      <w:lang w:eastAsia="en-US"/>
                                    </w:rPr>
                                    <w:t xml:space="preserve"> </w:t>
                                  </w:r>
                                  <w:r w:rsidRPr="007840E8">
                                    <w:rPr>
                                      <w:rFonts w:ascii="Tahoma" w:hAnsi="Tahoma" w:cs="Tahoma"/>
                                      <w:color w:val="FFFFFF" w:themeColor="background1"/>
                                      <w:sz w:val="16"/>
                                      <w:szCs w:val="16"/>
                                    </w:rPr>
                                    <w:t>agreed priority outcomes.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left:0;text-align:left;margin-left:118.95pt;margin-top:142.65pt;width:180pt;height:15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" fillcolor="#ca5a2b" strokecolor="#ca5a2b" strokeweight="3pt">
                      <v:textbox>
                        <w:txbxContent>
                          <w:p w:rsidR="008C7A2F" w:rsidRPr="007840E8" w:rsidRDefault="008C7A2F" w:rsidP="00AE7384">
                            <w:pPr>
                              <w:spacing w:after="60"/>
                              <w:jc w:val="center"/>
                              <w:rPr>
                                <w:rFonts w:ascii="Tahoma" w:hAnsi="Tahoma" w:cs="Tahoma"/>
                                <w:b/>
                                <w:color w:val="FFFFFF" w:themeColor="background1"/>
                                <w:sz w:val="16"/>
                                <w:szCs w:val="16"/>
                              </w:rPr>
                            </w:pPr>
                            <w:r w:rsidRPr="007840E8">
                              <w:rPr>
                                <w:rFonts w:ascii="Tahoma" w:hAnsi="Tahoma" w:cs="Tahoma"/>
                                <w:b/>
                                <w:color w:val="FFFFFF" w:themeColor="background1"/>
                                <w:sz w:val="16"/>
                                <w:szCs w:val="16"/>
                              </w:rPr>
                              <w:t>Overcoming Indigenous Disadvantage</w:t>
                            </w:r>
                          </w:p>
                          <w:p w:rsidR="008C7A2F" w:rsidRPr="007840E8" w:rsidRDefault="008C7A2F" w:rsidP="00AE7384">
                            <w:pPr>
                              <w:spacing w:before="60" w:after="60"/>
                              <w:jc w:val="center"/>
                              <w:rPr>
                                <w:rFonts w:ascii="Tahoma" w:hAnsi="Tahoma" w:cs="Tahoma"/>
                                <w:color w:val="FFFFFF" w:themeColor="background1"/>
                                <w:sz w:val="16"/>
                                <w:szCs w:val="16"/>
                              </w:rPr>
                            </w:pPr>
                            <w:r w:rsidRPr="007840E8">
                              <w:rPr>
                                <w:rFonts w:ascii="Tahoma" w:hAnsi="Tahoma" w:cs="Tahoma"/>
                                <w:color w:val="FFFFFF" w:themeColor="background1"/>
                                <w:sz w:val="16"/>
                                <w:szCs w:val="16"/>
                              </w:rPr>
                              <w:t xml:space="preserve">Requested by </w:t>
                            </w:r>
                            <w:r w:rsidRPr="007840E8">
                              <w:rPr>
                                <w:rFonts w:ascii="Tahoma" w:hAnsi="Tahoma" w:cs="Tahoma"/>
                                <w:b/>
                                <w:color w:val="FFFFFF" w:themeColor="background1"/>
                                <w:sz w:val="16"/>
                                <w:szCs w:val="16"/>
                              </w:rPr>
                              <w:t>COAG</w:t>
                            </w:r>
                          </w:p>
                          <w:p w:rsidR="008C7A2F" w:rsidRPr="007840E8" w:rsidRDefault="008C7A2F" w:rsidP="00AE7384">
                            <w:pPr>
                              <w:spacing w:after="60"/>
                              <w:jc w:val="center"/>
                              <w:rPr>
                                <w:rFonts w:ascii="Tahoma" w:hAnsi="Tahoma" w:cs="Tahoma"/>
                                <w:b/>
                                <w:color w:val="FFFFFF" w:themeColor="background1"/>
                                <w:sz w:val="16"/>
                                <w:szCs w:val="16"/>
                              </w:rPr>
                            </w:pPr>
                            <w:r w:rsidRPr="007840E8">
                              <w:rPr>
                                <w:rFonts w:ascii="Tahoma" w:hAnsi="Tahoma" w:cs="Tahoma"/>
                                <w:color w:val="FFFFFF" w:themeColor="background1"/>
                                <w:sz w:val="16"/>
                                <w:szCs w:val="16"/>
                              </w:rPr>
                              <w:t>Produced by</w:t>
                            </w:r>
                            <w:r w:rsidRPr="007840E8">
                              <w:rPr>
                                <w:rFonts w:ascii="Tahoma" w:hAnsi="Tahoma" w:cs="Tahoma"/>
                                <w:b/>
                                <w:color w:val="FFFFFF" w:themeColor="background1"/>
                                <w:sz w:val="16"/>
                                <w:szCs w:val="16"/>
                              </w:rPr>
                              <w:t xml:space="preserve"> SCRGSP</w:t>
                            </w:r>
                          </w:p>
                          <w:p w:rsidR="008C7A2F" w:rsidRPr="007840E8" w:rsidRDefault="008C7A2F" w:rsidP="00AE7384">
                            <w:pPr>
                              <w:spacing w:after="60"/>
                              <w:jc w:val="center"/>
                              <w:rPr>
                                <w:rFonts w:ascii="Tahoma" w:hAnsi="Tahoma" w:cs="Tahoma"/>
                                <w:b/>
                                <w:color w:val="FFFFFF" w:themeColor="background1"/>
                                <w:sz w:val="16"/>
                                <w:szCs w:val="16"/>
                              </w:rPr>
                            </w:pPr>
                            <w:r w:rsidRPr="007840E8">
                              <w:rPr>
                                <w:rFonts w:ascii="Tahoma" w:hAnsi="Tahoma" w:cs="Tahoma"/>
                                <w:color w:val="FFFFFF" w:themeColor="background1"/>
                                <w:sz w:val="16"/>
                                <w:szCs w:val="16"/>
                              </w:rPr>
                              <w:t>Frequency</w:t>
                            </w:r>
                            <w:r w:rsidRPr="007840E8">
                              <w:rPr>
                                <w:rFonts w:ascii="Tahoma" w:hAnsi="Tahoma" w:cs="Tahoma"/>
                                <w:b/>
                                <w:color w:val="FFFFFF" w:themeColor="background1"/>
                                <w:sz w:val="16"/>
                                <w:szCs w:val="16"/>
                              </w:rPr>
                              <w:t xml:space="preserve"> Biennial</w:t>
                            </w:r>
                          </w:p>
                          <w:p w:rsidR="008C7A2F" w:rsidRPr="007840E8" w:rsidRDefault="008C7A2F" w:rsidP="00AE7384">
                            <w:pPr>
                              <w:spacing w:after="60"/>
                              <w:jc w:val="center"/>
                              <w:rPr>
                                <w:rFonts w:ascii="Tahoma" w:hAnsi="Tahoma" w:cs="Tahoma"/>
                                <w:b/>
                                <w:color w:val="FFFFFF" w:themeColor="background1"/>
                                <w:sz w:val="16"/>
                                <w:szCs w:val="16"/>
                              </w:rPr>
                            </w:pPr>
                            <w:r w:rsidRPr="007840E8">
                              <w:rPr>
                                <w:rFonts w:ascii="Tahoma" w:hAnsi="Tahoma" w:cs="Tahoma"/>
                                <w:b/>
                                <w:color w:val="FFFFFF" w:themeColor="background1"/>
                                <w:sz w:val="16"/>
                                <w:szCs w:val="16"/>
                              </w:rPr>
                              <w:t>Purpose</w:t>
                            </w:r>
                          </w:p>
                          <w:p w:rsidR="008C7A2F" w:rsidRPr="007840E8" w:rsidRDefault="008C7A2F" w:rsidP="00AE7384">
                            <w:pPr>
                              <w:spacing w:after="60"/>
                              <w:jc w:val="center"/>
                              <w:rPr>
                                <w:rFonts w:ascii="Tahoma" w:hAnsi="Tahoma" w:cs="Tahoma"/>
                                <w:color w:val="FFFFFF" w:themeColor="background1"/>
                                <w:sz w:val="16"/>
                                <w:szCs w:val="16"/>
                              </w:rPr>
                            </w:pPr>
                            <w:r w:rsidRPr="007840E8">
                              <w:rPr>
                                <w:rFonts w:ascii="Tahoma" w:hAnsi="Tahoma" w:cs="Tahoma"/>
                                <w:color w:val="FFFFFF" w:themeColor="background1"/>
                                <w:sz w:val="16"/>
                                <w:szCs w:val="16"/>
                              </w:rPr>
                              <w:t>The nationally recognised set of indicators on the wellbeing of Australia’s Indigenous peoples.</w:t>
                            </w:r>
                          </w:p>
                          <w:p w:rsidR="008C7A2F" w:rsidRPr="007840E8" w:rsidRDefault="008C7A2F" w:rsidP="00AE7384">
                            <w:pPr>
                              <w:jc w:val="center"/>
                              <w:rPr>
                                <w:rFonts w:ascii="Tahoma" w:hAnsi="Tahoma" w:cs="Tahoma"/>
                                <w:b/>
                                <w:color w:val="FFFFFF" w:themeColor="background1"/>
                                <w:sz w:val="16"/>
                                <w:szCs w:val="16"/>
                              </w:rPr>
                            </w:pPr>
                            <w:r w:rsidRPr="007840E8">
                              <w:rPr>
                                <w:rFonts w:ascii="Tahoma" w:hAnsi="Tahoma" w:cs="Tahoma"/>
                                <w:b/>
                                <w:color w:val="FFFFFF" w:themeColor="background1"/>
                                <w:sz w:val="16"/>
                                <w:szCs w:val="16"/>
                              </w:rPr>
                              <w:t>Content</w:t>
                            </w:r>
                          </w:p>
                          <w:p w:rsidR="008C7A2F" w:rsidRPr="007840E8" w:rsidRDefault="008C7A2F" w:rsidP="00AE7384">
                            <w:pPr>
                              <w:spacing w:after="60"/>
                              <w:jc w:val="center"/>
                              <w:rPr>
                                <w:rFonts w:ascii="Tahoma" w:hAnsi="Tahoma" w:cs="Tahoma"/>
                                <w:color w:val="FFFFFF" w:themeColor="background1"/>
                                <w:sz w:val="16"/>
                                <w:szCs w:val="16"/>
                              </w:rPr>
                            </w:pPr>
                            <w:r w:rsidRPr="007840E8">
                              <w:rPr>
                                <w:rFonts w:ascii="Tahoma" w:hAnsi="Tahoma" w:cs="Tahoma"/>
                                <w:color w:val="FFFFFF" w:themeColor="background1"/>
                                <w:sz w:val="16"/>
                                <w:szCs w:val="16"/>
                              </w:rPr>
                              <w:t>Strategic framework of outcome indicators, whole of government perspective to achievement of</w:t>
                            </w:r>
                            <w:r w:rsidRPr="007840E8">
                              <w:rPr>
                                <w:color w:val="FFFFFF" w:themeColor="background1"/>
                                <w:sz w:val="16"/>
                                <w:szCs w:val="16"/>
                                <w:lang w:eastAsia="en-US"/>
                              </w:rPr>
                              <w:t xml:space="preserve"> </w:t>
                            </w:r>
                            <w:r w:rsidRPr="007840E8">
                              <w:rPr>
                                <w:rFonts w:ascii="Tahoma" w:hAnsi="Tahoma" w:cs="Tahoma"/>
                                <w:color w:val="FFFFFF" w:themeColor="background1"/>
                                <w:sz w:val="16"/>
                                <w:szCs w:val="16"/>
                              </w:rPr>
                              <w:t>agreed priority outcomes.</w:t>
                            </w:r>
                          </w:p>
                        </w:txbxContent>
                      </v:textbox>
                    </v:shape>
                  </w:pict>
                </mc:Fallback>
              </mc:AlternateContent>
            </w:r>
            <w:r w:rsidR="002C5594">
              <w:rPr>
                <w:noProof/>
              </w:rPr>
              <mc:AlternateContent>
                <mc:Choice Requires="wps">
                  <w:drawing>
                    <wp:anchor distT="0" distB="0" distL="114300" distR="114300" simplePos="0" relativeHeight="251676672" behindDoc="0" locked="0" layoutInCell="1" allowOverlap="1" wp14:anchorId="2A12C33A" wp14:editId="2CD84BA8">
                      <wp:simplePos x="0" y="0"/>
                      <wp:positionH relativeFrom="column">
                        <wp:posOffset>-76200</wp:posOffset>
                      </wp:positionH>
                      <wp:positionV relativeFrom="paragraph">
                        <wp:posOffset>1880235</wp:posOffset>
                      </wp:positionV>
                      <wp:extent cx="1499870" cy="1922780"/>
                      <wp:effectExtent l="0" t="0" r="24130" b="2032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1922780"/>
                              </a:xfrm>
                              <a:prstGeom prst="rect">
                                <a:avLst/>
                              </a:prstGeom>
                              <a:solidFill>
                                <a:srgbClr val="5D805D"/>
                              </a:solidFill>
                              <a:ln w="12700">
                                <a:solidFill>
                                  <a:srgbClr val="5D805D"/>
                                </a:solidFill>
                                <a:miter lim="800000"/>
                                <a:headEnd/>
                                <a:tailEnd/>
                              </a:ln>
                            </wps:spPr>
                            <wps:txbx>
                              <w:txbxContent>
                                <w:p w:rsidR="008C7A2F" w:rsidRPr="007840E8" w:rsidRDefault="008C7A2F" w:rsidP="00AE7384">
                                  <w:pPr>
                                    <w:spacing w:after="60"/>
                                    <w:jc w:val="center"/>
                                    <w:rPr>
                                      <w:rFonts w:ascii="Tahoma" w:hAnsi="Tahoma" w:cs="Tahoma"/>
                                      <w:b/>
                                      <w:color w:val="FFFFFF" w:themeColor="background1"/>
                                      <w:sz w:val="16"/>
                                      <w:szCs w:val="16"/>
                                    </w:rPr>
                                  </w:pPr>
                                  <w:r w:rsidRPr="007840E8">
                                    <w:rPr>
                                      <w:rFonts w:ascii="Tahoma" w:hAnsi="Tahoma" w:cs="Tahoma"/>
                                      <w:b/>
                                      <w:color w:val="FFFFFF" w:themeColor="background1"/>
                                      <w:sz w:val="16"/>
                                      <w:szCs w:val="16"/>
                                    </w:rPr>
                                    <w:t>The Health and Welfare of Australia’s Aboriginal and Torres Strait Islander Peoples: an overview</w:t>
                                  </w:r>
                                </w:p>
                                <w:p w:rsidR="008C7A2F" w:rsidRPr="007840E8" w:rsidRDefault="008C7A2F" w:rsidP="00AE7384">
                                  <w:pPr>
                                    <w:spacing w:after="60"/>
                                    <w:jc w:val="center"/>
                                    <w:rPr>
                                      <w:rFonts w:ascii="Tahoma" w:hAnsi="Tahoma" w:cs="Tahoma"/>
                                      <w:color w:val="FFFFFF" w:themeColor="background1"/>
                                      <w:sz w:val="16"/>
                                      <w:szCs w:val="16"/>
                                    </w:rPr>
                                  </w:pPr>
                                  <w:r w:rsidRPr="007840E8">
                                    <w:rPr>
                                      <w:rFonts w:ascii="Tahoma" w:hAnsi="Tahoma" w:cs="Tahoma"/>
                                      <w:color w:val="FFFFFF" w:themeColor="background1"/>
                                      <w:sz w:val="16"/>
                                      <w:szCs w:val="16"/>
                                    </w:rPr>
                                    <w:t xml:space="preserve">Requested by </w:t>
                                  </w:r>
                                  <w:r w:rsidRPr="007840E8">
                                    <w:rPr>
                                      <w:rFonts w:ascii="Tahoma" w:hAnsi="Tahoma" w:cs="Tahoma"/>
                                      <w:b/>
                                      <w:color w:val="FFFFFF" w:themeColor="background1"/>
                                      <w:sz w:val="16"/>
                                      <w:szCs w:val="16"/>
                                    </w:rPr>
                                    <w:t>AIHW</w:t>
                                  </w:r>
                                </w:p>
                                <w:p w:rsidR="008C7A2F" w:rsidRPr="007840E8" w:rsidRDefault="008C7A2F" w:rsidP="00AE7384">
                                  <w:pPr>
                                    <w:spacing w:after="60"/>
                                    <w:jc w:val="center"/>
                                    <w:rPr>
                                      <w:rFonts w:ascii="Tahoma" w:hAnsi="Tahoma" w:cs="Tahoma"/>
                                      <w:b/>
                                      <w:color w:val="FFFFFF" w:themeColor="background1"/>
                                      <w:sz w:val="16"/>
                                      <w:szCs w:val="16"/>
                                    </w:rPr>
                                  </w:pPr>
                                  <w:r w:rsidRPr="007840E8">
                                    <w:rPr>
                                      <w:rFonts w:ascii="Tahoma" w:hAnsi="Tahoma" w:cs="Tahoma"/>
                                      <w:color w:val="FFFFFF" w:themeColor="background1"/>
                                      <w:sz w:val="16"/>
                                      <w:szCs w:val="16"/>
                                    </w:rPr>
                                    <w:t>Produced by</w:t>
                                  </w:r>
                                  <w:r w:rsidRPr="007840E8">
                                    <w:rPr>
                                      <w:rFonts w:ascii="Tahoma" w:hAnsi="Tahoma" w:cs="Tahoma"/>
                                      <w:b/>
                                      <w:color w:val="FFFFFF" w:themeColor="background1"/>
                                      <w:sz w:val="16"/>
                                      <w:szCs w:val="16"/>
                                    </w:rPr>
                                    <w:t xml:space="preserve"> AIHW</w:t>
                                  </w:r>
                                </w:p>
                                <w:p w:rsidR="008C7A2F" w:rsidRPr="007840E8" w:rsidRDefault="008C7A2F" w:rsidP="00AE7384">
                                  <w:pPr>
                                    <w:spacing w:after="60"/>
                                    <w:jc w:val="center"/>
                                    <w:rPr>
                                      <w:rFonts w:ascii="Tahoma" w:hAnsi="Tahoma" w:cs="Tahoma"/>
                                      <w:b/>
                                      <w:color w:val="FFFFFF" w:themeColor="background1"/>
                                      <w:sz w:val="16"/>
                                      <w:szCs w:val="16"/>
                                    </w:rPr>
                                  </w:pPr>
                                  <w:r w:rsidRPr="007840E8">
                                    <w:rPr>
                                      <w:rFonts w:ascii="Tahoma" w:hAnsi="Tahoma" w:cs="Tahoma"/>
                                      <w:color w:val="FFFFFF" w:themeColor="background1"/>
                                      <w:sz w:val="16"/>
                                      <w:szCs w:val="16"/>
                                    </w:rPr>
                                    <w:t>Frequency</w:t>
                                  </w:r>
                                  <w:r w:rsidRPr="007840E8">
                                    <w:rPr>
                                      <w:rFonts w:ascii="Tahoma" w:hAnsi="Tahoma" w:cs="Tahoma"/>
                                      <w:b/>
                                      <w:color w:val="FFFFFF" w:themeColor="background1"/>
                                      <w:sz w:val="16"/>
                                      <w:szCs w:val="16"/>
                                    </w:rPr>
                                    <w:t xml:space="preserve"> 2-3 yearly</w:t>
                                  </w:r>
                                </w:p>
                                <w:p w:rsidR="008C7A2F" w:rsidRPr="007840E8" w:rsidRDefault="008C7A2F" w:rsidP="00AE7384">
                                  <w:pPr>
                                    <w:spacing w:after="60"/>
                                    <w:jc w:val="center"/>
                                    <w:rPr>
                                      <w:rFonts w:ascii="Tahoma" w:hAnsi="Tahoma" w:cs="Tahoma"/>
                                      <w:color w:val="FFFFFF" w:themeColor="background1"/>
                                      <w:sz w:val="16"/>
                                      <w:szCs w:val="16"/>
                                    </w:rPr>
                                  </w:pPr>
                                  <w:r w:rsidRPr="007840E8">
                                    <w:rPr>
                                      <w:rFonts w:ascii="Tahoma" w:hAnsi="Tahoma" w:cs="Tahoma"/>
                                      <w:b/>
                                      <w:color w:val="FFFFFF" w:themeColor="background1"/>
                                      <w:sz w:val="16"/>
                                      <w:szCs w:val="16"/>
                                    </w:rPr>
                                    <w:t xml:space="preserve">Purpose: </w:t>
                                  </w:r>
                                  <w:r w:rsidRPr="007840E8">
                                    <w:rPr>
                                      <w:rFonts w:ascii="Tahoma" w:hAnsi="Tahoma" w:cs="Tahoma"/>
                                      <w:color w:val="FFFFFF" w:themeColor="background1"/>
                                      <w:sz w:val="16"/>
                                      <w:szCs w:val="16"/>
                                    </w:rPr>
                                    <w:t>A comprehensive statistical overview of topics important to the health and welfare of Indigenous Australians.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left:0;text-align:left;margin-left:-6pt;margin-top:148.05pt;width:118.1pt;height:15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" fillcolor="#5d805d" strokecolor="#5d805d" strokeweight="1pt">
                      <v:textbox>
                        <w:txbxContent>
                          <w:p w:rsidR="008C7A2F" w:rsidRPr="007840E8" w:rsidRDefault="008C7A2F" w:rsidP="00AE7384">
                            <w:pPr>
                              <w:spacing w:after="60"/>
                              <w:jc w:val="center"/>
                              <w:rPr>
                                <w:rFonts w:ascii="Tahoma" w:hAnsi="Tahoma" w:cs="Tahoma"/>
                                <w:b/>
                                <w:color w:val="FFFFFF" w:themeColor="background1"/>
                                <w:sz w:val="16"/>
                                <w:szCs w:val="16"/>
                              </w:rPr>
                            </w:pPr>
                            <w:r w:rsidRPr="007840E8">
                              <w:rPr>
                                <w:rFonts w:ascii="Tahoma" w:hAnsi="Tahoma" w:cs="Tahoma"/>
                                <w:b/>
                                <w:color w:val="FFFFFF" w:themeColor="background1"/>
                                <w:sz w:val="16"/>
                                <w:szCs w:val="16"/>
                              </w:rPr>
                              <w:t>The Health and Welfare of Australia’s Aboriginal and Torres Strait Islander Peoples: an overview</w:t>
                            </w:r>
                          </w:p>
                          <w:p w:rsidR="008C7A2F" w:rsidRPr="007840E8" w:rsidRDefault="008C7A2F" w:rsidP="00AE7384">
                            <w:pPr>
                              <w:spacing w:after="60"/>
                              <w:jc w:val="center"/>
                              <w:rPr>
                                <w:rFonts w:ascii="Tahoma" w:hAnsi="Tahoma" w:cs="Tahoma"/>
                                <w:color w:val="FFFFFF" w:themeColor="background1"/>
                                <w:sz w:val="16"/>
                                <w:szCs w:val="16"/>
                              </w:rPr>
                            </w:pPr>
                            <w:r w:rsidRPr="007840E8">
                              <w:rPr>
                                <w:rFonts w:ascii="Tahoma" w:hAnsi="Tahoma" w:cs="Tahoma"/>
                                <w:color w:val="FFFFFF" w:themeColor="background1"/>
                                <w:sz w:val="16"/>
                                <w:szCs w:val="16"/>
                              </w:rPr>
                              <w:t xml:space="preserve">Requested by </w:t>
                            </w:r>
                            <w:r w:rsidRPr="007840E8">
                              <w:rPr>
                                <w:rFonts w:ascii="Tahoma" w:hAnsi="Tahoma" w:cs="Tahoma"/>
                                <w:b/>
                                <w:color w:val="FFFFFF" w:themeColor="background1"/>
                                <w:sz w:val="16"/>
                                <w:szCs w:val="16"/>
                              </w:rPr>
                              <w:t>AIHW</w:t>
                            </w:r>
                          </w:p>
                          <w:p w:rsidR="008C7A2F" w:rsidRPr="007840E8" w:rsidRDefault="008C7A2F" w:rsidP="00AE7384">
                            <w:pPr>
                              <w:spacing w:after="60"/>
                              <w:jc w:val="center"/>
                              <w:rPr>
                                <w:rFonts w:ascii="Tahoma" w:hAnsi="Tahoma" w:cs="Tahoma"/>
                                <w:b/>
                                <w:color w:val="FFFFFF" w:themeColor="background1"/>
                                <w:sz w:val="16"/>
                                <w:szCs w:val="16"/>
                              </w:rPr>
                            </w:pPr>
                            <w:r w:rsidRPr="007840E8">
                              <w:rPr>
                                <w:rFonts w:ascii="Tahoma" w:hAnsi="Tahoma" w:cs="Tahoma"/>
                                <w:color w:val="FFFFFF" w:themeColor="background1"/>
                                <w:sz w:val="16"/>
                                <w:szCs w:val="16"/>
                              </w:rPr>
                              <w:t>Produced by</w:t>
                            </w:r>
                            <w:r w:rsidRPr="007840E8">
                              <w:rPr>
                                <w:rFonts w:ascii="Tahoma" w:hAnsi="Tahoma" w:cs="Tahoma"/>
                                <w:b/>
                                <w:color w:val="FFFFFF" w:themeColor="background1"/>
                                <w:sz w:val="16"/>
                                <w:szCs w:val="16"/>
                              </w:rPr>
                              <w:t xml:space="preserve"> AIHW</w:t>
                            </w:r>
                          </w:p>
                          <w:p w:rsidR="008C7A2F" w:rsidRPr="007840E8" w:rsidRDefault="008C7A2F" w:rsidP="00AE7384">
                            <w:pPr>
                              <w:spacing w:after="60"/>
                              <w:jc w:val="center"/>
                              <w:rPr>
                                <w:rFonts w:ascii="Tahoma" w:hAnsi="Tahoma" w:cs="Tahoma"/>
                                <w:b/>
                                <w:color w:val="FFFFFF" w:themeColor="background1"/>
                                <w:sz w:val="16"/>
                                <w:szCs w:val="16"/>
                              </w:rPr>
                            </w:pPr>
                            <w:r w:rsidRPr="007840E8">
                              <w:rPr>
                                <w:rFonts w:ascii="Tahoma" w:hAnsi="Tahoma" w:cs="Tahoma"/>
                                <w:color w:val="FFFFFF" w:themeColor="background1"/>
                                <w:sz w:val="16"/>
                                <w:szCs w:val="16"/>
                              </w:rPr>
                              <w:t>Frequency</w:t>
                            </w:r>
                            <w:r w:rsidRPr="007840E8">
                              <w:rPr>
                                <w:rFonts w:ascii="Tahoma" w:hAnsi="Tahoma" w:cs="Tahoma"/>
                                <w:b/>
                                <w:color w:val="FFFFFF" w:themeColor="background1"/>
                                <w:sz w:val="16"/>
                                <w:szCs w:val="16"/>
                              </w:rPr>
                              <w:t xml:space="preserve"> 2-3 yearly</w:t>
                            </w:r>
                          </w:p>
                          <w:p w:rsidR="008C7A2F" w:rsidRPr="007840E8" w:rsidRDefault="008C7A2F" w:rsidP="00AE7384">
                            <w:pPr>
                              <w:spacing w:after="60"/>
                              <w:jc w:val="center"/>
                              <w:rPr>
                                <w:rFonts w:ascii="Tahoma" w:hAnsi="Tahoma" w:cs="Tahoma"/>
                                <w:color w:val="FFFFFF" w:themeColor="background1"/>
                                <w:sz w:val="16"/>
                                <w:szCs w:val="16"/>
                              </w:rPr>
                            </w:pPr>
                            <w:r w:rsidRPr="007840E8">
                              <w:rPr>
                                <w:rFonts w:ascii="Tahoma" w:hAnsi="Tahoma" w:cs="Tahoma"/>
                                <w:b/>
                                <w:color w:val="FFFFFF" w:themeColor="background1"/>
                                <w:sz w:val="16"/>
                                <w:szCs w:val="16"/>
                              </w:rPr>
                              <w:t xml:space="preserve">Purpose: </w:t>
                            </w:r>
                            <w:r w:rsidRPr="007840E8">
                              <w:rPr>
                                <w:rFonts w:ascii="Tahoma" w:hAnsi="Tahoma" w:cs="Tahoma"/>
                                <w:color w:val="FFFFFF" w:themeColor="background1"/>
                                <w:sz w:val="16"/>
                                <w:szCs w:val="16"/>
                              </w:rPr>
                              <w:t>A comprehensive statistical overview of topics important to the health and welfare of Indigenous Australians.</w:t>
                            </w:r>
                          </w:p>
                        </w:txbxContent>
                      </v:textbox>
                    </v:shape>
                  </w:pict>
                </mc:Fallback>
              </mc:AlternateContent>
            </w:r>
            <w:r w:rsidR="002C5594">
              <w:rPr>
                <w:noProof/>
              </w:rPr>
              <mc:AlternateContent>
                <mc:Choice Requires="wps">
                  <w:drawing>
                    <wp:anchor distT="0" distB="0" distL="114300" distR="114300" simplePos="0" relativeHeight="251678720" behindDoc="0" locked="0" layoutInCell="1" allowOverlap="1" wp14:anchorId="00DB3FBB" wp14:editId="76289849">
                      <wp:simplePos x="0" y="0"/>
                      <wp:positionH relativeFrom="margin">
                        <wp:posOffset>3879215</wp:posOffset>
                      </wp:positionH>
                      <wp:positionV relativeFrom="paragraph">
                        <wp:posOffset>1869440</wp:posOffset>
                      </wp:positionV>
                      <wp:extent cx="1579880" cy="1922780"/>
                      <wp:effectExtent l="0" t="0" r="20320" b="2032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922780"/>
                              </a:xfrm>
                              <a:prstGeom prst="rect">
                                <a:avLst/>
                              </a:prstGeom>
                              <a:solidFill>
                                <a:srgbClr val="5D805D"/>
                              </a:solidFill>
                              <a:ln w="12700">
                                <a:solidFill>
                                  <a:srgbClr val="5D805D"/>
                                </a:solidFill>
                                <a:miter lim="800000"/>
                                <a:headEnd/>
                                <a:tailEnd/>
                              </a:ln>
                            </wps:spPr>
                            <wps:txbx>
                              <w:txbxContent>
                                <w:p w:rsidR="008C7A2F" w:rsidRPr="007840E8" w:rsidRDefault="008C7A2F" w:rsidP="00AE7384">
                                  <w:pPr>
                                    <w:spacing w:after="60"/>
                                    <w:jc w:val="center"/>
                                    <w:rPr>
                                      <w:rFonts w:ascii="Tahoma" w:hAnsi="Tahoma" w:cs="Tahoma"/>
                                      <w:b/>
                                      <w:color w:val="FFFFFF" w:themeColor="background1"/>
                                      <w:sz w:val="16"/>
                                      <w:szCs w:val="16"/>
                                    </w:rPr>
                                  </w:pPr>
                                  <w:r w:rsidRPr="007840E8">
                                    <w:rPr>
                                      <w:rFonts w:ascii="Tahoma" w:hAnsi="Tahoma" w:cs="Tahoma"/>
                                      <w:b/>
                                      <w:color w:val="FFFFFF" w:themeColor="background1"/>
                                      <w:sz w:val="16"/>
                                      <w:szCs w:val="16"/>
                                    </w:rPr>
                                    <w:t>Aboriginal and Torres Strait Islander Health Performance Framework Report</w:t>
                                  </w:r>
                                </w:p>
                                <w:p w:rsidR="008C7A2F" w:rsidRPr="007840E8" w:rsidRDefault="008C7A2F" w:rsidP="00AE7384">
                                  <w:pPr>
                                    <w:spacing w:after="60"/>
                                    <w:jc w:val="center"/>
                                    <w:rPr>
                                      <w:rFonts w:ascii="Tahoma" w:hAnsi="Tahoma" w:cs="Tahoma"/>
                                      <w:color w:val="FFFFFF" w:themeColor="background1"/>
                                      <w:sz w:val="16"/>
                                      <w:szCs w:val="16"/>
                                    </w:rPr>
                                  </w:pPr>
                                  <w:r w:rsidRPr="007840E8">
                                    <w:rPr>
                                      <w:rFonts w:ascii="Tahoma" w:hAnsi="Tahoma" w:cs="Tahoma"/>
                                      <w:color w:val="FFFFFF" w:themeColor="background1"/>
                                      <w:sz w:val="16"/>
                                      <w:szCs w:val="16"/>
                                    </w:rPr>
                                    <w:t xml:space="preserve">Requested by </w:t>
                                  </w:r>
                                  <w:proofErr w:type="spellStart"/>
                                  <w:r w:rsidRPr="007840E8">
                                    <w:rPr>
                                      <w:rFonts w:ascii="Tahoma" w:hAnsi="Tahoma" w:cs="Tahoma"/>
                                      <w:b/>
                                      <w:color w:val="FFFFFF" w:themeColor="background1"/>
                                      <w:sz w:val="16"/>
                                      <w:szCs w:val="16"/>
                                    </w:rPr>
                                    <w:t>CHC</w:t>
                                  </w:r>
                                  <w:proofErr w:type="spellEnd"/>
                                </w:p>
                                <w:p w:rsidR="008C7A2F" w:rsidRPr="007840E8" w:rsidRDefault="008C7A2F" w:rsidP="00AE7384">
                                  <w:pPr>
                                    <w:spacing w:after="60"/>
                                    <w:jc w:val="center"/>
                                    <w:rPr>
                                      <w:rFonts w:ascii="Tahoma" w:hAnsi="Tahoma" w:cs="Tahoma"/>
                                      <w:b/>
                                      <w:color w:val="FFFFFF" w:themeColor="background1"/>
                                      <w:sz w:val="16"/>
                                      <w:szCs w:val="16"/>
                                    </w:rPr>
                                  </w:pPr>
                                  <w:r w:rsidRPr="007840E8">
                                    <w:rPr>
                                      <w:rFonts w:ascii="Tahoma" w:hAnsi="Tahoma" w:cs="Tahoma"/>
                                      <w:color w:val="FFFFFF" w:themeColor="background1"/>
                                      <w:sz w:val="16"/>
                                      <w:szCs w:val="16"/>
                                    </w:rPr>
                                    <w:t>Produced by</w:t>
                                  </w:r>
                                  <w:r w:rsidRPr="007840E8">
                                    <w:rPr>
                                      <w:rFonts w:ascii="Tahoma" w:hAnsi="Tahoma" w:cs="Tahoma"/>
                                      <w:b/>
                                      <w:color w:val="FFFFFF" w:themeColor="background1"/>
                                      <w:sz w:val="16"/>
                                      <w:szCs w:val="16"/>
                                    </w:rPr>
                                    <w:t xml:space="preserve"> </w:t>
                                  </w:r>
                                  <w:proofErr w:type="spellStart"/>
                                  <w:r w:rsidRPr="007840E8">
                                    <w:rPr>
                                      <w:rFonts w:ascii="Tahoma" w:hAnsi="Tahoma" w:cs="Tahoma"/>
                                      <w:b/>
                                      <w:color w:val="FFFFFF" w:themeColor="background1"/>
                                      <w:sz w:val="16"/>
                                      <w:szCs w:val="16"/>
                                    </w:rPr>
                                    <w:t>AHMAC</w:t>
                                  </w:r>
                                  <w:proofErr w:type="spellEnd"/>
                                  <w:r w:rsidRPr="007840E8">
                                    <w:rPr>
                                      <w:rFonts w:ascii="Tahoma" w:hAnsi="Tahoma" w:cs="Tahoma"/>
                                      <w:b/>
                                      <w:color w:val="FFFFFF" w:themeColor="background1"/>
                                      <w:sz w:val="16"/>
                                      <w:szCs w:val="16"/>
                                    </w:rPr>
                                    <w:t xml:space="preserve"> </w:t>
                                  </w:r>
                                  <w:r w:rsidRPr="007840E8">
                                    <w:rPr>
                                      <w:rFonts w:ascii="Tahoma" w:hAnsi="Tahoma" w:cs="Tahoma"/>
                                      <w:color w:val="FFFFFF" w:themeColor="background1"/>
                                      <w:sz w:val="16"/>
                                      <w:szCs w:val="16"/>
                                    </w:rPr>
                                    <w:t>(summary policy report)</w:t>
                                  </w:r>
                                  <w:r w:rsidRPr="007840E8">
                                    <w:rPr>
                                      <w:rFonts w:ascii="Tahoma" w:hAnsi="Tahoma" w:cs="Tahoma"/>
                                      <w:b/>
                                      <w:color w:val="FFFFFF" w:themeColor="background1"/>
                                      <w:sz w:val="16"/>
                                      <w:szCs w:val="16"/>
                                    </w:rPr>
                                    <w:t xml:space="preserve"> &amp; AIHW </w:t>
                                  </w:r>
                                  <w:r w:rsidRPr="007840E8">
                                    <w:rPr>
                                      <w:rFonts w:ascii="Tahoma" w:hAnsi="Tahoma" w:cs="Tahoma"/>
                                      <w:color w:val="FFFFFF" w:themeColor="background1"/>
                                      <w:sz w:val="16"/>
                                      <w:szCs w:val="16"/>
                                    </w:rPr>
                                    <w:t>(detailed analysis)</w:t>
                                  </w:r>
                                  <w:r w:rsidRPr="007840E8">
                                    <w:rPr>
                                      <w:rFonts w:ascii="Tahoma" w:hAnsi="Tahoma" w:cs="Tahoma"/>
                                      <w:b/>
                                      <w:color w:val="FFFFFF" w:themeColor="background1"/>
                                      <w:sz w:val="16"/>
                                      <w:szCs w:val="16"/>
                                    </w:rPr>
                                    <w:t xml:space="preserve"> </w:t>
                                  </w:r>
                                </w:p>
                                <w:p w:rsidR="008C7A2F" w:rsidRPr="007840E8" w:rsidRDefault="008C7A2F" w:rsidP="00AE7384">
                                  <w:pPr>
                                    <w:spacing w:after="60"/>
                                    <w:jc w:val="center"/>
                                    <w:rPr>
                                      <w:rFonts w:ascii="Tahoma" w:hAnsi="Tahoma" w:cs="Tahoma"/>
                                      <w:b/>
                                      <w:color w:val="FFFFFF" w:themeColor="background1"/>
                                      <w:sz w:val="16"/>
                                      <w:szCs w:val="16"/>
                                    </w:rPr>
                                  </w:pPr>
                                  <w:r w:rsidRPr="007840E8">
                                    <w:rPr>
                                      <w:rFonts w:ascii="Tahoma" w:hAnsi="Tahoma" w:cs="Tahoma"/>
                                      <w:color w:val="FFFFFF" w:themeColor="background1"/>
                                      <w:sz w:val="16"/>
                                      <w:szCs w:val="16"/>
                                    </w:rPr>
                                    <w:t>Frequency</w:t>
                                  </w:r>
                                  <w:r w:rsidRPr="007840E8">
                                    <w:rPr>
                                      <w:rFonts w:ascii="Tahoma" w:hAnsi="Tahoma" w:cs="Tahoma"/>
                                      <w:b/>
                                      <w:color w:val="FFFFFF" w:themeColor="background1"/>
                                      <w:sz w:val="16"/>
                                      <w:szCs w:val="16"/>
                                    </w:rPr>
                                    <w:t xml:space="preserve"> Biennial</w:t>
                                  </w:r>
                                </w:p>
                                <w:p w:rsidR="008C7A2F" w:rsidRPr="007840E8" w:rsidRDefault="008C7A2F" w:rsidP="00AE7384">
                                  <w:pPr>
                                    <w:spacing w:after="60"/>
                                    <w:jc w:val="center"/>
                                    <w:rPr>
                                      <w:rFonts w:ascii="Tahoma" w:hAnsi="Tahoma" w:cs="Tahoma"/>
                                      <w:color w:val="FFFFFF" w:themeColor="background1"/>
                                      <w:sz w:val="16"/>
                                      <w:szCs w:val="16"/>
                                    </w:rPr>
                                  </w:pPr>
                                  <w:r w:rsidRPr="007840E8">
                                    <w:rPr>
                                      <w:rFonts w:ascii="Tahoma" w:hAnsi="Tahoma" w:cs="Tahoma"/>
                                      <w:b/>
                                      <w:color w:val="FFFFFF" w:themeColor="background1"/>
                                      <w:sz w:val="16"/>
                                      <w:szCs w:val="16"/>
                                    </w:rPr>
                                    <w:t xml:space="preserve">Purpose: </w:t>
                                  </w:r>
                                  <w:r w:rsidRPr="007840E8">
                                    <w:rPr>
                                      <w:rFonts w:ascii="Tahoma" w:hAnsi="Tahoma" w:cs="Tahoma"/>
                                      <w:color w:val="FFFFFF" w:themeColor="background1"/>
                                      <w:sz w:val="16"/>
                                      <w:szCs w:val="16"/>
                                    </w:rPr>
                                    <w:t>Measures health outcomes, determinants of health and health system performance.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left:0;text-align:left;margin-left:305.45pt;margin-top:147.2pt;width:124.4pt;height:151.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" fillcolor="#5d805d" strokecolor="#5d805d" strokeweight="1pt">
                      <v:textbox>
                        <w:txbxContent>
                          <w:p w:rsidR="008C7A2F" w:rsidRPr="007840E8" w:rsidRDefault="008C7A2F" w:rsidP="00AE7384">
                            <w:pPr>
                              <w:spacing w:after="60"/>
                              <w:jc w:val="center"/>
                              <w:rPr>
                                <w:rFonts w:ascii="Tahoma" w:hAnsi="Tahoma" w:cs="Tahoma"/>
                                <w:b/>
                                <w:color w:val="FFFFFF" w:themeColor="background1"/>
                                <w:sz w:val="16"/>
                                <w:szCs w:val="16"/>
                              </w:rPr>
                            </w:pPr>
                            <w:r w:rsidRPr="007840E8">
                              <w:rPr>
                                <w:rFonts w:ascii="Tahoma" w:hAnsi="Tahoma" w:cs="Tahoma"/>
                                <w:b/>
                                <w:color w:val="FFFFFF" w:themeColor="background1"/>
                                <w:sz w:val="16"/>
                                <w:szCs w:val="16"/>
                              </w:rPr>
                              <w:t>Aboriginal and Torres Strait Islander Health Performance Framework Report</w:t>
                            </w:r>
                          </w:p>
                          <w:p w:rsidR="008C7A2F" w:rsidRPr="007840E8" w:rsidRDefault="008C7A2F" w:rsidP="00AE7384">
                            <w:pPr>
                              <w:spacing w:after="60"/>
                              <w:jc w:val="center"/>
                              <w:rPr>
                                <w:rFonts w:ascii="Tahoma" w:hAnsi="Tahoma" w:cs="Tahoma"/>
                                <w:color w:val="FFFFFF" w:themeColor="background1"/>
                                <w:sz w:val="16"/>
                                <w:szCs w:val="16"/>
                              </w:rPr>
                            </w:pPr>
                            <w:r w:rsidRPr="007840E8">
                              <w:rPr>
                                <w:rFonts w:ascii="Tahoma" w:hAnsi="Tahoma" w:cs="Tahoma"/>
                                <w:color w:val="FFFFFF" w:themeColor="background1"/>
                                <w:sz w:val="16"/>
                                <w:szCs w:val="16"/>
                              </w:rPr>
                              <w:t xml:space="preserve">Requested by </w:t>
                            </w:r>
                            <w:proofErr w:type="spellStart"/>
                            <w:r w:rsidRPr="007840E8">
                              <w:rPr>
                                <w:rFonts w:ascii="Tahoma" w:hAnsi="Tahoma" w:cs="Tahoma"/>
                                <w:b/>
                                <w:color w:val="FFFFFF" w:themeColor="background1"/>
                                <w:sz w:val="16"/>
                                <w:szCs w:val="16"/>
                              </w:rPr>
                              <w:t>CHC</w:t>
                            </w:r>
                            <w:proofErr w:type="spellEnd"/>
                          </w:p>
                          <w:p w:rsidR="008C7A2F" w:rsidRPr="007840E8" w:rsidRDefault="008C7A2F" w:rsidP="00AE7384">
                            <w:pPr>
                              <w:spacing w:after="60"/>
                              <w:jc w:val="center"/>
                              <w:rPr>
                                <w:rFonts w:ascii="Tahoma" w:hAnsi="Tahoma" w:cs="Tahoma"/>
                                <w:b/>
                                <w:color w:val="FFFFFF" w:themeColor="background1"/>
                                <w:sz w:val="16"/>
                                <w:szCs w:val="16"/>
                              </w:rPr>
                            </w:pPr>
                            <w:r w:rsidRPr="007840E8">
                              <w:rPr>
                                <w:rFonts w:ascii="Tahoma" w:hAnsi="Tahoma" w:cs="Tahoma"/>
                                <w:color w:val="FFFFFF" w:themeColor="background1"/>
                                <w:sz w:val="16"/>
                                <w:szCs w:val="16"/>
                              </w:rPr>
                              <w:t>Produced by</w:t>
                            </w:r>
                            <w:r w:rsidRPr="007840E8">
                              <w:rPr>
                                <w:rFonts w:ascii="Tahoma" w:hAnsi="Tahoma" w:cs="Tahoma"/>
                                <w:b/>
                                <w:color w:val="FFFFFF" w:themeColor="background1"/>
                                <w:sz w:val="16"/>
                                <w:szCs w:val="16"/>
                              </w:rPr>
                              <w:t xml:space="preserve"> </w:t>
                            </w:r>
                            <w:proofErr w:type="spellStart"/>
                            <w:r w:rsidRPr="007840E8">
                              <w:rPr>
                                <w:rFonts w:ascii="Tahoma" w:hAnsi="Tahoma" w:cs="Tahoma"/>
                                <w:b/>
                                <w:color w:val="FFFFFF" w:themeColor="background1"/>
                                <w:sz w:val="16"/>
                                <w:szCs w:val="16"/>
                              </w:rPr>
                              <w:t>AHMAC</w:t>
                            </w:r>
                            <w:proofErr w:type="spellEnd"/>
                            <w:r w:rsidRPr="007840E8">
                              <w:rPr>
                                <w:rFonts w:ascii="Tahoma" w:hAnsi="Tahoma" w:cs="Tahoma"/>
                                <w:b/>
                                <w:color w:val="FFFFFF" w:themeColor="background1"/>
                                <w:sz w:val="16"/>
                                <w:szCs w:val="16"/>
                              </w:rPr>
                              <w:t xml:space="preserve"> </w:t>
                            </w:r>
                            <w:r w:rsidRPr="007840E8">
                              <w:rPr>
                                <w:rFonts w:ascii="Tahoma" w:hAnsi="Tahoma" w:cs="Tahoma"/>
                                <w:color w:val="FFFFFF" w:themeColor="background1"/>
                                <w:sz w:val="16"/>
                                <w:szCs w:val="16"/>
                              </w:rPr>
                              <w:t>(summary policy report)</w:t>
                            </w:r>
                            <w:r w:rsidRPr="007840E8">
                              <w:rPr>
                                <w:rFonts w:ascii="Tahoma" w:hAnsi="Tahoma" w:cs="Tahoma"/>
                                <w:b/>
                                <w:color w:val="FFFFFF" w:themeColor="background1"/>
                                <w:sz w:val="16"/>
                                <w:szCs w:val="16"/>
                              </w:rPr>
                              <w:t xml:space="preserve"> &amp; AIHW </w:t>
                            </w:r>
                            <w:r w:rsidRPr="007840E8">
                              <w:rPr>
                                <w:rFonts w:ascii="Tahoma" w:hAnsi="Tahoma" w:cs="Tahoma"/>
                                <w:color w:val="FFFFFF" w:themeColor="background1"/>
                                <w:sz w:val="16"/>
                                <w:szCs w:val="16"/>
                              </w:rPr>
                              <w:t>(detailed analysis)</w:t>
                            </w:r>
                            <w:r w:rsidRPr="007840E8">
                              <w:rPr>
                                <w:rFonts w:ascii="Tahoma" w:hAnsi="Tahoma" w:cs="Tahoma"/>
                                <w:b/>
                                <w:color w:val="FFFFFF" w:themeColor="background1"/>
                                <w:sz w:val="16"/>
                                <w:szCs w:val="16"/>
                              </w:rPr>
                              <w:t xml:space="preserve"> </w:t>
                            </w:r>
                          </w:p>
                          <w:p w:rsidR="008C7A2F" w:rsidRPr="007840E8" w:rsidRDefault="008C7A2F" w:rsidP="00AE7384">
                            <w:pPr>
                              <w:spacing w:after="60"/>
                              <w:jc w:val="center"/>
                              <w:rPr>
                                <w:rFonts w:ascii="Tahoma" w:hAnsi="Tahoma" w:cs="Tahoma"/>
                                <w:b/>
                                <w:color w:val="FFFFFF" w:themeColor="background1"/>
                                <w:sz w:val="16"/>
                                <w:szCs w:val="16"/>
                              </w:rPr>
                            </w:pPr>
                            <w:r w:rsidRPr="007840E8">
                              <w:rPr>
                                <w:rFonts w:ascii="Tahoma" w:hAnsi="Tahoma" w:cs="Tahoma"/>
                                <w:color w:val="FFFFFF" w:themeColor="background1"/>
                                <w:sz w:val="16"/>
                                <w:szCs w:val="16"/>
                              </w:rPr>
                              <w:t>Frequency</w:t>
                            </w:r>
                            <w:r w:rsidRPr="007840E8">
                              <w:rPr>
                                <w:rFonts w:ascii="Tahoma" w:hAnsi="Tahoma" w:cs="Tahoma"/>
                                <w:b/>
                                <w:color w:val="FFFFFF" w:themeColor="background1"/>
                                <w:sz w:val="16"/>
                                <w:szCs w:val="16"/>
                              </w:rPr>
                              <w:t xml:space="preserve"> Biennial</w:t>
                            </w:r>
                          </w:p>
                          <w:p w:rsidR="008C7A2F" w:rsidRPr="007840E8" w:rsidRDefault="008C7A2F" w:rsidP="00AE7384">
                            <w:pPr>
                              <w:spacing w:after="60"/>
                              <w:jc w:val="center"/>
                              <w:rPr>
                                <w:rFonts w:ascii="Tahoma" w:hAnsi="Tahoma" w:cs="Tahoma"/>
                                <w:color w:val="FFFFFF" w:themeColor="background1"/>
                                <w:sz w:val="16"/>
                                <w:szCs w:val="16"/>
                              </w:rPr>
                            </w:pPr>
                            <w:r w:rsidRPr="007840E8">
                              <w:rPr>
                                <w:rFonts w:ascii="Tahoma" w:hAnsi="Tahoma" w:cs="Tahoma"/>
                                <w:b/>
                                <w:color w:val="FFFFFF" w:themeColor="background1"/>
                                <w:sz w:val="16"/>
                                <w:szCs w:val="16"/>
                              </w:rPr>
                              <w:t xml:space="preserve">Purpose: </w:t>
                            </w:r>
                            <w:r w:rsidRPr="007840E8">
                              <w:rPr>
                                <w:rFonts w:ascii="Tahoma" w:hAnsi="Tahoma" w:cs="Tahoma"/>
                                <w:color w:val="FFFFFF" w:themeColor="background1"/>
                                <w:sz w:val="16"/>
                                <w:szCs w:val="16"/>
                              </w:rPr>
                              <w:t>Measures health outcomes, determinants of health and health system performance.</w:t>
                            </w:r>
                          </w:p>
                        </w:txbxContent>
                      </v:textbox>
                      <w10:wrap anchorx="margin"/>
                    </v:shape>
                  </w:pict>
                </mc:Fallback>
              </mc:AlternateContent>
            </w:r>
          </w:p>
        </w:tc>
      </w:tr>
      <w:tr w:rsidR="00AE7384" w:rsidTr="00B31E15">
        <w:trPr>
          <w:cantSplit/>
        </w:trPr>
        <w:tc>
          <w:tcPr>
            <w:tcW w:w="8771" w:type="dxa"/>
            <w:tcBorders>
              <w:top w:val="nil"/>
              <w:left w:val="nil"/>
              <w:bottom w:val="nil"/>
              <w:right w:val="nil"/>
            </w:tcBorders>
            <w:shd w:val="clear" w:color="auto" w:fill="F2F2F2"/>
          </w:tcPr>
          <w:p w:rsidR="00AE7384" w:rsidRDefault="00AE7384" w:rsidP="000F3FA4">
            <w:pPr>
              <w:pStyle w:val="BoxSource"/>
            </w:pPr>
            <w:r>
              <w:rPr>
                <w:i/>
              </w:rPr>
              <w:t>Abbreviations</w:t>
            </w:r>
            <w:r w:rsidRPr="00167F06">
              <w:t xml:space="preserve">: </w:t>
            </w:r>
            <w:r w:rsidRPr="00D70F7D">
              <w:rPr>
                <w:b/>
                <w:sz w:val="16"/>
                <w:szCs w:val="16"/>
              </w:rPr>
              <w:t>ABS</w:t>
            </w:r>
            <w:r w:rsidRPr="00D70F7D">
              <w:rPr>
                <w:sz w:val="16"/>
                <w:szCs w:val="16"/>
              </w:rPr>
              <w:t xml:space="preserve"> Australian Bureau of Statistics. </w:t>
            </w:r>
            <w:proofErr w:type="spellStart"/>
            <w:r w:rsidR="00201E72" w:rsidRPr="008945A9">
              <w:rPr>
                <w:b/>
                <w:sz w:val="16"/>
                <w:szCs w:val="16"/>
              </w:rPr>
              <w:t>AHMAC</w:t>
            </w:r>
            <w:proofErr w:type="spellEnd"/>
            <w:r w:rsidR="00201E72">
              <w:rPr>
                <w:sz w:val="16"/>
                <w:szCs w:val="16"/>
              </w:rPr>
              <w:t xml:space="preserve"> Australian Health Ministers Advisory Council. </w:t>
            </w:r>
            <w:r w:rsidRPr="00D70F7D">
              <w:rPr>
                <w:b/>
                <w:sz w:val="16"/>
                <w:szCs w:val="16"/>
              </w:rPr>
              <w:t>AIFS</w:t>
            </w:r>
            <w:r w:rsidRPr="00D70F7D">
              <w:rPr>
                <w:sz w:val="16"/>
                <w:szCs w:val="16"/>
              </w:rPr>
              <w:t xml:space="preserve"> Australian Institute of Family Studies. </w:t>
            </w:r>
            <w:r w:rsidRPr="00D70F7D">
              <w:rPr>
                <w:b/>
                <w:sz w:val="16"/>
                <w:szCs w:val="16"/>
              </w:rPr>
              <w:t>AIHW</w:t>
            </w:r>
            <w:r w:rsidRPr="00D70F7D">
              <w:rPr>
                <w:sz w:val="16"/>
                <w:szCs w:val="16"/>
              </w:rPr>
              <w:t xml:space="preserve"> Australian Institute of Health and Welfare. </w:t>
            </w:r>
            <w:r w:rsidRPr="00D70F7D">
              <w:rPr>
                <w:b/>
                <w:sz w:val="16"/>
                <w:szCs w:val="16"/>
              </w:rPr>
              <w:t>COAG</w:t>
            </w:r>
            <w:r w:rsidRPr="00D70F7D">
              <w:rPr>
                <w:sz w:val="16"/>
                <w:szCs w:val="16"/>
              </w:rPr>
              <w:t xml:space="preserve"> Council of Australian Governments. </w:t>
            </w:r>
            <w:proofErr w:type="spellStart"/>
            <w:r w:rsidR="000F3FA4" w:rsidRPr="008945A9">
              <w:rPr>
                <w:b/>
                <w:sz w:val="16"/>
                <w:szCs w:val="16"/>
              </w:rPr>
              <w:t>CHC</w:t>
            </w:r>
            <w:proofErr w:type="spellEnd"/>
            <w:r w:rsidR="000F3FA4">
              <w:rPr>
                <w:sz w:val="16"/>
                <w:szCs w:val="16"/>
              </w:rPr>
              <w:t xml:space="preserve"> </w:t>
            </w:r>
            <w:proofErr w:type="spellStart"/>
            <w:r w:rsidR="000F3FA4">
              <w:rPr>
                <w:sz w:val="16"/>
                <w:szCs w:val="16"/>
              </w:rPr>
              <w:t>COAG</w:t>
            </w:r>
            <w:proofErr w:type="spellEnd"/>
            <w:r w:rsidR="000F3FA4">
              <w:rPr>
                <w:sz w:val="16"/>
                <w:szCs w:val="16"/>
              </w:rPr>
              <w:t xml:space="preserve"> Health Council. </w:t>
            </w:r>
            <w:r w:rsidRPr="00D70F7D">
              <w:rPr>
                <w:b/>
                <w:sz w:val="16"/>
                <w:szCs w:val="16"/>
              </w:rPr>
              <w:t>CRC</w:t>
            </w:r>
            <w:r w:rsidRPr="00D70F7D">
              <w:rPr>
                <w:sz w:val="16"/>
                <w:szCs w:val="16"/>
              </w:rPr>
              <w:t xml:space="preserve"> COAG Reform Council. </w:t>
            </w:r>
            <w:r w:rsidRPr="00D70F7D">
              <w:rPr>
                <w:b/>
                <w:sz w:val="16"/>
                <w:szCs w:val="16"/>
              </w:rPr>
              <w:t>FaHCSIA</w:t>
            </w:r>
            <w:r w:rsidRPr="00D70F7D">
              <w:rPr>
                <w:sz w:val="16"/>
                <w:szCs w:val="16"/>
              </w:rPr>
              <w:t xml:space="preserve"> Department of Family and Housing, Community Services and Indigenous Affairs. </w:t>
            </w:r>
            <w:r w:rsidRPr="00816A43">
              <w:rPr>
                <w:b/>
                <w:sz w:val="16"/>
                <w:szCs w:val="16"/>
              </w:rPr>
              <w:t>PM&amp;C</w:t>
            </w:r>
            <w:r>
              <w:rPr>
                <w:sz w:val="16"/>
                <w:szCs w:val="16"/>
              </w:rPr>
              <w:t xml:space="preserve"> Department of the Prime Minister and Cabinet.</w:t>
            </w:r>
            <w:r w:rsidR="00F62D0E">
              <w:rPr>
                <w:sz w:val="16"/>
                <w:szCs w:val="16"/>
              </w:rPr>
              <w:t xml:space="preserve"> </w:t>
            </w:r>
            <w:r w:rsidRPr="00D70F7D">
              <w:rPr>
                <w:b/>
                <w:sz w:val="16"/>
                <w:szCs w:val="16"/>
              </w:rPr>
              <w:t>SCRGSP</w:t>
            </w:r>
            <w:r w:rsidRPr="00D70F7D">
              <w:rPr>
                <w:sz w:val="16"/>
                <w:szCs w:val="16"/>
              </w:rPr>
              <w:t xml:space="preserve"> Steering Committee for the Review of Government Service Provision. </w:t>
            </w:r>
          </w:p>
        </w:tc>
      </w:tr>
      <w:tr w:rsidR="00AE7384" w:rsidTr="00B31E15">
        <w:trPr>
          <w:cantSplit/>
        </w:trPr>
        <w:tc>
          <w:tcPr>
            <w:tcW w:w="8771" w:type="dxa"/>
            <w:tcBorders>
              <w:top w:val="nil"/>
              <w:left w:val="nil"/>
              <w:bottom w:val="nil"/>
              <w:right w:val="nil"/>
            </w:tcBorders>
            <w:shd w:val="clear" w:color="auto" w:fill="F2F2F2"/>
          </w:tcPr>
          <w:p w:rsidR="00AE7384" w:rsidRDefault="00AE7384" w:rsidP="00AE7384">
            <w:pPr>
              <w:pStyle w:val="BoxSource"/>
              <w:rPr>
                <w:i/>
              </w:rPr>
            </w:pPr>
            <w:proofErr w:type="spellStart"/>
            <w:r w:rsidRPr="00816A43">
              <w:rPr>
                <w:rStyle w:val="NoteLabel"/>
              </w:rPr>
              <w:t>a</w:t>
            </w:r>
            <w:proofErr w:type="spellEnd"/>
            <w:r>
              <w:t xml:space="preserve"> The CRC was responsible for producing this report until 30 June 2014. </w:t>
            </w:r>
            <w:r w:rsidR="000F3FA4">
              <w:rPr>
                <w:rStyle w:val="NoteChar"/>
              </w:rPr>
              <w:t>The May 2014 Commonwealth Budget gave PM&amp;C an ongoing role in monitoring performance under National Agreements</w:t>
            </w:r>
            <w:r>
              <w:t xml:space="preserve">. </w:t>
            </w:r>
            <w:r w:rsidRPr="00816A43">
              <w:rPr>
                <w:rStyle w:val="NoteLabel"/>
              </w:rPr>
              <w:t>b</w:t>
            </w:r>
            <w:r w:rsidR="008945A9">
              <w:t xml:space="preserve"> </w:t>
            </w:r>
            <w:r>
              <w:t>This report was previously produced by FaHCSIA</w:t>
            </w:r>
            <w:r w:rsidR="00201E72">
              <w:t>, on behalf of the Australian Government</w:t>
            </w:r>
            <w:r>
              <w:t>.</w:t>
            </w:r>
          </w:p>
        </w:tc>
      </w:tr>
      <w:tr w:rsidR="00AE7384" w:rsidTr="00B31E15">
        <w:trPr>
          <w:cantSplit/>
        </w:trPr>
        <w:tc>
          <w:tcPr>
            <w:tcW w:w="8771" w:type="dxa"/>
            <w:tcBorders>
              <w:top w:val="nil"/>
              <w:left w:val="nil"/>
              <w:bottom w:val="single" w:sz="6" w:space="0" w:color="78A22F"/>
              <w:right w:val="nil"/>
            </w:tcBorders>
            <w:shd w:val="clear" w:color="auto" w:fill="F2F2F2"/>
          </w:tcPr>
          <w:p w:rsidR="00AE7384" w:rsidRDefault="00AE7384">
            <w:pPr>
              <w:pStyle w:val="Box"/>
              <w:spacing w:before="0" w:line="120" w:lineRule="exact"/>
            </w:pPr>
          </w:p>
        </w:tc>
      </w:tr>
      <w:tr w:rsidR="00AE7384" w:rsidRPr="000863A5" w:rsidTr="00B31E15">
        <w:tc>
          <w:tcPr>
            <w:tcW w:w="8771" w:type="dxa"/>
            <w:tcBorders>
              <w:top w:val="single" w:sz="6" w:space="0" w:color="78A22F"/>
              <w:left w:val="nil"/>
              <w:bottom w:val="nil"/>
              <w:right w:val="nil"/>
            </w:tcBorders>
          </w:tcPr>
          <w:p w:rsidR="00AE7384" w:rsidRPr="00626D32" w:rsidRDefault="00AE7384" w:rsidP="00B31E15">
            <w:pPr>
              <w:pStyle w:val="BoxSpaceBelow"/>
            </w:pPr>
          </w:p>
        </w:tc>
      </w:tr>
    </w:tbl>
    <w:p w:rsidR="00E002FA" w:rsidRDefault="00E002FA" w:rsidP="00E002FA">
      <w:pPr>
        <w:pStyle w:val="BodyText"/>
      </w:pPr>
      <w:r>
        <w:t xml:space="preserve">The information in the report can help inform the design of policies, by illustrating the nature of the disadvantage experienced by many Aboriginal and Torres Strait Islander Australians, and identifying some of the significant sources of their wellbeing. </w:t>
      </w:r>
    </w:p>
    <w:p w:rsidR="00E002FA" w:rsidRDefault="00E002FA" w:rsidP="00E002FA">
      <w:pPr>
        <w:pStyle w:val="BodyText"/>
      </w:pPr>
      <w:r>
        <w:lastRenderedPageBreak/>
        <w:t xml:space="preserve">The report draws on many examples of evaluated programs to identify the factors behind policies and programs that have been successful in addressing Indigenous disadvantage. However, while this report draws on evaluations conducted by other bodies, this report does not attempt to evaluate specific policies or programs — rigorous evaluations require detailed information about the aims, costs and benefits of individual programs and </w:t>
      </w:r>
      <w:r w:rsidR="00096873" w:rsidRPr="00596E3F">
        <w:t>are</w:t>
      </w:r>
      <w:r w:rsidR="00096873">
        <w:t xml:space="preserve"> </w:t>
      </w:r>
      <w:r>
        <w:t xml:space="preserve">beyond the scope of this report. </w:t>
      </w:r>
    </w:p>
    <w:p w:rsidR="00E002FA" w:rsidRDefault="00E002FA" w:rsidP="00E002FA">
      <w:pPr>
        <w:pStyle w:val="BodyText"/>
      </w:pPr>
      <w:r>
        <w:t>Similarly, the report does not include targets for most of its indicators (the COAG targets, which have been agreed by all governments, are an exception, and the report does not specifically assess performance against these targets). While the aim is to close the gap in outcomes, more information about the policies and programs of all governments would be necessary to set meaningful targets.</w:t>
      </w:r>
    </w:p>
    <w:p w:rsidR="00E002FA" w:rsidRDefault="00E002FA" w:rsidP="00E002FA">
      <w:pPr>
        <w:pStyle w:val="BodyText"/>
      </w:pPr>
      <w:r>
        <w:t>Data limitations, and a desire to keep the report to a manageable size, mean that much of this report concentrates on outcomes at the national and State and Territory level. A focus on what is happening at the aggregate level is important, to help ensure the underlying causes of disadvantage and foundations of wellbeing are being addressed.</w:t>
      </w:r>
    </w:p>
    <w:p w:rsidR="00E002FA" w:rsidRDefault="00E002FA" w:rsidP="00E002FA">
      <w:pPr>
        <w:pStyle w:val="BodyText"/>
      </w:pPr>
      <w:r>
        <w:t xml:space="preserve">However, the Steering Committee recognises the diversity of Aboriginal and Torres Strait Islander cultures and experiences and acknowledges that the outcomes measured in this report can vary markedly by geography, age, sex, employment </w:t>
      </w:r>
      <w:r w:rsidR="00096873" w:rsidRPr="00596E3F">
        <w:t>status</w:t>
      </w:r>
      <w:r w:rsidR="00096873">
        <w:t xml:space="preserve"> </w:t>
      </w:r>
      <w:r>
        <w:t xml:space="preserve">and other factors. Some Aboriginal and Torres Strait Islander Australians experience little or no disadvantage compared to non-Indigenous Australians (although the data suggest that this is a relatively small group), while some Aboriginal and Torres Strait Islander Australians are highly disadvantaged. Throughout the report, outcomes are presented by remoteness and other characteristics wherever possible. In addition, the analysis of multiple disadvantage in chapter 13 explores </w:t>
      </w:r>
      <w:r w:rsidR="00096873" w:rsidRPr="00596E3F">
        <w:t>some of</w:t>
      </w:r>
      <w:r w:rsidR="00096873">
        <w:t xml:space="preserve"> </w:t>
      </w:r>
      <w:r>
        <w:t>the complex factors that contribute to disadvantage.</w:t>
      </w:r>
    </w:p>
    <w:p w:rsidR="00E002FA" w:rsidRDefault="00E002FA" w:rsidP="00E002FA">
      <w:pPr>
        <w:pStyle w:val="BodyText"/>
      </w:pPr>
      <w:r>
        <w:t>In particular, there are significant differences between Aboriginal Australians and Torres Strait Islander Australians. The small number of Torres Strait Islander people makes it difficult to report about them separately, but available data are summarised in chapter 12.</w:t>
      </w:r>
    </w:p>
    <w:p w:rsidR="00E002FA" w:rsidRDefault="00E002FA" w:rsidP="00E002FA">
      <w:pPr>
        <w:pStyle w:val="Heading2"/>
      </w:pPr>
      <w:r w:rsidRPr="00E002FA">
        <w:t>1.3</w:t>
      </w:r>
      <w:r w:rsidRPr="00E002FA">
        <w:tab/>
        <w:t>Putting the the OID report into context</w:t>
      </w:r>
    </w:p>
    <w:p w:rsidR="00E002FA" w:rsidRDefault="00E002FA" w:rsidP="00E002FA">
      <w:pPr>
        <w:pStyle w:val="BodyText"/>
      </w:pPr>
      <w:r>
        <w:t>This report presents information for key indicators of the disadvantage and wellbeing of Aboriginal and Torres Strait Islander Australians.</w:t>
      </w:r>
    </w:p>
    <w:p w:rsidR="00E002FA" w:rsidRDefault="00E002FA" w:rsidP="00E002FA">
      <w:pPr>
        <w:pStyle w:val="BodyText"/>
      </w:pPr>
      <w:r>
        <w:t xml:space="preserve">Following the 2011 Census, 670 000 Australians were identified as being of Aboriginal and/or Torres Strait Islander origin. This Aboriginal and Torres Strait Islander population is diverse — made up of many different nations, clans and skin groups with different cultures, </w:t>
      </w:r>
      <w:r w:rsidR="00D33E80" w:rsidRPr="00596E3F">
        <w:t>languages</w:t>
      </w:r>
      <w:r w:rsidR="00D33E80">
        <w:t xml:space="preserve"> </w:t>
      </w:r>
      <w:r>
        <w:t>histor</w:t>
      </w:r>
      <w:r w:rsidR="00200E82">
        <w:t>ies and perspectives (</w:t>
      </w:r>
      <w:r w:rsidR="00200E82" w:rsidRPr="00200E82">
        <w:rPr>
          <w:szCs w:val="24"/>
        </w:rPr>
        <w:t>Flood 2006</w:t>
      </w:r>
      <w:r>
        <w:t xml:space="preserve">, p. 17; </w:t>
      </w:r>
      <w:r w:rsidR="003F68B1" w:rsidRPr="003F68B1">
        <w:rPr>
          <w:szCs w:val="24"/>
        </w:rPr>
        <w:t>Broome 2010</w:t>
      </w:r>
      <w:r>
        <w:t xml:space="preserve">, p. 12). Aboriginal and Torres Strait Islander Australians may live in metropolitan, rural and remote settings, in urbanised, traditional or other lifestyles, and may move between these ways of living. Overall, the Aboriginal and Torres Strait Islander population is relatively </w:t>
      </w:r>
      <w:r>
        <w:lastRenderedPageBreak/>
        <w:t>young, largely urbanised and fast-growing. Figure 1.</w:t>
      </w:r>
      <w:r w:rsidR="00CD424B">
        <w:t>3.</w:t>
      </w:r>
      <w:r>
        <w:t xml:space="preserve">1 shows the </w:t>
      </w:r>
      <w:r w:rsidR="008C52D9" w:rsidRPr="00596E3F">
        <w:t>estimated</w:t>
      </w:r>
      <w:r w:rsidR="008C52D9">
        <w:t xml:space="preserve"> </w:t>
      </w:r>
      <w:r>
        <w:t>distribution of Aboriginal and Torres Strait Islander people in Australia</w:t>
      </w:r>
      <w:r w:rsidR="007E4517">
        <w:t xml:space="preserve"> </w:t>
      </w:r>
      <w:r w:rsidR="007E4517" w:rsidRPr="00596E3F">
        <w:t>in 2011</w:t>
      </w:r>
      <w:r>
        <w:t xml:space="preserve"> — the heavier shades indicate higher numbers of Indigenous people living in those areas.</w:t>
      </w:r>
    </w:p>
    <w:p w:rsidR="00AE7384" w:rsidRDefault="00AE7384" w:rsidP="00B31E15">
      <w:pPr>
        <w:pStyle w:val="BoxSpaceAbove"/>
      </w:pPr>
    </w:p>
    <w:tbl>
      <w:tblPr>
        <w:tblW w:w="0" w:type="auto"/>
        <w:tblInd w:w="164" w:type="dxa"/>
        <w:tblLayout w:type="fixed"/>
        <w:tblCellMar>
          <w:left w:w="142" w:type="dxa"/>
          <w:right w:w="142" w:type="dxa"/>
        </w:tblCellMar>
        <w:tblLook w:val="0000" w:firstRow="0" w:lastRow="0" w:firstColumn="0" w:lastColumn="0" w:noHBand="0" w:noVBand="0"/>
      </w:tblPr>
      <w:tblGrid>
        <w:gridCol w:w="8771"/>
      </w:tblGrid>
      <w:tr w:rsidR="00AE7384" w:rsidTr="00ED4E96">
        <w:tc>
          <w:tcPr>
            <w:tcW w:w="8771" w:type="dxa"/>
            <w:tcBorders>
              <w:top w:val="single" w:sz="4" w:space="0" w:color="9BBB59" w:themeColor="accent3"/>
            </w:tcBorders>
            <w:shd w:val="clear" w:color="auto" w:fill="auto"/>
          </w:tcPr>
          <w:p w:rsidR="00AE7384" w:rsidRPr="00176D3F" w:rsidRDefault="00AE7384" w:rsidP="00AE7384">
            <w:pPr>
              <w:pStyle w:val="FigureTitle"/>
            </w:pPr>
            <w:r w:rsidRPr="00784A05">
              <w:rPr>
                <w:b w:val="0"/>
              </w:rPr>
              <w:t xml:space="preserve">Figure </w:t>
            </w:r>
            <w:r w:rsidR="001D1D91">
              <w:rPr>
                <w:b w:val="0"/>
              </w:rPr>
              <w:t>1.</w:t>
            </w:r>
            <w:r w:rsidR="00CD424B">
              <w:rPr>
                <w:b w:val="0"/>
              </w:rPr>
              <w:t>3.</w:t>
            </w:r>
            <w:r w:rsidR="008C7A2F">
              <w:rPr>
                <w:b w:val="0"/>
                <w:noProof/>
              </w:rPr>
              <w:t>1</w:t>
            </w:r>
            <w:r>
              <w:tab/>
            </w:r>
            <w:r w:rsidRPr="00E002FA">
              <w:t>Where do Aboriginal and Torres Strait Isl</w:t>
            </w:r>
            <w:r>
              <w:t>ander Australians live?</w:t>
            </w:r>
            <w:proofErr w:type="spellStart"/>
            <w:r w:rsidRPr="00E002FA">
              <w:rPr>
                <w:rStyle w:val="NoteLabel"/>
                <w:b/>
              </w:rPr>
              <w:t>a</w:t>
            </w:r>
            <w:r w:rsidR="008945A9">
              <w:rPr>
                <w:rStyle w:val="NoteLabel"/>
                <w:b/>
              </w:rPr>
              <w:t>,</w:t>
            </w:r>
            <w:r w:rsidR="00525395">
              <w:rPr>
                <w:rStyle w:val="NoteLabel"/>
                <w:b/>
              </w:rPr>
              <w:t>b</w:t>
            </w:r>
            <w:proofErr w:type="spellEnd"/>
            <w:r>
              <w:rPr>
                <w:rStyle w:val="NoteLabel"/>
                <w:b/>
              </w:rPr>
              <w:t xml:space="preserve">  </w:t>
            </w:r>
          </w:p>
        </w:tc>
      </w:tr>
      <w:tr w:rsidR="00AE7384" w:rsidTr="00B11B24">
        <w:tc>
          <w:tcPr>
            <w:tcW w:w="8771" w:type="dxa"/>
            <w:shd w:val="clear" w:color="auto" w:fill="auto"/>
            <w:tcMar>
              <w:top w:w="28" w:type="dxa"/>
              <w:bottom w:w="28" w:type="dxa"/>
            </w:tcMar>
          </w:tcPr>
          <w:p w:rsidR="00AE7384" w:rsidRDefault="00974F0A" w:rsidP="00974F0A">
            <w:pPr>
              <w:pStyle w:val="Figure"/>
              <w:rPr>
                <w:noProof/>
              </w:rPr>
            </w:pPr>
            <w:r>
              <w:rPr>
                <w:noProof/>
              </w:rPr>
              <w:drawing>
                <wp:inline distT="0" distB="0" distL="0" distR="0">
                  <wp:extent cx="5389245" cy="2872740"/>
                  <wp:effectExtent l="0" t="0" r="1905" b="3810"/>
                  <wp:docPr id="2" name="Picture 2" descr="Figure 1.3.1 Where do Aboriginal and Torres Strait Islander Australians live?&#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 australia o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89245" cy="2872740"/>
                          </a:xfrm>
                          <a:prstGeom prst="rect">
                            <a:avLst/>
                          </a:prstGeom>
                        </pic:spPr>
                      </pic:pic>
                    </a:graphicData>
                  </a:graphic>
                </wp:inline>
              </w:drawing>
            </w:r>
            <w:r w:rsidR="006B6BA2" w:rsidRPr="006B6BA2">
              <w:rPr>
                <w:b/>
                <w:noProof/>
                <w:color w:val="000000"/>
                <w:sz w:val="16"/>
                <w:szCs w:val="16"/>
              </w:rPr>
              <w:drawing>
                <wp:anchor distT="0" distB="0" distL="114300" distR="114300" simplePos="0" relativeHeight="251682816" behindDoc="0" locked="0" layoutInCell="1" allowOverlap="1" wp14:anchorId="6B730C84" wp14:editId="37B41A0A">
                  <wp:simplePos x="0" y="0"/>
                  <wp:positionH relativeFrom="margin">
                    <wp:posOffset>8255</wp:posOffset>
                  </wp:positionH>
                  <wp:positionV relativeFrom="margin">
                    <wp:posOffset>1542712</wp:posOffset>
                  </wp:positionV>
                  <wp:extent cx="1141095" cy="1389380"/>
                  <wp:effectExtent l="0" t="0" r="1905" b="1270"/>
                  <wp:wrapNone/>
                  <wp:docPr id="9" name="Picture 9" descr="Figure 1.3.1 Where do Aboriginal and Torres Strait Islander Australians live?&#10;&#10;Legend to Figure.&#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candersson\AppData\Local\Microsoft\Windows\Temporary Internet Files\Content.Outlook\KPLT4I7O\Indigenous poplation (legend only) 040813 (4).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1095" cy="13893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E7384" w:rsidRPr="00176D3F" w:rsidTr="00B11B24">
        <w:tc>
          <w:tcPr>
            <w:tcW w:w="8771" w:type="dxa"/>
            <w:shd w:val="clear" w:color="auto" w:fill="auto"/>
          </w:tcPr>
          <w:p w:rsidR="00AE7384" w:rsidRPr="00176D3F" w:rsidRDefault="00AE7384" w:rsidP="008C52D9">
            <w:pPr>
              <w:pStyle w:val="Note"/>
            </w:pPr>
            <w:proofErr w:type="spellStart"/>
            <w:r>
              <w:rPr>
                <w:rStyle w:val="NoteLabel"/>
              </w:rPr>
              <w:t>a</w:t>
            </w:r>
            <w:proofErr w:type="spellEnd"/>
            <w:r>
              <w:t xml:space="preserve"> The </w:t>
            </w:r>
            <w:r w:rsidR="008C52D9">
              <w:t xml:space="preserve">estimated </w:t>
            </w:r>
            <w:r>
              <w:t xml:space="preserve">number of </w:t>
            </w:r>
            <w:r w:rsidRPr="00E002FA">
              <w:t>Aboriginal and Torres Strait Islander Australians by ABS Indigenous regions</w:t>
            </w:r>
            <w:r>
              <w:t xml:space="preserve"> as at 30 June 2011.</w:t>
            </w:r>
            <w:r w:rsidR="006B6BA2" w:rsidRPr="006B6BA2">
              <w:rPr>
                <w:b/>
                <w:noProof/>
                <w:color w:val="000000"/>
                <w:sz w:val="16"/>
                <w:szCs w:val="16"/>
              </w:rPr>
              <w:t xml:space="preserve"> </w:t>
            </w:r>
            <w:r w:rsidR="00525395" w:rsidRPr="00525395">
              <w:rPr>
                <w:rStyle w:val="NoteLabel"/>
              </w:rPr>
              <w:t>b</w:t>
            </w:r>
            <w:r w:rsidR="00525395">
              <w:rPr>
                <w:b/>
                <w:noProof/>
                <w:color w:val="000000"/>
                <w:sz w:val="16"/>
                <w:szCs w:val="16"/>
              </w:rPr>
              <w:t xml:space="preserve"> </w:t>
            </w:r>
            <w:r w:rsidR="00525395" w:rsidRPr="008945A9">
              <w:t>The legend is not continuous as some there are no regions with numbers in between the five categories derived.</w:t>
            </w:r>
          </w:p>
        </w:tc>
      </w:tr>
      <w:tr w:rsidR="00AE7384" w:rsidRPr="00176D3F" w:rsidTr="00ED4E96">
        <w:tc>
          <w:tcPr>
            <w:tcW w:w="8771" w:type="dxa"/>
            <w:shd w:val="clear" w:color="auto" w:fill="auto"/>
          </w:tcPr>
          <w:p w:rsidR="00AE7384" w:rsidRPr="00176D3F" w:rsidRDefault="00AE7384" w:rsidP="008945A9">
            <w:pPr>
              <w:pStyle w:val="Source"/>
            </w:pPr>
            <w:r>
              <w:rPr>
                <w:i/>
              </w:rPr>
              <w:t>S</w:t>
            </w:r>
            <w:r w:rsidRPr="00784A05">
              <w:rPr>
                <w:i/>
              </w:rPr>
              <w:t>ource</w:t>
            </w:r>
            <w:r w:rsidRPr="00176D3F">
              <w:t xml:space="preserve">: </w:t>
            </w:r>
            <w:r>
              <w:rPr>
                <w:color w:val="000000"/>
                <w:sz w:val="16"/>
                <w:szCs w:val="16"/>
              </w:rPr>
              <w:t>ABS 2014</w:t>
            </w:r>
            <w:r w:rsidR="008945A9">
              <w:rPr>
                <w:color w:val="000000"/>
                <w:sz w:val="16"/>
                <w:szCs w:val="16"/>
              </w:rPr>
              <w:t>,</w:t>
            </w:r>
            <w:r>
              <w:rPr>
                <w:color w:val="000000"/>
                <w:sz w:val="16"/>
                <w:szCs w:val="16"/>
              </w:rPr>
              <w:t xml:space="preserve"> </w:t>
            </w:r>
            <w:r w:rsidRPr="008945A9">
              <w:rPr>
                <w:i/>
                <w:color w:val="000000"/>
                <w:sz w:val="16"/>
                <w:szCs w:val="16"/>
              </w:rPr>
              <w:t>Estimates and Projections, Aboriginal and Torres Strait Islander Australians, 2001 to 2026</w:t>
            </w:r>
            <w:r>
              <w:rPr>
                <w:color w:val="000000"/>
                <w:sz w:val="16"/>
                <w:szCs w:val="16"/>
              </w:rPr>
              <w:t>, Cat. no. 3238.0, Canberra</w:t>
            </w:r>
            <w:r>
              <w:t>.</w:t>
            </w:r>
          </w:p>
        </w:tc>
      </w:tr>
      <w:tr w:rsidR="00AE7384" w:rsidTr="00ED4E96">
        <w:tc>
          <w:tcPr>
            <w:tcW w:w="8771" w:type="dxa"/>
            <w:tcBorders>
              <w:bottom w:val="single" w:sz="4" w:space="0" w:color="9BBB59" w:themeColor="accent3"/>
            </w:tcBorders>
            <w:shd w:val="clear" w:color="auto" w:fill="auto"/>
          </w:tcPr>
          <w:p w:rsidR="00AE7384" w:rsidRDefault="00AE7384" w:rsidP="00B31E15">
            <w:pPr>
              <w:pStyle w:val="Figurespace"/>
            </w:pPr>
          </w:p>
        </w:tc>
        <w:bookmarkStart w:id="3" w:name="_GoBack"/>
        <w:bookmarkEnd w:id="3"/>
      </w:tr>
      <w:tr w:rsidR="00AE7384" w:rsidRPr="000863A5" w:rsidTr="00ED4E96">
        <w:tc>
          <w:tcPr>
            <w:tcW w:w="8771" w:type="dxa"/>
            <w:tcBorders>
              <w:top w:val="single" w:sz="4" w:space="0" w:color="9BBB59" w:themeColor="accent3"/>
            </w:tcBorders>
          </w:tcPr>
          <w:p w:rsidR="00AE7384" w:rsidRPr="00626D32" w:rsidRDefault="00AE7384" w:rsidP="00B31E15">
            <w:pPr>
              <w:pStyle w:val="BoxSpaceBelow"/>
            </w:pPr>
          </w:p>
        </w:tc>
      </w:tr>
    </w:tbl>
    <w:p w:rsidR="002E042B" w:rsidRDefault="002E042B" w:rsidP="002E042B">
      <w:pPr>
        <w:pStyle w:val="BodyText"/>
      </w:pPr>
      <w:r>
        <w:t>Torres Strait Islander Australians continue to maintain a unique cultural identity. They are a separate people in origin, history and way of life, with many cultural connections to New Guinea a</w:t>
      </w:r>
      <w:r w:rsidR="00010DD0">
        <w:t>nd nearby islands (</w:t>
      </w:r>
      <w:proofErr w:type="spellStart"/>
      <w:r w:rsidR="00010DD0" w:rsidRPr="00010DD0">
        <w:rPr>
          <w:szCs w:val="24"/>
        </w:rPr>
        <w:t>Shnukel</w:t>
      </w:r>
      <w:proofErr w:type="spellEnd"/>
      <w:r w:rsidR="00010DD0" w:rsidRPr="00010DD0">
        <w:rPr>
          <w:szCs w:val="24"/>
        </w:rPr>
        <w:t> 2001</w:t>
      </w:r>
      <w:r>
        <w:t xml:space="preserve">; </w:t>
      </w:r>
      <w:proofErr w:type="spellStart"/>
      <w:r w:rsidR="000275F2" w:rsidRPr="000275F2">
        <w:rPr>
          <w:szCs w:val="24"/>
        </w:rPr>
        <w:t>AIATSIS</w:t>
      </w:r>
      <w:proofErr w:type="spellEnd"/>
      <w:r w:rsidR="000275F2" w:rsidRPr="000275F2">
        <w:rPr>
          <w:szCs w:val="24"/>
        </w:rPr>
        <w:t> 2008</w:t>
      </w:r>
      <w:r>
        <w:t xml:space="preserve">, pp. 2, 6, 24, 30). In 2011, </w:t>
      </w:r>
      <w:r w:rsidR="00181691">
        <w:t xml:space="preserve"> </w:t>
      </w:r>
      <w:r>
        <w:t>38 </w:t>
      </w:r>
      <w:r w:rsidR="00F26808">
        <w:t>1</w:t>
      </w:r>
      <w:r>
        <w:t>00 people identified as being of Torres Strait Islander origin only, with over 80 per cent living on the Australian mainland. The small numbers involved make it difficult to report separately on their outcomes, but available data are summarised in chapter 12.</w:t>
      </w:r>
    </w:p>
    <w:p w:rsidR="002E042B" w:rsidRDefault="002E042B" w:rsidP="002E042B">
      <w:pPr>
        <w:pStyle w:val="BodyText"/>
      </w:pPr>
      <w:r>
        <w:t>Over time, community and individual attitudes toward Aboriginal and Torres Strait Islander people have changed, and recent surveys indicate high levels of recognition of the importance of Aboriginal and Torres Strait Islander cultures to Australia’</w:t>
      </w:r>
      <w:r w:rsidR="009F34AF">
        <w:t xml:space="preserve">s identity as a nation </w:t>
      </w:r>
      <w:r w:rsidR="009F34AF" w:rsidRPr="009F34AF">
        <w:rPr>
          <w:szCs w:val="24"/>
        </w:rPr>
        <w:t>(RA 2013)</w:t>
      </w:r>
      <w:r>
        <w:t>. Similarly, over time there has been an encouraging increase in the willingness of Aboriginal and Torres Strait Islander Australians to identify in official data collections. The ABS found that this was at least partly driven by a sense of pride and confidence in their identity, and the perception that identification can promote recognition of issues and lead to benefits for Aboriginal and Torres S</w:t>
      </w:r>
      <w:r w:rsidR="00785AA0">
        <w:t xml:space="preserve">trait Islander peoples </w:t>
      </w:r>
      <w:r w:rsidR="00785AA0">
        <w:lastRenderedPageBreak/>
        <w:t>(</w:t>
      </w:r>
      <w:r w:rsidR="00785AA0" w:rsidRPr="00785AA0">
        <w:rPr>
          <w:szCs w:val="24"/>
        </w:rPr>
        <w:t>ABS </w:t>
      </w:r>
      <w:proofErr w:type="spellStart"/>
      <w:r w:rsidR="00785AA0" w:rsidRPr="00785AA0">
        <w:rPr>
          <w:szCs w:val="24"/>
        </w:rPr>
        <w:t>2013b</w:t>
      </w:r>
      <w:proofErr w:type="spellEnd"/>
      <w:r>
        <w:t>, pp. 10, 11). Nationally, just over one third (27 800) of the increase in the count of Aboriginal and/or Torres Strait Islander people in the 2011 Census cannot be explained by the standard demographic components of population change, such as births and deaths. This represents 5 per cent of the total 2011 Census count for Aboriginal and Torres Strait I</w:t>
      </w:r>
      <w:r w:rsidR="002268E5">
        <w:t xml:space="preserve">slander people in 2011 </w:t>
      </w:r>
      <w:r w:rsidR="00785AA0" w:rsidRPr="00785AA0">
        <w:rPr>
          <w:szCs w:val="24"/>
        </w:rPr>
        <w:t>(ABS </w:t>
      </w:r>
      <w:proofErr w:type="spellStart"/>
      <w:r w:rsidR="00785AA0" w:rsidRPr="00785AA0">
        <w:rPr>
          <w:szCs w:val="24"/>
        </w:rPr>
        <w:t>2013a</w:t>
      </w:r>
      <w:proofErr w:type="spellEnd"/>
      <w:r w:rsidR="00785AA0" w:rsidRPr="00785AA0">
        <w:rPr>
          <w:szCs w:val="24"/>
        </w:rPr>
        <w:t>)</w:t>
      </w:r>
      <w:r>
        <w:t>. This unexplained increase may affect the comparability over time of outcomes measured using Census data.</w:t>
      </w:r>
    </w:p>
    <w:p w:rsidR="00596E3F" w:rsidRDefault="00412313" w:rsidP="002E042B">
      <w:pPr>
        <w:pStyle w:val="BodyText"/>
      </w:pPr>
      <w:r w:rsidRPr="00596E3F">
        <w:t>T</w:t>
      </w:r>
      <w:r w:rsidR="002E042B" w:rsidRPr="00596E3F">
        <w:t xml:space="preserve">his report focusses on </w:t>
      </w:r>
      <w:r w:rsidR="00D33E80" w:rsidRPr="00596E3F">
        <w:t>relatively aggregated</w:t>
      </w:r>
      <w:r w:rsidR="002E042B" w:rsidRPr="00596E3F">
        <w:t xml:space="preserve"> </w:t>
      </w:r>
      <w:r w:rsidR="00D33E80" w:rsidRPr="00596E3F">
        <w:t xml:space="preserve">data </w:t>
      </w:r>
      <w:r w:rsidRPr="00596E3F">
        <w:t xml:space="preserve">(although </w:t>
      </w:r>
      <w:r w:rsidR="002E042B" w:rsidRPr="00596E3F">
        <w:t>behind the figures there is great diversity in the lives of Aboriginal and Torres Strait Islander Australians</w:t>
      </w:r>
      <w:r w:rsidRPr="00596E3F">
        <w:t>)</w:t>
      </w:r>
      <w:r w:rsidR="002E042B" w:rsidRPr="00596E3F">
        <w:t>.</w:t>
      </w:r>
      <w:r w:rsidR="002E042B">
        <w:t xml:space="preserve"> On average, Aboriginal and Torres Strait Islander Australians experience poorer outcomes than non-Indigenous people wherever they live. For many indicators in the report, the level of disadvantage tends to increase with remoteness</w:t>
      </w:r>
      <w:r w:rsidR="00596E3F">
        <w:t xml:space="preserve"> (figure </w:t>
      </w:r>
      <w:r w:rsidR="00405D08">
        <w:t>1.</w:t>
      </w:r>
      <w:r w:rsidR="00CD424B">
        <w:t>3.</w:t>
      </w:r>
      <w:r w:rsidR="00405D08">
        <w:t>2)</w:t>
      </w:r>
      <w:r w:rsidR="002E042B">
        <w:t>, although for some important cultural indicators, such as connection with country and language maintenance and revitalisation, outcomes improve with remoteness.</w:t>
      </w:r>
    </w:p>
    <w:p w:rsidR="00AE7384" w:rsidRDefault="00AE7384" w:rsidP="00B31E1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AE7384" w:rsidTr="00B31E15">
        <w:tc>
          <w:tcPr>
            <w:tcW w:w="8771" w:type="dxa"/>
            <w:tcBorders>
              <w:top w:val="single" w:sz="6" w:space="0" w:color="78A22F"/>
              <w:left w:val="nil"/>
              <w:bottom w:val="nil"/>
              <w:right w:val="nil"/>
            </w:tcBorders>
            <w:shd w:val="clear" w:color="auto" w:fill="auto"/>
          </w:tcPr>
          <w:p w:rsidR="00AE7384" w:rsidRPr="00176D3F" w:rsidRDefault="00AE7384" w:rsidP="00AE7384">
            <w:pPr>
              <w:pStyle w:val="FigureTitle"/>
            </w:pPr>
            <w:r w:rsidRPr="00784A05">
              <w:rPr>
                <w:b w:val="0"/>
              </w:rPr>
              <w:t xml:space="preserve">Figure </w:t>
            </w:r>
            <w:r w:rsidR="001D1D91">
              <w:rPr>
                <w:b w:val="0"/>
              </w:rPr>
              <w:t>1.</w:t>
            </w:r>
            <w:r w:rsidR="00CD424B">
              <w:rPr>
                <w:b w:val="0"/>
              </w:rPr>
              <w:t>3.</w:t>
            </w:r>
            <w:r w:rsidR="008C7A2F">
              <w:rPr>
                <w:b w:val="0"/>
                <w:noProof/>
              </w:rPr>
              <w:t>2</w:t>
            </w:r>
            <w:r>
              <w:tab/>
            </w:r>
            <w:r w:rsidRPr="002E042B">
              <w:t>Selected outcomes for Aboriginal and Torres Strait Islander Australians vary by remoteness</w:t>
            </w:r>
            <w:r>
              <w:t>, 2012-13</w:t>
            </w:r>
            <w:proofErr w:type="spellStart"/>
            <w:r w:rsidRPr="008413C5">
              <w:rPr>
                <w:rStyle w:val="NoteLabel"/>
                <w:b/>
              </w:rPr>
              <w:t>a</w:t>
            </w:r>
            <w:r w:rsidR="008945A9">
              <w:rPr>
                <w:rStyle w:val="NoteLabel"/>
                <w:b/>
              </w:rPr>
              <w:t>,</w:t>
            </w:r>
            <w:r w:rsidR="00596E3F">
              <w:rPr>
                <w:rStyle w:val="NoteLabel"/>
                <w:b/>
              </w:rPr>
              <w:t>b</w:t>
            </w:r>
            <w:proofErr w:type="spellEnd"/>
            <w:r w:rsidRPr="002E042B">
              <w:t xml:space="preserve"> </w:t>
            </w:r>
          </w:p>
        </w:tc>
      </w:tr>
      <w:tr w:rsidR="00AE7384" w:rsidTr="00B31E15">
        <w:tc>
          <w:tcPr>
            <w:tcW w:w="8771" w:type="dxa"/>
            <w:tcBorders>
              <w:top w:val="nil"/>
              <w:left w:val="nil"/>
              <w:bottom w:val="nil"/>
              <w:right w:val="nil"/>
            </w:tcBorders>
            <w:shd w:val="clear" w:color="auto" w:fill="auto"/>
            <w:tcMar>
              <w:top w:w="28" w:type="dxa"/>
              <w:bottom w:w="28" w:type="dxa"/>
            </w:tcMar>
          </w:tcPr>
          <w:p w:rsidR="00AE7384" w:rsidRDefault="00974F0A" w:rsidP="00B31E15">
            <w:pPr>
              <w:pStyle w:val="Figure"/>
            </w:pPr>
            <w:r>
              <w:rPr>
                <w:noProof/>
              </w:rPr>
              <w:drawing>
                <wp:inline distT="0" distB="0" distL="0" distR="0">
                  <wp:extent cx="5358765" cy="3072765"/>
                  <wp:effectExtent l="0" t="0" r="0" b="0"/>
                  <wp:docPr id="3" name="Picture 3" descr="Figure 1.3.2 Selected outcomes for Aboriginal and Torres Strait Islander Australians vary by remoteness, 2012-13.&#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8765" cy="3072765"/>
                          </a:xfrm>
                          <a:prstGeom prst="rect">
                            <a:avLst/>
                          </a:prstGeom>
                          <a:noFill/>
                          <a:ln>
                            <a:noFill/>
                          </a:ln>
                        </pic:spPr>
                      </pic:pic>
                    </a:graphicData>
                  </a:graphic>
                </wp:inline>
              </w:drawing>
            </w:r>
          </w:p>
        </w:tc>
      </w:tr>
      <w:tr w:rsidR="00AE7384" w:rsidRPr="00176D3F" w:rsidTr="00B31E15">
        <w:tc>
          <w:tcPr>
            <w:tcW w:w="8771" w:type="dxa"/>
            <w:tcBorders>
              <w:top w:val="nil"/>
              <w:left w:val="nil"/>
              <w:bottom w:val="nil"/>
              <w:right w:val="nil"/>
            </w:tcBorders>
            <w:shd w:val="clear" w:color="auto" w:fill="auto"/>
          </w:tcPr>
          <w:p w:rsidR="00AE7384" w:rsidRPr="00176D3F" w:rsidRDefault="00AE7384" w:rsidP="008945A9">
            <w:pPr>
              <w:pStyle w:val="Note"/>
            </w:pPr>
            <w:r>
              <w:rPr>
                <w:rStyle w:val="NoteLabel"/>
              </w:rPr>
              <w:t>a</w:t>
            </w:r>
            <w:r>
              <w:t xml:space="preserve"> </w:t>
            </w:r>
            <w:r w:rsidRPr="002E042B">
              <w:t xml:space="preserve">More detail on all of these outcomes can be found in the </w:t>
            </w:r>
            <w:r>
              <w:t>relevant sections of the report.</w:t>
            </w:r>
            <w:r w:rsidR="00596E3F">
              <w:t xml:space="preserve"> </w:t>
            </w:r>
            <w:r w:rsidR="00596E3F" w:rsidRPr="00596E3F">
              <w:rPr>
                <w:rStyle w:val="NoteLabel"/>
              </w:rPr>
              <w:t>b</w:t>
            </w:r>
            <w:r w:rsidR="00596E3F">
              <w:t xml:space="preserve"> Error bars represent 95 per cent confidence intervals around </w:t>
            </w:r>
            <w:r w:rsidR="008945A9">
              <w:t xml:space="preserve">each </w:t>
            </w:r>
            <w:r w:rsidR="00596E3F">
              <w:t>estimate.</w:t>
            </w:r>
            <w:r w:rsidR="00034947">
              <w:t xml:space="preserve"> </w:t>
            </w:r>
            <w:r w:rsidR="00034947" w:rsidRPr="00034947">
              <w:rPr>
                <w:rStyle w:val="NoteLabel"/>
              </w:rPr>
              <w:t>c</w:t>
            </w:r>
            <w:r w:rsidR="00034947">
              <w:t xml:space="preserve"> Fully engaged in post-school education, training and/or employment.</w:t>
            </w:r>
          </w:p>
        </w:tc>
      </w:tr>
      <w:tr w:rsidR="00AE7384" w:rsidRPr="00176D3F" w:rsidTr="00B31E15">
        <w:tc>
          <w:tcPr>
            <w:tcW w:w="8771" w:type="dxa"/>
            <w:tcBorders>
              <w:top w:val="nil"/>
              <w:left w:val="nil"/>
              <w:bottom w:val="nil"/>
              <w:right w:val="nil"/>
            </w:tcBorders>
            <w:shd w:val="clear" w:color="auto" w:fill="auto"/>
          </w:tcPr>
          <w:p w:rsidR="00AE7384" w:rsidRPr="00176D3F" w:rsidRDefault="00AE7384" w:rsidP="00AE7384">
            <w:pPr>
              <w:pStyle w:val="Source"/>
            </w:pPr>
            <w:r>
              <w:rPr>
                <w:i/>
              </w:rPr>
              <w:t>S</w:t>
            </w:r>
            <w:r w:rsidRPr="00784A05">
              <w:rPr>
                <w:i/>
              </w:rPr>
              <w:t>ource</w:t>
            </w:r>
            <w:r w:rsidRPr="00176D3F">
              <w:t xml:space="preserve">: </w:t>
            </w:r>
            <w:r>
              <w:t xml:space="preserve">ABS (unpublished) Aboriginal and Torres Strait Islander Health Survey 2012-13; tables </w:t>
            </w:r>
            <w:proofErr w:type="spellStart"/>
            <w:r>
              <w:t>4A.5.2</w:t>
            </w:r>
            <w:proofErr w:type="spellEnd"/>
            <w:r>
              <w:t xml:space="preserve">, </w:t>
            </w:r>
            <w:proofErr w:type="spellStart"/>
            <w:r>
              <w:t>4A.7.11</w:t>
            </w:r>
            <w:proofErr w:type="spellEnd"/>
            <w:r>
              <w:t xml:space="preserve">, </w:t>
            </w:r>
            <w:proofErr w:type="spellStart"/>
            <w:r>
              <w:t>7A.4.1</w:t>
            </w:r>
            <w:proofErr w:type="spellEnd"/>
            <w:r>
              <w:t xml:space="preserve">, </w:t>
            </w:r>
            <w:proofErr w:type="spellStart"/>
            <w:r>
              <w:t>9A.3.1</w:t>
            </w:r>
            <w:proofErr w:type="spellEnd"/>
            <w:r w:rsidRPr="00167F06">
              <w:t xml:space="preserve"> </w:t>
            </w:r>
            <w:r>
              <w:t xml:space="preserve">and </w:t>
            </w:r>
            <w:proofErr w:type="spellStart"/>
            <w:r>
              <w:t>10A.1.3</w:t>
            </w:r>
            <w:proofErr w:type="spellEnd"/>
            <w:r>
              <w:t>.</w:t>
            </w:r>
          </w:p>
        </w:tc>
      </w:tr>
      <w:tr w:rsidR="00AE7384" w:rsidTr="00B31E15">
        <w:tc>
          <w:tcPr>
            <w:tcW w:w="8771" w:type="dxa"/>
            <w:tcBorders>
              <w:top w:val="nil"/>
              <w:left w:val="nil"/>
              <w:bottom w:val="single" w:sz="6" w:space="0" w:color="78A22F"/>
              <w:right w:val="nil"/>
            </w:tcBorders>
            <w:shd w:val="clear" w:color="auto" w:fill="auto"/>
          </w:tcPr>
          <w:p w:rsidR="00AE7384" w:rsidRDefault="00AE7384" w:rsidP="00B31E15">
            <w:pPr>
              <w:pStyle w:val="Figurespace"/>
            </w:pPr>
          </w:p>
        </w:tc>
      </w:tr>
      <w:tr w:rsidR="00AE7384" w:rsidRPr="000863A5" w:rsidTr="00B31E15">
        <w:tc>
          <w:tcPr>
            <w:tcW w:w="8771" w:type="dxa"/>
            <w:tcBorders>
              <w:top w:val="single" w:sz="6" w:space="0" w:color="78A22F"/>
              <w:left w:val="nil"/>
              <w:bottom w:val="nil"/>
              <w:right w:val="nil"/>
            </w:tcBorders>
          </w:tcPr>
          <w:p w:rsidR="00AE7384" w:rsidRPr="00626D32" w:rsidRDefault="00AE7384" w:rsidP="00B31E15">
            <w:pPr>
              <w:pStyle w:val="BoxSpaceBelow"/>
            </w:pPr>
          </w:p>
        </w:tc>
      </w:tr>
    </w:tbl>
    <w:p w:rsidR="002E042B" w:rsidRDefault="00CF277C" w:rsidP="00026E02">
      <w:pPr>
        <w:pStyle w:val="Heading2"/>
      </w:pPr>
      <w:r>
        <w:lastRenderedPageBreak/>
        <w:t>1.4</w:t>
      </w:r>
      <w:r>
        <w:tab/>
      </w:r>
      <w:r w:rsidR="002E042B" w:rsidRPr="002E042B">
        <w:t>Purpose of the report</w:t>
      </w:r>
    </w:p>
    <w:p w:rsidR="003729DA" w:rsidRDefault="003729DA" w:rsidP="003729DA">
      <w:pPr>
        <w:pStyle w:val="BodyText"/>
      </w:pPr>
      <w:r>
        <w:t>It is important to have an overall picture of outcomes for Aboriginal and Torres Strait Islander Australians, because they are over</w:t>
      </w:r>
      <w:r w:rsidR="00412313">
        <w:t>-</w:t>
      </w:r>
      <w:r>
        <w:t>represented among Australians facing disadvantage, and this disadvantage appears more persistent over time and across generations. The Indigenous peoples of countries with similar colonial histories to Australia, such as Canada, the United States of America and New Zealand, also experience high rates of</w:t>
      </w:r>
      <w:r w:rsidR="002D5512">
        <w:t xml:space="preserve"> disadvantage (</w:t>
      </w:r>
      <w:r w:rsidR="002D5512" w:rsidRPr="002D5512">
        <w:rPr>
          <w:szCs w:val="24"/>
        </w:rPr>
        <w:t>Cooke et al. 2007</w:t>
      </w:r>
      <w:r>
        <w:t xml:space="preserve">; Armitage 1995 cited in </w:t>
      </w:r>
      <w:r w:rsidR="00045984" w:rsidRPr="00045984">
        <w:rPr>
          <w:szCs w:val="24"/>
        </w:rPr>
        <w:t>Cornell 2006</w:t>
      </w:r>
      <w:r>
        <w:t xml:space="preserve">). </w:t>
      </w:r>
    </w:p>
    <w:p w:rsidR="002E042B" w:rsidRDefault="003729DA" w:rsidP="003729DA">
      <w:pPr>
        <w:pStyle w:val="BodyText"/>
      </w:pPr>
      <w:r>
        <w:t>This report tracks progress against the COAG targets, plus a number of other indicators of disadvantage and wellbeing, to provide accountability for overcoming Indigenous disadvantage</w:t>
      </w:r>
      <w:r w:rsidR="00D33E80">
        <w:t>.</w:t>
      </w:r>
      <w:r>
        <w:rPr>
          <w:rStyle w:val="FootnoteReference"/>
        </w:rPr>
        <w:footnoteReference w:id="1"/>
      </w:r>
      <w:r>
        <w:t xml:space="preserve"> In this report, a number of indicators show improvements, particularly some population health and higher education measures. However, significant gaps in outcomes remain. Particularly concerning, it appears that </w:t>
      </w:r>
      <w:r w:rsidR="00E61F5F" w:rsidRPr="00596E3F">
        <w:t>drug and alcohol and family/community violence outcomes</w:t>
      </w:r>
      <w:r>
        <w:t xml:space="preserve"> have stalled, while involvement with the child protection system remains high, and </w:t>
      </w:r>
      <w:r w:rsidR="00E61F5F" w:rsidRPr="00596E3F">
        <w:t>mental health</w:t>
      </w:r>
      <w:r w:rsidR="00E61F5F">
        <w:t xml:space="preserve"> and </w:t>
      </w:r>
      <w:r>
        <w:t xml:space="preserve">youth and adult criminal justice outcomes appear to be worsening. </w:t>
      </w:r>
    </w:p>
    <w:p w:rsidR="003729DA" w:rsidRDefault="00CF277C" w:rsidP="00026E02">
      <w:pPr>
        <w:pStyle w:val="Heading2"/>
      </w:pPr>
      <w:r>
        <w:t>1.5</w:t>
      </w:r>
      <w:r>
        <w:tab/>
      </w:r>
      <w:r w:rsidR="003729DA" w:rsidRPr="003729DA">
        <w:t>The historical context</w:t>
      </w:r>
      <w:r w:rsidR="00ED7B51">
        <w:rPr>
          <w:rStyle w:val="FootnoteReference"/>
        </w:rPr>
        <w:footnoteReference w:id="2"/>
      </w:r>
    </w:p>
    <w:p w:rsidR="003729DA" w:rsidRDefault="003729DA" w:rsidP="003729DA">
      <w:pPr>
        <w:pStyle w:val="BodyText"/>
      </w:pPr>
      <w:r>
        <w:t xml:space="preserve">Disadvantage may have both immediate social, economic and cultural determinants, and deeper underlying causes. For example, the relatively high rates of violence in Aboriginal and Torres Strait Island communities are influenced by immediate factors such as alcohol and illicit drug use, mental health issues and childhood experience of violence. However, a number of researchers also suggest that deeper underlying causes include ‘intergenerational trauma’ resulting from the ongoing and cumulative effects of colonisation, loss of land, language and culture, the erosion of cultural and spiritual identity, </w:t>
      </w:r>
      <w:r w:rsidR="00FB24D7" w:rsidRPr="00596E3F">
        <w:t>forced removal of children</w:t>
      </w:r>
      <w:r w:rsidR="00FB24D7">
        <w:t xml:space="preserve">, </w:t>
      </w:r>
      <w:r>
        <w:t>and racism and discrimination (</w:t>
      </w:r>
      <w:r w:rsidR="00F67D80" w:rsidRPr="00F67D80">
        <w:rPr>
          <w:szCs w:val="24"/>
        </w:rPr>
        <w:t>Bryant 2009</w:t>
      </w:r>
      <w:r>
        <w:t>;</w:t>
      </w:r>
      <w:r w:rsidR="00922355">
        <w:rPr>
          <w:szCs w:val="24"/>
        </w:rPr>
        <w:t xml:space="preserve"> </w:t>
      </w:r>
      <w:r w:rsidR="00922355" w:rsidRPr="00922355">
        <w:rPr>
          <w:szCs w:val="24"/>
        </w:rPr>
        <w:t>Clapham, Stevenson and Lo 2006</w:t>
      </w:r>
      <w:r w:rsidR="000E596F">
        <w:t xml:space="preserve">; </w:t>
      </w:r>
      <w:proofErr w:type="spellStart"/>
      <w:r w:rsidR="000E596F" w:rsidRPr="000E596F">
        <w:rPr>
          <w:szCs w:val="24"/>
        </w:rPr>
        <w:t>HREOC</w:t>
      </w:r>
      <w:proofErr w:type="spellEnd"/>
      <w:r w:rsidR="000E596F" w:rsidRPr="000E596F">
        <w:rPr>
          <w:szCs w:val="24"/>
        </w:rPr>
        <w:t> 1997</w:t>
      </w:r>
      <w:r>
        <w:t>).</w:t>
      </w:r>
    </w:p>
    <w:p w:rsidR="003729DA" w:rsidRDefault="003729DA" w:rsidP="003729DA">
      <w:pPr>
        <w:pStyle w:val="BodyText"/>
      </w:pPr>
      <w:r>
        <w:t xml:space="preserve">Many readers will be familiar with much of the history of Aboriginal and Torres Strait Islander Australians since European settlement, and will be conscious of the importance of seeing the information in this report in the context of that history. For other readers, the following material provides a very brief introduction to a complex and sometimes contentious subject. For readers interested in exploring the historical context further, the reference list provides </w:t>
      </w:r>
      <w:r w:rsidRPr="00596E3F">
        <w:t>a range of</w:t>
      </w:r>
      <w:r w:rsidR="00412313" w:rsidRPr="00596E3F">
        <w:t xml:space="preserve"> views on the impact of past events on Aboriginal and Torres Strait Islander Australians living now</w:t>
      </w:r>
      <w:r>
        <w:t>.</w:t>
      </w:r>
    </w:p>
    <w:p w:rsidR="003729DA" w:rsidRDefault="003729DA" w:rsidP="003729DA">
      <w:pPr>
        <w:pStyle w:val="BodyText"/>
      </w:pPr>
      <w:r>
        <w:lastRenderedPageBreak/>
        <w:t>Aboriginal people have lived in Australia for some 40 000 to 60 000 years</w:t>
      </w:r>
      <w:r w:rsidR="008D3D6A">
        <w:t xml:space="preserve">, </w:t>
      </w:r>
      <w:r w:rsidR="008D3D6A" w:rsidRPr="00596E3F">
        <w:t xml:space="preserve">with the Torres Strait Islands settled some </w:t>
      </w:r>
      <w:r w:rsidR="000275F2" w:rsidRPr="00596E3F">
        <w:t xml:space="preserve">10 000 years ago </w:t>
      </w:r>
      <w:r w:rsidR="000275F2" w:rsidRPr="000275F2">
        <w:rPr>
          <w:szCs w:val="24"/>
        </w:rPr>
        <w:t>(AIATSIS 2008)</w:t>
      </w:r>
      <w:r>
        <w:t xml:space="preserve">. It is estimated that, prior to European settlement, there were some 250 distinct nations, with different languages and social systems. Much diversity remains today, with many </w:t>
      </w:r>
      <w:r w:rsidR="00D33E80">
        <w:t xml:space="preserve">distinct </w:t>
      </w:r>
      <w:r>
        <w:t>Aboriginal and Torres Strait Islander peoples of Australia.</w:t>
      </w:r>
    </w:p>
    <w:p w:rsidR="003729DA" w:rsidRDefault="003729DA" w:rsidP="003729DA">
      <w:pPr>
        <w:pStyle w:val="BodyText"/>
      </w:pPr>
      <w:r>
        <w:t>Attachment to the land was a central element of traditional (and ongoing) Aboriginal and Torres Strait cultures, customs and laws. Yet, when the British established the penal colony of New South Wales in January 1788, the legal system operated as if Australia belonged to no one</w:t>
      </w:r>
      <w:r w:rsidR="008D3D6A">
        <w:t>,</w:t>
      </w:r>
      <w:r>
        <w:t xml:space="preserve"> and denied that Aboriginal and Torres Strait Islander people had sovereignty or property rights over the land.</w:t>
      </w:r>
    </w:p>
    <w:p w:rsidR="003729DA" w:rsidRDefault="003729DA" w:rsidP="003729DA">
      <w:pPr>
        <w:pStyle w:val="BodyText"/>
      </w:pPr>
      <w:r>
        <w:t xml:space="preserve">The colonisation period resulted in </w:t>
      </w:r>
      <w:r w:rsidR="00412313" w:rsidRPr="00596E3F">
        <w:t xml:space="preserve">many Aboriginal </w:t>
      </w:r>
      <w:r w:rsidR="008D3D6A" w:rsidRPr="00596E3F">
        <w:t xml:space="preserve">and Torres Strait Islander </w:t>
      </w:r>
      <w:r w:rsidR="00412313" w:rsidRPr="00596E3F">
        <w:t xml:space="preserve">people being dispossessed </w:t>
      </w:r>
      <w:r w:rsidRPr="00596E3F">
        <w:t xml:space="preserve">of </w:t>
      </w:r>
      <w:r w:rsidR="00412313" w:rsidRPr="00596E3F">
        <w:t xml:space="preserve">their traditional </w:t>
      </w:r>
      <w:r w:rsidRPr="00596E3F">
        <w:t>land</w:t>
      </w:r>
      <w:r w:rsidR="00412313" w:rsidRPr="00596E3F">
        <w:t>s</w:t>
      </w:r>
      <w:r>
        <w:t xml:space="preserve">, at times through violence and murder. Aboriginal people began resisting European occupation within months of the founding of the colony of NSW, and there are accounts of fighting as late as </w:t>
      </w:r>
      <w:r w:rsidR="00412313">
        <w:t>the</w:t>
      </w:r>
      <w:r w:rsidR="006320D4">
        <w:t xml:space="preserve"> early </w:t>
      </w:r>
      <w:proofErr w:type="spellStart"/>
      <w:r w:rsidR="006320D4">
        <w:t>1930s</w:t>
      </w:r>
      <w:proofErr w:type="spellEnd"/>
      <w:r w:rsidR="006320D4">
        <w:t xml:space="preserve"> (</w:t>
      </w:r>
      <w:r w:rsidR="006320D4" w:rsidRPr="006320D4">
        <w:rPr>
          <w:szCs w:val="24"/>
        </w:rPr>
        <w:t>Egan 1996</w:t>
      </w:r>
      <w:r w:rsidR="009E09B9">
        <w:t xml:space="preserve">; </w:t>
      </w:r>
      <w:r w:rsidR="009E09B9" w:rsidRPr="009E09B9">
        <w:rPr>
          <w:szCs w:val="24"/>
        </w:rPr>
        <w:t>Elder 2003</w:t>
      </w:r>
      <w:r w:rsidR="009E09B9">
        <w:t xml:space="preserve">; </w:t>
      </w:r>
      <w:r w:rsidR="009E09B9" w:rsidRPr="009E09B9">
        <w:rPr>
          <w:szCs w:val="24"/>
        </w:rPr>
        <w:t>Expert Panel 2012</w:t>
      </w:r>
      <w:r w:rsidR="00E13E3A">
        <w:t>, p. </w:t>
      </w:r>
      <w:r w:rsidR="005C7D26">
        <w:t xml:space="preserve">23; </w:t>
      </w:r>
      <w:r w:rsidR="005C7D26" w:rsidRPr="005C7D26">
        <w:rPr>
          <w:szCs w:val="24"/>
        </w:rPr>
        <w:t>Read 2007</w:t>
      </w:r>
      <w:r w:rsidR="00031171">
        <w:t xml:space="preserve">; </w:t>
      </w:r>
      <w:r w:rsidR="00031171" w:rsidRPr="00031171">
        <w:rPr>
          <w:szCs w:val="24"/>
        </w:rPr>
        <w:t>Reynolds 2006</w:t>
      </w:r>
      <w:r>
        <w:t xml:space="preserve">). </w:t>
      </w:r>
    </w:p>
    <w:p w:rsidR="003729DA" w:rsidRDefault="003729DA" w:rsidP="003729DA">
      <w:pPr>
        <w:pStyle w:val="BodyText"/>
      </w:pPr>
      <w:r>
        <w:t xml:space="preserve">Dispossession, violence and the introduction of </w:t>
      </w:r>
      <w:r w:rsidR="00412313" w:rsidRPr="00596E3F">
        <w:t>new</w:t>
      </w:r>
      <w:r w:rsidR="00412313">
        <w:t xml:space="preserve"> </w:t>
      </w:r>
      <w:r>
        <w:t xml:space="preserve">diseases had a devastating effect on the local populations. Although it is difficult to estimate the size of pre-settlement populations, researchers suggest that, in different locations across </w:t>
      </w:r>
      <w:r w:rsidR="00DE370C" w:rsidRPr="00596E3F">
        <w:t>mainland</w:t>
      </w:r>
      <w:r w:rsidR="00DE370C">
        <w:t xml:space="preserve"> </w:t>
      </w:r>
      <w:r>
        <w:t xml:space="preserve">Australia, the number of Aboriginal people declined by between 30 and 80 per cent from the time of European settlement to the early </w:t>
      </w:r>
      <w:proofErr w:type="spellStart"/>
      <w:r>
        <w:t>190</w:t>
      </w:r>
      <w:r w:rsidR="00F5642E">
        <w:t>0s</w:t>
      </w:r>
      <w:proofErr w:type="spellEnd"/>
      <w:r w:rsidR="00F5642E">
        <w:t xml:space="preserve"> (</w:t>
      </w:r>
      <w:r w:rsidR="00F5642E" w:rsidRPr="00F5642E">
        <w:rPr>
          <w:szCs w:val="24"/>
        </w:rPr>
        <w:t xml:space="preserve">Madden and </w:t>
      </w:r>
      <w:proofErr w:type="spellStart"/>
      <w:r w:rsidR="00F5642E" w:rsidRPr="00F5642E">
        <w:rPr>
          <w:szCs w:val="24"/>
        </w:rPr>
        <w:t>Pulver</w:t>
      </w:r>
      <w:proofErr w:type="spellEnd"/>
      <w:r w:rsidR="00F5642E" w:rsidRPr="00F5642E">
        <w:rPr>
          <w:szCs w:val="24"/>
        </w:rPr>
        <w:t> 2009</w:t>
      </w:r>
      <w:r>
        <w:t>;</w:t>
      </w:r>
      <w:r w:rsidR="00B758E5">
        <w:t xml:space="preserve"> </w:t>
      </w:r>
      <w:r w:rsidR="003F68B1">
        <w:rPr>
          <w:szCs w:val="24"/>
        </w:rPr>
        <w:t>(</w:t>
      </w:r>
      <w:proofErr w:type="spellStart"/>
      <w:r w:rsidR="003F68B1">
        <w:rPr>
          <w:szCs w:val="24"/>
        </w:rPr>
        <w:t>eds</w:t>
      </w:r>
      <w:proofErr w:type="spellEnd"/>
      <w:r w:rsidR="003F68B1">
        <w:rPr>
          <w:szCs w:val="24"/>
        </w:rPr>
        <w:t xml:space="preserve">) </w:t>
      </w:r>
      <w:r w:rsidR="00B758E5" w:rsidRPr="00B758E5">
        <w:rPr>
          <w:szCs w:val="24"/>
        </w:rPr>
        <w:t>Briscoe and Smith 2002</w:t>
      </w:r>
      <w:r w:rsidR="00B758E5">
        <w:t>;</w:t>
      </w:r>
      <w:r w:rsidR="00926AB1">
        <w:t xml:space="preserve"> </w:t>
      </w:r>
      <w:r w:rsidR="00926AB1" w:rsidRPr="00926AB1">
        <w:rPr>
          <w:szCs w:val="24"/>
        </w:rPr>
        <w:t>Smith 1980</w:t>
      </w:r>
      <w:r w:rsidR="00A5408B">
        <w:t xml:space="preserve">; </w:t>
      </w:r>
      <w:r w:rsidR="00A5408B" w:rsidRPr="00A5408B">
        <w:rPr>
          <w:szCs w:val="24"/>
        </w:rPr>
        <w:t>Department of Aboriginal Affairs 1981</w:t>
      </w:r>
      <w:r w:rsidR="00E13E3A">
        <w:t xml:space="preserve">; </w:t>
      </w:r>
      <w:proofErr w:type="spellStart"/>
      <w:r w:rsidR="008420E5" w:rsidRPr="008420E5">
        <w:rPr>
          <w:szCs w:val="24"/>
        </w:rPr>
        <w:t>Butlin</w:t>
      </w:r>
      <w:proofErr w:type="spellEnd"/>
      <w:r w:rsidR="008420E5" w:rsidRPr="008420E5">
        <w:rPr>
          <w:szCs w:val="24"/>
        </w:rPr>
        <w:t> 1983</w:t>
      </w:r>
      <w:r w:rsidR="00A5408B">
        <w:t xml:space="preserve">, </w:t>
      </w:r>
      <w:r w:rsidR="00F5642E">
        <w:br/>
      </w:r>
      <w:r w:rsidR="00A5408B">
        <w:t xml:space="preserve">pp. 119–148; </w:t>
      </w:r>
      <w:r w:rsidR="00A5408B" w:rsidRPr="00A5408B">
        <w:rPr>
          <w:szCs w:val="24"/>
        </w:rPr>
        <w:t>Diamond 1998</w:t>
      </w:r>
      <w:r w:rsidR="00E13E3A">
        <w:t>, p. </w:t>
      </w:r>
      <w:r>
        <w:t xml:space="preserve">320). </w:t>
      </w:r>
    </w:p>
    <w:p w:rsidR="003729DA" w:rsidRDefault="003729DA" w:rsidP="003729DA">
      <w:pPr>
        <w:pStyle w:val="BodyText"/>
      </w:pPr>
      <w:r>
        <w:t>From 1860, ‘protective’ legislation (known as the ‘Aborigines Acts’) required many Aboriginal people to live on reserves. In practice, these laws placed almost unlimited discretion in the hands of reserve superintendents and police protectors — lives on the reserves were highly regulated and basic</w:t>
      </w:r>
      <w:r w:rsidR="005A7830">
        <w:t xml:space="preserve"> human rights were suppressed (</w:t>
      </w:r>
      <w:proofErr w:type="spellStart"/>
      <w:r w:rsidR="005A7830" w:rsidRPr="005A7830">
        <w:rPr>
          <w:szCs w:val="24"/>
        </w:rPr>
        <w:t>Chesterman</w:t>
      </w:r>
      <w:proofErr w:type="spellEnd"/>
      <w:r w:rsidR="005A7830" w:rsidRPr="005A7830">
        <w:rPr>
          <w:szCs w:val="24"/>
        </w:rPr>
        <w:t xml:space="preserve"> and </w:t>
      </w:r>
      <w:proofErr w:type="spellStart"/>
      <w:r w:rsidR="005A7830" w:rsidRPr="005A7830">
        <w:rPr>
          <w:szCs w:val="24"/>
        </w:rPr>
        <w:t>Galligan</w:t>
      </w:r>
      <w:proofErr w:type="spellEnd"/>
      <w:r w:rsidR="005A7830" w:rsidRPr="005A7830">
        <w:rPr>
          <w:szCs w:val="24"/>
        </w:rPr>
        <w:t> 1997</w:t>
      </w:r>
      <w:r w:rsidR="00A5408B">
        <w:t xml:space="preserve">, p. 41; </w:t>
      </w:r>
      <w:proofErr w:type="spellStart"/>
      <w:r w:rsidR="00A5408B" w:rsidRPr="00A5408B">
        <w:rPr>
          <w:szCs w:val="24"/>
        </w:rPr>
        <w:t>Cunneen</w:t>
      </w:r>
      <w:proofErr w:type="spellEnd"/>
      <w:r w:rsidR="00A5408B" w:rsidRPr="00A5408B">
        <w:rPr>
          <w:szCs w:val="24"/>
        </w:rPr>
        <w:t> 2001</w:t>
      </w:r>
      <w:r w:rsidR="00CD6FC1">
        <w:t xml:space="preserve">, pp. 57-58; </w:t>
      </w:r>
      <w:r w:rsidR="00CD6FC1" w:rsidRPr="00CD6FC1">
        <w:rPr>
          <w:szCs w:val="24"/>
        </w:rPr>
        <w:t>Morris 1988</w:t>
      </w:r>
      <w:r w:rsidR="00E13E3A">
        <w:t>, p. </w:t>
      </w:r>
      <w:r>
        <w:t>50). Aboriginal people living outside reserves were spared the worst of the reserve regime, but their rights were still limite</w:t>
      </w:r>
      <w:r w:rsidR="000275F2">
        <w:t xml:space="preserve">d </w:t>
      </w:r>
      <w:r w:rsidR="000275F2" w:rsidRPr="000275F2">
        <w:rPr>
          <w:szCs w:val="24"/>
        </w:rPr>
        <w:t>(AIATSIS 2008</w:t>
      </w:r>
      <w:r w:rsidR="00E13E3A">
        <w:t xml:space="preserve">; </w:t>
      </w:r>
      <w:r w:rsidR="00A57F3A" w:rsidRPr="00A57F3A">
        <w:rPr>
          <w:szCs w:val="24"/>
        </w:rPr>
        <w:t>Blake 1998</w:t>
      </w:r>
      <w:r w:rsidR="00E13E3A">
        <w:t>, p. </w:t>
      </w:r>
      <w:r>
        <w:t>53).</w:t>
      </w:r>
      <w:r w:rsidR="00DE370C">
        <w:t xml:space="preserve"> </w:t>
      </w:r>
      <w:r w:rsidR="00DE370C" w:rsidRPr="00596E3F">
        <w:t xml:space="preserve">Torres Strait Islander people faced special laws, including segregated cinemas, schools, churches and housing, travel restrictions and poorer health and educational opportunities </w:t>
      </w:r>
      <w:r w:rsidR="000275F2" w:rsidRPr="000275F2">
        <w:rPr>
          <w:szCs w:val="24"/>
        </w:rPr>
        <w:t>(AIATSIS 2008)</w:t>
      </w:r>
      <w:r w:rsidR="00DE370C" w:rsidRPr="00596E3F">
        <w:t>.</w:t>
      </w:r>
      <w:r w:rsidR="00DE370C">
        <w:t xml:space="preserve"> </w:t>
      </w:r>
    </w:p>
    <w:p w:rsidR="003729DA" w:rsidRDefault="003729DA" w:rsidP="003729DA">
      <w:pPr>
        <w:pStyle w:val="BodyText"/>
      </w:pPr>
      <w:r>
        <w:t xml:space="preserve">From the late </w:t>
      </w:r>
      <w:proofErr w:type="spellStart"/>
      <w:r>
        <w:t>1800s</w:t>
      </w:r>
      <w:proofErr w:type="spellEnd"/>
      <w:r>
        <w:t xml:space="preserve"> through much of the twentieth century, governments in several jurisdictions controlled many Aboriginal people’s wages, pensions and endowments, with much of the money mismanaged or diverted — a practice now called ‘</w:t>
      </w:r>
      <w:r w:rsidR="000275F2">
        <w:t xml:space="preserve">stolen wages’ </w:t>
      </w:r>
      <w:r w:rsidR="000275F2" w:rsidRPr="000275F2">
        <w:rPr>
          <w:szCs w:val="24"/>
        </w:rPr>
        <w:t>(AIATSIS 2008</w:t>
      </w:r>
      <w:r w:rsidR="00490E38">
        <w:t xml:space="preserve">, p. 122; </w:t>
      </w:r>
      <w:r w:rsidR="00490E38" w:rsidRPr="00490E38">
        <w:rPr>
          <w:szCs w:val="24"/>
        </w:rPr>
        <w:t xml:space="preserve">Thornton and </w:t>
      </w:r>
      <w:proofErr w:type="spellStart"/>
      <w:r w:rsidR="00490E38" w:rsidRPr="00490E38">
        <w:rPr>
          <w:szCs w:val="24"/>
        </w:rPr>
        <w:t>Luker</w:t>
      </w:r>
      <w:proofErr w:type="spellEnd"/>
      <w:r w:rsidR="00490E38" w:rsidRPr="00490E38">
        <w:rPr>
          <w:szCs w:val="24"/>
        </w:rPr>
        <w:t> 2009</w:t>
      </w:r>
      <w:r w:rsidR="00DB3024">
        <w:t>, p</w:t>
      </w:r>
      <w:r w:rsidR="00E13E3A">
        <w:t>. </w:t>
      </w:r>
      <w:r>
        <w:t>647). Some governments have since put in place reparation schemes, although the passage of time and lack of records ha</w:t>
      </w:r>
      <w:r w:rsidR="00DE370C">
        <w:t>ve</w:t>
      </w:r>
      <w:r>
        <w:t xml:space="preserve"> made it very difficult to determine the full impact of ‘stolen wages’ or to determine the true value of any compensation </w:t>
      </w:r>
      <w:r w:rsidR="00CA6B7C" w:rsidRPr="00CA6B7C">
        <w:rPr>
          <w:szCs w:val="24"/>
        </w:rPr>
        <w:t>(Western Australia Stolen Wages Taskforce 2008)</w:t>
      </w:r>
      <w:r>
        <w:t>.</w:t>
      </w:r>
    </w:p>
    <w:p w:rsidR="003729DA" w:rsidRDefault="003729DA" w:rsidP="003729DA">
      <w:pPr>
        <w:pStyle w:val="BodyText"/>
      </w:pPr>
      <w:r>
        <w:t xml:space="preserve">In the </w:t>
      </w:r>
      <w:proofErr w:type="spellStart"/>
      <w:r>
        <w:t>1900s</w:t>
      </w:r>
      <w:proofErr w:type="spellEnd"/>
      <w:r>
        <w:t xml:space="preserve">, governments adopted a more assimilationist approach, with explicit goals of integrating Aboriginal and Torres Strait </w:t>
      </w:r>
      <w:r w:rsidR="00E674D6">
        <w:t>I</w:t>
      </w:r>
      <w:r>
        <w:t>slander people into ‘mainstream’ society</w:t>
      </w:r>
      <w:r w:rsidR="000400F5">
        <w:t xml:space="preserve">, </w:t>
      </w:r>
      <w:r>
        <w:t xml:space="preserve">initially </w:t>
      </w:r>
      <w:r>
        <w:lastRenderedPageBreak/>
        <w:t>focused on ‘the natives of Aboriginal origin but not of the full blood’ and later extended to all Abor</w:t>
      </w:r>
      <w:r w:rsidR="00E13E3A">
        <w:t xml:space="preserve">iginal </w:t>
      </w:r>
      <w:r w:rsidR="000400F5" w:rsidRPr="00596E3F">
        <w:t>(and Torres Strait Islander)</w:t>
      </w:r>
      <w:r w:rsidR="000400F5">
        <w:t xml:space="preserve"> </w:t>
      </w:r>
      <w:r w:rsidR="002865DF">
        <w:t>people (</w:t>
      </w:r>
      <w:r w:rsidR="002865DF" w:rsidRPr="002865DF">
        <w:rPr>
          <w:szCs w:val="24"/>
        </w:rPr>
        <w:t>Rowley 1978</w:t>
      </w:r>
      <w:r w:rsidR="00E13E3A">
        <w:t>, pp. </w:t>
      </w:r>
      <w:r>
        <w:t>320-</w:t>
      </w:r>
      <w:r w:rsidR="00E13E3A">
        <w:t>32</w:t>
      </w:r>
      <w:r>
        <w:t>1). The policy was defined at the 1961 Native Welfare Conference of Federal and State Ministers in these terms:</w:t>
      </w:r>
    </w:p>
    <w:p w:rsidR="003729DA" w:rsidRDefault="003729DA" w:rsidP="00E13E3A">
      <w:pPr>
        <w:pStyle w:val="Quote"/>
      </w:pPr>
      <w:r>
        <w:t xml:space="preserve">The policy of assimilation means that all Aborigines </w:t>
      </w:r>
      <w:r w:rsidR="000400F5" w:rsidRPr="00596E3F">
        <w:t>[</w:t>
      </w:r>
      <w:r w:rsidR="000400F5" w:rsidRPr="00596E3F">
        <w:rPr>
          <w:i/>
        </w:rPr>
        <w:t>sic</w:t>
      </w:r>
      <w:r w:rsidR="000400F5" w:rsidRPr="00596E3F">
        <w:t>]</w:t>
      </w:r>
      <w:r w:rsidR="000400F5">
        <w:t xml:space="preserve"> </w:t>
      </w:r>
      <w:r>
        <w:t xml:space="preserve">and part-Aborigines </w:t>
      </w:r>
      <w:r w:rsidR="000400F5" w:rsidRPr="00596E3F">
        <w:t>[</w:t>
      </w:r>
      <w:r w:rsidR="000400F5" w:rsidRPr="00596E3F">
        <w:rPr>
          <w:i/>
        </w:rPr>
        <w:t>sic</w:t>
      </w:r>
      <w:r w:rsidR="000400F5" w:rsidRPr="00596E3F">
        <w:t>]</w:t>
      </w:r>
      <w:r w:rsidR="000400F5">
        <w:t xml:space="preserve"> </w:t>
      </w:r>
      <w:r>
        <w:t xml:space="preserve">are expected to attain the same manner of living as other Australians and to live as members of a single Australian community, enjoying the same rights and privileges, accepting the same customs and influenced by the same beliefs as other </w:t>
      </w:r>
      <w:r w:rsidR="00031171">
        <w:t>Australians. (</w:t>
      </w:r>
      <w:r w:rsidR="00031171" w:rsidRPr="00031171">
        <w:rPr>
          <w:szCs w:val="24"/>
        </w:rPr>
        <w:t>Reynolds 1972</w:t>
      </w:r>
      <w:r w:rsidR="00E13E3A">
        <w:t>, p. </w:t>
      </w:r>
      <w:r>
        <w:t>175)</w:t>
      </w:r>
    </w:p>
    <w:p w:rsidR="003729DA" w:rsidRDefault="003729DA" w:rsidP="003729DA">
      <w:pPr>
        <w:pStyle w:val="BodyText"/>
      </w:pPr>
      <w:r>
        <w:t xml:space="preserve">Removal of Aboriginal </w:t>
      </w:r>
      <w:r w:rsidR="00FB24D7" w:rsidRPr="00596E3F">
        <w:t>and Torres Strait Islander</w:t>
      </w:r>
      <w:r w:rsidR="00FB24D7">
        <w:t xml:space="preserve"> </w:t>
      </w:r>
      <w:r>
        <w:t xml:space="preserve">children from their families became common. Between 10 and 30 per cent of Aboriginal and Torres Strait Islander children were forcibly removed from their families and communities between 1910 and 1970, </w:t>
      </w:r>
      <w:r w:rsidR="00E674D6" w:rsidRPr="00596E3F">
        <w:t>now</w:t>
      </w:r>
      <w:r w:rsidR="00E674D6" w:rsidRPr="00026E02">
        <w:rPr>
          <w:bdr w:val="single" w:sz="4" w:space="0" w:color="auto"/>
        </w:rPr>
        <w:t xml:space="preserve"> </w:t>
      </w:r>
      <w:r w:rsidR="00E674D6" w:rsidRPr="00596E3F">
        <w:t>referred to</w:t>
      </w:r>
      <w:r w:rsidRPr="00596E3F">
        <w:t xml:space="preserve"> as</w:t>
      </w:r>
      <w:r>
        <w:t xml:space="preserve"> ‘the stol</w:t>
      </w:r>
      <w:r w:rsidR="000E596F">
        <w:t>en generations’ (</w:t>
      </w:r>
      <w:proofErr w:type="spellStart"/>
      <w:r w:rsidR="000E596F" w:rsidRPr="000E596F">
        <w:rPr>
          <w:szCs w:val="24"/>
        </w:rPr>
        <w:t>HREOC</w:t>
      </w:r>
      <w:proofErr w:type="spellEnd"/>
      <w:r w:rsidR="000E596F" w:rsidRPr="000E596F">
        <w:rPr>
          <w:szCs w:val="24"/>
        </w:rPr>
        <w:t> 1997</w:t>
      </w:r>
      <w:r w:rsidR="00E13E3A">
        <w:t>, p. </w:t>
      </w:r>
      <w:r>
        <w:t>31).</w:t>
      </w:r>
    </w:p>
    <w:p w:rsidR="003729DA" w:rsidRDefault="003729DA" w:rsidP="003729DA">
      <w:pPr>
        <w:pStyle w:val="BodyText"/>
      </w:pPr>
      <w:r>
        <w:t xml:space="preserve">Aboriginal </w:t>
      </w:r>
      <w:r w:rsidR="00FB24D7" w:rsidRPr="00596E3F">
        <w:t xml:space="preserve">and Torres Strait Islander </w:t>
      </w:r>
      <w:r>
        <w:t xml:space="preserve">people did not passively accept these experiences. Some directly petitioned governments — in 1935 and 1937, petitions were presented to the Commonwealth Government seeking representation in the Parliament and the establishment of a national department of native affairs and state advisory councils. Following the lack of a response, in 1938 Aborigines from around Australia established a National Aboriginal Day </w:t>
      </w:r>
      <w:r w:rsidR="00E13E3A">
        <w:t>Observance Committee (</w:t>
      </w:r>
      <w:proofErr w:type="spellStart"/>
      <w:r w:rsidR="00E13E3A">
        <w:t>NADOC</w:t>
      </w:r>
      <w:proofErr w:type="spellEnd"/>
      <w:r w:rsidR="00E13E3A">
        <w:t>).</w:t>
      </w:r>
      <w:r w:rsidR="00E13E3A">
        <w:rPr>
          <w:rStyle w:val="FootnoteReference"/>
        </w:rPr>
        <w:footnoteReference w:id="3"/>
      </w:r>
      <w:r w:rsidR="00E13E3A">
        <w:t xml:space="preserve"> </w:t>
      </w:r>
      <w:r>
        <w:t xml:space="preserve">In August 1963, a further petition was presented as a pair of bark paintings, signed by 131 clan leaders of the </w:t>
      </w:r>
      <w:proofErr w:type="spellStart"/>
      <w:r>
        <w:t>Yolngu</w:t>
      </w:r>
      <w:proofErr w:type="spellEnd"/>
      <w:r>
        <w:t xml:space="preserve"> region (Gove Peninsula) of the Northern Territory. The bark petitions are considered ‘founding documents’ of Australia’s democrac</w:t>
      </w:r>
      <w:r w:rsidR="00130D35">
        <w:t xml:space="preserve">y </w:t>
      </w:r>
      <w:r w:rsidR="00130D35" w:rsidRPr="00130D35">
        <w:rPr>
          <w:szCs w:val="24"/>
        </w:rPr>
        <w:t>(Australian Government </w:t>
      </w:r>
      <w:proofErr w:type="spellStart"/>
      <w:r w:rsidR="00130D35" w:rsidRPr="00130D35">
        <w:rPr>
          <w:szCs w:val="24"/>
        </w:rPr>
        <w:t>nd</w:t>
      </w:r>
      <w:proofErr w:type="spellEnd"/>
      <w:r w:rsidR="00130D35" w:rsidRPr="00130D35">
        <w:rPr>
          <w:szCs w:val="24"/>
        </w:rPr>
        <w:t>)</w:t>
      </w:r>
      <w:r w:rsidR="00E13E3A">
        <w:t>.</w:t>
      </w:r>
    </w:p>
    <w:p w:rsidR="003729DA" w:rsidRDefault="003729DA" w:rsidP="003729DA">
      <w:pPr>
        <w:pStyle w:val="BodyText"/>
      </w:pPr>
      <w:r>
        <w:t xml:space="preserve">Other Aboriginal </w:t>
      </w:r>
      <w:r w:rsidR="00FB24D7" w:rsidRPr="00596E3F">
        <w:t>and Torres Strait Islander</w:t>
      </w:r>
      <w:r w:rsidR="00FB24D7">
        <w:t xml:space="preserve"> </w:t>
      </w:r>
      <w:r>
        <w:t>people took more direct action, such as the ‘Gurindji Walk-Off’ in 1966, when about 250 Aboriginal pastoral workers and their families walked off the Wave Hill Station in response to the low rates of pay and poor living conditions. The action developed as a wholesale rejection of the governmental and industrial framework applying to Aboriginal pastoral populations and included a demand for the return</w:t>
      </w:r>
      <w:r w:rsidR="00785AA0">
        <w:t xml:space="preserve"> of traditional lands </w:t>
      </w:r>
      <w:r w:rsidR="00785AA0" w:rsidRPr="00785AA0">
        <w:rPr>
          <w:szCs w:val="24"/>
        </w:rPr>
        <w:t>(Australian Heritage Database </w:t>
      </w:r>
      <w:proofErr w:type="spellStart"/>
      <w:r w:rsidR="00785AA0" w:rsidRPr="00785AA0">
        <w:rPr>
          <w:szCs w:val="24"/>
        </w:rPr>
        <w:t>nd</w:t>
      </w:r>
      <w:proofErr w:type="spellEnd"/>
      <w:r w:rsidR="00785AA0" w:rsidRPr="00785AA0">
        <w:rPr>
          <w:szCs w:val="24"/>
        </w:rPr>
        <w:t>)</w:t>
      </w:r>
      <w:r>
        <w:t>.</w:t>
      </w:r>
    </w:p>
    <w:p w:rsidR="003729DA" w:rsidRDefault="003729DA" w:rsidP="003729DA">
      <w:pPr>
        <w:pStyle w:val="BodyText"/>
      </w:pPr>
      <w:r>
        <w:t>This activism led to increasing community concern about Indigenous policy. By 1967, there was widespread support to make two amendments to the Australian constitution — to allow the Commonwealth Government to legislate with respect to Aboriginal people, and to include Ab</w:t>
      </w:r>
      <w:r w:rsidR="00E13E3A">
        <w:t>original people in the Census.</w:t>
      </w:r>
      <w:r w:rsidR="00E13E3A">
        <w:rPr>
          <w:rStyle w:val="FootnoteReference"/>
        </w:rPr>
        <w:footnoteReference w:id="4"/>
      </w:r>
      <w:r w:rsidR="00E13E3A">
        <w:t xml:space="preserve"> </w:t>
      </w:r>
      <w:r>
        <w:t xml:space="preserve">The referendum, commonly regarded as a watershed in relations between </w:t>
      </w:r>
      <w:r w:rsidR="00175C95" w:rsidRPr="00596E3F">
        <w:t>Aboriginal and Torres Strait Islander</w:t>
      </w:r>
      <w:r w:rsidR="00175C95">
        <w:t xml:space="preserve"> Australians </w:t>
      </w:r>
      <w:r w:rsidR="00596E3F">
        <w:t>and non</w:t>
      </w:r>
      <w:r w:rsidR="00596E3F">
        <w:noBreakHyphen/>
      </w:r>
      <w:r>
        <w:t>Indigenous Australians, was supported by over 90 per cent of voters, the largest majority for any Australi</w:t>
      </w:r>
      <w:r w:rsidR="009E09B9">
        <w:t>an referendum (</w:t>
      </w:r>
      <w:r w:rsidR="009E09B9" w:rsidRPr="009E09B9">
        <w:rPr>
          <w:szCs w:val="24"/>
        </w:rPr>
        <w:t>Expert Panel 2012</w:t>
      </w:r>
      <w:r>
        <w:t>, p. 32).</w:t>
      </w:r>
    </w:p>
    <w:p w:rsidR="008648A5" w:rsidRDefault="008648A5" w:rsidP="003729DA">
      <w:pPr>
        <w:pStyle w:val="BodyText"/>
      </w:pPr>
      <w:r w:rsidRPr="00596E3F">
        <w:t xml:space="preserve">Rights to vote varied across states and territories (and there were often differences between legal entitlements and the practical exercise of those entitlements). The Commonwealth </w:t>
      </w:r>
      <w:r w:rsidRPr="00596E3F">
        <w:rPr>
          <w:i/>
        </w:rPr>
        <w:lastRenderedPageBreak/>
        <w:t>Electoral Act 1962</w:t>
      </w:r>
      <w:r w:rsidRPr="00596E3F">
        <w:t xml:space="preserve"> gave Aboriginal and Torres Strait Islander Australians the right to register and vote in federal elections, but voting was not made compulsory until 1984</w:t>
      </w:r>
      <w:r w:rsidRPr="008648A5">
        <w:t>.</w:t>
      </w:r>
    </w:p>
    <w:p w:rsidR="003729DA" w:rsidRDefault="003729DA" w:rsidP="003729DA">
      <w:pPr>
        <w:pStyle w:val="BodyText"/>
      </w:pPr>
      <w:r>
        <w:t xml:space="preserve">Land rights were, and continue to be, a prominent focus of Aboriginal </w:t>
      </w:r>
      <w:r w:rsidR="00175C95" w:rsidRPr="00596E3F">
        <w:t xml:space="preserve">and Torres Strait Islander </w:t>
      </w:r>
      <w:r>
        <w:t xml:space="preserve">activism. In the </w:t>
      </w:r>
      <w:proofErr w:type="spellStart"/>
      <w:r>
        <w:t>1970s</w:t>
      </w:r>
      <w:proofErr w:type="spellEnd"/>
      <w:r>
        <w:t xml:space="preserve">, these efforts led to governments passing various forms of land rights legislation. In the 1992 </w:t>
      </w:r>
      <w:proofErr w:type="spellStart"/>
      <w:r>
        <w:t>Mabo</w:t>
      </w:r>
      <w:proofErr w:type="spellEnd"/>
      <w:r>
        <w:t xml:space="preserve"> case, the High Court recognised native title, overturning the previous legal fiction that the land had belonged to no one at the time of Europe</w:t>
      </w:r>
      <w:r w:rsidR="009E09B9">
        <w:t>an settlement (</w:t>
      </w:r>
      <w:r w:rsidR="009E09B9" w:rsidRPr="009E09B9">
        <w:rPr>
          <w:szCs w:val="24"/>
        </w:rPr>
        <w:t>Expert Panel 2012</w:t>
      </w:r>
      <w:r>
        <w:t xml:space="preserve">, p. 35). This decision led to the Commonwealth </w:t>
      </w:r>
      <w:r w:rsidRPr="00026E02">
        <w:rPr>
          <w:i/>
        </w:rPr>
        <w:t>Native Title Act 1993</w:t>
      </w:r>
      <w:r>
        <w:t>, which provides a court process for determining native title claims. However, in many circumstances, Indigenous native title is f</w:t>
      </w:r>
      <w:r w:rsidR="00E13E3A">
        <w:t>ound to have been extinguished.</w:t>
      </w:r>
    </w:p>
    <w:p w:rsidR="003729DA" w:rsidRDefault="003729DA" w:rsidP="003729DA">
      <w:pPr>
        <w:pStyle w:val="BodyText"/>
      </w:pPr>
      <w:r>
        <w:t xml:space="preserve">In the late </w:t>
      </w:r>
      <w:proofErr w:type="spellStart"/>
      <w:r>
        <w:t>1960s</w:t>
      </w:r>
      <w:proofErr w:type="spellEnd"/>
      <w:r>
        <w:t xml:space="preserve"> and early </w:t>
      </w:r>
      <w:proofErr w:type="spellStart"/>
      <w:r>
        <w:t>1970s</w:t>
      </w:r>
      <w:proofErr w:type="spellEnd"/>
      <w:r>
        <w:t xml:space="preserve">, overtly paternalistic polices were formally abandoned (including the Aboriginal Acts) and a new policy of self-determination introduced. The </w:t>
      </w:r>
      <w:r w:rsidR="008648A5">
        <w:t xml:space="preserve">Commonwealth </w:t>
      </w:r>
      <w:r>
        <w:t>Racial Discrimination Act was introduced in 1975, as a result of Australia becoming a signatory to the International Covenant on the Elimination of All Forms of Racial Discrimination.</w:t>
      </w:r>
    </w:p>
    <w:p w:rsidR="003729DA" w:rsidRDefault="003729DA" w:rsidP="003729DA">
      <w:pPr>
        <w:pStyle w:val="BodyText"/>
      </w:pPr>
      <w:r>
        <w:t xml:space="preserve">However, actions that sought to establish equal rights for Aboriginal </w:t>
      </w:r>
      <w:r w:rsidR="008648A5" w:rsidRPr="00596E3F">
        <w:t>and Torres Strait Islander</w:t>
      </w:r>
      <w:r w:rsidR="008648A5">
        <w:t xml:space="preserve"> </w:t>
      </w:r>
      <w:r>
        <w:t>Australians sometimes had perverse effects. The successful 1966 equal pay case for Aboriginal pastoral workers led to many workers and their families being forced off the land</w:t>
      </w:r>
      <w:r w:rsidR="008648A5">
        <w:t xml:space="preserve"> and, o</w:t>
      </w:r>
      <w:r>
        <w:t>ver time</w:t>
      </w:r>
      <w:r w:rsidR="008648A5">
        <w:t>,</w:t>
      </w:r>
      <w:r>
        <w:t xml:space="preserve"> onto welfare (</w:t>
      </w:r>
      <w:r w:rsidR="005A1E64" w:rsidRPr="005A1E64">
        <w:rPr>
          <w:szCs w:val="24"/>
        </w:rPr>
        <w:t>ABC Radio National 2003</w:t>
      </w:r>
      <w:r w:rsidR="005A1E64">
        <w:t xml:space="preserve">; </w:t>
      </w:r>
      <w:r w:rsidR="00922355" w:rsidRPr="00922355">
        <w:rPr>
          <w:szCs w:val="24"/>
        </w:rPr>
        <w:t>Chaney 2013</w:t>
      </w:r>
      <w:r w:rsidR="00200E82">
        <w:t xml:space="preserve">, p. 54; </w:t>
      </w:r>
      <w:r w:rsidR="00200E82" w:rsidRPr="00200E82">
        <w:rPr>
          <w:szCs w:val="24"/>
        </w:rPr>
        <w:t>Flood 2006</w:t>
      </w:r>
      <w:r w:rsidR="00E13E3A">
        <w:t>, p. </w:t>
      </w:r>
      <w:r>
        <w:t xml:space="preserve">215). Extensive lobbying by the Federal Council for Aboriginal Advancement (later the Federal Council for the Advancement of </w:t>
      </w:r>
      <w:r w:rsidR="00175C95">
        <w:t>Aborigines</w:t>
      </w:r>
      <w:r>
        <w:t xml:space="preserve"> and Torres Strait Islanders) led to different groups of Aboriginal and Torres Strait Islander people receiving access to social security benefits at d</w:t>
      </w:r>
      <w:r w:rsidR="005A7830">
        <w:t xml:space="preserve">ifferent times </w:t>
      </w:r>
      <w:r w:rsidR="005A7830" w:rsidRPr="005A7830">
        <w:rPr>
          <w:szCs w:val="24"/>
        </w:rPr>
        <w:t>(</w:t>
      </w:r>
      <w:proofErr w:type="spellStart"/>
      <w:r w:rsidR="005A7830" w:rsidRPr="005A7830">
        <w:rPr>
          <w:szCs w:val="24"/>
        </w:rPr>
        <w:t>Chesterman</w:t>
      </w:r>
      <w:proofErr w:type="spellEnd"/>
      <w:r w:rsidR="005A7830" w:rsidRPr="005A7830">
        <w:rPr>
          <w:szCs w:val="24"/>
        </w:rPr>
        <w:t> 2005)</w:t>
      </w:r>
      <w:r>
        <w:t>. In 1959, legislation was amended to provide access to social security benefits to Aboriginal people who were</w:t>
      </w:r>
      <w:r w:rsidR="005A7830">
        <w:t xml:space="preserve"> not ‘nomadic’ </w:t>
      </w:r>
      <w:r w:rsidR="005A7830" w:rsidRPr="005A7830">
        <w:rPr>
          <w:szCs w:val="24"/>
        </w:rPr>
        <w:t>(</w:t>
      </w:r>
      <w:proofErr w:type="spellStart"/>
      <w:r w:rsidR="005A7830" w:rsidRPr="005A7830">
        <w:rPr>
          <w:szCs w:val="24"/>
        </w:rPr>
        <w:t>Chesterman</w:t>
      </w:r>
      <w:proofErr w:type="spellEnd"/>
      <w:r w:rsidR="005A7830" w:rsidRPr="005A7830">
        <w:rPr>
          <w:szCs w:val="24"/>
        </w:rPr>
        <w:t> 2005)</w:t>
      </w:r>
      <w:r>
        <w:t>, with the legislation further amended in 1966 so that all Aboriginal people were eligible. However, in practice, many Aboriginal people living on government and mission stations were excluded from some welfare payments (particularly unemployment b</w:t>
      </w:r>
      <w:r w:rsidR="000E596F">
        <w:t xml:space="preserve">enefits) until 1976 </w:t>
      </w:r>
      <w:r w:rsidR="000E596F" w:rsidRPr="000E596F">
        <w:rPr>
          <w:szCs w:val="24"/>
        </w:rPr>
        <w:t>(</w:t>
      </w:r>
      <w:proofErr w:type="spellStart"/>
      <w:r w:rsidR="000E596F" w:rsidRPr="000E596F">
        <w:rPr>
          <w:szCs w:val="24"/>
        </w:rPr>
        <w:t>HREOC</w:t>
      </w:r>
      <w:proofErr w:type="spellEnd"/>
      <w:r w:rsidR="000E596F" w:rsidRPr="000E596F">
        <w:rPr>
          <w:szCs w:val="24"/>
        </w:rPr>
        <w:t> 1997)</w:t>
      </w:r>
      <w:r>
        <w:t>.</w:t>
      </w:r>
      <w:r w:rsidR="00175C95">
        <w:t xml:space="preserve"> </w:t>
      </w:r>
      <w:r w:rsidR="00175C95" w:rsidRPr="00596E3F">
        <w:t xml:space="preserve">In 1997, the Community Development Employment Projects program was introduced, </w:t>
      </w:r>
      <w:r w:rsidR="008648A5" w:rsidRPr="00596E3F">
        <w:t xml:space="preserve">pooling unemployment benefits </w:t>
      </w:r>
      <w:r w:rsidR="00175C95" w:rsidRPr="00596E3F">
        <w:t>to create local employment opportunities in remote communities where the labour market might not otherwise offer employment. The program was later extended to all areas (including non-remote)</w:t>
      </w:r>
      <w:r w:rsidR="009C55BD" w:rsidRPr="00596E3F">
        <w:t xml:space="preserve"> then again </w:t>
      </w:r>
      <w:r w:rsidR="00175C95" w:rsidRPr="00596E3F">
        <w:t>restructured</w:t>
      </w:r>
      <w:r w:rsidR="002360A3" w:rsidRPr="00596E3F">
        <w:t xml:space="preserve"> in 2007</w:t>
      </w:r>
      <w:r w:rsidR="00175C95" w:rsidRPr="00596E3F">
        <w:t xml:space="preserve"> </w:t>
      </w:r>
      <w:r w:rsidR="002360A3" w:rsidRPr="00596E3F">
        <w:t>when it was restricted to</w:t>
      </w:r>
      <w:r w:rsidR="00175C95" w:rsidRPr="00596E3F">
        <w:t xml:space="preserve"> remote areas</w:t>
      </w:r>
      <w:r w:rsidR="002360A3" w:rsidRPr="00596E3F">
        <w:t>. F</w:t>
      </w:r>
      <w:r w:rsidR="009C55BD" w:rsidRPr="00596E3F">
        <w:t>rom 1 </w:t>
      </w:r>
      <w:r w:rsidR="00175C95" w:rsidRPr="00596E3F">
        <w:t>July 2013, remote CDEP was rolled into the Australian Government’s Remote Jobs and Communities Program</w:t>
      </w:r>
      <w:r w:rsidR="009C55BD" w:rsidRPr="00596E3F">
        <w:t>.</w:t>
      </w:r>
      <w:r w:rsidR="000611BF" w:rsidRPr="00596E3F">
        <w:rPr>
          <w:rStyle w:val="FootnoteReference"/>
        </w:rPr>
        <w:footnoteReference w:id="5"/>
      </w:r>
    </w:p>
    <w:p w:rsidR="003729DA" w:rsidRDefault="003729DA" w:rsidP="003729DA">
      <w:pPr>
        <w:pStyle w:val="BodyText"/>
      </w:pPr>
      <w:r>
        <w:t xml:space="preserve">Over the </w:t>
      </w:r>
      <w:proofErr w:type="spellStart"/>
      <w:r>
        <w:t>1970s</w:t>
      </w:r>
      <w:proofErr w:type="spellEnd"/>
      <w:r>
        <w:t xml:space="preserve"> and </w:t>
      </w:r>
      <w:proofErr w:type="spellStart"/>
      <w:r>
        <w:t>1980s</w:t>
      </w:r>
      <w:proofErr w:type="spellEnd"/>
      <w:r>
        <w:t>, increasing desires for self-determination saw the establishment of many community controlled services, particularly primary health and legal services, many of which continue to operate today. In 1990, an elected Aboriginal and Torres Strait Islander Commission (</w:t>
      </w:r>
      <w:proofErr w:type="spellStart"/>
      <w:r>
        <w:t>ATSIC</w:t>
      </w:r>
      <w:proofErr w:type="spellEnd"/>
      <w:r>
        <w:t xml:space="preserve">) was established, both to provide advice to the government and to deliver some services (although it never had responsibility for any mainstream </w:t>
      </w:r>
      <w:r>
        <w:lastRenderedPageBreak/>
        <w:t xml:space="preserve">services delivered to </w:t>
      </w:r>
      <w:r w:rsidR="008648A5">
        <w:t xml:space="preserve">Aboriginal and Torres Strait Islander </w:t>
      </w:r>
      <w:r>
        <w:t xml:space="preserve">people, and its level of responsibility for Indigenous-specific services declined over time) </w:t>
      </w:r>
      <w:r w:rsidR="00825C91" w:rsidRPr="00825C91">
        <w:rPr>
          <w:szCs w:val="24"/>
        </w:rPr>
        <w:t>(Australia 2003)</w:t>
      </w:r>
      <w:r>
        <w:t>.</w:t>
      </w:r>
    </w:p>
    <w:p w:rsidR="003729DA" w:rsidRDefault="003729DA" w:rsidP="003729DA">
      <w:pPr>
        <w:pStyle w:val="BodyText"/>
      </w:pPr>
      <w:r>
        <w:t xml:space="preserve">A </w:t>
      </w:r>
      <w:r w:rsidR="008648A5">
        <w:t xml:space="preserve">2003 </w:t>
      </w:r>
      <w:r>
        <w:t xml:space="preserve">review of </w:t>
      </w:r>
      <w:proofErr w:type="spellStart"/>
      <w:r>
        <w:t>ATSIC</w:t>
      </w:r>
      <w:proofErr w:type="spellEnd"/>
      <w:r>
        <w:t xml:space="preserve"> found that it was in urgent need of structural change. While the regional council structure was considered to be working well, major changes were recommended to the governing body. The review recommended that any changes to </w:t>
      </w:r>
      <w:proofErr w:type="spellStart"/>
      <w:r>
        <w:t>ATSIC’s</w:t>
      </w:r>
      <w:proofErr w:type="spellEnd"/>
      <w:r>
        <w:t xml:space="preserve"> program delivery role be considered as part of a Commonwealth/State examination of the most effective delivery of services and programs of significance to Aboriginal and Torres Strait Islander Austral</w:t>
      </w:r>
      <w:r w:rsidR="00E13E3A">
        <w:t>ians (</w:t>
      </w:r>
      <w:r w:rsidR="004073C1" w:rsidRPr="004073C1">
        <w:rPr>
          <w:szCs w:val="24"/>
        </w:rPr>
        <w:t>Australia 2003</w:t>
      </w:r>
      <w:r w:rsidR="00E13E3A">
        <w:t>, pp. 5-</w:t>
      </w:r>
      <w:r>
        <w:t xml:space="preserve">6). However, following a series of national board scandals, </w:t>
      </w:r>
      <w:proofErr w:type="spellStart"/>
      <w:r>
        <w:t>ATSIC</w:t>
      </w:r>
      <w:proofErr w:type="spellEnd"/>
      <w:r>
        <w:t xml:space="preserve"> was abolished with bipartisa</w:t>
      </w:r>
      <w:r w:rsidR="000275F2">
        <w:t xml:space="preserve">n support in 2004 </w:t>
      </w:r>
      <w:r w:rsidR="000275F2" w:rsidRPr="000275F2">
        <w:rPr>
          <w:szCs w:val="24"/>
        </w:rPr>
        <w:t>(AIATSIS 2008)</w:t>
      </w:r>
      <w:r>
        <w:t xml:space="preserve">, and responsibility for services delivered by </w:t>
      </w:r>
      <w:proofErr w:type="spellStart"/>
      <w:r>
        <w:t>ATSIC</w:t>
      </w:r>
      <w:proofErr w:type="spellEnd"/>
      <w:r>
        <w:t xml:space="preserve"> returned to line departments. At the time, it was emphasised that </w:t>
      </w:r>
      <w:r w:rsidR="008648A5">
        <w:t>‘</w:t>
      </w:r>
      <w:r>
        <w:t>mainstreaming</w:t>
      </w:r>
      <w:r w:rsidR="008648A5">
        <w:t>’</w:t>
      </w:r>
      <w:r>
        <w:t xml:space="preserve"> was not intended to reduce funding of services to Aboriginal and Torres Strait Islander </w:t>
      </w:r>
      <w:r w:rsidR="008648A5">
        <w:t xml:space="preserve">Australians </w:t>
      </w:r>
      <w:r w:rsidR="00B31E15" w:rsidRPr="00B31E15">
        <w:rPr>
          <w:szCs w:val="24"/>
        </w:rPr>
        <w:t>(Howard 2004)</w:t>
      </w:r>
      <w:r>
        <w:t>.</w:t>
      </w:r>
    </w:p>
    <w:p w:rsidR="003729DA" w:rsidRDefault="003729DA" w:rsidP="003729DA">
      <w:pPr>
        <w:pStyle w:val="BodyText"/>
      </w:pPr>
      <w:r>
        <w:t>The emphasis placed on Indigenous-specific services versus mainstream services has varied over time and across jurisdictions (for example, the majority of clients of many ‘mainstream’ services in the NT are Aboriginal). Both pre- and post-</w:t>
      </w:r>
      <w:proofErr w:type="spellStart"/>
      <w:r>
        <w:t>ATSIC</w:t>
      </w:r>
      <w:proofErr w:type="spellEnd"/>
      <w:r>
        <w:t xml:space="preserve">, there were widespread concerns around the provision of services to Aboriginal and Torres Strait Islander Australians (by both mainstream and Indigenous-controlled service providers). In many circumstances, lack of services or poorer quality services for </w:t>
      </w:r>
      <w:r w:rsidR="008648A5" w:rsidRPr="008648A5">
        <w:t xml:space="preserve">Aboriginal and Torres Strait Islander </w:t>
      </w:r>
      <w:r w:rsidR="008648A5">
        <w:t xml:space="preserve">people </w:t>
      </w:r>
      <w:r>
        <w:t>appeared t</w:t>
      </w:r>
      <w:r w:rsidR="00922355">
        <w:t>o be tolerated (</w:t>
      </w:r>
      <w:r w:rsidR="00922355" w:rsidRPr="00922355">
        <w:rPr>
          <w:szCs w:val="24"/>
        </w:rPr>
        <w:t>Chaney 2013</w:t>
      </w:r>
      <w:r w:rsidR="00E13E3A">
        <w:t>, p. </w:t>
      </w:r>
      <w:r>
        <w:t xml:space="preserve">57). These concerns led to an increasing focus on monitoring of expenditure on services provided to Aboriginal and Torres Strait Islander Australians. In 2001 the Commonwealth Grants Commission was requested to conduct an inquiry into Indigenous funding, to assist the Commonwealth Government to target resources to areas of greatest </w:t>
      </w:r>
      <w:r w:rsidR="005A7830">
        <w:t xml:space="preserve">need </w:t>
      </w:r>
      <w:r w:rsidR="005A7830" w:rsidRPr="005A7830">
        <w:rPr>
          <w:szCs w:val="24"/>
        </w:rPr>
        <w:t>(</w:t>
      </w:r>
      <w:proofErr w:type="spellStart"/>
      <w:r w:rsidR="005A7830" w:rsidRPr="005A7830">
        <w:rPr>
          <w:szCs w:val="24"/>
        </w:rPr>
        <w:t>CGC</w:t>
      </w:r>
      <w:proofErr w:type="spellEnd"/>
      <w:r w:rsidR="005A7830" w:rsidRPr="005A7830">
        <w:rPr>
          <w:szCs w:val="24"/>
        </w:rPr>
        <w:t> 2001)</w:t>
      </w:r>
      <w:r>
        <w:t>. For many years the AIHW has produced a report into Aboriginal and Torres Strait Islande</w:t>
      </w:r>
      <w:r w:rsidR="00EB568A">
        <w:t xml:space="preserve">r health expenditure </w:t>
      </w:r>
      <w:r w:rsidR="00EB568A" w:rsidRPr="00EB568A">
        <w:rPr>
          <w:szCs w:val="24"/>
        </w:rPr>
        <w:t>(AIHW 2013)</w:t>
      </w:r>
      <w:r>
        <w:t>. In 2008, COAG commissioned the Indigenous Expenditure Report</w:t>
      </w:r>
      <w:r w:rsidR="008648A5">
        <w:t>,</w:t>
      </w:r>
      <w:r>
        <w:t xml:space="preserve"> to estimate government expenditures on both Indigenous specific and mainstream services to Aboriginal and Torres Strait Island</w:t>
      </w:r>
      <w:r w:rsidR="00E13E3A">
        <w:t>er Australians (</w:t>
      </w:r>
      <w:r w:rsidR="008C503D" w:rsidRPr="008C503D">
        <w:rPr>
          <w:szCs w:val="24"/>
        </w:rPr>
        <w:t>SCRGSP forthcoming</w:t>
      </w:r>
      <w:r>
        <w:t>).</w:t>
      </w:r>
    </w:p>
    <w:p w:rsidR="003729DA" w:rsidRDefault="003729DA" w:rsidP="003729DA">
      <w:pPr>
        <w:pStyle w:val="BodyText"/>
      </w:pPr>
      <w:r>
        <w:t xml:space="preserve">In the late </w:t>
      </w:r>
      <w:proofErr w:type="spellStart"/>
      <w:r>
        <w:t>1980’s</w:t>
      </w:r>
      <w:proofErr w:type="spellEnd"/>
      <w:r>
        <w:t xml:space="preserve"> and early </w:t>
      </w:r>
      <w:proofErr w:type="spellStart"/>
      <w:r>
        <w:t>1990’s</w:t>
      </w:r>
      <w:proofErr w:type="spellEnd"/>
      <w:r>
        <w:t>, two Royal Commissions helped promote a deeper understanding of the issues facing Aboriginal and Torres Strait Islander Australians, and led to the establishment of some of the current institutional arrangements.</w:t>
      </w:r>
    </w:p>
    <w:p w:rsidR="003729DA" w:rsidRDefault="003729DA" w:rsidP="003729DA">
      <w:pPr>
        <w:pStyle w:val="BodyText"/>
      </w:pPr>
      <w:r>
        <w:t xml:space="preserve">The Royal Commission into Aboriginal Deaths in Custody reported on the complex effects of dispossession, colonisation and institutional racism on </w:t>
      </w:r>
      <w:r w:rsidR="00AA5E33">
        <w:t xml:space="preserve">Aboriginal peoples </w:t>
      </w:r>
      <w:r w:rsidR="00AA5E33" w:rsidRPr="00AA5E33">
        <w:rPr>
          <w:szCs w:val="24"/>
        </w:rPr>
        <w:t>(</w:t>
      </w:r>
      <w:proofErr w:type="spellStart"/>
      <w:r w:rsidR="00AA5E33" w:rsidRPr="00AA5E33">
        <w:rPr>
          <w:szCs w:val="24"/>
        </w:rPr>
        <w:t>RCADIC</w:t>
      </w:r>
      <w:proofErr w:type="spellEnd"/>
      <w:r w:rsidR="00AA5E33" w:rsidRPr="00AA5E33">
        <w:rPr>
          <w:szCs w:val="24"/>
        </w:rPr>
        <w:t> 1991)</w:t>
      </w:r>
      <w:r>
        <w:t>. Partly in response to the findings of the Royal Commission, the position of the Aboriginal and Torres Strait Islander Social Justice Comm</w:t>
      </w:r>
      <w:r w:rsidR="002268E5">
        <w:t xml:space="preserve">issioner was created </w:t>
      </w:r>
      <w:r w:rsidR="002268E5" w:rsidRPr="002268E5">
        <w:rPr>
          <w:szCs w:val="24"/>
        </w:rPr>
        <w:t>(</w:t>
      </w:r>
      <w:proofErr w:type="spellStart"/>
      <w:r w:rsidR="002268E5" w:rsidRPr="002268E5">
        <w:rPr>
          <w:szCs w:val="24"/>
        </w:rPr>
        <w:t>AHRC</w:t>
      </w:r>
      <w:proofErr w:type="spellEnd"/>
      <w:r w:rsidR="002268E5" w:rsidRPr="002268E5">
        <w:rPr>
          <w:szCs w:val="24"/>
        </w:rPr>
        <w:t> 2013)</w:t>
      </w:r>
      <w:r>
        <w:t xml:space="preserve"> as well as the Council for Aboriginal Reconciliation. One of the final recommendations of the Council was the establishment of a regular report on outcomes for Indigenous Australians — the origins of the Overcoming Indigenou</w:t>
      </w:r>
      <w:r w:rsidR="008420E5">
        <w:t xml:space="preserve">s Disadvantage report </w:t>
      </w:r>
      <w:r w:rsidR="008420E5" w:rsidRPr="008420E5">
        <w:rPr>
          <w:szCs w:val="24"/>
        </w:rPr>
        <w:t>(CAR 2000)</w:t>
      </w:r>
      <w:r>
        <w:t>. In 2000, Reconciliation Australia was established to continue the national focus for reconcili</w:t>
      </w:r>
      <w:r w:rsidR="00031171">
        <w:t xml:space="preserve">ation </w:t>
      </w:r>
      <w:r w:rsidR="009F34AF" w:rsidRPr="009F34AF">
        <w:rPr>
          <w:szCs w:val="24"/>
        </w:rPr>
        <w:t>(RA </w:t>
      </w:r>
      <w:proofErr w:type="spellStart"/>
      <w:r w:rsidR="009F34AF" w:rsidRPr="009F34AF">
        <w:rPr>
          <w:szCs w:val="24"/>
        </w:rPr>
        <w:t>nd</w:t>
      </w:r>
      <w:proofErr w:type="spellEnd"/>
      <w:r w:rsidR="009F34AF" w:rsidRPr="009F34AF">
        <w:rPr>
          <w:szCs w:val="24"/>
        </w:rPr>
        <w:t>)</w:t>
      </w:r>
      <w:r>
        <w:t>.</w:t>
      </w:r>
    </w:p>
    <w:p w:rsidR="003729DA" w:rsidRDefault="003729DA" w:rsidP="003729DA">
      <w:pPr>
        <w:pStyle w:val="BodyText"/>
      </w:pPr>
      <w:r>
        <w:lastRenderedPageBreak/>
        <w:t>A national inquiry into the separation of Indigenous children from their families resulted in the 1997 re</w:t>
      </w:r>
      <w:r w:rsidR="000E596F">
        <w:t xml:space="preserve">port on the Stolen Generations </w:t>
      </w:r>
      <w:r w:rsidR="000E596F" w:rsidRPr="000E596F">
        <w:rPr>
          <w:szCs w:val="24"/>
        </w:rPr>
        <w:t>(</w:t>
      </w:r>
      <w:proofErr w:type="spellStart"/>
      <w:r w:rsidR="000E596F" w:rsidRPr="000E596F">
        <w:rPr>
          <w:szCs w:val="24"/>
        </w:rPr>
        <w:t>HREOC</w:t>
      </w:r>
      <w:proofErr w:type="spellEnd"/>
      <w:r w:rsidR="000E596F" w:rsidRPr="000E596F">
        <w:rPr>
          <w:szCs w:val="24"/>
        </w:rPr>
        <w:t> 1997)</w:t>
      </w:r>
      <w:r>
        <w:t>. In 2008, the Prime Minister of Australia, with bipartisan support, made a formal apology to the Stolen Gen</w:t>
      </w:r>
      <w:r w:rsidR="002865DF">
        <w:t>erations (</w:t>
      </w:r>
      <w:r w:rsidR="002865DF" w:rsidRPr="002865DF">
        <w:rPr>
          <w:szCs w:val="24"/>
        </w:rPr>
        <w:t>Rudd 2008</w:t>
      </w:r>
      <w:r w:rsidR="00331F4B">
        <w:t xml:space="preserve">; </w:t>
      </w:r>
      <w:r w:rsidR="00331F4B" w:rsidRPr="00331F4B">
        <w:rPr>
          <w:szCs w:val="24"/>
        </w:rPr>
        <w:t>Nelson 2008</w:t>
      </w:r>
      <w:r>
        <w:t>).</w:t>
      </w:r>
    </w:p>
    <w:p w:rsidR="003729DA" w:rsidRDefault="003729DA" w:rsidP="003729DA">
      <w:pPr>
        <w:pStyle w:val="BodyText"/>
      </w:pPr>
      <w:r>
        <w:t>Following the ‘Little Children are Sacred’ report into the Protection of Aboriginal Children from Sexual Abus</w:t>
      </w:r>
      <w:r w:rsidR="00B758E5">
        <w:t xml:space="preserve">e in 2007 </w:t>
      </w:r>
      <w:r w:rsidR="00B758E5" w:rsidRPr="00B758E5">
        <w:rPr>
          <w:szCs w:val="24"/>
        </w:rPr>
        <w:t>(Wild and Anderson 2007)</w:t>
      </w:r>
      <w:r>
        <w:t>, the Commonwealth Government assumed a greater responsibility for Aboriginal affairs in the Northern Territory, under the Northern Territory Emergency Response (also known as the ‘Intervention’). The response has been the subject of controversy, particularly the (temporary) suspension of the Racial Discrimination Act, the initial involvement of the military</w:t>
      </w:r>
      <w:r w:rsidR="009C55BD">
        <w:t>,</w:t>
      </w:r>
      <w:r>
        <w:t xml:space="preserve"> and mandatory income management for those on welfare pa</w:t>
      </w:r>
      <w:r w:rsidR="002268E5">
        <w:t>yments (</w:t>
      </w:r>
      <w:proofErr w:type="spellStart"/>
      <w:r w:rsidR="002268E5" w:rsidRPr="002268E5">
        <w:rPr>
          <w:szCs w:val="24"/>
        </w:rPr>
        <w:t>AHRC</w:t>
      </w:r>
      <w:proofErr w:type="spellEnd"/>
      <w:r w:rsidR="002268E5" w:rsidRPr="002268E5">
        <w:rPr>
          <w:szCs w:val="24"/>
        </w:rPr>
        <w:t> </w:t>
      </w:r>
      <w:proofErr w:type="spellStart"/>
      <w:r w:rsidR="002268E5" w:rsidRPr="002268E5">
        <w:rPr>
          <w:szCs w:val="24"/>
        </w:rPr>
        <w:t>nd</w:t>
      </w:r>
      <w:proofErr w:type="spellEnd"/>
      <w:r w:rsidR="00E13E3A">
        <w:t xml:space="preserve">; </w:t>
      </w:r>
      <w:proofErr w:type="spellStart"/>
      <w:r w:rsidR="00874DF3" w:rsidRPr="00874DF3">
        <w:rPr>
          <w:szCs w:val="24"/>
        </w:rPr>
        <w:t>FaHCSIA</w:t>
      </w:r>
      <w:proofErr w:type="spellEnd"/>
      <w:r w:rsidR="00874DF3" w:rsidRPr="00874DF3">
        <w:rPr>
          <w:szCs w:val="24"/>
        </w:rPr>
        <w:t> 2011</w:t>
      </w:r>
      <w:r w:rsidR="002865DF">
        <w:t xml:space="preserve">, p. 3; </w:t>
      </w:r>
      <w:r w:rsidR="004073C1">
        <w:rPr>
          <w:szCs w:val="24"/>
        </w:rPr>
        <w:t>Shaw and d’ </w:t>
      </w:r>
      <w:r w:rsidR="00620510" w:rsidRPr="00620510">
        <w:rPr>
          <w:szCs w:val="24"/>
        </w:rPr>
        <w:t>Abbs 2011</w:t>
      </w:r>
      <w:r w:rsidR="00E13E3A">
        <w:t xml:space="preserve">, p. 4). </w:t>
      </w:r>
      <w:r>
        <w:t>In late 2007, a change of government maintained a modified Northern Territory Emergency Response</w:t>
      </w:r>
      <w:r w:rsidR="009C55BD">
        <w:t xml:space="preserve">, </w:t>
      </w:r>
      <w:r w:rsidR="009C55BD" w:rsidRPr="00596E3F">
        <w:t>and in 2012 a modified policy ‘Stronger Futures in the Northern Territory’ was introduced.</w:t>
      </w:r>
      <w:r w:rsidR="009C55BD">
        <w:t xml:space="preserve"> </w:t>
      </w:r>
    </w:p>
    <w:p w:rsidR="003729DA" w:rsidRDefault="003729DA" w:rsidP="003729DA">
      <w:pPr>
        <w:pStyle w:val="BodyText"/>
      </w:pPr>
      <w:r>
        <w:t>Since 2008, COAG has agreed and implemented the ‘closing the gap’ policy. COAG identified Indigenous issues as one of seven priority areas of national reform, set six targets for closing the gaps</w:t>
      </w:r>
      <w:r w:rsidR="00E674D6" w:rsidRPr="00E674D6">
        <w:t xml:space="preserve"> </w:t>
      </w:r>
      <w:r w:rsidR="00E674D6">
        <w:t>in</w:t>
      </w:r>
      <w:r w:rsidR="00E674D6" w:rsidRPr="00E674D6">
        <w:t xml:space="preserve"> </w:t>
      </w:r>
      <w:r w:rsidR="00E674D6">
        <w:t>outcomes for Indigenous and non</w:t>
      </w:r>
      <w:r w:rsidR="00E674D6">
        <w:noBreakHyphen/>
      </w:r>
      <w:r w:rsidR="00E674D6" w:rsidRPr="00E674D6">
        <w:t>Indigenous Australians</w:t>
      </w:r>
      <w:r>
        <w:t>, and identified seven ‘building blocks’ that underpinned a National Indigenous Reform Agreement (NIRA).</w:t>
      </w:r>
      <w:r w:rsidR="00863009">
        <w:t xml:space="preserve"> At its May 2014 meeting, COAG agreed to a new target </w:t>
      </w:r>
      <w:r w:rsidR="00863009" w:rsidRPr="00863009">
        <w:t>—</w:t>
      </w:r>
      <w:r w:rsidR="00863009">
        <w:t xml:space="preserve"> to close the gap in school attenda</w:t>
      </w:r>
      <w:r w:rsidR="00C16535">
        <w:t xml:space="preserve">nce within five years </w:t>
      </w:r>
      <w:r w:rsidR="00C16535" w:rsidRPr="00C16535">
        <w:rPr>
          <w:szCs w:val="24"/>
        </w:rPr>
        <w:t>(COAG 2014)</w:t>
      </w:r>
      <w:r w:rsidR="00863009">
        <w:t>.</w:t>
      </w:r>
      <w:r w:rsidR="00863009">
        <w:rPr>
          <w:rStyle w:val="FootnoteReference"/>
        </w:rPr>
        <w:footnoteReference w:id="6"/>
      </w:r>
      <w:r w:rsidR="00863009">
        <w:t xml:space="preserve"> </w:t>
      </w:r>
      <w:r>
        <w:t xml:space="preserve"> The OID report framework is aligned with the NIRA, but has a much broader focus, with the indicator framework extending beyond the NIRA indicators and targets.</w:t>
      </w:r>
    </w:p>
    <w:p w:rsidR="003729DA" w:rsidRDefault="003729DA" w:rsidP="003729DA">
      <w:pPr>
        <w:pStyle w:val="BodyText"/>
      </w:pPr>
      <w:r>
        <w:t>In 2009, Australia adopted the UN Declaration on the Rights of Indigenous Peoples, which recognises Indigenous peoples’ rights to the full enjoymen</w:t>
      </w:r>
      <w:r w:rsidR="004073C1">
        <w:t>t of all human rights, plus non</w:t>
      </w:r>
      <w:r w:rsidR="004073C1">
        <w:noBreakHyphen/>
      </w:r>
      <w:r>
        <w:t>discrimination, self-determination and autonomy, maintenance of Indigenous institutions, and the ri</w:t>
      </w:r>
      <w:r w:rsidR="002268E5">
        <w:t xml:space="preserve">ght to a nationality </w:t>
      </w:r>
      <w:r w:rsidR="002268E5" w:rsidRPr="002268E5">
        <w:rPr>
          <w:szCs w:val="24"/>
        </w:rPr>
        <w:t>(</w:t>
      </w:r>
      <w:proofErr w:type="spellStart"/>
      <w:r w:rsidR="002268E5" w:rsidRPr="002268E5">
        <w:rPr>
          <w:szCs w:val="24"/>
        </w:rPr>
        <w:t>AHRC</w:t>
      </w:r>
      <w:proofErr w:type="spellEnd"/>
      <w:r w:rsidR="002268E5" w:rsidRPr="002268E5">
        <w:rPr>
          <w:szCs w:val="24"/>
        </w:rPr>
        <w:t> 2010)</w:t>
      </w:r>
      <w:r>
        <w:t xml:space="preserve">. </w:t>
      </w:r>
    </w:p>
    <w:p w:rsidR="003729DA" w:rsidRDefault="003729DA" w:rsidP="003729DA">
      <w:pPr>
        <w:pStyle w:val="BodyText"/>
      </w:pPr>
      <w:r>
        <w:t>In 2010, the National Congress of Australia’s First Peoples was established. Made up of Aboriginal and Torres Strait Islander individuals and organisations, it provides independent advocacy on behalf of First Nation peoples in Au</w:t>
      </w:r>
      <w:r w:rsidR="00CD6FC1">
        <w:t>stralia</w:t>
      </w:r>
      <w:r w:rsidR="00331F4B">
        <w:t xml:space="preserve"> </w:t>
      </w:r>
      <w:r w:rsidR="00331F4B" w:rsidRPr="00331F4B">
        <w:rPr>
          <w:szCs w:val="24"/>
        </w:rPr>
        <w:t>(National Congress of Australia’s First Peoples nd)</w:t>
      </w:r>
      <w:r>
        <w:t xml:space="preserve">. </w:t>
      </w:r>
      <w:r w:rsidR="00E766F6" w:rsidRPr="00596E3F">
        <w:t>Originally funded by the Australian Government, this support was withdrawn in the May 2014 budget.</w:t>
      </w:r>
      <w:r w:rsidR="00E766F6" w:rsidRPr="00026E02">
        <w:rPr>
          <w:bdr w:val="single" w:sz="4" w:space="0" w:color="auto"/>
        </w:rPr>
        <w:t xml:space="preserve"> </w:t>
      </w:r>
    </w:p>
    <w:p w:rsidR="009C55BD" w:rsidRDefault="003729DA" w:rsidP="009C55BD">
      <w:pPr>
        <w:pStyle w:val="BodyText"/>
      </w:pPr>
      <w:r>
        <w:t>Over several decades, there have been calls for recognition of Aboriginal and Torres Strait Islander peoples in the Australian Constitution. In December 2010, the Australian Government appointed an Expert Panel on Constitutional Recognition of Aboriginal and Torres Strait Islander Peoples (the Expert Panel) to consult on options for a constitutional amendment on recognition of Aboriginal and Torres Strait Islander peoples. The Expert Panel found that 88 per cent of non-Indigenous individuals and 80 per cent of Aboriginal and Torres Strait Islander Australians supported constitutional recognition (</w:t>
      </w:r>
      <w:r w:rsidR="00EC1F77" w:rsidRPr="00EC1F77">
        <w:rPr>
          <w:szCs w:val="24"/>
        </w:rPr>
        <w:t>Expert Panel 2012</w:t>
      </w:r>
      <w:r>
        <w:t>, p</w:t>
      </w:r>
      <w:r w:rsidR="00D95249">
        <w:t>. </w:t>
      </w:r>
      <w:r>
        <w:t xml:space="preserve">264). Following the work of the Expert Panel, a parliamentary Joint Select </w:t>
      </w:r>
      <w:r>
        <w:lastRenderedPageBreak/>
        <w:t xml:space="preserve">Committee has been appointed to report on steps that can be taken towards a successful referendum </w:t>
      </w:r>
      <w:r w:rsidR="00A2624F" w:rsidRPr="00A2624F">
        <w:rPr>
          <w:szCs w:val="24"/>
        </w:rPr>
        <w:t>(Joint Select Committee on Constitutional Recognition of Aboriginal and Torres Strait Islander Peoples 2013)</w:t>
      </w:r>
      <w:r>
        <w:t>.</w:t>
      </w:r>
      <w:r w:rsidR="009C55BD">
        <w:t xml:space="preserve"> </w:t>
      </w:r>
      <w:r w:rsidR="009C55BD" w:rsidRPr="00596E3F">
        <w:t xml:space="preserve">The </w:t>
      </w:r>
      <w:r w:rsidR="009C55BD" w:rsidRPr="00596E3F">
        <w:rPr>
          <w:i/>
        </w:rPr>
        <w:t>Aboriginal and Torres Strait Islander Peoples Recognition Act 2013</w:t>
      </w:r>
      <w:r w:rsidR="009C55BD" w:rsidRPr="00596E3F">
        <w:t xml:space="preserve"> formalised Commonwealth Parliament’s recognition of </w:t>
      </w:r>
      <w:r w:rsidR="004400FA" w:rsidRPr="00596E3F">
        <w:t>Aboriginal and Torres Strait Islander peoples and established a r</w:t>
      </w:r>
      <w:r w:rsidR="009C55BD" w:rsidRPr="00596E3F">
        <w:t>eview of support for a referendum to amend the Constitution</w:t>
      </w:r>
      <w:r w:rsidR="004400FA" w:rsidRPr="00596E3F">
        <w:t>.</w:t>
      </w:r>
    </w:p>
    <w:p w:rsidR="00E13E3A" w:rsidRPr="002E042B" w:rsidRDefault="00D95249" w:rsidP="00D95249">
      <w:pPr>
        <w:pStyle w:val="Heading2"/>
      </w:pPr>
      <w:r w:rsidRPr="00D95249">
        <w:t>1.</w:t>
      </w:r>
      <w:r w:rsidR="00CF277C">
        <w:t>6</w:t>
      </w:r>
      <w:r w:rsidRPr="00D95249">
        <w:tab/>
        <w:t>Recent COAG developments</w:t>
      </w:r>
    </w:p>
    <w:p w:rsidR="00D95249" w:rsidRDefault="00D95249" w:rsidP="00D95249">
      <w:pPr>
        <w:pStyle w:val="BodyText"/>
      </w:pPr>
      <w:r>
        <w:t>In December 2007 and March 2008, COAG agreed to explicit targets for improving the lives of Aboriginal and Torres Strait Islander Australians</w:t>
      </w:r>
      <w:r w:rsidR="008928B9">
        <w:t xml:space="preserve"> </w:t>
      </w:r>
      <w:r w:rsidR="008928B9" w:rsidRPr="008928B9">
        <w:rPr>
          <w:szCs w:val="24"/>
        </w:rPr>
        <w:t>(</w:t>
      </w:r>
      <w:proofErr w:type="spellStart"/>
      <w:r w:rsidR="008928B9" w:rsidRPr="008928B9">
        <w:rPr>
          <w:szCs w:val="24"/>
        </w:rPr>
        <w:t>COAG</w:t>
      </w:r>
      <w:proofErr w:type="spellEnd"/>
      <w:r w:rsidR="008928B9" w:rsidRPr="008928B9">
        <w:rPr>
          <w:szCs w:val="24"/>
        </w:rPr>
        <w:t xml:space="preserve"> 2007, </w:t>
      </w:r>
      <w:proofErr w:type="spellStart"/>
      <w:r w:rsidR="008928B9" w:rsidRPr="008928B9">
        <w:rPr>
          <w:szCs w:val="24"/>
        </w:rPr>
        <w:t>2008a</w:t>
      </w:r>
      <w:proofErr w:type="spellEnd"/>
      <w:r w:rsidR="008928B9" w:rsidRPr="008928B9">
        <w:rPr>
          <w:szCs w:val="24"/>
        </w:rPr>
        <w:t>)</w:t>
      </w:r>
      <w:r>
        <w:t>.</w:t>
      </w:r>
      <w:r>
        <w:rPr>
          <w:rStyle w:val="FootnoteReference"/>
        </w:rPr>
        <w:footnoteReference w:id="7"/>
      </w:r>
      <w:r>
        <w:t xml:space="preserve"> In November 2008, </w:t>
      </w:r>
      <w:proofErr w:type="spellStart"/>
      <w:r>
        <w:t>COAG</w:t>
      </w:r>
      <w:proofErr w:type="spellEnd"/>
      <w:r>
        <w:t xml:space="preserve"> established the National Indigenous Reform Agreement (</w:t>
      </w:r>
      <w:proofErr w:type="spellStart"/>
      <w:r>
        <w:t>NIRA</w:t>
      </w:r>
      <w:proofErr w:type="spellEnd"/>
      <w:r>
        <w:t xml:space="preserve">), which was most recently revised in late 2012 </w:t>
      </w:r>
      <w:r w:rsidR="00C16535" w:rsidRPr="00C16535">
        <w:rPr>
          <w:szCs w:val="24"/>
        </w:rPr>
        <w:t>(</w:t>
      </w:r>
      <w:proofErr w:type="spellStart"/>
      <w:r w:rsidR="00C16535" w:rsidRPr="00C16535">
        <w:rPr>
          <w:szCs w:val="24"/>
        </w:rPr>
        <w:t>COAG</w:t>
      </w:r>
      <w:proofErr w:type="spellEnd"/>
      <w:r w:rsidR="00C16535" w:rsidRPr="00C16535">
        <w:rPr>
          <w:szCs w:val="24"/>
        </w:rPr>
        <w:t> 2012)</w:t>
      </w:r>
      <w:r>
        <w:t xml:space="preserve">. The NIRA provides an integrated framework for the task of Closing the Gap, setting out the policy principles, objectives and performance indicators underpinning Closing the Gap and the specific steps governments are taking to meet the targets. </w:t>
      </w:r>
    </w:p>
    <w:p w:rsidR="00D95249" w:rsidRDefault="00D95249" w:rsidP="00D95249">
      <w:pPr>
        <w:pStyle w:val="BodyText"/>
      </w:pPr>
      <w:r>
        <w:t>For the 2009 OID report, the Steering Committee liaised with jurisdictions and COAG committees to align the OID report framework with the CO</w:t>
      </w:r>
      <w:r w:rsidR="005F1657">
        <w:t>AG</w:t>
      </w:r>
      <w:r w:rsidR="001D1D91">
        <w:t xml:space="preserve"> targets and the NIRA (box 1.</w:t>
      </w:r>
      <w:r w:rsidR="00CD424B">
        <w:t>6.1</w:t>
      </w:r>
      <w:r>
        <w:t xml:space="preserve">). </w:t>
      </w:r>
      <w:r w:rsidR="008928B9">
        <w:t xml:space="preserve">COAG agreed to the new framework at its meeting in November 2008 </w:t>
      </w:r>
      <w:r w:rsidR="008928B9" w:rsidRPr="008928B9">
        <w:rPr>
          <w:szCs w:val="24"/>
        </w:rPr>
        <w:t>(</w:t>
      </w:r>
      <w:proofErr w:type="spellStart"/>
      <w:r w:rsidR="008928B9" w:rsidRPr="008928B9">
        <w:rPr>
          <w:szCs w:val="24"/>
        </w:rPr>
        <w:t>COAG</w:t>
      </w:r>
      <w:proofErr w:type="spellEnd"/>
      <w:r w:rsidR="008928B9" w:rsidRPr="008928B9">
        <w:rPr>
          <w:szCs w:val="24"/>
        </w:rPr>
        <w:t> </w:t>
      </w:r>
      <w:proofErr w:type="spellStart"/>
      <w:r w:rsidR="008928B9" w:rsidRPr="008928B9">
        <w:rPr>
          <w:szCs w:val="24"/>
        </w:rPr>
        <w:t>2008b</w:t>
      </w:r>
      <w:proofErr w:type="spellEnd"/>
      <w:r w:rsidR="008928B9" w:rsidRPr="008928B9">
        <w:rPr>
          <w:szCs w:val="24"/>
        </w:rPr>
        <w:t>)</w:t>
      </w:r>
      <w:r w:rsidR="008928B9">
        <w:t xml:space="preserve"> and the then Prime Minister wrote to the Chair of the Steering Committee with new terms of reference for the report in 2009. The report framework for the OID has been further amended over editions to reflect changes to the NIRA over time.</w:t>
      </w:r>
    </w:p>
    <w:p w:rsidR="00AE7384" w:rsidRDefault="00AE7384">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AE7384" w:rsidTr="00B31E15">
        <w:tc>
          <w:tcPr>
            <w:tcW w:w="8771" w:type="dxa"/>
            <w:tcBorders>
              <w:top w:val="single" w:sz="6" w:space="0" w:color="78A22F"/>
              <w:left w:val="nil"/>
              <w:bottom w:val="nil"/>
              <w:right w:val="nil"/>
            </w:tcBorders>
            <w:shd w:val="clear" w:color="auto" w:fill="F2F2F2"/>
          </w:tcPr>
          <w:p w:rsidR="00AE7384" w:rsidRDefault="00AE7384" w:rsidP="00CD424B">
            <w:pPr>
              <w:pStyle w:val="BoxTitle"/>
            </w:pPr>
            <w:r>
              <w:rPr>
                <w:b w:val="0"/>
              </w:rPr>
              <w:t xml:space="preserve">Box </w:t>
            </w:r>
            <w:r w:rsidR="001D1D91">
              <w:rPr>
                <w:b w:val="0"/>
              </w:rPr>
              <w:t>1.</w:t>
            </w:r>
            <w:r w:rsidR="00CD424B">
              <w:rPr>
                <w:b w:val="0"/>
              </w:rPr>
              <w:t>6.1</w:t>
            </w:r>
            <w:r>
              <w:tab/>
            </w:r>
            <w:r w:rsidRPr="00D95249">
              <w:t>The Overcoming Indigenous Disadvantage (OID) report and the National Indigenous Reform Agreement (NIRA)</w:t>
            </w:r>
          </w:p>
        </w:tc>
      </w:tr>
      <w:tr w:rsidR="00AE7384" w:rsidTr="00B31E15">
        <w:trPr>
          <w:cantSplit/>
        </w:trPr>
        <w:tc>
          <w:tcPr>
            <w:tcW w:w="8771" w:type="dxa"/>
            <w:tcBorders>
              <w:top w:val="nil"/>
              <w:left w:val="nil"/>
              <w:bottom w:val="nil"/>
              <w:right w:val="nil"/>
            </w:tcBorders>
            <w:shd w:val="clear" w:color="auto" w:fill="F2F2F2"/>
          </w:tcPr>
          <w:p w:rsidR="00AE7384" w:rsidRDefault="00AE7384" w:rsidP="00AE7384">
            <w:pPr>
              <w:pStyle w:val="Box"/>
            </w:pPr>
            <w:r>
              <w:t>The COAG Reform Council reports annually to COAG on progress against the NIRA. The first of these</w:t>
            </w:r>
            <w:r w:rsidR="00C16535">
              <w:t xml:space="preserve"> reports was published in 2010 </w:t>
            </w:r>
            <w:r w:rsidR="00C16535" w:rsidRPr="00C16535">
              <w:rPr>
                <w:rFonts w:cs="Arial"/>
                <w:szCs w:val="24"/>
              </w:rPr>
              <w:t>(CRC 2010)</w:t>
            </w:r>
            <w:r>
              <w:t>.</w:t>
            </w:r>
            <w:r>
              <w:rPr>
                <w:rStyle w:val="FootnoteReference"/>
              </w:rPr>
              <w:footnoteReference w:id="8"/>
            </w:r>
          </w:p>
          <w:p w:rsidR="00AE7384" w:rsidRDefault="00AE7384" w:rsidP="00AE7384">
            <w:pPr>
              <w:pStyle w:val="Box"/>
            </w:pPr>
            <w:r>
              <w:t>The OID report framework is aligned to the NIRA and consequently the data in the two reports overlap.</w:t>
            </w:r>
          </w:p>
          <w:p w:rsidR="00AE7384" w:rsidRDefault="00AE7384" w:rsidP="00AE7384">
            <w:pPr>
              <w:pStyle w:val="Box"/>
            </w:pPr>
            <w:r>
              <w:t>However, the NIRA is specifically focused on progress against the targets in the agreement, and comparisons of outcomes by State and Territory. The OID report has a broader focus and covers more areas than the NIRA. The OID report also includes available time series data that predate the NIRA baseline of 2008, and, where State and territory data are not available, reports available information at the national level.</w:t>
            </w:r>
          </w:p>
        </w:tc>
      </w:tr>
      <w:tr w:rsidR="00AE7384" w:rsidTr="00B31E15">
        <w:trPr>
          <w:cantSplit/>
        </w:trPr>
        <w:tc>
          <w:tcPr>
            <w:tcW w:w="8771" w:type="dxa"/>
            <w:tcBorders>
              <w:top w:val="nil"/>
              <w:left w:val="nil"/>
              <w:bottom w:val="single" w:sz="6" w:space="0" w:color="78A22F"/>
              <w:right w:val="nil"/>
            </w:tcBorders>
            <w:shd w:val="clear" w:color="auto" w:fill="F2F2F2"/>
          </w:tcPr>
          <w:p w:rsidR="00AE7384" w:rsidRDefault="00AE7384">
            <w:pPr>
              <w:pStyle w:val="Box"/>
              <w:spacing w:before="0" w:line="120" w:lineRule="exact"/>
            </w:pPr>
          </w:p>
        </w:tc>
      </w:tr>
      <w:tr w:rsidR="00AE7384" w:rsidRPr="000863A5" w:rsidTr="00B31E15">
        <w:tc>
          <w:tcPr>
            <w:tcW w:w="8771" w:type="dxa"/>
            <w:tcBorders>
              <w:top w:val="single" w:sz="6" w:space="0" w:color="78A22F"/>
              <w:left w:val="nil"/>
              <w:bottom w:val="nil"/>
              <w:right w:val="nil"/>
            </w:tcBorders>
          </w:tcPr>
          <w:p w:rsidR="00AE7384" w:rsidRPr="00626D32" w:rsidRDefault="00AE7384" w:rsidP="00B31E15">
            <w:pPr>
              <w:pStyle w:val="BoxSpaceBelow"/>
            </w:pPr>
          </w:p>
        </w:tc>
      </w:tr>
    </w:tbl>
    <w:p w:rsidR="00D95249" w:rsidRDefault="00D95249" w:rsidP="00D95249">
      <w:pPr>
        <w:pStyle w:val="Heading2"/>
      </w:pPr>
      <w:r w:rsidRPr="00D95249">
        <w:lastRenderedPageBreak/>
        <w:t>1.</w:t>
      </w:r>
      <w:r w:rsidR="00CF277C">
        <w:t>7</w:t>
      </w:r>
      <w:r w:rsidRPr="00D95249">
        <w:tab/>
        <w:t>The Review of Government Service Provision</w:t>
      </w:r>
    </w:p>
    <w:p w:rsidR="00D95249" w:rsidRDefault="00D95249" w:rsidP="00D95249">
      <w:pPr>
        <w:pStyle w:val="Heading3"/>
      </w:pPr>
      <w:r w:rsidRPr="00D95249">
        <w:t>The Steering Committee</w:t>
      </w:r>
    </w:p>
    <w:p w:rsidR="00D95249" w:rsidRDefault="00D95249" w:rsidP="00D95249">
      <w:pPr>
        <w:pStyle w:val="BodyText"/>
      </w:pPr>
      <w:r w:rsidRPr="00D95249">
        <w:t>The Review of Government Service Provision was an initiative of the Prime Minister, Premiers and Chief Ministers at the Premiers’ Conference in July 1993 and now operates under the auspices of COAG. The Review is overseen by a Steering Committee, which comprises senior representatives from the Prime Minister’s, Premiers’ and Chief Ministers’ departments, and Treasury and Finance departments in the Australian, State and Territory Governments, and observers from the Australian Bureau of Statistics (ABS) and the Australian Institute of Health and Welfare (AIHW). It is chaired by the Chairman of the Productivity Commission, which also provides the Secretariat. (A list of current members is provided as part of the preliminaries to this report).</w:t>
      </w:r>
    </w:p>
    <w:p w:rsidR="00D95249" w:rsidRDefault="00D95249" w:rsidP="00D95249">
      <w:pPr>
        <w:pStyle w:val="Heading3"/>
      </w:pPr>
      <w:r w:rsidRPr="00D95249">
        <w:t>The Overcoming Indigenous Disadvantage Working Group</w:t>
      </w:r>
    </w:p>
    <w:p w:rsidR="00D95249" w:rsidRDefault="00D95249" w:rsidP="00D95249">
      <w:pPr>
        <w:pStyle w:val="BodyText"/>
      </w:pPr>
      <w:r w:rsidRPr="00D95249">
        <w:t>The Steering Committee is advised on production of this report by a working group comprising representatives from the Australian, State and Territory governments, as well as observers from the National Congress of Australia’s First Peoples and the ABS and the AIHW. The Working Group was convened by Commissioner Patricia Scott of the Productivity Commission.</w:t>
      </w:r>
    </w:p>
    <w:p w:rsidR="00D95249" w:rsidRDefault="00D95249" w:rsidP="00D95249">
      <w:pPr>
        <w:pStyle w:val="Heading3"/>
      </w:pPr>
      <w:r w:rsidRPr="00D95249">
        <w:t xml:space="preserve">Other </w:t>
      </w:r>
      <w:r w:rsidR="00517EDE" w:rsidRPr="008928B9">
        <w:t>Steering Committee</w:t>
      </w:r>
      <w:r w:rsidR="00517EDE" w:rsidRPr="00D95249">
        <w:t xml:space="preserve"> </w:t>
      </w:r>
      <w:r w:rsidRPr="00D95249">
        <w:t>reports</w:t>
      </w:r>
    </w:p>
    <w:p w:rsidR="00D95249" w:rsidRDefault="00D95249" w:rsidP="00D95249">
      <w:pPr>
        <w:pStyle w:val="BodyText"/>
      </w:pPr>
      <w:r>
        <w:t xml:space="preserve">The </w:t>
      </w:r>
      <w:r w:rsidR="00517EDE" w:rsidRPr="008928B9">
        <w:t>Steering Committee</w:t>
      </w:r>
      <w:r w:rsidR="00517EDE">
        <w:t xml:space="preserve"> </w:t>
      </w:r>
      <w:r>
        <w:t>undertakes three other major exercises for COAG:</w:t>
      </w:r>
    </w:p>
    <w:p w:rsidR="00D95249" w:rsidRDefault="00D95249" w:rsidP="00D95249">
      <w:pPr>
        <w:pStyle w:val="ListBullet"/>
      </w:pPr>
      <w:r>
        <w:t xml:space="preserve">the annual </w:t>
      </w:r>
      <w:r w:rsidRPr="00D95249">
        <w:rPr>
          <w:i/>
        </w:rPr>
        <w:t>Report on Government Services</w:t>
      </w:r>
      <w:r>
        <w:t>, now in its nineteenth edition. This report provides information on the efficiency and effectiveness of, and equity of access to, mainstream government services in the areas of education, justice, emergency management, health, community services and housing. Since 2003, the Review has published a separate Compendium of information from the Report on Government Services relating to the delivery of mainstream services to Aboriginal and Torres Strait Islander Australians, with the most re</w:t>
      </w:r>
      <w:r w:rsidR="008C503D">
        <w:t>cent in April 2014 (</w:t>
      </w:r>
      <w:r w:rsidR="008C503D" w:rsidRPr="008C503D">
        <w:rPr>
          <w:szCs w:val="24"/>
        </w:rPr>
        <w:t>SCRGSP 2014</w:t>
      </w:r>
      <w:r>
        <w:t>)</w:t>
      </w:r>
    </w:p>
    <w:p w:rsidR="00D95249" w:rsidRDefault="00D95249" w:rsidP="00D95249">
      <w:pPr>
        <w:pStyle w:val="ListBullet"/>
      </w:pPr>
      <w:r>
        <w:t>from 2008 to 2014, the annual collation of performance information relating to the six National Agreements between the</w:t>
      </w:r>
      <w:r w:rsidR="008928B9">
        <w:t xml:space="preserve"> Australian Government and the State and Territory governments</w:t>
      </w:r>
      <w:r>
        <w:t>, for analysis by the COAG Reform Council, including the National Indigenous Reform Agreement (the most rece</w:t>
      </w:r>
      <w:r w:rsidR="00926AB1">
        <w:t>nt in December 2013 [</w:t>
      </w:r>
      <w:r w:rsidR="00926AB1" w:rsidRPr="00926AB1">
        <w:rPr>
          <w:szCs w:val="24"/>
        </w:rPr>
        <w:t>SCRGSP 2013</w:t>
      </w:r>
      <w:r>
        <w:t>]). (Collation of National Agreement performance data was transferred to the COAG Reform Council during 2014).</w:t>
      </w:r>
    </w:p>
    <w:p w:rsidR="00D95249" w:rsidRDefault="00D95249" w:rsidP="00D95249">
      <w:pPr>
        <w:pStyle w:val="ListBullet"/>
      </w:pPr>
      <w:r>
        <w:lastRenderedPageBreak/>
        <w:t xml:space="preserve">a biennial report on expenditure related to </w:t>
      </w:r>
      <w:r w:rsidR="00E67A29">
        <w:t>Aboriginal and Torres Strait Islander</w:t>
      </w:r>
      <w:r>
        <w:t xml:space="preserve"> Australians.</w:t>
      </w:r>
      <w:r w:rsidR="00516DEA">
        <w:rPr>
          <w:rStyle w:val="FootnoteReference"/>
        </w:rPr>
        <w:footnoteReference w:id="9"/>
      </w:r>
      <w:r>
        <w:t xml:space="preserve"> The </w:t>
      </w:r>
      <w:r w:rsidRPr="00D95249">
        <w:rPr>
          <w:i/>
        </w:rPr>
        <w:t>Indigenous Expenditure Report</w:t>
      </w:r>
      <w:r>
        <w:t xml:space="preserve"> estimates government expenditure on both Indigenous-specific and mainstream services provided to </w:t>
      </w:r>
      <w:r w:rsidR="00E67A29">
        <w:t>Aboriginal and Torres Strait Islander Australians</w:t>
      </w:r>
      <w:r>
        <w:t xml:space="preserve">. The report is aligned with the Overcoming Indigenous Disadvantage framework, potentially enabling expenditure to be linked to high level outcomes. </w:t>
      </w:r>
      <w:r w:rsidR="00E766F6" w:rsidRPr="008928B9">
        <w:t xml:space="preserve">Two </w:t>
      </w:r>
      <w:r w:rsidRPr="008928B9">
        <w:t xml:space="preserve">editions of the report have been published, </w:t>
      </w:r>
      <w:r w:rsidR="00E766F6" w:rsidRPr="008928B9">
        <w:t>with the next edition due for release in December</w:t>
      </w:r>
      <w:r w:rsidRPr="008928B9">
        <w:t xml:space="preserve"> 2014</w:t>
      </w:r>
      <w:r w:rsidR="00E766F6" w:rsidRPr="008928B9">
        <w:t xml:space="preserve"> </w:t>
      </w:r>
      <w:r w:rsidR="008C503D" w:rsidRPr="008C503D">
        <w:rPr>
          <w:szCs w:val="24"/>
        </w:rPr>
        <w:t>(SCRGSP forthcoming)</w:t>
      </w:r>
      <w:r w:rsidRPr="008928B9">
        <w:t>.</w:t>
      </w:r>
    </w:p>
    <w:p w:rsidR="00D95249" w:rsidRDefault="00516DEA" w:rsidP="00516DEA">
      <w:pPr>
        <w:pStyle w:val="Heading2"/>
      </w:pPr>
      <w:r w:rsidRPr="00516DEA">
        <w:t>1.</w:t>
      </w:r>
      <w:r w:rsidR="00CF277C">
        <w:t>8</w:t>
      </w:r>
      <w:r w:rsidRPr="00516DEA">
        <w:tab/>
        <w:t>References</w:t>
      </w:r>
    </w:p>
    <w:p w:rsidR="008928B9" w:rsidRDefault="008928B9" w:rsidP="00E67A29">
      <w:pPr>
        <w:pStyle w:val="Reference"/>
      </w:pPr>
      <w:r>
        <w:t>ABC Radio National 2003, ‘It’s not the money, it’s the land: Aboriginal pastoral workers of northern Australia’, ABC Radio National.</w:t>
      </w:r>
    </w:p>
    <w:p w:rsidR="008928B9" w:rsidRDefault="008928B9" w:rsidP="00E67A29">
      <w:pPr>
        <w:pStyle w:val="Reference"/>
      </w:pPr>
      <w:r>
        <w:t xml:space="preserve">ABS (Australian Bureau of Statistics) 2013a, </w:t>
      </w:r>
      <w:r>
        <w:rPr>
          <w:i/>
          <w:iCs/>
        </w:rPr>
        <w:t>Census of Population and Housing: Understanding the Increase in Aboriginal and Torres Strait Islander Counts, 2006–2011</w:t>
      </w:r>
      <w:r>
        <w:t>, Cat. no. 2077.0, http://www.abs.gov.au/AUSSTATS/abs@.nsf/productsby</w:t>
      </w:r>
      <w:r w:rsidR="008C7A2F">
        <w:t xml:space="preserve"> </w:t>
      </w:r>
      <w:r>
        <w:t>Catalogue/23B3C6294A37F088CA257BE80015056D?OpenDocument (accessed 20 May 2014).</w:t>
      </w:r>
    </w:p>
    <w:p w:rsidR="008928B9" w:rsidRDefault="008928B9" w:rsidP="00E67A29">
      <w:pPr>
        <w:pStyle w:val="Reference"/>
      </w:pPr>
      <w:r>
        <w:t xml:space="preserve">—— (Australian Bureau of Statistics) 2013b, </w:t>
      </w:r>
      <w:r>
        <w:rPr>
          <w:i/>
          <w:iCs/>
        </w:rPr>
        <w:t>Perspectives on Aboriginal and Torres Strait Islander Identification in Selected Data Collection Contexts, Australia, 2012</w:t>
      </w:r>
      <w:r>
        <w:t>, Cat. no. 4726.0, http://www.ausstats.abs.gov.au/Ausstats/subscriber.nsf/0/04B81E4FA4BEA3EDCA257B04000FD8E6/$File/47260_2012.pdf (accessed 20 February 2014).</w:t>
      </w:r>
    </w:p>
    <w:p w:rsidR="008928B9" w:rsidRDefault="008928B9" w:rsidP="00E67A29">
      <w:pPr>
        <w:pStyle w:val="Reference"/>
      </w:pPr>
      <w:r>
        <w:t xml:space="preserve">AHRC (Australian Human Rights Commission) 2010, </w:t>
      </w:r>
      <w:r>
        <w:rPr>
          <w:i/>
          <w:iCs/>
        </w:rPr>
        <w:t>Community Reference Guide to the UN Declaration on the Rights of Indigenous Peoples</w:t>
      </w:r>
      <w:r>
        <w:t>, http://www.humanrights.gov.au/ sites/default/files/ document/publication/social_justice_native_title_report_2013.pdf (accessed 20 June 2014).</w:t>
      </w:r>
    </w:p>
    <w:p w:rsidR="008928B9" w:rsidRDefault="008928B9" w:rsidP="00E67A29">
      <w:pPr>
        <w:pStyle w:val="Reference"/>
      </w:pPr>
      <w:r>
        <w:t xml:space="preserve">—— (Australian Human Rights Commission) 2013, </w:t>
      </w:r>
      <w:r>
        <w:rPr>
          <w:i/>
          <w:iCs/>
        </w:rPr>
        <w:t>Social Justice and Native Title Report</w:t>
      </w:r>
      <w:r>
        <w:t>, Social Justice Reports, Sydney, https://www.humanrights.gov.au/</w:t>
      </w:r>
      <w:r w:rsidR="008C7A2F">
        <w:t xml:space="preserve"> </w:t>
      </w:r>
      <w:r>
        <w:t>sites/default/files/document/publication/social_justice_native_title_report_2013.pdf (accessed 27 June 2014).</w:t>
      </w:r>
    </w:p>
    <w:p w:rsidR="008928B9" w:rsidRDefault="008928B9" w:rsidP="00E67A29">
      <w:pPr>
        <w:pStyle w:val="Reference"/>
      </w:pPr>
      <w:r>
        <w:t xml:space="preserve">—— (Australian Human Rights Commission) nd, ‘Chapter 3: The Northern Territory “Emergency Response” intervention’, </w:t>
      </w:r>
      <w:r>
        <w:rPr>
          <w:i/>
          <w:iCs/>
        </w:rPr>
        <w:t>Social Justice Report 2007</w:t>
      </w:r>
      <w:r>
        <w:t>, http://www. humanrights.gov.au/publications/social-justice-report-2007-chapter-3-northern-territory-emergency-response-intervention#conclusion (accessed 20 June 2014).</w:t>
      </w:r>
    </w:p>
    <w:p w:rsidR="008928B9" w:rsidRDefault="008928B9" w:rsidP="00E67A29">
      <w:pPr>
        <w:pStyle w:val="Reference"/>
      </w:pPr>
      <w:r>
        <w:t xml:space="preserve">AIATSIS (Australian Institute of Aboriginal and Torres Strait Islander Studies) 2008, </w:t>
      </w:r>
      <w:r>
        <w:rPr>
          <w:i/>
          <w:iCs/>
        </w:rPr>
        <w:t>The Little Red Yellow Black Book</w:t>
      </w:r>
      <w:r>
        <w:t>, Aboriginal Studies Press, Canberra, ACT.</w:t>
      </w:r>
    </w:p>
    <w:p w:rsidR="008928B9" w:rsidRDefault="008928B9" w:rsidP="00E67A29">
      <w:pPr>
        <w:pStyle w:val="Reference"/>
      </w:pPr>
      <w:r>
        <w:lastRenderedPageBreak/>
        <w:t xml:space="preserve">AIHW (Australian Institute of Health and Welfare) 2013, </w:t>
      </w:r>
      <w:r>
        <w:rPr>
          <w:i/>
          <w:iCs/>
        </w:rPr>
        <w:t>Expenditure on Health for Aboriginal and Torres Strait Islander People 2010-11</w:t>
      </w:r>
      <w:r>
        <w:t>, Cat. no. HWE 57, Canberra, ACT, http://www.aihw.gov.au/publication-detail/?id=60129542787 (accessed 17 April 2014).</w:t>
      </w:r>
    </w:p>
    <w:p w:rsidR="008928B9" w:rsidRDefault="008928B9" w:rsidP="00E67A29">
      <w:pPr>
        <w:pStyle w:val="Reference"/>
      </w:pPr>
      <w:r>
        <w:t xml:space="preserve">Australia (Australia. Review of the Aboriginal and Torres Strait Islander Commission, Bob Collins, John Hannaford, Jackie Huggins) 2003, </w:t>
      </w:r>
      <w:r>
        <w:rPr>
          <w:i/>
          <w:iCs/>
        </w:rPr>
        <w:t>In the Hands of the Regions: a new ATSIC: Report of the Review of the Aboriginal and Torres Strait Islander Commission</w:t>
      </w:r>
      <w:r>
        <w:t>, Department for Immigration and Multicultural Affairs.</w:t>
      </w:r>
    </w:p>
    <w:p w:rsidR="008928B9" w:rsidRDefault="008928B9" w:rsidP="00E67A29">
      <w:pPr>
        <w:pStyle w:val="Reference"/>
      </w:pPr>
      <w:r>
        <w:t xml:space="preserve">Australian Government nd, </w:t>
      </w:r>
      <w:r>
        <w:rPr>
          <w:i/>
          <w:iCs/>
        </w:rPr>
        <w:t>Bark petitions: Indigenous art and reform for the rights of Indigenous Australians</w:t>
      </w:r>
      <w:r>
        <w:t>, http://australia.gov.au/about-australia/australian-story/bark-petitions-indigenous-art (accessed 16 April 2014).</w:t>
      </w:r>
    </w:p>
    <w:p w:rsidR="008928B9" w:rsidRDefault="008928B9" w:rsidP="00E67A29">
      <w:pPr>
        <w:pStyle w:val="Reference"/>
      </w:pPr>
      <w:r>
        <w:t xml:space="preserve">Australian Heritage Database nd, </w:t>
      </w:r>
      <w:r>
        <w:rPr>
          <w:i/>
          <w:iCs/>
        </w:rPr>
        <w:t>Wave Hill Walk Off Route</w:t>
      </w:r>
      <w:r>
        <w:t>, http://www.environment.</w:t>
      </w:r>
      <w:r w:rsidR="008C7A2F">
        <w:t xml:space="preserve"> </w:t>
      </w:r>
      <w:r>
        <w:t>gov.au/cgi-bin/ahdb/search.pl?mode=place_detail;search=place_name%3Dwave%2520</w:t>
      </w:r>
      <w:r w:rsidR="008C7A2F">
        <w:t xml:space="preserve"> </w:t>
      </w:r>
      <w:r>
        <w:t>hill%2520walk%2520off%3Bkeyword_PD%3Don%3Bkeyword_SS%3Don%3Bkeyword_PH%3Don%3Blatitude_1dir%3DS%3Blongitude_1dir%3DE%3Blongitude_2dir%3DE%3Blatitude_2dir%3DS%3Bin_region%3Dpart;place_id=105897 (accessed 16 April 2014).</w:t>
      </w:r>
    </w:p>
    <w:p w:rsidR="008928B9" w:rsidRDefault="008928B9" w:rsidP="00E67A29">
      <w:pPr>
        <w:pStyle w:val="Reference"/>
      </w:pPr>
      <w:r>
        <w:t xml:space="preserve">Blake, T. 1998, ‘Deported...at the Sweet Will of the Government: The Removal of Aborigines to Reserves in Queensland 1897–1939’, </w:t>
      </w:r>
      <w:r>
        <w:rPr>
          <w:i/>
          <w:iCs/>
        </w:rPr>
        <w:t>Aboriginal History</w:t>
      </w:r>
      <w:r>
        <w:t>, vol. 22, pp. 51–61.</w:t>
      </w:r>
    </w:p>
    <w:p w:rsidR="008928B9" w:rsidRDefault="008928B9" w:rsidP="00E67A29">
      <w:pPr>
        <w:pStyle w:val="Reference"/>
      </w:pPr>
      <w:r>
        <w:t xml:space="preserve">Briscoe, G. and Smith, L. (eds) 2002, </w:t>
      </w:r>
      <w:r>
        <w:rPr>
          <w:i/>
          <w:iCs/>
        </w:rPr>
        <w:t>The Aboriginal population revisited: 70,000 years to the present</w:t>
      </w:r>
      <w:r>
        <w:t>, Aboriginal History Incorporated, Canberra.</w:t>
      </w:r>
    </w:p>
    <w:p w:rsidR="008928B9" w:rsidRDefault="008928B9" w:rsidP="00E67A29">
      <w:pPr>
        <w:pStyle w:val="Reference"/>
      </w:pPr>
      <w:r>
        <w:t xml:space="preserve">Broome, R. 2010, </w:t>
      </w:r>
      <w:r>
        <w:rPr>
          <w:i/>
          <w:iCs/>
        </w:rPr>
        <w:t>Aboriginal Australians: a history since 1788</w:t>
      </w:r>
      <w:r>
        <w:t>, Fully revised 4th edition, Allen &amp; Unwin, Crows Nest, NSW.</w:t>
      </w:r>
    </w:p>
    <w:p w:rsidR="008928B9" w:rsidRDefault="008928B9" w:rsidP="00E67A29">
      <w:pPr>
        <w:pStyle w:val="Reference"/>
      </w:pPr>
      <w:r>
        <w:t xml:space="preserve">Bryant, C. 2009, </w:t>
      </w:r>
      <w:r>
        <w:rPr>
          <w:i/>
          <w:iCs/>
        </w:rPr>
        <w:t>Identifying the risks for Indigenous violent victimisation</w:t>
      </w:r>
      <w:r>
        <w:t>, Brief 6, December, Indigenous Justice Clearinghouse, Australian Institute of Criminology.</w:t>
      </w:r>
    </w:p>
    <w:p w:rsidR="008928B9" w:rsidRDefault="008928B9" w:rsidP="00E67A29">
      <w:pPr>
        <w:pStyle w:val="Reference"/>
      </w:pPr>
      <w:r>
        <w:t xml:space="preserve">Butlin, N.G. 1983, </w:t>
      </w:r>
      <w:r>
        <w:rPr>
          <w:i/>
          <w:iCs/>
        </w:rPr>
        <w:t>Our original aggression: Aboriginal populations of southeastern Australia, 1788–1850</w:t>
      </w:r>
      <w:r>
        <w:t>, Allen &amp; Unwin, Sydney, NSW.</w:t>
      </w:r>
    </w:p>
    <w:p w:rsidR="008928B9" w:rsidRDefault="008928B9" w:rsidP="00E67A29">
      <w:pPr>
        <w:pStyle w:val="Reference"/>
      </w:pPr>
      <w:r>
        <w:t xml:space="preserve">CAR (Council for Aboriginal Reconciliation) 2000, </w:t>
      </w:r>
      <w:r>
        <w:rPr>
          <w:i/>
          <w:iCs/>
        </w:rPr>
        <w:t>Reconciliation: Australia’s Challenge. Final report of the Council for Aboriginal Reconciliation to the Prime Minister and the Commonwealth Parliament</w:t>
      </w:r>
      <w:r>
        <w:t>, http://www.austlii.edu.au/au/other/IndigLRes/car/2000/</w:t>
      </w:r>
      <w:r w:rsidR="008C7A2F">
        <w:t xml:space="preserve"> </w:t>
      </w:r>
      <w:r>
        <w:t>16/. (accessed 26 June 2014).</w:t>
      </w:r>
    </w:p>
    <w:p w:rsidR="008928B9" w:rsidRDefault="008928B9" w:rsidP="00E67A29">
      <w:pPr>
        <w:pStyle w:val="Reference"/>
      </w:pPr>
      <w:r>
        <w:t xml:space="preserve">CGC (Commonwealth Grants Commission) 2001, </w:t>
      </w:r>
      <w:r>
        <w:rPr>
          <w:i/>
          <w:iCs/>
        </w:rPr>
        <w:t>Report on Indigenous Funding 2001</w:t>
      </w:r>
      <w:r>
        <w:t>, Canberra, https://cgc.gov.au/index.php?option=com_content&amp;view=article&amp;id=53:2001-indigenous-funding-inquiry&amp;catid=39&amp;Itemid=160 (accessed 15 April 2014).</w:t>
      </w:r>
    </w:p>
    <w:p w:rsidR="008928B9" w:rsidRDefault="008928B9" w:rsidP="00E67A29">
      <w:pPr>
        <w:pStyle w:val="Reference"/>
      </w:pPr>
      <w:r>
        <w:t xml:space="preserve">Chaney, F. 2013, ‘The Indigenous Policy Experience: 1960 to 2012’, </w:t>
      </w:r>
      <w:r>
        <w:rPr>
          <w:i/>
          <w:iCs/>
        </w:rPr>
        <w:t>Better Indigenous Policies: The Role of Evaluation roundtable proceedings</w:t>
      </w:r>
      <w:r>
        <w:t>, Productivity Commission, Melbourne, Victoria.</w:t>
      </w:r>
    </w:p>
    <w:p w:rsidR="008928B9" w:rsidRDefault="008928B9" w:rsidP="00E67A29">
      <w:pPr>
        <w:pStyle w:val="Reference"/>
      </w:pPr>
      <w:r>
        <w:lastRenderedPageBreak/>
        <w:t xml:space="preserve">Chesterman, J. 2005, </w:t>
      </w:r>
      <w:r>
        <w:rPr>
          <w:i/>
          <w:iCs/>
        </w:rPr>
        <w:t>Civil Rights: How Indigenous Australians won formal equality</w:t>
      </w:r>
      <w:r>
        <w:t>, University of Queensland Press, St Lucia, Queensland.</w:t>
      </w:r>
    </w:p>
    <w:p w:rsidR="008928B9" w:rsidRDefault="008928B9" w:rsidP="00E67A29">
      <w:pPr>
        <w:pStyle w:val="Reference"/>
      </w:pPr>
      <w:r>
        <w:t xml:space="preserve">—— and Galligan, B. 1997, </w:t>
      </w:r>
      <w:r>
        <w:rPr>
          <w:i/>
          <w:iCs/>
        </w:rPr>
        <w:t>Citizens without rights: Aborigines and Australian Citizenship</w:t>
      </w:r>
      <w:r>
        <w:t>, Cambridge University Press, UK.</w:t>
      </w:r>
    </w:p>
    <w:p w:rsidR="008928B9" w:rsidRDefault="008928B9" w:rsidP="00E67A29">
      <w:pPr>
        <w:pStyle w:val="Reference"/>
      </w:pPr>
      <w:r>
        <w:t xml:space="preserve">Clapham, K., Stevenson, M. and Lo, S.K. 2006, </w:t>
      </w:r>
      <w:r>
        <w:rPr>
          <w:i/>
          <w:iCs/>
        </w:rPr>
        <w:t>Injury profiles of Indigenous and non-Indigenous people in New South Wales</w:t>
      </w:r>
      <w:r>
        <w:t>, Medical Journal of Australia, vol. 184, no. 5, pp. 217–220.</w:t>
      </w:r>
    </w:p>
    <w:p w:rsidR="008928B9" w:rsidRDefault="008928B9" w:rsidP="00E67A29">
      <w:pPr>
        <w:pStyle w:val="Reference"/>
      </w:pPr>
      <w:r>
        <w:t xml:space="preserve">COAG (Council of Australian Governments) 2002, </w:t>
      </w:r>
      <w:r>
        <w:rPr>
          <w:i/>
          <w:iCs/>
        </w:rPr>
        <w:t>Council of Australian Governments Meeting Communique - 5 April 2002</w:t>
      </w:r>
      <w:r>
        <w:t>, http://archive.coag.gov.au/coag_meeting_</w:t>
      </w:r>
      <w:r w:rsidR="008C7A2F">
        <w:t xml:space="preserve"> </w:t>
      </w:r>
      <w:r>
        <w:t>outcomes/2002-04-05/index.cfm (accessed 6 June 2014).</w:t>
      </w:r>
    </w:p>
    <w:p w:rsidR="008928B9" w:rsidRDefault="008928B9" w:rsidP="00E67A29">
      <w:pPr>
        <w:pStyle w:val="Reference"/>
      </w:pPr>
      <w:r>
        <w:t xml:space="preserve">—— (Council of Australian Governments) 2007, </w:t>
      </w:r>
      <w:r>
        <w:rPr>
          <w:i/>
          <w:iCs/>
        </w:rPr>
        <w:t>Council of Australian Governments Meeting Communique - 20 December 2007</w:t>
      </w:r>
      <w:r>
        <w:t>.</w:t>
      </w:r>
    </w:p>
    <w:p w:rsidR="008928B9" w:rsidRDefault="008928B9" w:rsidP="00E67A29">
      <w:pPr>
        <w:pStyle w:val="Reference"/>
      </w:pPr>
      <w:r>
        <w:t xml:space="preserve">—— (Council of Australian Governments) 2008a, </w:t>
      </w:r>
      <w:r>
        <w:rPr>
          <w:i/>
          <w:iCs/>
        </w:rPr>
        <w:t>Council of Australian Governments Meeting Communique - 26 March 2008</w:t>
      </w:r>
      <w:r>
        <w:t>, http://www.coag.gov.au/sites/default/files/</w:t>
      </w:r>
      <w:r w:rsidR="008C7A2F">
        <w:t xml:space="preserve"> </w:t>
      </w:r>
      <w:r>
        <w:t>2008-26-03%20Communique.pdf (accessed 20 May 2014).</w:t>
      </w:r>
    </w:p>
    <w:p w:rsidR="008928B9" w:rsidRDefault="008928B9" w:rsidP="00E67A29">
      <w:pPr>
        <w:pStyle w:val="Reference"/>
      </w:pPr>
      <w:r>
        <w:t xml:space="preserve">—— (Council of Australian Governments) 2008b, </w:t>
      </w:r>
      <w:r>
        <w:rPr>
          <w:i/>
          <w:iCs/>
        </w:rPr>
        <w:t>Council of Australian Governments Meeting Communique - 29 November 2008</w:t>
      </w:r>
      <w:r>
        <w:t>.</w:t>
      </w:r>
    </w:p>
    <w:p w:rsidR="008928B9" w:rsidRDefault="008928B9" w:rsidP="00E67A29">
      <w:pPr>
        <w:pStyle w:val="Reference"/>
      </w:pPr>
      <w:r>
        <w:t xml:space="preserve">—— (Council of Australian Governments) 2012, </w:t>
      </w:r>
      <w:r>
        <w:rPr>
          <w:i/>
          <w:iCs/>
        </w:rPr>
        <w:t>National Indigenous Reform Agreement</w:t>
      </w:r>
      <w:r>
        <w:t>, www.federalfinancialrelations.gov.au/content/npa/health_indigenous/indigenous-reform/national-agreement_sept_12.pdf (accessed 14 January 2013).</w:t>
      </w:r>
    </w:p>
    <w:p w:rsidR="008928B9" w:rsidRDefault="008928B9" w:rsidP="00E67A29">
      <w:pPr>
        <w:pStyle w:val="Reference"/>
      </w:pPr>
      <w:r>
        <w:t xml:space="preserve">—— (Council of Australian Governments) 2014, </w:t>
      </w:r>
      <w:r>
        <w:rPr>
          <w:i/>
          <w:iCs/>
        </w:rPr>
        <w:t>Council of Australian Governments Meeting Communique - 2 May 2014</w:t>
      </w:r>
      <w:r>
        <w:t>, https://www.coag.gov.au/sites/default/files/</w:t>
      </w:r>
      <w:r w:rsidR="008C7A2F">
        <w:t xml:space="preserve"> </w:t>
      </w:r>
      <w:r>
        <w:t>COAG%20communique%202%20May%20-%20final%201300.pdf (accessed 20 June 2014).</w:t>
      </w:r>
    </w:p>
    <w:p w:rsidR="008928B9" w:rsidRDefault="008928B9" w:rsidP="00E67A29">
      <w:pPr>
        <w:pStyle w:val="Reference"/>
      </w:pPr>
      <w:r>
        <w:t xml:space="preserve">Cooke, M., Mitrou, F., Lawrence, D., Guimond, E. and Beavon, D. 2007, ‘Indigenous well-being in four countries: An application of the UNDP’s Human Development Index to Indigenous Peoples in Australia, Canada, New Zealand and the United States’, </w:t>
      </w:r>
      <w:r>
        <w:rPr>
          <w:i/>
          <w:iCs/>
        </w:rPr>
        <w:t>BMC International Health and Human Rights</w:t>
      </w:r>
      <w:r>
        <w:t>, vol. 7, no. 9.</w:t>
      </w:r>
    </w:p>
    <w:p w:rsidR="008928B9" w:rsidRDefault="008928B9" w:rsidP="00E67A29">
      <w:pPr>
        <w:pStyle w:val="Reference"/>
      </w:pPr>
      <w:r>
        <w:t xml:space="preserve">Cornell, S.E. 2006, </w:t>
      </w:r>
      <w:r>
        <w:rPr>
          <w:i/>
          <w:iCs/>
        </w:rPr>
        <w:t>Indigenous peoples, poverty and self-determination in Australia, New Zealand, Canada and the United States</w:t>
      </w:r>
      <w:r>
        <w:t>, Native Nations Institute for Leadership, Management, and Policy, Tucson, AZ.</w:t>
      </w:r>
    </w:p>
    <w:p w:rsidR="008928B9" w:rsidRDefault="008928B9" w:rsidP="00E67A29">
      <w:pPr>
        <w:pStyle w:val="Reference"/>
      </w:pPr>
      <w:r>
        <w:t xml:space="preserve">CRC (COAG Reform Council) 2010, </w:t>
      </w:r>
      <w:r>
        <w:rPr>
          <w:i/>
          <w:iCs/>
        </w:rPr>
        <w:t>National Indigenous Reform Agreement baseline report for 2008-09: Report to the Council of Australian Governments</w:t>
      </w:r>
      <w:r>
        <w:t>, CRC, Sydney, NSW.</w:t>
      </w:r>
    </w:p>
    <w:p w:rsidR="008928B9" w:rsidRDefault="008928B9" w:rsidP="00E67A29">
      <w:pPr>
        <w:pStyle w:val="Reference"/>
      </w:pPr>
      <w:r>
        <w:t xml:space="preserve">Cunneen, C. 2001, </w:t>
      </w:r>
      <w:r>
        <w:rPr>
          <w:i/>
          <w:iCs/>
        </w:rPr>
        <w:t>Conflict, politics and crime: Aboriginal communities and the police</w:t>
      </w:r>
      <w:r>
        <w:t>, Allen &amp; Unwin, Crows Nest, NSW.</w:t>
      </w:r>
    </w:p>
    <w:p w:rsidR="008928B9" w:rsidRDefault="008928B9" w:rsidP="00E67A29">
      <w:pPr>
        <w:pStyle w:val="Reference"/>
      </w:pPr>
      <w:r>
        <w:t xml:space="preserve">Department of Aboriginal Affairs 1981, </w:t>
      </w:r>
      <w:r>
        <w:rPr>
          <w:i/>
          <w:iCs/>
        </w:rPr>
        <w:t>Aboriginals in Australia Today</w:t>
      </w:r>
      <w:r>
        <w:t>, AGPS cat. no. 8116426, Australian Government Publishing Service, Canberra, ACT.</w:t>
      </w:r>
    </w:p>
    <w:p w:rsidR="008928B9" w:rsidRDefault="008928B9" w:rsidP="00E67A29">
      <w:pPr>
        <w:pStyle w:val="Reference"/>
      </w:pPr>
      <w:r>
        <w:lastRenderedPageBreak/>
        <w:t xml:space="preserve">Diamond, J.M. 1998, </w:t>
      </w:r>
      <w:r>
        <w:rPr>
          <w:i/>
          <w:iCs/>
        </w:rPr>
        <w:t>Guns, germs and steel: a short history of everybody for the last 13,000 years</w:t>
      </w:r>
      <w:r>
        <w:t>, Vintage, Random House, London.</w:t>
      </w:r>
    </w:p>
    <w:p w:rsidR="008928B9" w:rsidRDefault="008928B9" w:rsidP="00E67A29">
      <w:pPr>
        <w:pStyle w:val="Reference"/>
      </w:pPr>
      <w:r>
        <w:t xml:space="preserve">Egan, T. 1996, </w:t>
      </w:r>
      <w:r>
        <w:rPr>
          <w:i/>
          <w:iCs/>
        </w:rPr>
        <w:t>Justice all their own: the Caledon Bay and Woodah Island killings 1932-33</w:t>
      </w:r>
      <w:r>
        <w:t>, Melbourne University Press, Carlton South, Victoria.</w:t>
      </w:r>
    </w:p>
    <w:p w:rsidR="008928B9" w:rsidRDefault="008928B9" w:rsidP="00E67A29">
      <w:pPr>
        <w:pStyle w:val="Reference"/>
      </w:pPr>
      <w:r>
        <w:t xml:space="preserve">Elder, B. 2003, </w:t>
      </w:r>
      <w:r>
        <w:rPr>
          <w:i/>
          <w:iCs/>
        </w:rPr>
        <w:t>Blood on the wattle: massacres and maltreatment of Aboriginal Australians since 1788</w:t>
      </w:r>
      <w:r>
        <w:t>, 3rd edition, New Holland, Chatswood, NSW.</w:t>
      </w:r>
    </w:p>
    <w:p w:rsidR="008928B9" w:rsidRDefault="008928B9" w:rsidP="00E67A29">
      <w:pPr>
        <w:pStyle w:val="Reference"/>
      </w:pPr>
      <w:r>
        <w:t xml:space="preserve">Expert Panel (Expert Panel on Constitutional Recognition of Indigenous Australians) 2012, </w:t>
      </w:r>
      <w:r>
        <w:rPr>
          <w:i/>
          <w:iCs/>
        </w:rPr>
        <w:t>Recognising Aboriginal and Torres Strait Islander Peoples in the Constitution: Report of the expert panel</w:t>
      </w:r>
      <w:r>
        <w:t>, Canberra, http://www.recognise.org.au/final-report (accessed 14 February 2014).</w:t>
      </w:r>
    </w:p>
    <w:p w:rsidR="008928B9" w:rsidRDefault="008928B9" w:rsidP="00E67A29">
      <w:pPr>
        <w:pStyle w:val="Reference"/>
      </w:pPr>
      <w:r>
        <w:t xml:space="preserve">FaHCSIA (Department of Families, Housing, Community Services and Indigenous Affairs) 2011, </w:t>
      </w:r>
      <w:r>
        <w:rPr>
          <w:i/>
          <w:iCs/>
        </w:rPr>
        <w:t>Northern Territory Emergency Response: Evaluation Report 2011</w:t>
      </w:r>
      <w:r>
        <w:t>, November, http://web.archive.org/web/20120317140037/http://www.facs.gov.au/sa/</w:t>
      </w:r>
      <w:r w:rsidR="008C7A2F">
        <w:t xml:space="preserve"> </w:t>
      </w:r>
      <w:r>
        <w:t>indigenous/pubs/nter_reports/Documents/nter_evaluation_report_2011.PDF (accessed 4 June 2014).</w:t>
      </w:r>
    </w:p>
    <w:p w:rsidR="008928B9" w:rsidRDefault="008928B9" w:rsidP="00E67A29">
      <w:pPr>
        <w:pStyle w:val="Reference"/>
      </w:pPr>
      <w:r>
        <w:t xml:space="preserve">Flood, J. 2006, </w:t>
      </w:r>
      <w:r>
        <w:rPr>
          <w:i/>
          <w:iCs/>
        </w:rPr>
        <w:t>The original Australians: story of the Aboriginal people</w:t>
      </w:r>
      <w:r>
        <w:t>, Allen &amp; Unwin, Crows Nest, NSW.</w:t>
      </w:r>
    </w:p>
    <w:p w:rsidR="008928B9" w:rsidRDefault="008928B9" w:rsidP="00E67A29">
      <w:pPr>
        <w:pStyle w:val="Reference"/>
      </w:pPr>
      <w:r>
        <w:t>Howard, J. 2004, ‘Transcript of the Prime Minister The Hon John Howard MP Joint press conference with Senator Amanda Vanstone: Parliament House, Canberra’, http://parlinfo.aph.gov.au/parlInfo/search/display/display.w3p;query=Source%3A%22PRIME%20MINISTER%22%20Author_Phrase%3A%22vanstone,%20amanda%22;rec=1 (accessed 10 June 2014).</w:t>
      </w:r>
    </w:p>
    <w:p w:rsidR="008928B9" w:rsidRDefault="008928B9" w:rsidP="00E67A29">
      <w:pPr>
        <w:pStyle w:val="Reference"/>
      </w:pPr>
      <w:r>
        <w:t xml:space="preserve">HREOC (Human Rights and Equal Opportunity Commission) 1997, </w:t>
      </w:r>
      <w:r>
        <w:rPr>
          <w:i/>
          <w:iCs/>
        </w:rPr>
        <w:t>Bringing them home: report of the National Inquiry into the Separation of Aboriginal and Torres Strait Islander Children from their Families</w:t>
      </w:r>
      <w:r>
        <w:t>, https://www.humanrights.gov.au/sites/default</w:t>
      </w:r>
      <w:r w:rsidR="00E103C7">
        <w:t xml:space="preserve"> </w:t>
      </w:r>
      <w:r>
        <w:t>/files/content/pdf/social_justice/bringing_them_home_report.pdf (accessed 30 May 2014).</w:t>
      </w:r>
    </w:p>
    <w:p w:rsidR="008928B9" w:rsidRDefault="008928B9" w:rsidP="00E67A29">
      <w:pPr>
        <w:pStyle w:val="Reference"/>
      </w:pPr>
      <w:r>
        <w:t xml:space="preserve">Joint Select Committee on Constitutional Recognition of Aboriginal and Torres Strait Islander Peoples 2013, </w:t>
      </w:r>
      <w:r>
        <w:rPr>
          <w:i/>
          <w:iCs/>
        </w:rPr>
        <w:t>Aboriginal and Torres Strait Islander Peoples Recognition Bill 2012 / Joint Select Committee on Constitutional Recognition of Aboriginal and Torres Strait Islander Peoples</w:t>
      </w:r>
      <w:r>
        <w:t>, http://www.aph.gov.au/Parliamentary_Business/Committees/</w:t>
      </w:r>
      <w:r w:rsidR="00E103C7">
        <w:t xml:space="preserve"> </w:t>
      </w:r>
      <w:r>
        <w:t>Senate_Committees?url=jscatsi_ctte/jscatsi/report/index.htm (accessed 28 October 2013).</w:t>
      </w:r>
    </w:p>
    <w:p w:rsidR="008928B9" w:rsidRDefault="008928B9" w:rsidP="00E67A29">
      <w:pPr>
        <w:pStyle w:val="Reference"/>
      </w:pPr>
      <w:r>
        <w:t xml:space="preserve">Madden, R.C. and Pulver, L.R.J. 2009, ‘Aboriginal and Torres Strait Islander Population: More than reported’, </w:t>
      </w:r>
      <w:r>
        <w:rPr>
          <w:i/>
          <w:iCs/>
        </w:rPr>
        <w:t>Australian Actuarial Journal</w:t>
      </w:r>
      <w:r>
        <w:t>, vol. 15, no. 2, pp. 181–208.</w:t>
      </w:r>
    </w:p>
    <w:p w:rsidR="008928B9" w:rsidRDefault="008928B9" w:rsidP="00E67A29">
      <w:pPr>
        <w:pStyle w:val="Reference"/>
      </w:pPr>
      <w:r>
        <w:t xml:space="preserve">Morris, B. 1988, ‘Dhan-gadi Resistance to Assimilation’, </w:t>
      </w:r>
      <w:r>
        <w:rPr>
          <w:i/>
          <w:iCs/>
        </w:rPr>
        <w:t>Being Black: Aboriginal Cultures in ‘Settled’ Australia</w:t>
      </w:r>
      <w:r>
        <w:t>, Aboriginal Studies Press, Canberra, ACT, pp. 33–63.</w:t>
      </w:r>
    </w:p>
    <w:p w:rsidR="008928B9" w:rsidRDefault="008928B9" w:rsidP="00E67A29">
      <w:pPr>
        <w:pStyle w:val="Reference"/>
      </w:pPr>
      <w:r>
        <w:t xml:space="preserve">National Congress of Australia’s First Peoples nd, </w:t>
      </w:r>
      <w:r>
        <w:rPr>
          <w:i/>
          <w:iCs/>
        </w:rPr>
        <w:t>National Congress of Australia’s First Peoples  / About Us</w:t>
      </w:r>
      <w:r>
        <w:t>, https://nationalcongress.com.au/about-us/ (accessed 20 June 2014).</w:t>
      </w:r>
    </w:p>
    <w:p w:rsidR="008928B9" w:rsidRDefault="008928B9" w:rsidP="00E67A29">
      <w:pPr>
        <w:pStyle w:val="Reference"/>
      </w:pPr>
      <w:r>
        <w:lastRenderedPageBreak/>
        <w:t xml:space="preserve">Nelson, B. 2008, </w:t>
      </w:r>
      <w:r>
        <w:rPr>
          <w:i/>
          <w:iCs/>
        </w:rPr>
        <w:t>House of Representatives, Apology to Australia’s Indigenous Peoples, Speech, Wednesday 13 February 2008</w:t>
      </w:r>
      <w:r>
        <w:t>, http://parlinfo.aph.gov.au/parlInfo/genpdf/</w:t>
      </w:r>
      <w:r w:rsidR="00E103C7">
        <w:t xml:space="preserve"> </w:t>
      </w:r>
      <w:r>
        <w:t>chamber/hansardr/2008-02-13/0004/hansard_frag.pdf;fileType=application%2Fpdf (accessed 16 April 2014).</w:t>
      </w:r>
    </w:p>
    <w:p w:rsidR="008928B9" w:rsidRDefault="008928B9" w:rsidP="00E67A29">
      <w:pPr>
        <w:pStyle w:val="Reference"/>
      </w:pPr>
      <w:r>
        <w:t xml:space="preserve">RA (Reconciliation Australia) 2013, </w:t>
      </w:r>
      <w:r>
        <w:rPr>
          <w:i/>
          <w:iCs/>
        </w:rPr>
        <w:t>Australian Reconciliation Barometer 2012: An overview</w:t>
      </w:r>
      <w:r>
        <w:t>, January, Reconciliation Australia, Canberra, ACT, http://www.reconciliation.</w:t>
      </w:r>
      <w:r w:rsidR="00E103C7">
        <w:t xml:space="preserve"> </w:t>
      </w:r>
      <w:r>
        <w:t>org.au/getfile?id=1917&amp;file=RA_Barometer_Report_2012_Overview_V17_low_res.pdf (accessed 6 February 2014).</w:t>
      </w:r>
    </w:p>
    <w:p w:rsidR="008928B9" w:rsidRDefault="008928B9" w:rsidP="00E67A29">
      <w:pPr>
        <w:pStyle w:val="Reference"/>
      </w:pPr>
      <w:r>
        <w:t xml:space="preserve">—— (Reconciliation Australia) nd, </w:t>
      </w:r>
      <w:r>
        <w:rPr>
          <w:i/>
          <w:iCs/>
        </w:rPr>
        <w:t>Our History</w:t>
      </w:r>
      <w:r>
        <w:t>, http://www.reconciliation.org.au/ home/about-us/our-history (accessed 15 February 2014).</w:t>
      </w:r>
    </w:p>
    <w:p w:rsidR="008928B9" w:rsidRDefault="008928B9" w:rsidP="00E67A29">
      <w:pPr>
        <w:pStyle w:val="Reference"/>
      </w:pPr>
      <w:r>
        <w:t xml:space="preserve">RCADIC (Royal Commission into Aboriginal Deaths in Custody) 1991, </w:t>
      </w:r>
      <w:r>
        <w:rPr>
          <w:i/>
          <w:iCs/>
        </w:rPr>
        <w:t>National Report</w:t>
      </w:r>
      <w:r>
        <w:t>.</w:t>
      </w:r>
    </w:p>
    <w:p w:rsidR="008928B9" w:rsidRDefault="008928B9" w:rsidP="00E67A29">
      <w:pPr>
        <w:pStyle w:val="Reference"/>
      </w:pPr>
      <w:r>
        <w:t xml:space="preserve">Read, P. 2007, ‘Murder, Revenge and Reconciliation on the North Eastern Frontier’, </w:t>
      </w:r>
      <w:r>
        <w:rPr>
          <w:i/>
          <w:iCs/>
        </w:rPr>
        <w:t>History Australia</w:t>
      </w:r>
      <w:r>
        <w:t>, vol. 4, no. 1, pp. 9.1–9.15.</w:t>
      </w:r>
    </w:p>
    <w:p w:rsidR="008928B9" w:rsidRDefault="008928B9" w:rsidP="00E67A29">
      <w:pPr>
        <w:pStyle w:val="Reference"/>
      </w:pPr>
      <w:r>
        <w:t xml:space="preserve">Reynolds, H. 1972, </w:t>
      </w:r>
      <w:r>
        <w:rPr>
          <w:i/>
          <w:iCs/>
        </w:rPr>
        <w:t>Aborigines and settlers: the Australian experience, 1788–1939</w:t>
      </w:r>
      <w:r>
        <w:t>, Cassell Australia, Victoria.</w:t>
      </w:r>
    </w:p>
    <w:p w:rsidR="008928B9" w:rsidRDefault="008928B9" w:rsidP="00E67A29">
      <w:pPr>
        <w:pStyle w:val="Reference"/>
      </w:pPr>
      <w:r>
        <w:t xml:space="preserve">—— 2006, </w:t>
      </w:r>
      <w:r>
        <w:rPr>
          <w:i/>
          <w:iCs/>
        </w:rPr>
        <w:t>The other side of the frontier: Aboriginal resistance to the European invasion of Australia</w:t>
      </w:r>
      <w:r>
        <w:t>, University of New South Wales Press, Sydney.</w:t>
      </w:r>
    </w:p>
    <w:p w:rsidR="008928B9" w:rsidRDefault="008928B9" w:rsidP="00E67A29">
      <w:pPr>
        <w:pStyle w:val="Reference"/>
      </w:pPr>
      <w:r>
        <w:t xml:space="preserve">Rowley, C.D. 1978, </w:t>
      </w:r>
      <w:r>
        <w:rPr>
          <w:i/>
          <w:iCs/>
        </w:rPr>
        <w:t>The destruction of Aboriginal Society</w:t>
      </w:r>
      <w:r>
        <w:t>, Penguin Books, England.</w:t>
      </w:r>
    </w:p>
    <w:p w:rsidR="008928B9" w:rsidRDefault="008928B9" w:rsidP="00E67A29">
      <w:pPr>
        <w:pStyle w:val="Reference"/>
      </w:pPr>
      <w:r>
        <w:t xml:space="preserve">Rudd, K. 2008, </w:t>
      </w:r>
      <w:r>
        <w:rPr>
          <w:i/>
          <w:iCs/>
        </w:rPr>
        <w:t>House of Representatives, Apology to Australia’s Indigenous Peoples, Speech, Wednesday 13 February 2008</w:t>
      </w:r>
      <w:r>
        <w:t>, http://parlinfo.aph.gov.au/parlInfo/genpdf/</w:t>
      </w:r>
      <w:r w:rsidR="00E103C7">
        <w:t xml:space="preserve"> </w:t>
      </w:r>
      <w:r>
        <w:t>chamber/hansardr/2008-02-13/0003/hansard_frag.pdf;fileType=application%2Fpdf (accessed 28 October 2013).</w:t>
      </w:r>
    </w:p>
    <w:p w:rsidR="008928B9" w:rsidRDefault="008928B9" w:rsidP="00E67A29">
      <w:pPr>
        <w:pStyle w:val="Reference"/>
      </w:pPr>
      <w:r>
        <w:t xml:space="preserve">SCRGSP (Steering Committee for the Review of Government Service Provision) forthcoming, </w:t>
      </w:r>
      <w:r>
        <w:rPr>
          <w:i/>
          <w:iCs/>
        </w:rPr>
        <w:t>2014 Indigenous Expenditure Report</w:t>
      </w:r>
      <w:r>
        <w:t>, Productivity Commission, Canberra, ACT.</w:t>
      </w:r>
    </w:p>
    <w:p w:rsidR="008928B9" w:rsidRDefault="008928B9" w:rsidP="00E67A29">
      <w:pPr>
        <w:pStyle w:val="Reference"/>
      </w:pPr>
      <w:r>
        <w:t xml:space="preserve">—— (Steering Committee for the Review of Government Service Provision) 2013, </w:t>
      </w:r>
      <w:r>
        <w:rPr>
          <w:i/>
          <w:iCs/>
        </w:rPr>
        <w:t>National Agreement performance information 2012-13: National Indigenous Reform Agreement</w:t>
      </w:r>
      <w:r w:rsidR="00E103C7">
        <w:t xml:space="preserve">, </w:t>
      </w:r>
      <w:r>
        <w:t>http://www.pc.gov.au/__data/assets/pdf_file/0010/137557/indigenous-reform-agreement-2012-13.pdf (accessed 3 September 2014).</w:t>
      </w:r>
    </w:p>
    <w:p w:rsidR="008928B9" w:rsidRDefault="008928B9" w:rsidP="00E67A29">
      <w:pPr>
        <w:pStyle w:val="Reference"/>
      </w:pPr>
      <w:r>
        <w:t xml:space="preserve">—— (Steering Committee for the Review of Government Service Provision) 2014, </w:t>
      </w:r>
      <w:r>
        <w:rPr>
          <w:i/>
          <w:iCs/>
        </w:rPr>
        <w:t>Report on Government Services 2014: Indigenous Compendium</w:t>
      </w:r>
      <w:r>
        <w:t>, http://www.pc.gov.au/__data/</w:t>
      </w:r>
      <w:r w:rsidR="00E103C7">
        <w:t xml:space="preserve"> </w:t>
      </w:r>
      <w:r>
        <w:t>assets/pdf_file/0008/135746/indigenous-compendium-2014.pdf (accessed 3 September 2014).</w:t>
      </w:r>
    </w:p>
    <w:p w:rsidR="008928B9" w:rsidRDefault="008928B9" w:rsidP="00E67A29">
      <w:pPr>
        <w:pStyle w:val="Reference"/>
      </w:pPr>
      <w:r>
        <w:t xml:space="preserve">Shaw, G. and d’ Abbs, P. 2011, </w:t>
      </w:r>
      <w:r>
        <w:rPr>
          <w:i/>
          <w:iCs/>
        </w:rPr>
        <w:t>Community Safety and Wellbeing Research Study, Consolidated report, September 2011</w:t>
      </w:r>
      <w:r>
        <w:t>, http://www.dss.gov.au/sites/default/files/ documents/05_2012/ cswrs_bowchung.pdf (accessed 31 March 2014).</w:t>
      </w:r>
    </w:p>
    <w:p w:rsidR="008928B9" w:rsidRDefault="008928B9" w:rsidP="00E103C7">
      <w:pPr>
        <w:pStyle w:val="Reference"/>
        <w:jc w:val="left"/>
      </w:pPr>
      <w:r>
        <w:t xml:space="preserve">Shnukel, A. 2001, ‘Torres Strait Islanders’, </w:t>
      </w:r>
      <w:r>
        <w:rPr>
          <w:i/>
          <w:iCs/>
        </w:rPr>
        <w:t>Multicultural Queensland 2001: 100 communities, A century of contributions</w:t>
      </w:r>
      <w:r>
        <w:t xml:space="preserve">, Queensland Department of Premier and Cabinet, Brisbane, </w:t>
      </w:r>
      <w:r>
        <w:lastRenderedPageBreak/>
        <w:t>http://www.multiculturalaustralia.edu.au/doc/shnukal_torres_strait.pdf (accessed 14 February 2014).</w:t>
      </w:r>
    </w:p>
    <w:p w:rsidR="008928B9" w:rsidRDefault="008928B9" w:rsidP="00E67A29">
      <w:pPr>
        <w:pStyle w:val="Reference"/>
      </w:pPr>
      <w:r>
        <w:t xml:space="preserve">Smith, L.R. 1980, </w:t>
      </w:r>
      <w:r>
        <w:rPr>
          <w:i/>
          <w:iCs/>
        </w:rPr>
        <w:t>The Aboriginal Population of Australia</w:t>
      </w:r>
      <w:r>
        <w:t>, ANU Press, Canberra, ACT.</w:t>
      </w:r>
    </w:p>
    <w:p w:rsidR="008928B9" w:rsidRDefault="008928B9" w:rsidP="00E67A29">
      <w:pPr>
        <w:pStyle w:val="Reference"/>
      </w:pPr>
      <w:r>
        <w:t xml:space="preserve">Thornton, M. and Luker, T. 2009, ‘The Wages of Sin: Compensation for Indigenous Workers’, </w:t>
      </w:r>
      <w:r>
        <w:rPr>
          <w:i/>
          <w:iCs/>
        </w:rPr>
        <w:t>UNSW Law Journal</w:t>
      </w:r>
      <w:r>
        <w:t>, vol. 32, no. 3, pp. 647–673.</w:t>
      </w:r>
    </w:p>
    <w:p w:rsidR="008928B9" w:rsidRDefault="008928B9" w:rsidP="00E67A29">
      <w:pPr>
        <w:pStyle w:val="Reference"/>
      </w:pPr>
      <w:r>
        <w:t xml:space="preserve">Western Australia Stolen Wages Taskforce 2008, </w:t>
      </w:r>
      <w:r>
        <w:rPr>
          <w:i/>
          <w:iCs/>
        </w:rPr>
        <w:t>Reconciling the Past. Government control of Aboriginal monies in Western Australia, 1905–1972</w:t>
      </w:r>
      <w:r>
        <w:t>, Department of Indigenous Affairs, http://www.daa.wa.gov.au/Documents/Stolen%20Wages/Report_</w:t>
      </w:r>
      <w:r w:rsidR="00E103C7">
        <w:t xml:space="preserve"> </w:t>
      </w:r>
      <w:r>
        <w:t>of_the_Stolen_Wages_Taskforce_2008.pdf (accessed 20 May 2014).</w:t>
      </w:r>
    </w:p>
    <w:p w:rsidR="008928B9" w:rsidRDefault="008928B9" w:rsidP="00E67A29">
      <w:pPr>
        <w:pStyle w:val="Reference"/>
      </w:pPr>
      <w:r>
        <w:t xml:space="preserve">Wild, R. and Anderson, P. 2007, </w:t>
      </w:r>
      <w:r>
        <w:rPr>
          <w:i/>
          <w:iCs/>
        </w:rPr>
        <w:t>Ampe Akelyernemane Meke Mekarle: Little Children are Sacred, Report of the Northern Territory Board of Inquiry into the Protection of Aboriginal Children from Sexual Abuse</w:t>
      </w:r>
      <w:r>
        <w:t>, Northern Territory Government, Darwin.</w:t>
      </w:r>
    </w:p>
    <w:p w:rsidR="00D351E7" w:rsidRPr="00C93407" w:rsidRDefault="00D351E7" w:rsidP="00E67A29">
      <w:pPr>
        <w:pStyle w:val="Reference"/>
        <w:rPr>
          <w:sz w:val="22"/>
          <w:szCs w:val="22"/>
        </w:rPr>
      </w:pPr>
    </w:p>
    <w:p w:rsidR="009F34AF" w:rsidRPr="00C93407" w:rsidRDefault="009F34AF" w:rsidP="00E67A29">
      <w:pPr>
        <w:pStyle w:val="Reference"/>
        <w:rPr>
          <w:sz w:val="22"/>
          <w:szCs w:val="22"/>
        </w:rPr>
      </w:pPr>
    </w:p>
    <w:sectPr w:rsidR="009F34AF" w:rsidRPr="00C93407" w:rsidSect="00AE7384">
      <w:headerReference w:type="even" r:id="rId12"/>
      <w:headerReference w:type="default" r:id="rId13"/>
      <w:footerReference w:type="even" r:id="rId14"/>
      <w:footerReference w:type="default" r:id="rId15"/>
      <w:pgSz w:w="11907" w:h="16840" w:code="9"/>
      <w:pgMar w:top="1984"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A2F" w:rsidRDefault="008C7A2F">
      <w:r>
        <w:separator/>
      </w:r>
    </w:p>
  </w:endnote>
  <w:endnote w:type="continuationSeparator" w:id="0">
    <w:p w:rsidR="008C7A2F" w:rsidRDefault="008C7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C7A2F" w:rsidTr="00B31E15">
      <w:trPr>
        <w:trHeight w:hRule="exact" w:val="567"/>
      </w:trPr>
      <w:tc>
        <w:tcPr>
          <w:tcW w:w="510" w:type="dxa"/>
        </w:tcPr>
        <w:p w:rsidR="008C7A2F" w:rsidRPr="00A24443" w:rsidRDefault="008C7A2F" w:rsidP="0019293B">
          <w:pPr>
            <w:pStyle w:val="Footer"/>
            <w:tabs>
              <w:tab w:val="left" w:pos="0"/>
            </w:tabs>
            <w:ind w:right="0"/>
            <w:rPr>
              <w:rStyle w:val="PageNumber"/>
              <w:caps w:val="0"/>
            </w:rPr>
          </w:pPr>
          <w:r>
            <w:rPr>
              <w:rStyle w:val="PageNumber"/>
              <w:caps w:val="0"/>
            </w:rPr>
            <w:t>1.</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ED4E96">
            <w:rPr>
              <w:rStyle w:val="PageNumber"/>
              <w:caps w:val="0"/>
              <w:noProof/>
            </w:rPr>
            <w:t>6</w:t>
          </w:r>
          <w:r w:rsidRPr="00A24443">
            <w:rPr>
              <w:rStyle w:val="PageNumber"/>
              <w:caps w:val="0"/>
            </w:rPr>
            <w:fldChar w:fldCharType="end"/>
          </w:r>
        </w:p>
      </w:tc>
      <w:tc>
        <w:tcPr>
          <w:tcW w:w="7767" w:type="dxa"/>
        </w:tcPr>
        <w:p w:rsidR="008C7A2F" w:rsidRPr="0013739A" w:rsidRDefault="008C7A2F" w:rsidP="00B31E15">
          <w:pPr>
            <w:pStyle w:val="Footer"/>
            <w:rPr>
              <w:rFonts w:cs="Arial"/>
            </w:rPr>
          </w:pPr>
          <w:r>
            <w:rPr>
              <w:rFonts w:cs="Arial"/>
            </w:rPr>
            <w:t>Overcoming Indigenous Disadvantage 2014</w:t>
          </w:r>
          <w:bookmarkStart w:id="4" w:name="DraftReportEven"/>
          <w:bookmarkEnd w:id="4"/>
        </w:p>
      </w:tc>
      <w:tc>
        <w:tcPr>
          <w:tcW w:w="510" w:type="dxa"/>
        </w:tcPr>
        <w:p w:rsidR="008C7A2F" w:rsidRDefault="008C7A2F" w:rsidP="0019293B">
          <w:pPr>
            <w:pStyle w:val="Footer"/>
          </w:pPr>
        </w:p>
      </w:tc>
    </w:tr>
  </w:tbl>
  <w:p w:rsidR="008C7A2F" w:rsidRDefault="008C7A2F" w:rsidP="0019293B">
    <w:pPr>
      <w:pStyle w:val="FooterEnd"/>
    </w:pPr>
  </w:p>
  <w:p w:rsidR="008C7A2F" w:rsidRDefault="008C7A2F"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8C7A2F" w:rsidTr="00B31E15">
      <w:trPr>
        <w:trHeight w:hRule="exact" w:val="567"/>
      </w:trPr>
      <w:tc>
        <w:tcPr>
          <w:tcW w:w="510" w:type="dxa"/>
        </w:tcPr>
        <w:p w:rsidR="008C7A2F" w:rsidRDefault="008C7A2F">
          <w:pPr>
            <w:pStyle w:val="Footer"/>
            <w:ind w:right="360" w:firstLine="360"/>
          </w:pPr>
        </w:p>
      </w:tc>
      <w:tc>
        <w:tcPr>
          <w:tcW w:w="7767" w:type="dxa"/>
        </w:tcPr>
        <w:p w:rsidR="008C7A2F" w:rsidRPr="00BA5B14" w:rsidRDefault="008C7A2F" w:rsidP="00AE7384">
          <w:pPr>
            <w:pStyle w:val="Footer"/>
            <w:jc w:val="right"/>
            <w:rPr>
              <w:rFonts w:cs="Arial"/>
            </w:rPr>
          </w:pPr>
          <w:r>
            <w:rPr>
              <w:rFonts w:cs="Arial"/>
            </w:rPr>
            <w:t>ABOUT THIS REPORT</w:t>
          </w:r>
        </w:p>
      </w:tc>
      <w:tc>
        <w:tcPr>
          <w:tcW w:w="510" w:type="dxa"/>
        </w:tcPr>
        <w:p w:rsidR="008C7A2F" w:rsidRPr="00A24443" w:rsidRDefault="008C7A2F">
          <w:pPr>
            <w:pStyle w:val="Footer"/>
            <w:jc w:val="right"/>
            <w:rPr>
              <w:caps w:val="0"/>
            </w:rPr>
          </w:pPr>
          <w:r>
            <w:rPr>
              <w:rStyle w:val="PageNumber"/>
              <w:caps w:val="0"/>
            </w:rPr>
            <w:t>1.</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ED4E96">
            <w:rPr>
              <w:rStyle w:val="PageNumber"/>
              <w:caps w:val="0"/>
              <w:noProof/>
            </w:rPr>
            <w:t>5</w:t>
          </w:r>
          <w:r w:rsidRPr="00A24443">
            <w:rPr>
              <w:rStyle w:val="PageNumber"/>
              <w:caps w:val="0"/>
            </w:rPr>
            <w:fldChar w:fldCharType="end"/>
          </w:r>
        </w:p>
      </w:tc>
    </w:tr>
  </w:tbl>
  <w:p w:rsidR="008C7A2F" w:rsidRDefault="008C7A2F">
    <w:pPr>
      <w:pStyle w:val="FooterEnd"/>
    </w:pPr>
  </w:p>
  <w:p w:rsidR="008C7A2F" w:rsidRDefault="008C7A2F">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A2F" w:rsidRDefault="008C7A2F">
      <w:r>
        <w:separator/>
      </w:r>
    </w:p>
  </w:footnote>
  <w:footnote w:type="continuationSeparator" w:id="0">
    <w:p w:rsidR="008C7A2F" w:rsidRDefault="008C7A2F">
      <w:r>
        <w:continuationSeparator/>
      </w:r>
    </w:p>
  </w:footnote>
  <w:footnote w:id="1">
    <w:p w:rsidR="008C7A2F" w:rsidRDefault="008C7A2F">
      <w:pPr>
        <w:pStyle w:val="FootnoteText"/>
      </w:pPr>
      <w:r>
        <w:rPr>
          <w:rStyle w:val="FootnoteReference"/>
        </w:rPr>
        <w:footnoteRef/>
      </w:r>
      <w:r>
        <w:t xml:space="preserve"> A number of other reports include information on outcomes for Aboriginal and Torres Strait Islander people. A diagram of the key national reports is in box 1.2.1 in this chapter.</w:t>
      </w:r>
    </w:p>
  </w:footnote>
  <w:footnote w:id="2">
    <w:p w:rsidR="008C7A2F" w:rsidRDefault="008C7A2F">
      <w:pPr>
        <w:pStyle w:val="FootnoteText"/>
      </w:pPr>
      <w:r>
        <w:rPr>
          <w:rStyle w:val="FootnoteReference"/>
        </w:rPr>
        <w:footnoteRef/>
      </w:r>
      <w:r>
        <w:tab/>
        <w:t>The Steering Committee notes its appreciation to Reconciliation Australia, who reviewed a draft of this section of the report.</w:t>
      </w:r>
    </w:p>
  </w:footnote>
  <w:footnote w:id="3">
    <w:p w:rsidR="008C7A2F" w:rsidRDefault="008C7A2F">
      <w:pPr>
        <w:pStyle w:val="FootnoteText"/>
      </w:pPr>
      <w:r>
        <w:rPr>
          <w:rStyle w:val="FootnoteReference"/>
        </w:rPr>
        <w:footnoteRef/>
      </w:r>
      <w:r>
        <w:t xml:space="preserve"> </w:t>
      </w:r>
      <w:proofErr w:type="spellStart"/>
      <w:r>
        <w:t>NADOC</w:t>
      </w:r>
      <w:proofErr w:type="spellEnd"/>
      <w:r>
        <w:t xml:space="preserve"> later became </w:t>
      </w:r>
      <w:proofErr w:type="spellStart"/>
      <w:r>
        <w:t>NAIDOC</w:t>
      </w:r>
      <w:proofErr w:type="spellEnd"/>
      <w:r>
        <w:t xml:space="preserve"> to include Torres Strait Islander Australians.</w:t>
      </w:r>
    </w:p>
  </w:footnote>
  <w:footnote w:id="4">
    <w:p w:rsidR="008C7A2F" w:rsidRDefault="008C7A2F">
      <w:pPr>
        <w:pStyle w:val="FootnoteText"/>
      </w:pPr>
      <w:r>
        <w:rPr>
          <w:rStyle w:val="FootnoteReference"/>
        </w:rPr>
        <w:footnoteRef/>
      </w:r>
      <w:r>
        <w:t xml:space="preserve"> In all censuses up until 1966, the Bureau of Census and Statistics (now the ABS) included ‘aboriginal natives’ in the Census count but published them in attachments to the official population count (Expert Panel 2012, p. 21).</w:t>
      </w:r>
    </w:p>
  </w:footnote>
  <w:footnote w:id="5">
    <w:p w:rsidR="008C7A2F" w:rsidRDefault="008C7A2F">
      <w:pPr>
        <w:pStyle w:val="FootnoteText"/>
      </w:pPr>
      <w:r>
        <w:rPr>
          <w:rStyle w:val="FootnoteReference"/>
        </w:rPr>
        <w:footnoteRef/>
      </w:r>
      <w:r>
        <w:tab/>
        <w:t>See box 4.6.3 in section 4.6 ‘Employment’ for further information on CDEP including change in CDEP participation rates over time.</w:t>
      </w:r>
    </w:p>
  </w:footnote>
  <w:footnote w:id="6">
    <w:p w:rsidR="008C7A2F" w:rsidRPr="00235346" w:rsidRDefault="008C7A2F">
      <w:pPr>
        <w:pStyle w:val="FootnoteText"/>
        <w:rPr>
          <w:rStyle w:val="DraftingNote"/>
        </w:rPr>
      </w:pPr>
      <w:r>
        <w:rPr>
          <w:rStyle w:val="FootnoteReference"/>
        </w:rPr>
        <w:footnoteRef/>
      </w:r>
      <w:r>
        <w:t xml:space="preserve"> The details around this target are not yet publicly available. </w:t>
      </w:r>
    </w:p>
  </w:footnote>
  <w:footnote w:id="7">
    <w:p w:rsidR="008C7A2F" w:rsidRDefault="008C7A2F">
      <w:pPr>
        <w:pStyle w:val="FootnoteText"/>
      </w:pPr>
      <w:r>
        <w:rPr>
          <w:rStyle w:val="FootnoteReference"/>
        </w:rPr>
        <w:footnoteRef/>
      </w:r>
      <w:r>
        <w:t xml:space="preserve"> In December 2007, three targets were agreed (closing the life expectancy gap within a generation, halving the mortality gap for children under five within a decade and halving the gap in reading, writing and numeracy within a decade). Three further targets were agreed in March 2008 (all four year olds in remote communities access early childhood education within five years, at least halve the gap for students in year 12 attainment or equivalent by 2020, and halve the gap in employment outcomes within a decade) (</w:t>
      </w:r>
      <w:proofErr w:type="spellStart"/>
      <w:r>
        <w:t>COAG</w:t>
      </w:r>
      <w:proofErr w:type="spellEnd"/>
      <w:r>
        <w:t xml:space="preserve"> 2007, </w:t>
      </w:r>
      <w:proofErr w:type="spellStart"/>
      <w:r>
        <w:t>2008a</w:t>
      </w:r>
      <w:proofErr w:type="spellEnd"/>
      <w:r>
        <w:t>).</w:t>
      </w:r>
    </w:p>
  </w:footnote>
  <w:footnote w:id="8">
    <w:p w:rsidR="008C7A2F" w:rsidRDefault="008C7A2F" w:rsidP="00AE7384">
      <w:pPr>
        <w:pStyle w:val="FootnoteText"/>
      </w:pPr>
      <w:r>
        <w:rPr>
          <w:rStyle w:val="FootnoteReference"/>
        </w:rPr>
        <w:footnoteRef/>
      </w:r>
      <w:r>
        <w:t xml:space="preserve"> </w:t>
      </w:r>
      <w:r w:rsidRPr="00D95249">
        <w:t>The COAG Reform Council ce</w:t>
      </w:r>
      <w:r>
        <w:t>ased operation on 30 June 2014.</w:t>
      </w:r>
    </w:p>
  </w:footnote>
  <w:footnote w:id="9">
    <w:p w:rsidR="008C7A2F" w:rsidRDefault="008C7A2F">
      <w:pPr>
        <w:pStyle w:val="FootnoteText"/>
      </w:pPr>
      <w:r>
        <w:rPr>
          <w:rStyle w:val="FootnoteReference"/>
        </w:rPr>
        <w:footnoteRef/>
      </w:r>
      <w:r>
        <w:t xml:space="preserve"> </w:t>
      </w:r>
      <w:r w:rsidRPr="00516DEA">
        <w:t>The Indigenous Expenditure Report was originally overseen by a separate Steering Committee, with secretariat support from the Productivity Commission. In February 2011, COAG endorsed the inaugural report, and agreed to transfer responsibility for future reports to the Steering Committee for the Review of Government Service Provision.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8C7A2F">
      <w:tc>
        <w:tcPr>
          <w:tcW w:w="2155" w:type="dxa"/>
          <w:tcBorders>
            <w:top w:val="single" w:sz="24" w:space="0" w:color="auto"/>
          </w:tcBorders>
        </w:tcPr>
        <w:p w:rsidR="008C7A2F" w:rsidRDefault="008C7A2F" w:rsidP="0019293B">
          <w:pPr>
            <w:pStyle w:val="HeaderEven"/>
          </w:pPr>
        </w:p>
      </w:tc>
      <w:tc>
        <w:tcPr>
          <w:tcW w:w="6634" w:type="dxa"/>
          <w:tcBorders>
            <w:top w:val="single" w:sz="6" w:space="0" w:color="auto"/>
          </w:tcBorders>
        </w:tcPr>
        <w:p w:rsidR="008C7A2F" w:rsidRDefault="008C7A2F" w:rsidP="007E4517">
          <w:pPr>
            <w:pStyle w:val="HeaderEven"/>
          </w:pPr>
        </w:p>
      </w:tc>
    </w:tr>
  </w:tbl>
  <w:p w:rsidR="008C7A2F" w:rsidRDefault="008C7A2F"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8C7A2F">
      <w:tc>
        <w:tcPr>
          <w:tcW w:w="6634" w:type="dxa"/>
          <w:tcBorders>
            <w:top w:val="single" w:sz="6" w:space="0" w:color="auto"/>
          </w:tcBorders>
        </w:tcPr>
        <w:p w:rsidR="008C7A2F" w:rsidRDefault="008C7A2F" w:rsidP="007E4517">
          <w:pPr>
            <w:pStyle w:val="HeaderOdd"/>
          </w:pPr>
        </w:p>
      </w:tc>
      <w:tc>
        <w:tcPr>
          <w:tcW w:w="2155" w:type="dxa"/>
          <w:tcBorders>
            <w:top w:val="single" w:sz="24" w:space="0" w:color="auto"/>
          </w:tcBorders>
        </w:tcPr>
        <w:p w:rsidR="008C7A2F" w:rsidRDefault="008C7A2F" w:rsidP="00E669E2">
          <w:pPr>
            <w:pStyle w:val="HeaderOdd"/>
          </w:pPr>
        </w:p>
      </w:tc>
    </w:tr>
  </w:tbl>
  <w:p w:rsidR="008C7A2F" w:rsidRDefault="008C7A2F"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4"/>
  </w:num>
  <w:num w:numId="3">
    <w:abstractNumId w:val="19"/>
  </w:num>
  <w:num w:numId="4">
    <w:abstractNumId w:val="2"/>
  </w:num>
  <w:num w:numId="5">
    <w:abstractNumId w:val="13"/>
  </w:num>
  <w:num w:numId="6">
    <w:abstractNumId w:val="3"/>
  </w:num>
  <w:num w:numId="7">
    <w:abstractNumId w:val="18"/>
  </w:num>
  <w:num w:numId="8">
    <w:abstractNumId w:val="15"/>
  </w:num>
  <w:num w:numId="9">
    <w:abstractNumId w:val="20"/>
  </w:num>
  <w:num w:numId="10">
    <w:abstractNumId w:val="9"/>
  </w:num>
  <w:num w:numId="11">
    <w:abstractNumId w:val="7"/>
  </w:num>
  <w:num w:numId="12">
    <w:abstractNumId w:val="14"/>
  </w:num>
  <w:num w:numId="13">
    <w:abstractNumId w:val="6"/>
  </w:num>
  <w:num w:numId="14">
    <w:abstractNumId w:val="5"/>
  </w:num>
  <w:num w:numId="15">
    <w:abstractNumId w:val="10"/>
  </w:num>
  <w:num w:numId="16">
    <w:abstractNumId w:val="12"/>
  </w:num>
  <w:num w:numId="17">
    <w:abstractNumId w:val="16"/>
  </w:num>
  <w:num w:numId="18">
    <w:abstractNumId w:val="17"/>
  </w:num>
  <w:num w:numId="19">
    <w:abstractNumId w:val="8"/>
  </w:num>
  <w:num w:numId="20">
    <w:abstractNumId w:val="0"/>
  </w:num>
  <w:num w:numId="21">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2">
    <w:abstractNumId w:val="1"/>
    <w:lvlOverride w:ilvl="0">
      <w:lvl w:ilvl="0">
        <w:start w:val="1"/>
        <w:numFmt w:val="bullet"/>
        <w:lvlText w:val=""/>
        <w:legacy w:legacy="1" w:legacySpace="0" w:legacyIndent="340"/>
        <w:lvlJc w:val="left"/>
        <w:pPr>
          <w:ind w:left="340" w:hanging="340"/>
        </w:pPr>
        <w:rPr>
          <w:rFonts w:ascii="Symbol" w:hAnsi="Symbol" w:hint="default"/>
          <w:sz w:val="18"/>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ABOUT THIS REPORT"/>
    <w:docVar w:name="ShortReportTitle" w:val="Overcoming Indigenous Disadvantage 2014"/>
  </w:docVars>
  <w:rsids>
    <w:rsidRoot w:val="001F1CD5"/>
    <w:rsid w:val="00002DD4"/>
    <w:rsid w:val="00010DD0"/>
    <w:rsid w:val="000227D5"/>
    <w:rsid w:val="000245AA"/>
    <w:rsid w:val="00026E02"/>
    <w:rsid w:val="000275F2"/>
    <w:rsid w:val="00031171"/>
    <w:rsid w:val="00034947"/>
    <w:rsid w:val="0003664B"/>
    <w:rsid w:val="000400F5"/>
    <w:rsid w:val="0004111F"/>
    <w:rsid w:val="00045984"/>
    <w:rsid w:val="000565B3"/>
    <w:rsid w:val="00057779"/>
    <w:rsid w:val="000611BF"/>
    <w:rsid w:val="0007150B"/>
    <w:rsid w:val="000938F5"/>
    <w:rsid w:val="00096873"/>
    <w:rsid w:val="00096E55"/>
    <w:rsid w:val="000A2732"/>
    <w:rsid w:val="000B601B"/>
    <w:rsid w:val="000C207E"/>
    <w:rsid w:val="000E596F"/>
    <w:rsid w:val="000F0035"/>
    <w:rsid w:val="000F3FA4"/>
    <w:rsid w:val="000F420B"/>
    <w:rsid w:val="00110116"/>
    <w:rsid w:val="00120072"/>
    <w:rsid w:val="00126EB8"/>
    <w:rsid w:val="001274D4"/>
    <w:rsid w:val="00130D35"/>
    <w:rsid w:val="001363AA"/>
    <w:rsid w:val="00175C95"/>
    <w:rsid w:val="00181691"/>
    <w:rsid w:val="00183E82"/>
    <w:rsid w:val="001878BB"/>
    <w:rsid w:val="00191AE0"/>
    <w:rsid w:val="0019293B"/>
    <w:rsid w:val="0019426B"/>
    <w:rsid w:val="001A2705"/>
    <w:rsid w:val="001C0865"/>
    <w:rsid w:val="001C3ABA"/>
    <w:rsid w:val="001D1D91"/>
    <w:rsid w:val="001E7BE8"/>
    <w:rsid w:val="001F0248"/>
    <w:rsid w:val="001F1B02"/>
    <w:rsid w:val="001F1CD5"/>
    <w:rsid w:val="001F364F"/>
    <w:rsid w:val="001F3EB3"/>
    <w:rsid w:val="001F4F86"/>
    <w:rsid w:val="00200E82"/>
    <w:rsid w:val="00201E72"/>
    <w:rsid w:val="00202C2C"/>
    <w:rsid w:val="00212FF5"/>
    <w:rsid w:val="002135AB"/>
    <w:rsid w:val="002144BE"/>
    <w:rsid w:val="002268E5"/>
    <w:rsid w:val="00235346"/>
    <w:rsid w:val="002360A3"/>
    <w:rsid w:val="00242279"/>
    <w:rsid w:val="00245C82"/>
    <w:rsid w:val="002865DF"/>
    <w:rsid w:val="00291B40"/>
    <w:rsid w:val="002B4008"/>
    <w:rsid w:val="002C5594"/>
    <w:rsid w:val="002D0E8E"/>
    <w:rsid w:val="002D5512"/>
    <w:rsid w:val="002E042B"/>
    <w:rsid w:val="002F36EF"/>
    <w:rsid w:val="00301189"/>
    <w:rsid w:val="00323E09"/>
    <w:rsid w:val="00331F4B"/>
    <w:rsid w:val="00333932"/>
    <w:rsid w:val="00350E68"/>
    <w:rsid w:val="003518AA"/>
    <w:rsid w:val="00352165"/>
    <w:rsid w:val="00353182"/>
    <w:rsid w:val="003565D9"/>
    <w:rsid w:val="003602E1"/>
    <w:rsid w:val="0037026F"/>
    <w:rsid w:val="00371240"/>
    <w:rsid w:val="003729DA"/>
    <w:rsid w:val="00374731"/>
    <w:rsid w:val="00376E59"/>
    <w:rsid w:val="003919F9"/>
    <w:rsid w:val="003C38B5"/>
    <w:rsid w:val="003C5D99"/>
    <w:rsid w:val="003D0B71"/>
    <w:rsid w:val="003E2F59"/>
    <w:rsid w:val="003F0789"/>
    <w:rsid w:val="003F68B1"/>
    <w:rsid w:val="00401882"/>
    <w:rsid w:val="00405D08"/>
    <w:rsid w:val="004073C1"/>
    <w:rsid w:val="004100C8"/>
    <w:rsid w:val="00411DBD"/>
    <w:rsid w:val="00412313"/>
    <w:rsid w:val="00412ACE"/>
    <w:rsid w:val="00425F22"/>
    <w:rsid w:val="00431249"/>
    <w:rsid w:val="00434C19"/>
    <w:rsid w:val="004400FA"/>
    <w:rsid w:val="00450810"/>
    <w:rsid w:val="00473FF8"/>
    <w:rsid w:val="00477144"/>
    <w:rsid w:val="00490E38"/>
    <w:rsid w:val="00491380"/>
    <w:rsid w:val="0049459F"/>
    <w:rsid w:val="004A38DD"/>
    <w:rsid w:val="004B43AE"/>
    <w:rsid w:val="004C30ED"/>
    <w:rsid w:val="004D5675"/>
    <w:rsid w:val="004D7C96"/>
    <w:rsid w:val="005072F4"/>
    <w:rsid w:val="00516817"/>
    <w:rsid w:val="00516DEA"/>
    <w:rsid w:val="00517EDE"/>
    <w:rsid w:val="00523639"/>
    <w:rsid w:val="00525395"/>
    <w:rsid w:val="00531FE5"/>
    <w:rsid w:val="005402FA"/>
    <w:rsid w:val="0057645E"/>
    <w:rsid w:val="00583C39"/>
    <w:rsid w:val="00587F28"/>
    <w:rsid w:val="005909CF"/>
    <w:rsid w:val="00591AC3"/>
    <w:rsid w:val="00591E71"/>
    <w:rsid w:val="00596E3F"/>
    <w:rsid w:val="005A0D41"/>
    <w:rsid w:val="005A1E64"/>
    <w:rsid w:val="005A7830"/>
    <w:rsid w:val="005C7D26"/>
    <w:rsid w:val="005F1657"/>
    <w:rsid w:val="00607BF1"/>
    <w:rsid w:val="00620510"/>
    <w:rsid w:val="00630D4D"/>
    <w:rsid w:val="006320D4"/>
    <w:rsid w:val="00632A74"/>
    <w:rsid w:val="00691239"/>
    <w:rsid w:val="006A4655"/>
    <w:rsid w:val="006B2B3C"/>
    <w:rsid w:val="006B6BA2"/>
    <w:rsid w:val="006C1D81"/>
    <w:rsid w:val="006C7038"/>
    <w:rsid w:val="006E73EF"/>
    <w:rsid w:val="00714D4D"/>
    <w:rsid w:val="007604BB"/>
    <w:rsid w:val="00764E6E"/>
    <w:rsid w:val="007840E8"/>
    <w:rsid w:val="00784972"/>
    <w:rsid w:val="00785232"/>
    <w:rsid w:val="00785AA0"/>
    <w:rsid w:val="007A1C3F"/>
    <w:rsid w:val="007A21EB"/>
    <w:rsid w:val="007B1A93"/>
    <w:rsid w:val="007C36C9"/>
    <w:rsid w:val="007C6D58"/>
    <w:rsid w:val="007D6401"/>
    <w:rsid w:val="007E01E4"/>
    <w:rsid w:val="007E4517"/>
    <w:rsid w:val="007F28B3"/>
    <w:rsid w:val="007F6AD0"/>
    <w:rsid w:val="007F7107"/>
    <w:rsid w:val="00800D4C"/>
    <w:rsid w:val="0081030F"/>
    <w:rsid w:val="00816A43"/>
    <w:rsid w:val="0082087D"/>
    <w:rsid w:val="00825C91"/>
    <w:rsid w:val="008337C8"/>
    <w:rsid w:val="00835771"/>
    <w:rsid w:val="008413C5"/>
    <w:rsid w:val="008420E5"/>
    <w:rsid w:val="00842933"/>
    <w:rsid w:val="0084574D"/>
    <w:rsid w:val="0086082C"/>
    <w:rsid w:val="00863009"/>
    <w:rsid w:val="008648A5"/>
    <w:rsid w:val="00864ADC"/>
    <w:rsid w:val="00874DF3"/>
    <w:rsid w:val="00880153"/>
    <w:rsid w:val="00880F97"/>
    <w:rsid w:val="0088133A"/>
    <w:rsid w:val="0089285E"/>
    <w:rsid w:val="008928B9"/>
    <w:rsid w:val="0089436C"/>
    <w:rsid w:val="008945A9"/>
    <w:rsid w:val="008C503D"/>
    <w:rsid w:val="008C52D9"/>
    <w:rsid w:val="008C7A2F"/>
    <w:rsid w:val="008D365C"/>
    <w:rsid w:val="008D3D6A"/>
    <w:rsid w:val="009010F0"/>
    <w:rsid w:val="009030BF"/>
    <w:rsid w:val="0091032F"/>
    <w:rsid w:val="00914368"/>
    <w:rsid w:val="00922355"/>
    <w:rsid w:val="00926AB1"/>
    <w:rsid w:val="00931076"/>
    <w:rsid w:val="009345D9"/>
    <w:rsid w:val="00934B15"/>
    <w:rsid w:val="00940C87"/>
    <w:rsid w:val="00942B62"/>
    <w:rsid w:val="0095323B"/>
    <w:rsid w:val="00956A0C"/>
    <w:rsid w:val="00956BD9"/>
    <w:rsid w:val="00962489"/>
    <w:rsid w:val="00974F0A"/>
    <w:rsid w:val="00976C09"/>
    <w:rsid w:val="00990C2C"/>
    <w:rsid w:val="009B4A64"/>
    <w:rsid w:val="009C55BD"/>
    <w:rsid w:val="009D0F7C"/>
    <w:rsid w:val="009E09B9"/>
    <w:rsid w:val="009E1844"/>
    <w:rsid w:val="009F0D1B"/>
    <w:rsid w:val="009F34AF"/>
    <w:rsid w:val="009F696D"/>
    <w:rsid w:val="009F6BC6"/>
    <w:rsid w:val="00A17328"/>
    <w:rsid w:val="00A23A20"/>
    <w:rsid w:val="00A2624F"/>
    <w:rsid w:val="00A268B9"/>
    <w:rsid w:val="00A2703A"/>
    <w:rsid w:val="00A33DFF"/>
    <w:rsid w:val="00A35115"/>
    <w:rsid w:val="00A36D9A"/>
    <w:rsid w:val="00A5408B"/>
    <w:rsid w:val="00A554AB"/>
    <w:rsid w:val="00A57062"/>
    <w:rsid w:val="00A57F3A"/>
    <w:rsid w:val="00A81EDE"/>
    <w:rsid w:val="00A86E6E"/>
    <w:rsid w:val="00A90572"/>
    <w:rsid w:val="00A92B53"/>
    <w:rsid w:val="00A94FA6"/>
    <w:rsid w:val="00AA49A0"/>
    <w:rsid w:val="00AA5E33"/>
    <w:rsid w:val="00AA6710"/>
    <w:rsid w:val="00AB0681"/>
    <w:rsid w:val="00AD520B"/>
    <w:rsid w:val="00AE7384"/>
    <w:rsid w:val="00B11B24"/>
    <w:rsid w:val="00B2391C"/>
    <w:rsid w:val="00B31E15"/>
    <w:rsid w:val="00B425C3"/>
    <w:rsid w:val="00B440AD"/>
    <w:rsid w:val="00B479BB"/>
    <w:rsid w:val="00B53E7E"/>
    <w:rsid w:val="00B6342E"/>
    <w:rsid w:val="00B7113F"/>
    <w:rsid w:val="00B758E5"/>
    <w:rsid w:val="00B80BA6"/>
    <w:rsid w:val="00BA73B6"/>
    <w:rsid w:val="00BA7E27"/>
    <w:rsid w:val="00BB2603"/>
    <w:rsid w:val="00BB4FCD"/>
    <w:rsid w:val="00BB7933"/>
    <w:rsid w:val="00BC04E9"/>
    <w:rsid w:val="00BD13EA"/>
    <w:rsid w:val="00BE3808"/>
    <w:rsid w:val="00C062E9"/>
    <w:rsid w:val="00C07B64"/>
    <w:rsid w:val="00C13721"/>
    <w:rsid w:val="00C14FE4"/>
    <w:rsid w:val="00C16535"/>
    <w:rsid w:val="00C3066D"/>
    <w:rsid w:val="00C52416"/>
    <w:rsid w:val="00C543F4"/>
    <w:rsid w:val="00C6291C"/>
    <w:rsid w:val="00C633CB"/>
    <w:rsid w:val="00C736B7"/>
    <w:rsid w:val="00C81D4A"/>
    <w:rsid w:val="00C8762C"/>
    <w:rsid w:val="00C93407"/>
    <w:rsid w:val="00CA00F9"/>
    <w:rsid w:val="00CA2961"/>
    <w:rsid w:val="00CA6B7C"/>
    <w:rsid w:val="00CB50D7"/>
    <w:rsid w:val="00CB7177"/>
    <w:rsid w:val="00CC1819"/>
    <w:rsid w:val="00CC1998"/>
    <w:rsid w:val="00CC4946"/>
    <w:rsid w:val="00CD424B"/>
    <w:rsid w:val="00CD6FC1"/>
    <w:rsid w:val="00CE6950"/>
    <w:rsid w:val="00CF277C"/>
    <w:rsid w:val="00D270A4"/>
    <w:rsid w:val="00D31FE9"/>
    <w:rsid w:val="00D33E80"/>
    <w:rsid w:val="00D34E1B"/>
    <w:rsid w:val="00D351E7"/>
    <w:rsid w:val="00D376BA"/>
    <w:rsid w:val="00D45634"/>
    <w:rsid w:val="00D5568A"/>
    <w:rsid w:val="00D63D73"/>
    <w:rsid w:val="00D64452"/>
    <w:rsid w:val="00D66E1E"/>
    <w:rsid w:val="00D75722"/>
    <w:rsid w:val="00D80CF5"/>
    <w:rsid w:val="00D95249"/>
    <w:rsid w:val="00DA5BBA"/>
    <w:rsid w:val="00DB26D2"/>
    <w:rsid w:val="00DB3024"/>
    <w:rsid w:val="00DB67C9"/>
    <w:rsid w:val="00DC0C95"/>
    <w:rsid w:val="00DD6580"/>
    <w:rsid w:val="00DE370C"/>
    <w:rsid w:val="00E002FA"/>
    <w:rsid w:val="00E05B55"/>
    <w:rsid w:val="00E103C7"/>
    <w:rsid w:val="00E13E3A"/>
    <w:rsid w:val="00E17C72"/>
    <w:rsid w:val="00E21FC6"/>
    <w:rsid w:val="00E431A9"/>
    <w:rsid w:val="00E61F5F"/>
    <w:rsid w:val="00E669E2"/>
    <w:rsid w:val="00E674D6"/>
    <w:rsid w:val="00E67A29"/>
    <w:rsid w:val="00E76135"/>
    <w:rsid w:val="00E766F6"/>
    <w:rsid w:val="00E82F4F"/>
    <w:rsid w:val="00E92EAA"/>
    <w:rsid w:val="00EB568A"/>
    <w:rsid w:val="00EC1F77"/>
    <w:rsid w:val="00EC2844"/>
    <w:rsid w:val="00EC5500"/>
    <w:rsid w:val="00ED18F8"/>
    <w:rsid w:val="00ED4E96"/>
    <w:rsid w:val="00ED7B51"/>
    <w:rsid w:val="00EF6C6C"/>
    <w:rsid w:val="00F056FC"/>
    <w:rsid w:val="00F10476"/>
    <w:rsid w:val="00F135D8"/>
    <w:rsid w:val="00F23DBB"/>
    <w:rsid w:val="00F26808"/>
    <w:rsid w:val="00F31299"/>
    <w:rsid w:val="00F3534A"/>
    <w:rsid w:val="00F478FA"/>
    <w:rsid w:val="00F51609"/>
    <w:rsid w:val="00F5642E"/>
    <w:rsid w:val="00F62D0E"/>
    <w:rsid w:val="00F67D80"/>
    <w:rsid w:val="00F81006"/>
    <w:rsid w:val="00F85325"/>
    <w:rsid w:val="00F85A83"/>
    <w:rsid w:val="00FB24D7"/>
    <w:rsid w:val="00FD22B1"/>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ED4E96"/>
    <w:rPr>
      <w:sz w:val="24"/>
      <w:szCs w:val="24"/>
    </w:rPr>
  </w:style>
  <w:style w:type="paragraph" w:styleId="Heading1">
    <w:name w:val="heading 1"/>
    <w:basedOn w:val="BodyText"/>
    <w:next w:val="BodyText"/>
    <w:rsid w:val="00ED4E96"/>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ED4E96"/>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ED4E96"/>
    <w:pPr>
      <w:spacing w:before="560" w:line="320" w:lineRule="exact"/>
      <w:ind w:left="0" w:firstLine="0"/>
      <w:outlineLvl w:val="2"/>
    </w:pPr>
    <w:rPr>
      <w:sz w:val="26"/>
    </w:rPr>
  </w:style>
  <w:style w:type="paragraph" w:styleId="Heading4">
    <w:name w:val="heading 4"/>
    <w:basedOn w:val="Heading3"/>
    <w:next w:val="BodyText"/>
    <w:qFormat/>
    <w:rsid w:val="00ED4E96"/>
    <w:pPr>
      <w:spacing w:before="480"/>
      <w:outlineLvl w:val="3"/>
    </w:pPr>
    <w:rPr>
      <w:b w:val="0"/>
      <w:sz w:val="24"/>
    </w:rPr>
  </w:style>
  <w:style w:type="paragraph" w:styleId="Heading5">
    <w:name w:val="heading 5"/>
    <w:basedOn w:val="Heading4"/>
    <w:next w:val="BodyText"/>
    <w:link w:val="Heading5Char"/>
    <w:qFormat/>
    <w:rsid w:val="00ED4E96"/>
    <w:pPr>
      <w:outlineLvl w:val="4"/>
    </w:pPr>
    <w:rPr>
      <w:i/>
      <w:sz w:val="22"/>
    </w:rPr>
  </w:style>
  <w:style w:type="paragraph" w:styleId="Heading6">
    <w:name w:val="heading 6"/>
    <w:basedOn w:val="BodyText"/>
    <w:next w:val="BodyText"/>
    <w:rsid w:val="00ED4E96"/>
    <w:pPr>
      <w:spacing w:after="60"/>
      <w:jc w:val="left"/>
      <w:outlineLvl w:val="5"/>
    </w:pPr>
    <w:rPr>
      <w:i/>
      <w:sz w:val="22"/>
    </w:rPr>
  </w:style>
  <w:style w:type="paragraph" w:styleId="Heading7">
    <w:name w:val="heading 7"/>
    <w:basedOn w:val="BodyText"/>
    <w:next w:val="BodyText"/>
    <w:rsid w:val="00ED4E96"/>
    <w:pPr>
      <w:spacing w:after="60" w:line="240" w:lineRule="auto"/>
      <w:jc w:val="left"/>
      <w:outlineLvl w:val="6"/>
    </w:pPr>
    <w:rPr>
      <w:rFonts w:ascii="Arial" w:hAnsi="Arial"/>
      <w:sz w:val="20"/>
    </w:rPr>
  </w:style>
  <w:style w:type="paragraph" w:styleId="Heading8">
    <w:name w:val="heading 8"/>
    <w:basedOn w:val="BodyText"/>
    <w:next w:val="BodyText"/>
    <w:rsid w:val="00ED4E96"/>
    <w:pPr>
      <w:spacing w:after="60" w:line="240" w:lineRule="auto"/>
      <w:jc w:val="left"/>
      <w:outlineLvl w:val="7"/>
    </w:pPr>
    <w:rPr>
      <w:rFonts w:ascii="Arial" w:hAnsi="Arial"/>
      <w:i/>
      <w:sz w:val="20"/>
    </w:rPr>
  </w:style>
  <w:style w:type="paragraph" w:styleId="Heading9">
    <w:name w:val="heading 9"/>
    <w:basedOn w:val="BodyText"/>
    <w:next w:val="BodyText"/>
    <w:rsid w:val="00ED4E96"/>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ED4E9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D4E96"/>
  </w:style>
  <w:style w:type="paragraph" w:styleId="BodyText">
    <w:name w:val="Body Text"/>
    <w:link w:val="BodyTextChar"/>
    <w:qFormat/>
    <w:rsid w:val="00ED4E96"/>
    <w:pPr>
      <w:spacing w:before="240" w:line="300" w:lineRule="atLeast"/>
      <w:jc w:val="both"/>
    </w:pPr>
    <w:rPr>
      <w:sz w:val="24"/>
    </w:rPr>
  </w:style>
  <w:style w:type="paragraph" w:styleId="Footer">
    <w:name w:val="footer"/>
    <w:basedOn w:val="BodyText"/>
    <w:link w:val="FooterChar"/>
    <w:rsid w:val="00ED4E96"/>
    <w:pPr>
      <w:spacing w:before="80" w:line="200" w:lineRule="exact"/>
      <w:ind w:right="6"/>
      <w:jc w:val="left"/>
    </w:pPr>
    <w:rPr>
      <w:rFonts w:ascii="Arial" w:hAnsi="Arial"/>
      <w:caps/>
      <w:spacing w:val="-4"/>
      <w:sz w:val="16"/>
    </w:rPr>
  </w:style>
  <w:style w:type="paragraph" w:customStyle="1" w:styleId="FooterEnd">
    <w:name w:val="Footer End"/>
    <w:basedOn w:val="Footer"/>
    <w:rsid w:val="00ED4E96"/>
    <w:pPr>
      <w:spacing w:before="0" w:line="20" w:lineRule="exact"/>
    </w:pPr>
  </w:style>
  <w:style w:type="paragraph" w:styleId="Header">
    <w:name w:val="header"/>
    <w:basedOn w:val="BodyText"/>
    <w:rsid w:val="00ED4E96"/>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ED4E96"/>
    <w:pPr>
      <w:spacing w:line="20" w:lineRule="exact"/>
    </w:pPr>
    <w:rPr>
      <w:sz w:val="16"/>
    </w:rPr>
  </w:style>
  <w:style w:type="paragraph" w:customStyle="1" w:styleId="HeaderEven">
    <w:name w:val="Header Even"/>
    <w:basedOn w:val="Header"/>
    <w:semiHidden/>
    <w:rsid w:val="00ED4E96"/>
  </w:style>
  <w:style w:type="paragraph" w:customStyle="1" w:styleId="HeaderOdd">
    <w:name w:val="Header Odd"/>
    <w:basedOn w:val="Header"/>
    <w:semiHidden/>
    <w:rsid w:val="00ED4E96"/>
  </w:style>
  <w:style w:type="character" w:styleId="PageNumber">
    <w:name w:val="page number"/>
    <w:basedOn w:val="DefaultParagraphFont"/>
    <w:rsid w:val="00ED4E96"/>
    <w:rPr>
      <w:rFonts w:ascii="Arial" w:hAnsi="Arial"/>
      <w:b/>
      <w:sz w:val="16"/>
    </w:rPr>
  </w:style>
  <w:style w:type="paragraph" w:customStyle="1" w:styleId="Abbreviation">
    <w:name w:val="Abbreviation"/>
    <w:basedOn w:val="BodyText"/>
    <w:rsid w:val="00ED4E96"/>
    <w:pPr>
      <w:spacing w:before="120"/>
      <w:ind w:left="2381" w:hanging="2381"/>
      <w:jc w:val="left"/>
    </w:pPr>
  </w:style>
  <w:style w:type="paragraph" w:customStyle="1" w:styleId="Box">
    <w:name w:val="Box"/>
    <w:basedOn w:val="BodyText"/>
    <w:link w:val="BoxChar"/>
    <w:qFormat/>
    <w:rsid w:val="00ED4E96"/>
    <w:pPr>
      <w:keepNext/>
      <w:spacing w:before="120" w:line="260" w:lineRule="atLeast"/>
    </w:pPr>
    <w:rPr>
      <w:rFonts w:ascii="Arial" w:hAnsi="Arial"/>
      <w:sz w:val="20"/>
    </w:rPr>
  </w:style>
  <w:style w:type="paragraph" w:customStyle="1" w:styleId="BoxContinued">
    <w:name w:val="Box Continued"/>
    <w:basedOn w:val="BodyText"/>
    <w:next w:val="BodyText"/>
    <w:semiHidden/>
    <w:rsid w:val="00ED4E96"/>
    <w:pPr>
      <w:spacing w:before="180" w:line="220" w:lineRule="exact"/>
      <w:jc w:val="right"/>
    </w:pPr>
    <w:rPr>
      <w:rFonts w:ascii="Arial" w:hAnsi="Arial"/>
      <w:sz w:val="18"/>
    </w:rPr>
  </w:style>
  <w:style w:type="paragraph" w:customStyle="1" w:styleId="BoxHeading1">
    <w:name w:val="Box Heading 1"/>
    <w:basedOn w:val="BodyText"/>
    <w:next w:val="Box"/>
    <w:rsid w:val="00ED4E96"/>
    <w:pPr>
      <w:keepNext/>
      <w:spacing w:before="200" w:line="280" w:lineRule="atLeast"/>
    </w:pPr>
    <w:rPr>
      <w:rFonts w:ascii="Arial" w:hAnsi="Arial"/>
      <w:b/>
      <w:sz w:val="22"/>
    </w:rPr>
  </w:style>
  <w:style w:type="paragraph" w:customStyle="1" w:styleId="BoxHeading2">
    <w:name w:val="Box Heading 2"/>
    <w:basedOn w:val="BoxHeading1"/>
    <w:next w:val="Normal"/>
    <w:rsid w:val="00ED4E96"/>
    <w:rPr>
      <w:b w:val="0"/>
      <w:i/>
    </w:rPr>
  </w:style>
  <w:style w:type="paragraph" w:customStyle="1" w:styleId="BoxListBullet">
    <w:name w:val="Box List Bullet"/>
    <w:basedOn w:val="BodyText"/>
    <w:rsid w:val="00ED4E96"/>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ED4E96"/>
    <w:pPr>
      <w:numPr>
        <w:numId w:val="2"/>
      </w:numPr>
      <w:ind w:left="568" w:hanging="284"/>
    </w:pPr>
  </w:style>
  <w:style w:type="paragraph" w:customStyle="1" w:styleId="BoxListNumber">
    <w:name w:val="Box List Number"/>
    <w:basedOn w:val="BodyText"/>
    <w:rsid w:val="00ED4E96"/>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ED4E96"/>
    <w:pPr>
      <w:numPr>
        <w:ilvl w:val="1"/>
      </w:numPr>
      <w:ind w:left="681" w:hanging="397"/>
    </w:pPr>
  </w:style>
  <w:style w:type="paragraph" w:customStyle="1" w:styleId="BoxQuote">
    <w:name w:val="Box Quote"/>
    <w:basedOn w:val="BodyText"/>
    <w:next w:val="Box"/>
    <w:qFormat/>
    <w:rsid w:val="00ED4E96"/>
    <w:pPr>
      <w:keepNext/>
      <w:spacing w:before="60" w:line="240" w:lineRule="exact"/>
      <w:ind w:left="284"/>
    </w:pPr>
    <w:rPr>
      <w:rFonts w:ascii="Arial" w:hAnsi="Arial"/>
      <w:sz w:val="18"/>
    </w:rPr>
  </w:style>
  <w:style w:type="paragraph" w:customStyle="1" w:styleId="Note">
    <w:name w:val="Note"/>
    <w:basedOn w:val="BodyText"/>
    <w:next w:val="BodyText"/>
    <w:link w:val="NoteChar"/>
    <w:rsid w:val="00ED4E96"/>
    <w:pPr>
      <w:keepLines/>
      <w:spacing w:before="80" w:line="220" w:lineRule="exact"/>
    </w:pPr>
    <w:rPr>
      <w:rFonts w:ascii="Arial" w:hAnsi="Arial"/>
      <w:sz w:val="18"/>
    </w:rPr>
  </w:style>
  <w:style w:type="paragraph" w:customStyle="1" w:styleId="Source">
    <w:name w:val="Source"/>
    <w:basedOn w:val="Normal"/>
    <w:next w:val="BodyText"/>
    <w:rsid w:val="00ED4E96"/>
    <w:pPr>
      <w:keepLines/>
      <w:spacing w:before="80" w:line="220" w:lineRule="exact"/>
      <w:jc w:val="both"/>
    </w:pPr>
    <w:rPr>
      <w:rFonts w:ascii="Arial" w:hAnsi="Arial"/>
      <w:sz w:val="18"/>
      <w:szCs w:val="20"/>
    </w:rPr>
  </w:style>
  <w:style w:type="paragraph" w:customStyle="1" w:styleId="BoxSource">
    <w:name w:val="Box Source"/>
    <w:basedOn w:val="Source"/>
    <w:next w:val="BodyText"/>
    <w:rsid w:val="00ED4E96"/>
    <w:pPr>
      <w:spacing w:before="120"/>
    </w:pPr>
  </w:style>
  <w:style w:type="paragraph" w:customStyle="1" w:styleId="BoxSpaceAbove">
    <w:name w:val="Box Space Above"/>
    <w:basedOn w:val="BodyText"/>
    <w:rsid w:val="00ED4E96"/>
    <w:pPr>
      <w:keepNext/>
      <w:spacing w:before="360" w:line="80" w:lineRule="exact"/>
      <w:jc w:val="left"/>
    </w:pPr>
  </w:style>
  <w:style w:type="paragraph" w:styleId="Caption">
    <w:name w:val="caption"/>
    <w:basedOn w:val="Normal"/>
    <w:next w:val="BodyText"/>
    <w:rsid w:val="00ED4E96"/>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link w:val="BoxTitleChar"/>
    <w:rsid w:val="00ED4E96"/>
    <w:pPr>
      <w:spacing w:before="120" w:after="0"/>
    </w:pPr>
  </w:style>
  <w:style w:type="paragraph" w:customStyle="1" w:styleId="BoxSubtitle">
    <w:name w:val="Box Subtitle"/>
    <w:basedOn w:val="BoxTitle"/>
    <w:next w:val="Normal"/>
    <w:rsid w:val="00ED4E96"/>
    <w:pPr>
      <w:spacing w:after="80" w:line="200" w:lineRule="exact"/>
      <w:ind w:firstLine="0"/>
    </w:pPr>
    <w:rPr>
      <w:b w:val="0"/>
      <w:sz w:val="20"/>
    </w:rPr>
  </w:style>
  <w:style w:type="paragraph" w:customStyle="1" w:styleId="Chapter">
    <w:name w:val="Chapter"/>
    <w:basedOn w:val="Heading1"/>
    <w:next w:val="BodyText"/>
    <w:semiHidden/>
    <w:rsid w:val="00ED4E96"/>
    <w:pPr>
      <w:ind w:left="0" w:firstLine="0"/>
      <w:outlineLvl w:val="9"/>
    </w:pPr>
  </w:style>
  <w:style w:type="paragraph" w:customStyle="1" w:styleId="ChapterSummary">
    <w:name w:val="Chapter Summary"/>
    <w:basedOn w:val="BodyText"/>
    <w:rsid w:val="00ED4E96"/>
    <w:pPr>
      <w:spacing w:line="280" w:lineRule="atLeast"/>
      <w:ind w:left="907"/>
    </w:pPr>
    <w:rPr>
      <w:rFonts w:ascii="Arial" w:hAnsi="Arial"/>
      <w:b/>
      <w:sz w:val="20"/>
    </w:rPr>
  </w:style>
  <w:style w:type="character" w:styleId="CommentReference">
    <w:name w:val="annotation reference"/>
    <w:basedOn w:val="DefaultParagraphFont"/>
    <w:semiHidden/>
    <w:rsid w:val="00ED4E96"/>
    <w:rPr>
      <w:b/>
      <w:vanish/>
      <w:color w:val="FF00FF"/>
      <w:sz w:val="20"/>
    </w:rPr>
  </w:style>
  <w:style w:type="paragraph" w:styleId="CommentText">
    <w:name w:val="annotation text"/>
    <w:basedOn w:val="Normal"/>
    <w:link w:val="CommentTextChar"/>
    <w:semiHidden/>
    <w:rsid w:val="00ED4E96"/>
    <w:pPr>
      <w:spacing w:before="120" w:line="240" w:lineRule="atLeast"/>
      <w:ind w:left="567" w:hanging="567"/>
    </w:pPr>
    <w:rPr>
      <w:sz w:val="20"/>
    </w:rPr>
  </w:style>
  <w:style w:type="paragraph" w:customStyle="1" w:styleId="Continued">
    <w:name w:val="Continued"/>
    <w:basedOn w:val="BoxContinued"/>
    <w:next w:val="BodyText"/>
    <w:rsid w:val="00ED4E96"/>
  </w:style>
  <w:style w:type="character" w:customStyle="1" w:styleId="DocumentInfo">
    <w:name w:val="Document Info"/>
    <w:basedOn w:val="DefaultParagraphFont"/>
    <w:semiHidden/>
    <w:rsid w:val="00ED4E96"/>
    <w:rPr>
      <w:rFonts w:ascii="Arial" w:hAnsi="Arial"/>
      <w:sz w:val="14"/>
    </w:rPr>
  </w:style>
  <w:style w:type="character" w:customStyle="1" w:styleId="DraftingNote">
    <w:name w:val="Drafting Note"/>
    <w:basedOn w:val="DefaultParagraphFont"/>
    <w:rsid w:val="00ED4E96"/>
    <w:rPr>
      <w:b/>
      <w:color w:val="FF0000"/>
      <w:sz w:val="24"/>
      <w:u w:val="dotted"/>
    </w:rPr>
  </w:style>
  <w:style w:type="paragraph" w:customStyle="1" w:styleId="Figure">
    <w:name w:val="Figure"/>
    <w:basedOn w:val="BodyText"/>
    <w:rsid w:val="00ED4E96"/>
    <w:pPr>
      <w:keepNext/>
      <w:spacing w:before="120" w:after="120" w:line="240" w:lineRule="atLeast"/>
      <w:jc w:val="center"/>
    </w:pPr>
  </w:style>
  <w:style w:type="paragraph" w:customStyle="1" w:styleId="FigureTitle">
    <w:name w:val="Figure Title"/>
    <w:basedOn w:val="Caption"/>
    <w:next w:val="Subtitle"/>
    <w:rsid w:val="00ED4E96"/>
    <w:pPr>
      <w:spacing w:before="120"/>
    </w:pPr>
  </w:style>
  <w:style w:type="paragraph" w:styleId="Subtitle">
    <w:name w:val="Subtitle"/>
    <w:basedOn w:val="Caption"/>
    <w:link w:val="SubtitleChar"/>
    <w:qFormat/>
    <w:rsid w:val="00ED4E96"/>
    <w:pPr>
      <w:spacing w:before="0" w:line="200" w:lineRule="exact"/>
      <w:ind w:firstLine="0"/>
    </w:pPr>
    <w:rPr>
      <w:b w:val="0"/>
      <w:sz w:val="20"/>
    </w:rPr>
  </w:style>
  <w:style w:type="paragraph" w:customStyle="1" w:styleId="Finding">
    <w:name w:val="Finding"/>
    <w:basedOn w:val="BodyText"/>
    <w:rsid w:val="00ED4E96"/>
    <w:pPr>
      <w:keepLines/>
      <w:spacing w:before="120" w:line="280" w:lineRule="atLeast"/>
    </w:pPr>
    <w:rPr>
      <w:rFonts w:ascii="Arial" w:hAnsi="Arial"/>
      <w:sz w:val="22"/>
    </w:rPr>
  </w:style>
  <w:style w:type="paragraph" w:customStyle="1" w:styleId="FindingBullet">
    <w:name w:val="Finding Bullet"/>
    <w:basedOn w:val="Finding"/>
    <w:rsid w:val="00ED4E96"/>
    <w:pPr>
      <w:numPr>
        <w:numId w:val="3"/>
      </w:numPr>
      <w:spacing w:before="80"/>
    </w:pPr>
  </w:style>
  <w:style w:type="paragraph" w:customStyle="1" w:styleId="FindingNoTitle">
    <w:name w:val="Finding NoTitle"/>
    <w:basedOn w:val="Finding"/>
    <w:semiHidden/>
    <w:rsid w:val="00ED4E96"/>
    <w:pPr>
      <w:spacing w:before="240"/>
    </w:pPr>
  </w:style>
  <w:style w:type="paragraph" w:customStyle="1" w:styleId="RecTitle">
    <w:name w:val="Rec Title"/>
    <w:basedOn w:val="BodyText"/>
    <w:next w:val="Rec"/>
    <w:qFormat/>
    <w:rsid w:val="00ED4E96"/>
    <w:pPr>
      <w:keepNext/>
      <w:keepLines/>
      <w:spacing w:line="280" w:lineRule="atLeast"/>
    </w:pPr>
    <w:rPr>
      <w:rFonts w:ascii="Arial" w:hAnsi="Arial"/>
      <w:caps/>
      <w:sz w:val="18"/>
    </w:rPr>
  </w:style>
  <w:style w:type="paragraph" w:customStyle="1" w:styleId="FindingTitle">
    <w:name w:val="Finding Title"/>
    <w:basedOn w:val="RecTitle"/>
    <w:next w:val="Finding"/>
    <w:rsid w:val="00ED4E96"/>
  </w:style>
  <w:style w:type="character" w:styleId="FootnoteReference">
    <w:name w:val="footnote reference"/>
    <w:basedOn w:val="DefaultParagraphFont"/>
    <w:semiHidden/>
    <w:rsid w:val="00ED4E96"/>
    <w:rPr>
      <w:rFonts w:ascii="Times New Roman" w:hAnsi="Times New Roman"/>
      <w:position w:val="6"/>
      <w:sz w:val="20"/>
      <w:vertAlign w:val="baseline"/>
    </w:rPr>
  </w:style>
  <w:style w:type="paragraph" w:styleId="FootnoteText">
    <w:name w:val="footnote text"/>
    <w:basedOn w:val="BodyText"/>
    <w:rsid w:val="00ED4E96"/>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ED4E96"/>
    <w:rPr>
      <w:i/>
    </w:rPr>
  </w:style>
  <w:style w:type="paragraph" w:customStyle="1" w:styleId="Jurisdictioncommentsbodytext">
    <w:name w:val="Jurisdiction comments body text"/>
    <w:rsid w:val="00ED4E96"/>
    <w:pPr>
      <w:spacing w:after="140"/>
      <w:jc w:val="both"/>
    </w:pPr>
    <w:rPr>
      <w:rFonts w:ascii="Arial" w:hAnsi="Arial"/>
      <w:sz w:val="24"/>
      <w:lang w:eastAsia="en-US"/>
    </w:rPr>
  </w:style>
  <w:style w:type="paragraph" w:customStyle="1" w:styleId="Jurisdictioncommentsheading">
    <w:name w:val="Jurisdiction comments heading"/>
    <w:rsid w:val="00ED4E96"/>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ED4E96"/>
    <w:pPr>
      <w:numPr>
        <w:numId w:val="4"/>
      </w:numPr>
      <w:spacing w:after="140"/>
      <w:jc w:val="both"/>
    </w:pPr>
    <w:rPr>
      <w:rFonts w:ascii="Arial" w:hAnsi="Arial"/>
      <w:sz w:val="24"/>
      <w:lang w:eastAsia="en-US"/>
    </w:rPr>
  </w:style>
  <w:style w:type="paragraph" w:styleId="ListBullet">
    <w:name w:val="List Bullet"/>
    <w:basedOn w:val="BodyText"/>
    <w:rsid w:val="00ED4E96"/>
    <w:pPr>
      <w:numPr>
        <w:numId w:val="5"/>
      </w:numPr>
      <w:spacing w:before="120"/>
    </w:pPr>
  </w:style>
  <w:style w:type="paragraph" w:styleId="ListBullet2">
    <w:name w:val="List Bullet 2"/>
    <w:basedOn w:val="BodyText"/>
    <w:rsid w:val="00ED4E96"/>
    <w:pPr>
      <w:numPr>
        <w:numId w:val="6"/>
      </w:numPr>
      <w:spacing w:before="120"/>
    </w:pPr>
  </w:style>
  <w:style w:type="paragraph" w:styleId="ListBullet3">
    <w:name w:val="List Bullet 3"/>
    <w:basedOn w:val="BodyText"/>
    <w:rsid w:val="00ED4E96"/>
    <w:pPr>
      <w:numPr>
        <w:numId w:val="7"/>
      </w:numPr>
      <w:spacing w:before="120"/>
      <w:ind w:left="1020" w:hanging="340"/>
    </w:pPr>
  </w:style>
  <w:style w:type="paragraph" w:styleId="ListNumber">
    <w:name w:val="List Number"/>
    <w:basedOn w:val="BodyText"/>
    <w:rsid w:val="00ED4E96"/>
    <w:pPr>
      <w:numPr>
        <w:numId w:val="13"/>
      </w:numPr>
      <w:spacing w:before="120"/>
    </w:pPr>
  </w:style>
  <w:style w:type="paragraph" w:styleId="ListNumber2">
    <w:name w:val="List Number 2"/>
    <w:basedOn w:val="ListNumber"/>
    <w:rsid w:val="00ED4E96"/>
    <w:pPr>
      <w:numPr>
        <w:ilvl w:val="1"/>
      </w:numPr>
    </w:pPr>
  </w:style>
  <w:style w:type="paragraph" w:styleId="ListNumber3">
    <w:name w:val="List Number 3"/>
    <w:basedOn w:val="ListNumber2"/>
    <w:rsid w:val="00ED4E96"/>
    <w:pPr>
      <w:numPr>
        <w:ilvl w:val="2"/>
      </w:numPr>
    </w:pPr>
  </w:style>
  <w:style w:type="character" w:customStyle="1" w:styleId="NoteLabel">
    <w:name w:val="Note Label"/>
    <w:basedOn w:val="DefaultParagraphFont"/>
    <w:rsid w:val="00ED4E96"/>
    <w:rPr>
      <w:rFonts w:ascii="Arial" w:hAnsi="Arial"/>
      <w:b/>
      <w:position w:val="6"/>
      <w:sz w:val="18"/>
    </w:rPr>
  </w:style>
  <w:style w:type="paragraph" w:customStyle="1" w:styleId="PartDivider">
    <w:name w:val="Part Divider"/>
    <w:basedOn w:val="BodyText"/>
    <w:next w:val="BodyText"/>
    <w:semiHidden/>
    <w:rsid w:val="00ED4E96"/>
    <w:pPr>
      <w:spacing w:before="0" w:line="40" w:lineRule="exact"/>
      <w:jc w:val="right"/>
    </w:pPr>
    <w:rPr>
      <w:smallCaps/>
      <w:sz w:val="16"/>
    </w:rPr>
  </w:style>
  <w:style w:type="paragraph" w:customStyle="1" w:styleId="PartNumber">
    <w:name w:val="Part Number"/>
    <w:basedOn w:val="BodyText"/>
    <w:next w:val="BodyText"/>
    <w:semiHidden/>
    <w:rsid w:val="00ED4E96"/>
    <w:pPr>
      <w:spacing w:before="4000" w:line="320" w:lineRule="exact"/>
      <w:ind w:left="6634"/>
      <w:jc w:val="right"/>
    </w:pPr>
    <w:rPr>
      <w:smallCaps/>
      <w:spacing w:val="60"/>
      <w:sz w:val="32"/>
    </w:rPr>
  </w:style>
  <w:style w:type="paragraph" w:customStyle="1" w:styleId="PartTitle">
    <w:name w:val="Part Title"/>
    <w:basedOn w:val="BodyText"/>
    <w:semiHidden/>
    <w:rsid w:val="00ED4E96"/>
    <w:pPr>
      <w:spacing w:before="160" w:after="1360" w:line="520" w:lineRule="exact"/>
      <w:ind w:right="2381"/>
      <w:jc w:val="right"/>
    </w:pPr>
    <w:rPr>
      <w:smallCaps/>
      <w:sz w:val="52"/>
    </w:rPr>
  </w:style>
  <w:style w:type="paragraph" w:styleId="Quote">
    <w:name w:val="Quote"/>
    <w:basedOn w:val="BodyText"/>
    <w:next w:val="BodyText"/>
    <w:qFormat/>
    <w:rsid w:val="00ED4E96"/>
    <w:pPr>
      <w:spacing w:before="120" w:line="280" w:lineRule="exact"/>
      <w:ind w:left="340"/>
    </w:pPr>
    <w:rPr>
      <w:sz w:val="22"/>
    </w:rPr>
  </w:style>
  <w:style w:type="paragraph" w:customStyle="1" w:styleId="QuoteBullet">
    <w:name w:val="Quote Bullet"/>
    <w:basedOn w:val="Quote"/>
    <w:rsid w:val="00ED4E96"/>
    <w:pPr>
      <w:numPr>
        <w:numId w:val="8"/>
      </w:numPr>
    </w:pPr>
  </w:style>
  <w:style w:type="paragraph" w:customStyle="1" w:styleId="Rec">
    <w:name w:val="Rec"/>
    <w:basedOn w:val="BodyText"/>
    <w:qFormat/>
    <w:rsid w:val="00ED4E96"/>
    <w:pPr>
      <w:keepLines/>
      <w:spacing w:before="120" w:line="280" w:lineRule="atLeast"/>
    </w:pPr>
    <w:rPr>
      <w:rFonts w:ascii="Arial" w:hAnsi="Arial"/>
      <w:sz w:val="22"/>
    </w:rPr>
  </w:style>
  <w:style w:type="paragraph" w:customStyle="1" w:styleId="RecBullet">
    <w:name w:val="Rec Bullet"/>
    <w:basedOn w:val="Rec"/>
    <w:rsid w:val="00ED4E96"/>
    <w:pPr>
      <w:numPr>
        <w:numId w:val="9"/>
      </w:numPr>
      <w:spacing w:before="80"/>
    </w:pPr>
  </w:style>
  <w:style w:type="paragraph" w:customStyle="1" w:styleId="RecB">
    <w:name w:val="RecB"/>
    <w:basedOn w:val="Normal"/>
    <w:semiHidden/>
    <w:rsid w:val="00ED4E96"/>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ED4E96"/>
    <w:pPr>
      <w:numPr>
        <w:numId w:val="10"/>
      </w:numPr>
      <w:spacing w:before="80"/>
    </w:pPr>
  </w:style>
  <w:style w:type="paragraph" w:customStyle="1" w:styleId="RecBNoTitle">
    <w:name w:val="RecB NoTitle"/>
    <w:basedOn w:val="RecB"/>
    <w:semiHidden/>
    <w:rsid w:val="00ED4E96"/>
    <w:pPr>
      <w:spacing w:before="240"/>
    </w:pPr>
  </w:style>
  <w:style w:type="paragraph" w:customStyle="1" w:styleId="Reference">
    <w:name w:val="Reference"/>
    <w:basedOn w:val="BodyText"/>
    <w:rsid w:val="00ED4E96"/>
    <w:pPr>
      <w:spacing w:before="120"/>
      <w:ind w:left="340" w:hanging="340"/>
    </w:pPr>
  </w:style>
  <w:style w:type="paragraph" w:customStyle="1" w:styleId="SequenceInfo">
    <w:name w:val="Sequence Info"/>
    <w:basedOn w:val="BodyText"/>
    <w:semiHidden/>
    <w:rsid w:val="00ED4E96"/>
    <w:rPr>
      <w:vanish/>
      <w:sz w:val="16"/>
    </w:rPr>
  </w:style>
  <w:style w:type="paragraph" w:customStyle="1" w:styleId="SideNote">
    <w:name w:val="Side Note"/>
    <w:basedOn w:val="BodyText"/>
    <w:next w:val="BodyText"/>
    <w:semiHidden/>
    <w:rsid w:val="00ED4E96"/>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ED4E96"/>
    <w:pPr>
      <w:framePr w:wrap="around"/>
      <w:numPr>
        <w:numId w:val="11"/>
      </w:numPr>
      <w:tabs>
        <w:tab w:val="left" w:pos="227"/>
      </w:tabs>
    </w:pPr>
  </w:style>
  <w:style w:type="paragraph" w:customStyle="1" w:styleId="SideNoteGraphic">
    <w:name w:val="Side Note Graphic"/>
    <w:basedOn w:val="SideNote"/>
    <w:next w:val="BodyText"/>
    <w:semiHidden/>
    <w:rsid w:val="00ED4E96"/>
    <w:pPr>
      <w:framePr w:wrap="around"/>
    </w:pPr>
  </w:style>
  <w:style w:type="paragraph" w:customStyle="1" w:styleId="TableBodyText">
    <w:name w:val="Table Body Text"/>
    <w:basedOn w:val="BodyText"/>
    <w:rsid w:val="00ED4E96"/>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ED4E96"/>
    <w:pPr>
      <w:numPr>
        <w:numId w:val="12"/>
      </w:numPr>
      <w:jc w:val="left"/>
    </w:pPr>
  </w:style>
  <w:style w:type="paragraph" w:customStyle="1" w:styleId="TableColumnHeading">
    <w:name w:val="Table Column Heading"/>
    <w:basedOn w:val="TableBodyText"/>
    <w:rsid w:val="00ED4E96"/>
    <w:pPr>
      <w:spacing w:before="80" w:after="80"/>
    </w:pPr>
    <w:rPr>
      <w:i/>
    </w:rPr>
  </w:style>
  <w:style w:type="paragraph" w:styleId="TOC2">
    <w:name w:val="toc 2"/>
    <w:basedOn w:val="TOC1"/>
    <w:rsid w:val="00ED4E96"/>
    <w:pPr>
      <w:ind w:left="1134" w:hanging="624"/>
    </w:pPr>
    <w:rPr>
      <w:b w:val="0"/>
    </w:rPr>
  </w:style>
  <w:style w:type="paragraph" w:styleId="TOC3">
    <w:name w:val="toc 3"/>
    <w:basedOn w:val="TOC2"/>
    <w:rsid w:val="00ED4E96"/>
    <w:pPr>
      <w:spacing w:before="60"/>
      <w:ind w:left="1190" w:hanging="680"/>
    </w:pPr>
  </w:style>
  <w:style w:type="paragraph" w:styleId="TableofFigures">
    <w:name w:val="table of figures"/>
    <w:basedOn w:val="TOC3"/>
    <w:next w:val="BodyText"/>
    <w:semiHidden/>
    <w:rsid w:val="00ED4E96"/>
    <w:pPr>
      <w:ind w:left="737" w:hanging="737"/>
    </w:pPr>
  </w:style>
  <w:style w:type="paragraph" w:customStyle="1" w:styleId="TableTitle">
    <w:name w:val="Table Title"/>
    <w:basedOn w:val="Caption"/>
    <w:next w:val="Subtitle"/>
    <w:qFormat/>
    <w:rsid w:val="00ED4E96"/>
    <w:pPr>
      <w:spacing w:before="120"/>
    </w:pPr>
  </w:style>
  <w:style w:type="paragraph" w:customStyle="1" w:styleId="TableUnitsRow">
    <w:name w:val="Table Units Row"/>
    <w:basedOn w:val="TableBodyText"/>
    <w:rsid w:val="00ED4E96"/>
    <w:pPr>
      <w:spacing w:before="40"/>
    </w:pPr>
  </w:style>
  <w:style w:type="paragraph" w:styleId="TOC1">
    <w:name w:val="toc 1"/>
    <w:basedOn w:val="Normal"/>
    <w:next w:val="TOC2"/>
    <w:link w:val="TOC1Char"/>
    <w:rsid w:val="00ED4E96"/>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ED4E96"/>
    <w:pPr>
      <w:ind w:left="1191" w:firstLine="0"/>
    </w:pPr>
  </w:style>
  <w:style w:type="paragraph" w:customStyle="1" w:styleId="RecBBullet2">
    <w:name w:val="RecB Bullet 2"/>
    <w:basedOn w:val="ListBullet2"/>
    <w:semiHidden/>
    <w:rsid w:val="00ED4E96"/>
    <w:pPr>
      <w:pBdr>
        <w:left w:val="single" w:sz="24" w:space="29" w:color="C0C0C0"/>
      </w:pBdr>
    </w:pPr>
    <w:rPr>
      <w:b/>
      <w:i/>
    </w:rPr>
  </w:style>
  <w:style w:type="paragraph" w:styleId="BalloonText">
    <w:name w:val="Balloon Text"/>
    <w:basedOn w:val="Normal"/>
    <w:link w:val="BalloonTextChar"/>
    <w:rsid w:val="00ED4E96"/>
    <w:rPr>
      <w:rFonts w:ascii="Tahoma" w:hAnsi="Tahoma" w:cs="Tahoma"/>
      <w:sz w:val="16"/>
      <w:szCs w:val="16"/>
    </w:rPr>
  </w:style>
  <w:style w:type="character" w:customStyle="1" w:styleId="BalloonTextChar">
    <w:name w:val="Balloon Text Char"/>
    <w:basedOn w:val="DefaultParagraphFont"/>
    <w:link w:val="BalloonText"/>
    <w:rsid w:val="00ED4E96"/>
    <w:rPr>
      <w:rFonts w:ascii="Tahoma" w:hAnsi="Tahoma" w:cs="Tahoma"/>
      <w:sz w:val="16"/>
      <w:szCs w:val="16"/>
    </w:rPr>
  </w:style>
  <w:style w:type="character" w:customStyle="1" w:styleId="SubtitleChar">
    <w:name w:val="Subtitle Char"/>
    <w:basedOn w:val="DefaultParagraphFont"/>
    <w:link w:val="Subtitle"/>
    <w:rsid w:val="00ED4E96"/>
    <w:rPr>
      <w:rFonts w:ascii="Arial" w:hAnsi="Arial"/>
      <w:szCs w:val="24"/>
    </w:rPr>
  </w:style>
  <w:style w:type="paragraph" w:customStyle="1" w:styleId="BoxListBullet3">
    <w:name w:val="Box List Bullet 3"/>
    <w:basedOn w:val="ListBullet3"/>
    <w:rsid w:val="00ED4E96"/>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ED4E96"/>
    <w:rPr>
      <w:i/>
      <w:iCs/>
    </w:rPr>
  </w:style>
  <w:style w:type="paragraph" w:customStyle="1" w:styleId="BoxQuoteBullet">
    <w:name w:val="Box Quote Bullet"/>
    <w:basedOn w:val="BoxQuote"/>
    <w:next w:val="Box"/>
    <w:rsid w:val="00ED4E96"/>
    <w:pPr>
      <w:numPr>
        <w:numId w:val="15"/>
      </w:numPr>
      <w:ind w:left="568" w:hanging="284"/>
    </w:pPr>
  </w:style>
  <w:style w:type="paragraph" w:customStyle="1" w:styleId="InformationRequestBullet">
    <w:name w:val="Information Request Bullet"/>
    <w:basedOn w:val="ListBullet"/>
    <w:next w:val="BodyText"/>
    <w:rsid w:val="00ED4E96"/>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ED4E96"/>
    <w:pPr>
      <w:keepNext w:val="0"/>
      <w:spacing w:before="60" w:after="60" w:line="80" w:lineRule="exact"/>
    </w:pPr>
    <w:rPr>
      <w:sz w:val="14"/>
    </w:rPr>
  </w:style>
  <w:style w:type="character" w:customStyle="1" w:styleId="BoxChar">
    <w:name w:val="Box Char"/>
    <w:link w:val="Box"/>
    <w:rsid w:val="004D7C96"/>
    <w:rPr>
      <w:rFonts w:ascii="Arial" w:hAnsi="Arial"/>
    </w:rPr>
  </w:style>
  <w:style w:type="character" w:customStyle="1" w:styleId="BoxTitleChar">
    <w:name w:val="Box Title Char"/>
    <w:link w:val="BoxTitle"/>
    <w:rsid w:val="004D7C96"/>
    <w:rPr>
      <w:rFonts w:ascii="Arial" w:hAnsi="Arial"/>
      <w:b/>
      <w:sz w:val="24"/>
      <w:szCs w:val="24"/>
    </w:rPr>
  </w:style>
  <w:style w:type="paragraph" w:styleId="CommentSubject">
    <w:name w:val="annotation subject"/>
    <w:basedOn w:val="CommentText"/>
    <w:next w:val="CommentText"/>
    <w:link w:val="CommentSubjectChar"/>
    <w:rsid w:val="00E002FA"/>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E002FA"/>
    <w:rPr>
      <w:szCs w:val="24"/>
    </w:rPr>
  </w:style>
  <w:style w:type="character" w:customStyle="1" w:styleId="CommentSubjectChar">
    <w:name w:val="Comment Subject Char"/>
    <w:basedOn w:val="CommentTextChar"/>
    <w:link w:val="CommentSubject"/>
    <w:rsid w:val="00E002FA"/>
    <w:rPr>
      <w:b/>
      <w:bCs/>
      <w:szCs w:val="24"/>
    </w:rPr>
  </w:style>
  <w:style w:type="character" w:styleId="Hyperlink">
    <w:name w:val="Hyperlink"/>
    <w:basedOn w:val="DefaultParagraphFont"/>
    <w:rsid w:val="00516DEA"/>
    <w:rPr>
      <w:color w:val="0000FF" w:themeColor="hyperlink"/>
      <w:u w:val="single"/>
    </w:rPr>
  </w:style>
  <w:style w:type="paragraph" w:customStyle="1" w:styleId="KeyPointsListBullet">
    <w:name w:val="Key Points List Bullet"/>
    <w:basedOn w:val="Normal"/>
    <w:qFormat/>
    <w:rsid w:val="00ED4E96"/>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ED4E96"/>
    <w:pPr>
      <w:numPr>
        <w:numId w:val="19"/>
      </w:numPr>
      <w:ind w:left="568" w:hanging="284"/>
    </w:pPr>
  </w:style>
  <w:style w:type="paragraph" w:customStyle="1" w:styleId="InformationRequestTitle">
    <w:name w:val="Information Request Title"/>
    <w:basedOn w:val="FindingTitle"/>
    <w:next w:val="InformationRequest"/>
    <w:rsid w:val="00ED4E96"/>
    <w:rPr>
      <w:i/>
    </w:rPr>
  </w:style>
  <w:style w:type="paragraph" w:customStyle="1" w:styleId="Space">
    <w:name w:val="Space"/>
    <w:basedOn w:val="Normal"/>
    <w:rsid w:val="00ED4E96"/>
    <w:pPr>
      <w:keepNext/>
      <w:spacing w:line="120" w:lineRule="exact"/>
      <w:jc w:val="both"/>
    </w:pPr>
    <w:rPr>
      <w:rFonts w:ascii="Arial" w:hAnsi="Arial"/>
      <w:sz w:val="20"/>
      <w:szCs w:val="20"/>
    </w:rPr>
  </w:style>
  <w:style w:type="paragraph" w:customStyle="1" w:styleId="Heading1nochapterno">
    <w:name w:val="Heading 1 (no chapter no.)"/>
    <w:basedOn w:val="Heading1"/>
    <w:rsid w:val="00ED4E96"/>
    <w:pPr>
      <w:spacing w:before="0"/>
      <w:ind w:left="0" w:firstLine="0"/>
    </w:pPr>
  </w:style>
  <w:style w:type="paragraph" w:customStyle="1" w:styleId="Heading2nosectionno">
    <w:name w:val="Heading 2 (no section no.)"/>
    <w:basedOn w:val="Heading2"/>
    <w:rsid w:val="00ED4E96"/>
    <w:pPr>
      <w:ind w:left="0" w:firstLine="0"/>
    </w:pPr>
  </w:style>
  <w:style w:type="character" w:customStyle="1" w:styleId="Heading5Char">
    <w:name w:val="Heading 5 Char"/>
    <w:basedOn w:val="DefaultParagraphFont"/>
    <w:link w:val="Heading5"/>
    <w:rsid w:val="00ED4E96"/>
    <w:rPr>
      <w:rFonts w:ascii="Arial" w:hAnsi="Arial"/>
      <w:i/>
      <w:sz w:val="22"/>
    </w:rPr>
  </w:style>
  <w:style w:type="paragraph" w:customStyle="1" w:styleId="Figurespace">
    <w:name w:val="Figure space"/>
    <w:basedOn w:val="Box"/>
    <w:rsid w:val="00ED4E96"/>
    <w:pPr>
      <w:spacing w:before="0" w:line="120" w:lineRule="exact"/>
    </w:pPr>
  </w:style>
  <w:style w:type="paragraph" w:customStyle="1" w:styleId="FooterDraftReport">
    <w:name w:val="FooterDraftReport"/>
    <w:basedOn w:val="Footer"/>
    <w:link w:val="FooterDraftReportChar"/>
    <w:rsid w:val="00ED4E96"/>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D4E96"/>
    <w:rPr>
      <w:sz w:val="24"/>
    </w:rPr>
  </w:style>
  <w:style w:type="character" w:customStyle="1" w:styleId="FooterChar">
    <w:name w:val="Footer Char"/>
    <w:basedOn w:val="BodyTextChar"/>
    <w:link w:val="Footer"/>
    <w:rsid w:val="00ED4E96"/>
    <w:rPr>
      <w:rFonts w:ascii="Arial" w:hAnsi="Arial"/>
      <w:caps/>
      <w:spacing w:val="-4"/>
      <w:sz w:val="16"/>
    </w:rPr>
  </w:style>
  <w:style w:type="character" w:customStyle="1" w:styleId="FooterDraftReportChar">
    <w:name w:val="FooterDraftReport Char"/>
    <w:basedOn w:val="FooterChar"/>
    <w:link w:val="FooterDraftReport"/>
    <w:rsid w:val="00ED4E96"/>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ED4E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ED4E96"/>
    <w:rPr>
      <w:rFonts w:ascii="Arial" w:hAnsi="Arial"/>
      <w:b/>
      <w:sz w:val="26"/>
      <w:szCs w:val="26"/>
      <w:lang w:eastAsia="en-US"/>
    </w:rPr>
  </w:style>
  <w:style w:type="paragraph" w:styleId="Bibliography">
    <w:name w:val="Bibliography"/>
    <w:basedOn w:val="Normal"/>
    <w:next w:val="Normal"/>
    <w:uiPriority w:val="37"/>
    <w:unhideWhenUsed/>
    <w:rsid w:val="005A1E64"/>
    <w:pPr>
      <w:spacing w:after="240"/>
      <w:ind w:left="720" w:hanging="720"/>
    </w:pPr>
  </w:style>
  <w:style w:type="character" w:customStyle="1" w:styleId="NoteChar">
    <w:name w:val="Note Char"/>
    <w:link w:val="Note"/>
    <w:rsid w:val="000F3FA4"/>
    <w:rPr>
      <w:rFonts w:ascii="Arial" w:hAnsi="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ED4E96"/>
    <w:rPr>
      <w:sz w:val="24"/>
      <w:szCs w:val="24"/>
    </w:rPr>
  </w:style>
  <w:style w:type="paragraph" w:styleId="Heading1">
    <w:name w:val="heading 1"/>
    <w:basedOn w:val="BodyText"/>
    <w:next w:val="BodyText"/>
    <w:rsid w:val="00ED4E96"/>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ED4E96"/>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ED4E96"/>
    <w:pPr>
      <w:spacing w:before="560" w:line="320" w:lineRule="exact"/>
      <w:ind w:left="0" w:firstLine="0"/>
      <w:outlineLvl w:val="2"/>
    </w:pPr>
    <w:rPr>
      <w:sz w:val="26"/>
    </w:rPr>
  </w:style>
  <w:style w:type="paragraph" w:styleId="Heading4">
    <w:name w:val="heading 4"/>
    <w:basedOn w:val="Heading3"/>
    <w:next w:val="BodyText"/>
    <w:qFormat/>
    <w:rsid w:val="00ED4E96"/>
    <w:pPr>
      <w:spacing w:before="480"/>
      <w:outlineLvl w:val="3"/>
    </w:pPr>
    <w:rPr>
      <w:b w:val="0"/>
      <w:sz w:val="24"/>
    </w:rPr>
  </w:style>
  <w:style w:type="paragraph" w:styleId="Heading5">
    <w:name w:val="heading 5"/>
    <w:basedOn w:val="Heading4"/>
    <w:next w:val="BodyText"/>
    <w:link w:val="Heading5Char"/>
    <w:qFormat/>
    <w:rsid w:val="00ED4E96"/>
    <w:pPr>
      <w:outlineLvl w:val="4"/>
    </w:pPr>
    <w:rPr>
      <w:i/>
      <w:sz w:val="22"/>
    </w:rPr>
  </w:style>
  <w:style w:type="paragraph" w:styleId="Heading6">
    <w:name w:val="heading 6"/>
    <w:basedOn w:val="BodyText"/>
    <w:next w:val="BodyText"/>
    <w:rsid w:val="00ED4E96"/>
    <w:pPr>
      <w:spacing w:after="60"/>
      <w:jc w:val="left"/>
      <w:outlineLvl w:val="5"/>
    </w:pPr>
    <w:rPr>
      <w:i/>
      <w:sz w:val="22"/>
    </w:rPr>
  </w:style>
  <w:style w:type="paragraph" w:styleId="Heading7">
    <w:name w:val="heading 7"/>
    <w:basedOn w:val="BodyText"/>
    <w:next w:val="BodyText"/>
    <w:rsid w:val="00ED4E96"/>
    <w:pPr>
      <w:spacing w:after="60" w:line="240" w:lineRule="auto"/>
      <w:jc w:val="left"/>
      <w:outlineLvl w:val="6"/>
    </w:pPr>
    <w:rPr>
      <w:rFonts w:ascii="Arial" w:hAnsi="Arial"/>
      <w:sz w:val="20"/>
    </w:rPr>
  </w:style>
  <w:style w:type="paragraph" w:styleId="Heading8">
    <w:name w:val="heading 8"/>
    <w:basedOn w:val="BodyText"/>
    <w:next w:val="BodyText"/>
    <w:rsid w:val="00ED4E96"/>
    <w:pPr>
      <w:spacing w:after="60" w:line="240" w:lineRule="auto"/>
      <w:jc w:val="left"/>
      <w:outlineLvl w:val="7"/>
    </w:pPr>
    <w:rPr>
      <w:rFonts w:ascii="Arial" w:hAnsi="Arial"/>
      <w:i/>
      <w:sz w:val="20"/>
    </w:rPr>
  </w:style>
  <w:style w:type="paragraph" w:styleId="Heading9">
    <w:name w:val="heading 9"/>
    <w:basedOn w:val="BodyText"/>
    <w:next w:val="BodyText"/>
    <w:rsid w:val="00ED4E96"/>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ED4E9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D4E96"/>
  </w:style>
  <w:style w:type="paragraph" w:styleId="BodyText">
    <w:name w:val="Body Text"/>
    <w:link w:val="BodyTextChar"/>
    <w:qFormat/>
    <w:rsid w:val="00ED4E96"/>
    <w:pPr>
      <w:spacing w:before="240" w:line="300" w:lineRule="atLeast"/>
      <w:jc w:val="both"/>
    </w:pPr>
    <w:rPr>
      <w:sz w:val="24"/>
    </w:rPr>
  </w:style>
  <w:style w:type="paragraph" w:styleId="Footer">
    <w:name w:val="footer"/>
    <w:basedOn w:val="BodyText"/>
    <w:link w:val="FooterChar"/>
    <w:rsid w:val="00ED4E96"/>
    <w:pPr>
      <w:spacing w:before="80" w:line="200" w:lineRule="exact"/>
      <w:ind w:right="6"/>
      <w:jc w:val="left"/>
    </w:pPr>
    <w:rPr>
      <w:rFonts w:ascii="Arial" w:hAnsi="Arial"/>
      <w:caps/>
      <w:spacing w:val="-4"/>
      <w:sz w:val="16"/>
    </w:rPr>
  </w:style>
  <w:style w:type="paragraph" w:customStyle="1" w:styleId="FooterEnd">
    <w:name w:val="Footer End"/>
    <w:basedOn w:val="Footer"/>
    <w:rsid w:val="00ED4E96"/>
    <w:pPr>
      <w:spacing w:before="0" w:line="20" w:lineRule="exact"/>
    </w:pPr>
  </w:style>
  <w:style w:type="paragraph" w:styleId="Header">
    <w:name w:val="header"/>
    <w:basedOn w:val="BodyText"/>
    <w:rsid w:val="00ED4E96"/>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ED4E96"/>
    <w:pPr>
      <w:spacing w:line="20" w:lineRule="exact"/>
    </w:pPr>
    <w:rPr>
      <w:sz w:val="16"/>
    </w:rPr>
  </w:style>
  <w:style w:type="paragraph" w:customStyle="1" w:styleId="HeaderEven">
    <w:name w:val="Header Even"/>
    <w:basedOn w:val="Header"/>
    <w:semiHidden/>
    <w:rsid w:val="00ED4E96"/>
  </w:style>
  <w:style w:type="paragraph" w:customStyle="1" w:styleId="HeaderOdd">
    <w:name w:val="Header Odd"/>
    <w:basedOn w:val="Header"/>
    <w:semiHidden/>
    <w:rsid w:val="00ED4E96"/>
  </w:style>
  <w:style w:type="character" w:styleId="PageNumber">
    <w:name w:val="page number"/>
    <w:basedOn w:val="DefaultParagraphFont"/>
    <w:rsid w:val="00ED4E96"/>
    <w:rPr>
      <w:rFonts w:ascii="Arial" w:hAnsi="Arial"/>
      <w:b/>
      <w:sz w:val="16"/>
    </w:rPr>
  </w:style>
  <w:style w:type="paragraph" w:customStyle="1" w:styleId="Abbreviation">
    <w:name w:val="Abbreviation"/>
    <w:basedOn w:val="BodyText"/>
    <w:rsid w:val="00ED4E96"/>
    <w:pPr>
      <w:spacing w:before="120"/>
      <w:ind w:left="2381" w:hanging="2381"/>
      <w:jc w:val="left"/>
    </w:pPr>
  </w:style>
  <w:style w:type="paragraph" w:customStyle="1" w:styleId="Box">
    <w:name w:val="Box"/>
    <w:basedOn w:val="BodyText"/>
    <w:link w:val="BoxChar"/>
    <w:qFormat/>
    <w:rsid w:val="00ED4E96"/>
    <w:pPr>
      <w:keepNext/>
      <w:spacing w:before="120" w:line="260" w:lineRule="atLeast"/>
    </w:pPr>
    <w:rPr>
      <w:rFonts w:ascii="Arial" w:hAnsi="Arial"/>
      <w:sz w:val="20"/>
    </w:rPr>
  </w:style>
  <w:style w:type="paragraph" w:customStyle="1" w:styleId="BoxContinued">
    <w:name w:val="Box Continued"/>
    <w:basedOn w:val="BodyText"/>
    <w:next w:val="BodyText"/>
    <w:semiHidden/>
    <w:rsid w:val="00ED4E96"/>
    <w:pPr>
      <w:spacing w:before="180" w:line="220" w:lineRule="exact"/>
      <w:jc w:val="right"/>
    </w:pPr>
    <w:rPr>
      <w:rFonts w:ascii="Arial" w:hAnsi="Arial"/>
      <w:sz w:val="18"/>
    </w:rPr>
  </w:style>
  <w:style w:type="paragraph" w:customStyle="1" w:styleId="BoxHeading1">
    <w:name w:val="Box Heading 1"/>
    <w:basedOn w:val="BodyText"/>
    <w:next w:val="Box"/>
    <w:rsid w:val="00ED4E96"/>
    <w:pPr>
      <w:keepNext/>
      <w:spacing w:before="200" w:line="280" w:lineRule="atLeast"/>
    </w:pPr>
    <w:rPr>
      <w:rFonts w:ascii="Arial" w:hAnsi="Arial"/>
      <w:b/>
      <w:sz w:val="22"/>
    </w:rPr>
  </w:style>
  <w:style w:type="paragraph" w:customStyle="1" w:styleId="BoxHeading2">
    <w:name w:val="Box Heading 2"/>
    <w:basedOn w:val="BoxHeading1"/>
    <w:next w:val="Normal"/>
    <w:rsid w:val="00ED4E96"/>
    <w:rPr>
      <w:b w:val="0"/>
      <w:i/>
    </w:rPr>
  </w:style>
  <w:style w:type="paragraph" w:customStyle="1" w:styleId="BoxListBullet">
    <w:name w:val="Box List Bullet"/>
    <w:basedOn w:val="BodyText"/>
    <w:rsid w:val="00ED4E96"/>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ED4E96"/>
    <w:pPr>
      <w:numPr>
        <w:numId w:val="2"/>
      </w:numPr>
      <w:ind w:left="568" w:hanging="284"/>
    </w:pPr>
  </w:style>
  <w:style w:type="paragraph" w:customStyle="1" w:styleId="BoxListNumber">
    <w:name w:val="Box List Number"/>
    <w:basedOn w:val="BodyText"/>
    <w:rsid w:val="00ED4E96"/>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ED4E96"/>
    <w:pPr>
      <w:numPr>
        <w:ilvl w:val="1"/>
      </w:numPr>
      <w:ind w:left="681" w:hanging="397"/>
    </w:pPr>
  </w:style>
  <w:style w:type="paragraph" w:customStyle="1" w:styleId="BoxQuote">
    <w:name w:val="Box Quote"/>
    <w:basedOn w:val="BodyText"/>
    <w:next w:val="Box"/>
    <w:qFormat/>
    <w:rsid w:val="00ED4E96"/>
    <w:pPr>
      <w:keepNext/>
      <w:spacing w:before="60" w:line="240" w:lineRule="exact"/>
      <w:ind w:left="284"/>
    </w:pPr>
    <w:rPr>
      <w:rFonts w:ascii="Arial" w:hAnsi="Arial"/>
      <w:sz w:val="18"/>
    </w:rPr>
  </w:style>
  <w:style w:type="paragraph" w:customStyle="1" w:styleId="Note">
    <w:name w:val="Note"/>
    <w:basedOn w:val="BodyText"/>
    <w:next w:val="BodyText"/>
    <w:link w:val="NoteChar"/>
    <w:rsid w:val="00ED4E96"/>
    <w:pPr>
      <w:keepLines/>
      <w:spacing w:before="80" w:line="220" w:lineRule="exact"/>
    </w:pPr>
    <w:rPr>
      <w:rFonts w:ascii="Arial" w:hAnsi="Arial"/>
      <w:sz w:val="18"/>
    </w:rPr>
  </w:style>
  <w:style w:type="paragraph" w:customStyle="1" w:styleId="Source">
    <w:name w:val="Source"/>
    <w:basedOn w:val="Normal"/>
    <w:next w:val="BodyText"/>
    <w:rsid w:val="00ED4E96"/>
    <w:pPr>
      <w:keepLines/>
      <w:spacing w:before="80" w:line="220" w:lineRule="exact"/>
      <w:jc w:val="both"/>
    </w:pPr>
    <w:rPr>
      <w:rFonts w:ascii="Arial" w:hAnsi="Arial"/>
      <w:sz w:val="18"/>
      <w:szCs w:val="20"/>
    </w:rPr>
  </w:style>
  <w:style w:type="paragraph" w:customStyle="1" w:styleId="BoxSource">
    <w:name w:val="Box Source"/>
    <w:basedOn w:val="Source"/>
    <w:next w:val="BodyText"/>
    <w:rsid w:val="00ED4E96"/>
    <w:pPr>
      <w:spacing w:before="120"/>
    </w:pPr>
  </w:style>
  <w:style w:type="paragraph" w:customStyle="1" w:styleId="BoxSpaceAbove">
    <w:name w:val="Box Space Above"/>
    <w:basedOn w:val="BodyText"/>
    <w:rsid w:val="00ED4E96"/>
    <w:pPr>
      <w:keepNext/>
      <w:spacing w:before="360" w:line="80" w:lineRule="exact"/>
      <w:jc w:val="left"/>
    </w:pPr>
  </w:style>
  <w:style w:type="paragraph" w:styleId="Caption">
    <w:name w:val="caption"/>
    <w:basedOn w:val="Normal"/>
    <w:next w:val="BodyText"/>
    <w:rsid w:val="00ED4E96"/>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link w:val="BoxTitleChar"/>
    <w:rsid w:val="00ED4E96"/>
    <w:pPr>
      <w:spacing w:before="120" w:after="0"/>
    </w:pPr>
  </w:style>
  <w:style w:type="paragraph" w:customStyle="1" w:styleId="BoxSubtitle">
    <w:name w:val="Box Subtitle"/>
    <w:basedOn w:val="BoxTitle"/>
    <w:next w:val="Normal"/>
    <w:rsid w:val="00ED4E96"/>
    <w:pPr>
      <w:spacing w:after="80" w:line="200" w:lineRule="exact"/>
      <w:ind w:firstLine="0"/>
    </w:pPr>
    <w:rPr>
      <w:b w:val="0"/>
      <w:sz w:val="20"/>
    </w:rPr>
  </w:style>
  <w:style w:type="paragraph" w:customStyle="1" w:styleId="Chapter">
    <w:name w:val="Chapter"/>
    <w:basedOn w:val="Heading1"/>
    <w:next w:val="BodyText"/>
    <w:semiHidden/>
    <w:rsid w:val="00ED4E96"/>
    <w:pPr>
      <w:ind w:left="0" w:firstLine="0"/>
      <w:outlineLvl w:val="9"/>
    </w:pPr>
  </w:style>
  <w:style w:type="paragraph" w:customStyle="1" w:styleId="ChapterSummary">
    <w:name w:val="Chapter Summary"/>
    <w:basedOn w:val="BodyText"/>
    <w:rsid w:val="00ED4E96"/>
    <w:pPr>
      <w:spacing w:line="280" w:lineRule="atLeast"/>
      <w:ind w:left="907"/>
    </w:pPr>
    <w:rPr>
      <w:rFonts w:ascii="Arial" w:hAnsi="Arial"/>
      <w:b/>
      <w:sz w:val="20"/>
    </w:rPr>
  </w:style>
  <w:style w:type="character" w:styleId="CommentReference">
    <w:name w:val="annotation reference"/>
    <w:basedOn w:val="DefaultParagraphFont"/>
    <w:semiHidden/>
    <w:rsid w:val="00ED4E96"/>
    <w:rPr>
      <w:b/>
      <w:vanish/>
      <w:color w:val="FF00FF"/>
      <w:sz w:val="20"/>
    </w:rPr>
  </w:style>
  <w:style w:type="paragraph" w:styleId="CommentText">
    <w:name w:val="annotation text"/>
    <w:basedOn w:val="Normal"/>
    <w:link w:val="CommentTextChar"/>
    <w:semiHidden/>
    <w:rsid w:val="00ED4E96"/>
    <w:pPr>
      <w:spacing w:before="120" w:line="240" w:lineRule="atLeast"/>
      <w:ind w:left="567" w:hanging="567"/>
    </w:pPr>
    <w:rPr>
      <w:sz w:val="20"/>
    </w:rPr>
  </w:style>
  <w:style w:type="paragraph" w:customStyle="1" w:styleId="Continued">
    <w:name w:val="Continued"/>
    <w:basedOn w:val="BoxContinued"/>
    <w:next w:val="BodyText"/>
    <w:rsid w:val="00ED4E96"/>
  </w:style>
  <w:style w:type="character" w:customStyle="1" w:styleId="DocumentInfo">
    <w:name w:val="Document Info"/>
    <w:basedOn w:val="DefaultParagraphFont"/>
    <w:semiHidden/>
    <w:rsid w:val="00ED4E96"/>
    <w:rPr>
      <w:rFonts w:ascii="Arial" w:hAnsi="Arial"/>
      <w:sz w:val="14"/>
    </w:rPr>
  </w:style>
  <w:style w:type="character" w:customStyle="1" w:styleId="DraftingNote">
    <w:name w:val="Drafting Note"/>
    <w:basedOn w:val="DefaultParagraphFont"/>
    <w:rsid w:val="00ED4E96"/>
    <w:rPr>
      <w:b/>
      <w:color w:val="FF0000"/>
      <w:sz w:val="24"/>
      <w:u w:val="dotted"/>
    </w:rPr>
  </w:style>
  <w:style w:type="paragraph" w:customStyle="1" w:styleId="Figure">
    <w:name w:val="Figure"/>
    <w:basedOn w:val="BodyText"/>
    <w:rsid w:val="00ED4E96"/>
    <w:pPr>
      <w:keepNext/>
      <w:spacing w:before="120" w:after="120" w:line="240" w:lineRule="atLeast"/>
      <w:jc w:val="center"/>
    </w:pPr>
  </w:style>
  <w:style w:type="paragraph" w:customStyle="1" w:styleId="FigureTitle">
    <w:name w:val="Figure Title"/>
    <w:basedOn w:val="Caption"/>
    <w:next w:val="Subtitle"/>
    <w:rsid w:val="00ED4E96"/>
    <w:pPr>
      <w:spacing w:before="120"/>
    </w:pPr>
  </w:style>
  <w:style w:type="paragraph" w:styleId="Subtitle">
    <w:name w:val="Subtitle"/>
    <w:basedOn w:val="Caption"/>
    <w:link w:val="SubtitleChar"/>
    <w:qFormat/>
    <w:rsid w:val="00ED4E96"/>
    <w:pPr>
      <w:spacing w:before="0" w:line="200" w:lineRule="exact"/>
      <w:ind w:firstLine="0"/>
    </w:pPr>
    <w:rPr>
      <w:b w:val="0"/>
      <w:sz w:val="20"/>
    </w:rPr>
  </w:style>
  <w:style w:type="paragraph" w:customStyle="1" w:styleId="Finding">
    <w:name w:val="Finding"/>
    <w:basedOn w:val="BodyText"/>
    <w:rsid w:val="00ED4E96"/>
    <w:pPr>
      <w:keepLines/>
      <w:spacing w:before="120" w:line="280" w:lineRule="atLeast"/>
    </w:pPr>
    <w:rPr>
      <w:rFonts w:ascii="Arial" w:hAnsi="Arial"/>
      <w:sz w:val="22"/>
    </w:rPr>
  </w:style>
  <w:style w:type="paragraph" w:customStyle="1" w:styleId="FindingBullet">
    <w:name w:val="Finding Bullet"/>
    <w:basedOn w:val="Finding"/>
    <w:rsid w:val="00ED4E96"/>
    <w:pPr>
      <w:numPr>
        <w:numId w:val="3"/>
      </w:numPr>
      <w:spacing w:before="80"/>
    </w:pPr>
  </w:style>
  <w:style w:type="paragraph" w:customStyle="1" w:styleId="FindingNoTitle">
    <w:name w:val="Finding NoTitle"/>
    <w:basedOn w:val="Finding"/>
    <w:semiHidden/>
    <w:rsid w:val="00ED4E96"/>
    <w:pPr>
      <w:spacing w:before="240"/>
    </w:pPr>
  </w:style>
  <w:style w:type="paragraph" w:customStyle="1" w:styleId="RecTitle">
    <w:name w:val="Rec Title"/>
    <w:basedOn w:val="BodyText"/>
    <w:next w:val="Rec"/>
    <w:qFormat/>
    <w:rsid w:val="00ED4E96"/>
    <w:pPr>
      <w:keepNext/>
      <w:keepLines/>
      <w:spacing w:line="280" w:lineRule="atLeast"/>
    </w:pPr>
    <w:rPr>
      <w:rFonts w:ascii="Arial" w:hAnsi="Arial"/>
      <w:caps/>
      <w:sz w:val="18"/>
    </w:rPr>
  </w:style>
  <w:style w:type="paragraph" w:customStyle="1" w:styleId="FindingTitle">
    <w:name w:val="Finding Title"/>
    <w:basedOn w:val="RecTitle"/>
    <w:next w:val="Finding"/>
    <w:rsid w:val="00ED4E96"/>
  </w:style>
  <w:style w:type="character" w:styleId="FootnoteReference">
    <w:name w:val="footnote reference"/>
    <w:basedOn w:val="DefaultParagraphFont"/>
    <w:semiHidden/>
    <w:rsid w:val="00ED4E96"/>
    <w:rPr>
      <w:rFonts w:ascii="Times New Roman" w:hAnsi="Times New Roman"/>
      <w:position w:val="6"/>
      <w:sz w:val="20"/>
      <w:vertAlign w:val="baseline"/>
    </w:rPr>
  </w:style>
  <w:style w:type="paragraph" w:styleId="FootnoteText">
    <w:name w:val="footnote text"/>
    <w:basedOn w:val="BodyText"/>
    <w:rsid w:val="00ED4E96"/>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ED4E96"/>
    <w:rPr>
      <w:i/>
    </w:rPr>
  </w:style>
  <w:style w:type="paragraph" w:customStyle="1" w:styleId="Jurisdictioncommentsbodytext">
    <w:name w:val="Jurisdiction comments body text"/>
    <w:rsid w:val="00ED4E96"/>
    <w:pPr>
      <w:spacing w:after="140"/>
      <w:jc w:val="both"/>
    </w:pPr>
    <w:rPr>
      <w:rFonts w:ascii="Arial" w:hAnsi="Arial"/>
      <w:sz w:val="24"/>
      <w:lang w:eastAsia="en-US"/>
    </w:rPr>
  </w:style>
  <w:style w:type="paragraph" w:customStyle="1" w:styleId="Jurisdictioncommentsheading">
    <w:name w:val="Jurisdiction comments heading"/>
    <w:rsid w:val="00ED4E96"/>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ED4E96"/>
    <w:pPr>
      <w:numPr>
        <w:numId w:val="4"/>
      </w:numPr>
      <w:spacing w:after="140"/>
      <w:jc w:val="both"/>
    </w:pPr>
    <w:rPr>
      <w:rFonts w:ascii="Arial" w:hAnsi="Arial"/>
      <w:sz w:val="24"/>
      <w:lang w:eastAsia="en-US"/>
    </w:rPr>
  </w:style>
  <w:style w:type="paragraph" w:styleId="ListBullet">
    <w:name w:val="List Bullet"/>
    <w:basedOn w:val="BodyText"/>
    <w:rsid w:val="00ED4E96"/>
    <w:pPr>
      <w:numPr>
        <w:numId w:val="5"/>
      </w:numPr>
      <w:spacing w:before="120"/>
    </w:pPr>
  </w:style>
  <w:style w:type="paragraph" w:styleId="ListBullet2">
    <w:name w:val="List Bullet 2"/>
    <w:basedOn w:val="BodyText"/>
    <w:rsid w:val="00ED4E96"/>
    <w:pPr>
      <w:numPr>
        <w:numId w:val="6"/>
      </w:numPr>
      <w:spacing w:before="120"/>
    </w:pPr>
  </w:style>
  <w:style w:type="paragraph" w:styleId="ListBullet3">
    <w:name w:val="List Bullet 3"/>
    <w:basedOn w:val="BodyText"/>
    <w:rsid w:val="00ED4E96"/>
    <w:pPr>
      <w:numPr>
        <w:numId w:val="7"/>
      </w:numPr>
      <w:spacing w:before="120"/>
      <w:ind w:left="1020" w:hanging="340"/>
    </w:pPr>
  </w:style>
  <w:style w:type="paragraph" w:styleId="ListNumber">
    <w:name w:val="List Number"/>
    <w:basedOn w:val="BodyText"/>
    <w:rsid w:val="00ED4E96"/>
    <w:pPr>
      <w:numPr>
        <w:numId w:val="13"/>
      </w:numPr>
      <w:spacing w:before="120"/>
    </w:pPr>
  </w:style>
  <w:style w:type="paragraph" w:styleId="ListNumber2">
    <w:name w:val="List Number 2"/>
    <w:basedOn w:val="ListNumber"/>
    <w:rsid w:val="00ED4E96"/>
    <w:pPr>
      <w:numPr>
        <w:ilvl w:val="1"/>
      </w:numPr>
    </w:pPr>
  </w:style>
  <w:style w:type="paragraph" w:styleId="ListNumber3">
    <w:name w:val="List Number 3"/>
    <w:basedOn w:val="ListNumber2"/>
    <w:rsid w:val="00ED4E96"/>
    <w:pPr>
      <w:numPr>
        <w:ilvl w:val="2"/>
      </w:numPr>
    </w:pPr>
  </w:style>
  <w:style w:type="character" w:customStyle="1" w:styleId="NoteLabel">
    <w:name w:val="Note Label"/>
    <w:basedOn w:val="DefaultParagraphFont"/>
    <w:rsid w:val="00ED4E96"/>
    <w:rPr>
      <w:rFonts w:ascii="Arial" w:hAnsi="Arial"/>
      <w:b/>
      <w:position w:val="6"/>
      <w:sz w:val="18"/>
    </w:rPr>
  </w:style>
  <w:style w:type="paragraph" w:customStyle="1" w:styleId="PartDivider">
    <w:name w:val="Part Divider"/>
    <w:basedOn w:val="BodyText"/>
    <w:next w:val="BodyText"/>
    <w:semiHidden/>
    <w:rsid w:val="00ED4E96"/>
    <w:pPr>
      <w:spacing w:before="0" w:line="40" w:lineRule="exact"/>
      <w:jc w:val="right"/>
    </w:pPr>
    <w:rPr>
      <w:smallCaps/>
      <w:sz w:val="16"/>
    </w:rPr>
  </w:style>
  <w:style w:type="paragraph" w:customStyle="1" w:styleId="PartNumber">
    <w:name w:val="Part Number"/>
    <w:basedOn w:val="BodyText"/>
    <w:next w:val="BodyText"/>
    <w:semiHidden/>
    <w:rsid w:val="00ED4E96"/>
    <w:pPr>
      <w:spacing w:before="4000" w:line="320" w:lineRule="exact"/>
      <w:ind w:left="6634"/>
      <w:jc w:val="right"/>
    </w:pPr>
    <w:rPr>
      <w:smallCaps/>
      <w:spacing w:val="60"/>
      <w:sz w:val="32"/>
    </w:rPr>
  </w:style>
  <w:style w:type="paragraph" w:customStyle="1" w:styleId="PartTitle">
    <w:name w:val="Part Title"/>
    <w:basedOn w:val="BodyText"/>
    <w:semiHidden/>
    <w:rsid w:val="00ED4E96"/>
    <w:pPr>
      <w:spacing w:before="160" w:after="1360" w:line="520" w:lineRule="exact"/>
      <w:ind w:right="2381"/>
      <w:jc w:val="right"/>
    </w:pPr>
    <w:rPr>
      <w:smallCaps/>
      <w:sz w:val="52"/>
    </w:rPr>
  </w:style>
  <w:style w:type="paragraph" w:styleId="Quote">
    <w:name w:val="Quote"/>
    <w:basedOn w:val="BodyText"/>
    <w:next w:val="BodyText"/>
    <w:qFormat/>
    <w:rsid w:val="00ED4E96"/>
    <w:pPr>
      <w:spacing w:before="120" w:line="280" w:lineRule="exact"/>
      <w:ind w:left="340"/>
    </w:pPr>
    <w:rPr>
      <w:sz w:val="22"/>
    </w:rPr>
  </w:style>
  <w:style w:type="paragraph" w:customStyle="1" w:styleId="QuoteBullet">
    <w:name w:val="Quote Bullet"/>
    <w:basedOn w:val="Quote"/>
    <w:rsid w:val="00ED4E96"/>
    <w:pPr>
      <w:numPr>
        <w:numId w:val="8"/>
      </w:numPr>
    </w:pPr>
  </w:style>
  <w:style w:type="paragraph" w:customStyle="1" w:styleId="Rec">
    <w:name w:val="Rec"/>
    <w:basedOn w:val="BodyText"/>
    <w:qFormat/>
    <w:rsid w:val="00ED4E96"/>
    <w:pPr>
      <w:keepLines/>
      <w:spacing w:before="120" w:line="280" w:lineRule="atLeast"/>
    </w:pPr>
    <w:rPr>
      <w:rFonts w:ascii="Arial" w:hAnsi="Arial"/>
      <w:sz w:val="22"/>
    </w:rPr>
  </w:style>
  <w:style w:type="paragraph" w:customStyle="1" w:styleId="RecBullet">
    <w:name w:val="Rec Bullet"/>
    <w:basedOn w:val="Rec"/>
    <w:rsid w:val="00ED4E96"/>
    <w:pPr>
      <w:numPr>
        <w:numId w:val="9"/>
      </w:numPr>
      <w:spacing w:before="80"/>
    </w:pPr>
  </w:style>
  <w:style w:type="paragraph" w:customStyle="1" w:styleId="RecB">
    <w:name w:val="RecB"/>
    <w:basedOn w:val="Normal"/>
    <w:semiHidden/>
    <w:rsid w:val="00ED4E96"/>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ED4E96"/>
    <w:pPr>
      <w:numPr>
        <w:numId w:val="10"/>
      </w:numPr>
      <w:spacing w:before="80"/>
    </w:pPr>
  </w:style>
  <w:style w:type="paragraph" w:customStyle="1" w:styleId="RecBNoTitle">
    <w:name w:val="RecB NoTitle"/>
    <w:basedOn w:val="RecB"/>
    <w:semiHidden/>
    <w:rsid w:val="00ED4E96"/>
    <w:pPr>
      <w:spacing w:before="240"/>
    </w:pPr>
  </w:style>
  <w:style w:type="paragraph" w:customStyle="1" w:styleId="Reference">
    <w:name w:val="Reference"/>
    <w:basedOn w:val="BodyText"/>
    <w:rsid w:val="00ED4E96"/>
    <w:pPr>
      <w:spacing w:before="120"/>
      <w:ind w:left="340" w:hanging="340"/>
    </w:pPr>
  </w:style>
  <w:style w:type="paragraph" w:customStyle="1" w:styleId="SequenceInfo">
    <w:name w:val="Sequence Info"/>
    <w:basedOn w:val="BodyText"/>
    <w:semiHidden/>
    <w:rsid w:val="00ED4E96"/>
    <w:rPr>
      <w:vanish/>
      <w:sz w:val="16"/>
    </w:rPr>
  </w:style>
  <w:style w:type="paragraph" w:customStyle="1" w:styleId="SideNote">
    <w:name w:val="Side Note"/>
    <w:basedOn w:val="BodyText"/>
    <w:next w:val="BodyText"/>
    <w:semiHidden/>
    <w:rsid w:val="00ED4E96"/>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ED4E96"/>
    <w:pPr>
      <w:framePr w:wrap="around"/>
      <w:numPr>
        <w:numId w:val="11"/>
      </w:numPr>
      <w:tabs>
        <w:tab w:val="left" w:pos="227"/>
      </w:tabs>
    </w:pPr>
  </w:style>
  <w:style w:type="paragraph" w:customStyle="1" w:styleId="SideNoteGraphic">
    <w:name w:val="Side Note Graphic"/>
    <w:basedOn w:val="SideNote"/>
    <w:next w:val="BodyText"/>
    <w:semiHidden/>
    <w:rsid w:val="00ED4E96"/>
    <w:pPr>
      <w:framePr w:wrap="around"/>
    </w:pPr>
  </w:style>
  <w:style w:type="paragraph" w:customStyle="1" w:styleId="TableBodyText">
    <w:name w:val="Table Body Text"/>
    <w:basedOn w:val="BodyText"/>
    <w:rsid w:val="00ED4E96"/>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ED4E96"/>
    <w:pPr>
      <w:numPr>
        <w:numId w:val="12"/>
      </w:numPr>
      <w:jc w:val="left"/>
    </w:pPr>
  </w:style>
  <w:style w:type="paragraph" w:customStyle="1" w:styleId="TableColumnHeading">
    <w:name w:val="Table Column Heading"/>
    <w:basedOn w:val="TableBodyText"/>
    <w:rsid w:val="00ED4E96"/>
    <w:pPr>
      <w:spacing w:before="80" w:after="80"/>
    </w:pPr>
    <w:rPr>
      <w:i/>
    </w:rPr>
  </w:style>
  <w:style w:type="paragraph" w:styleId="TOC2">
    <w:name w:val="toc 2"/>
    <w:basedOn w:val="TOC1"/>
    <w:rsid w:val="00ED4E96"/>
    <w:pPr>
      <w:ind w:left="1134" w:hanging="624"/>
    </w:pPr>
    <w:rPr>
      <w:b w:val="0"/>
    </w:rPr>
  </w:style>
  <w:style w:type="paragraph" w:styleId="TOC3">
    <w:name w:val="toc 3"/>
    <w:basedOn w:val="TOC2"/>
    <w:rsid w:val="00ED4E96"/>
    <w:pPr>
      <w:spacing w:before="60"/>
      <w:ind w:left="1190" w:hanging="680"/>
    </w:pPr>
  </w:style>
  <w:style w:type="paragraph" w:styleId="TableofFigures">
    <w:name w:val="table of figures"/>
    <w:basedOn w:val="TOC3"/>
    <w:next w:val="BodyText"/>
    <w:semiHidden/>
    <w:rsid w:val="00ED4E96"/>
    <w:pPr>
      <w:ind w:left="737" w:hanging="737"/>
    </w:pPr>
  </w:style>
  <w:style w:type="paragraph" w:customStyle="1" w:styleId="TableTitle">
    <w:name w:val="Table Title"/>
    <w:basedOn w:val="Caption"/>
    <w:next w:val="Subtitle"/>
    <w:qFormat/>
    <w:rsid w:val="00ED4E96"/>
    <w:pPr>
      <w:spacing w:before="120"/>
    </w:pPr>
  </w:style>
  <w:style w:type="paragraph" w:customStyle="1" w:styleId="TableUnitsRow">
    <w:name w:val="Table Units Row"/>
    <w:basedOn w:val="TableBodyText"/>
    <w:rsid w:val="00ED4E96"/>
    <w:pPr>
      <w:spacing w:before="40"/>
    </w:pPr>
  </w:style>
  <w:style w:type="paragraph" w:styleId="TOC1">
    <w:name w:val="toc 1"/>
    <w:basedOn w:val="Normal"/>
    <w:next w:val="TOC2"/>
    <w:link w:val="TOC1Char"/>
    <w:rsid w:val="00ED4E96"/>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ED4E96"/>
    <w:pPr>
      <w:ind w:left="1191" w:firstLine="0"/>
    </w:pPr>
  </w:style>
  <w:style w:type="paragraph" w:customStyle="1" w:styleId="RecBBullet2">
    <w:name w:val="RecB Bullet 2"/>
    <w:basedOn w:val="ListBullet2"/>
    <w:semiHidden/>
    <w:rsid w:val="00ED4E96"/>
    <w:pPr>
      <w:pBdr>
        <w:left w:val="single" w:sz="24" w:space="29" w:color="C0C0C0"/>
      </w:pBdr>
    </w:pPr>
    <w:rPr>
      <w:b/>
      <w:i/>
    </w:rPr>
  </w:style>
  <w:style w:type="paragraph" w:styleId="BalloonText">
    <w:name w:val="Balloon Text"/>
    <w:basedOn w:val="Normal"/>
    <w:link w:val="BalloonTextChar"/>
    <w:rsid w:val="00ED4E96"/>
    <w:rPr>
      <w:rFonts w:ascii="Tahoma" w:hAnsi="Tahoma" w:cs="Tahoma"/>
      <w:sz w:val="16"/>
      <w:szCs w:val="16"/>
    </w:rPr>
  </w:style>
  <w:style w:type="character" w:customStyle="1" w:styleId="BalloonTextChar">
    <w:name w:val="Balloon Text Char"/>
    <w:basedOn w:val="DefaultParagraphFont"/>
    <w:link w:val="BalloonText"/>
    <w:rsid w:val="00ED4E96"/>
    <w:rPr>
      <w:rFonts w:ascii="Tahoma" w:hAnsi="Tahoma" w:cs="Tahoma"/>
      <w:sz w:val="16"/>
      <w:szCs w:val="16"/>
    </w:rPr>
  </w:style>
  <w:style w:type="character" w:customStyle="1" w:styleId="SubtitleChar">
    <w:name w:val="Subtitle Char"/>
    <w:basedOn w:val="DefaultParagraphFont"/>
    <w:link w:val="Subtitle"/>
    <w:rsid w:val="00ED4E96"/>
    <w:rPr>
      <w:rFonts w:ascii="Arial" w:hAnsi="Arial"/>
      <w:szCs w:val="24"/>
    </w:rPr>
  </w:style>
  <w:style w:type="paragraph" w:customStyle="1" w:styleId="BoxListBullet3">
    <w:name w:val="Box List Bullet 3"/>
    <w:basedOn w:val="ListBullet3"/>
    <w:rsid w:val="00ED4E96"/>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ED4E96"/>
    <w:rPr>
      <w:i/>
      <w:iCs/>
    </w:rPr>
  </w:style>
  <w:style w:type="paragraph" w:customStyle="1" w:styleId="BoxQuoteBullet">
    <w:name w:val="Box Quote Bullet"/>
    <w:basedOn w:val="BoxQuote"/>
    <w:next w:val="Box"/>
    <w:rsid w:val="00ED4E96"/>
    <w:pPr>
      <w:numPr>
        <w:numId w:val="15"/>
      </w:numPr>
      <w:ind w:left="568" w:hanging="284"/>
    </w:pPr>
  </w:style>
  <w:style w:type="paragraph" w:customStyle="1" w:styleId="InformationRequestBullet">
    <w:name w:val="Information Request Bullet"/>
    <w:basedOn w:val="ListBullet"/>
    <w:next w:val="BodyText"/>
    <w:rsid w:val="00ED4E96"/>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ED4E96"/>
    <w:pPr>
      <w:keepNext w:val="0"/>
      <w:spacing w:before="60" w:after="60" w:line="80" w:lineRule="exact"/>
    </w:pPr>
    <w:rPr>
      <w:sz w:val="14"/>
    </w:rPr>
  </w:style>
  <w:style w:type="character" w:customStyle="1" w:styleId="BoxChar">
    <w:name w:val="Box Char"/>
    <w:link w:val="Box"/>
    <w:rsid w:val="004D7C96"/>
    <w:rPr>
      <w:rFonts w:ascii="Arial" w:hAnsi="Arial"/>
    </w:rPr>
  </w:style>
  <w:style w:type="character" w:customStyle="1" w:styleId="BoxTitleChar">
    <w:name w:val="Box Title Char"/>
    <w:link w:val="BoxTitle"/>
    <w:rsid w:val="004D7C96"/>
    <w:rPr>
      <w:rFonts w:ascii="Arial" w:hAnsi="Arial"/>
      <w:b/>
      <w:sz w:val="24"/>
      <w:szCs w:val="24"/>
    </w:rPr>
  </w:style>
  <w:style w:type="paragraph" w:styleId="CommentSubject">
    <w:name w:val="annotation subject"/>
    <w:basedOn w:val="CommentText"/>
    <w:next w:val="CommentText"/>
    <w:link w:val="CommentSubjectChar"/>
    <w:rsid w:val="00E002FA"/>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E002FA"/>
    <w:rPr>
      <w:szCs w:val="24"/>
    </w:rPr>
  </w:style>
  <w:style w:type="character" w:customStyle="1" w:styleId="CommentSubjectChar">
    <w:name w:val="Comment Subject Char"/>
    <w:basedOn w:val="CommentTextChar"/>
    <w:link w:val="CommentSubject"/>
    <w:rsid w:val="00E002FA"/>
    <w:rPr>
      <w:b/>
      <w:bCs/>
      <w:szCs w:val="24"/>
    </w:rPr>
  </w:style>
  <w:style w:type="character" w:styleId="Hyperlink">
    <w:name w:val="Hyperlink"/>
    <w:basedOn w:val="DefaultParagraphFont"/>
    <w:rsid w:val="00516DEA"/>
    <w:rPr>
      <w:color w:val="0000FF" w:themeColor="hyperlink"/>
      <w:u w:val="single"/>
    </w:rPr>
  </w:style>
  <w:style w:type="paragraph" w:customStyle="1" w:styleId="KeyPointsListBullet">
    <w:name w:val="Key Points List Bullet"/>
    <w:basedOn w:val="Normal"/>
    <w:qFormat/>
    <w:rsid w:val="00ED4E96"/>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ED4E96"/>
    <w:pPr>
      <w:numPr>
        <w:numId w:val="19"/>
      </w:numPr>
      <w:ind w:left="568" w:hanging="284"/>
    </w:pPr>
  </w:style>
  <w:style w:type="paragraph" w:customStyle="1" w:styleId="InformationRequestTitle">
    <w:name w:val="Information Request Title"/>
    <w:basedOn w:val="FindingTitle"/>
    <w:next w:val="InformationRequest"/>
    <w:rsid w:val="00ED4E96"/>
    <w:rPr>
      <w:i/>
    </w:rPr>
  </w:style>
  <w:style w:type="paragraph" w:customStyle="1" w:styleId="Space">
    <w:name w:val="Space"/>
    <w:basedOn w:val="Normal"/>
    <w:rsid w:val="00ED4E96"/>
    <w:pPr>
      <w:keepNext/>
      <w:spacing w:line="120" w:lineRule="exact"/>
      <w:jc w:val="both"/>
    </w:pPr>
    <w:rPr>
      <w:rFonts w:ascii="Arial" w:hAnsi="Arial"/>
      <w:sz w:val="20"/>
      <w:szCs w:val="20"/>
    </w:rPr>
  </w:style>
  <w:style w:type="paragraph" w:customStyle="1" w:styleId="Heading1nochapterno">
    <w:name w:val="Heading 1 (no chapter no.)"/>
    <w:basedOn w:val="Heading1"/>
    <w:rsid w:val="00ED4E96"/>
    <w:pPr>
      <w:spacing w:before="0"/>
      <w:ind w:left="0" w:firstLine="0"/>
    </w:pPr>
  </w:style>
  <w:style w:type="paragraph" w:customStyle="1" w:styleId="Heading2nosectionno">
    <w:name w:val="Heading 2 (no section no.)"/>
    <w:basedOn w:val="Heading2"/>
    <w:rsid w:val="00ED4E96"/>
    <w:pPr>
      <w:ind w:left="0" w:firstLine="0"/>
    </w:pPr>
  </w:style>
  <w:style w:type="character" w:customStyle="1" w:styleId="Heading5Char">
    <w:name w:val="Heading 5 Char"/>
    <w:basedOn w:val="DefaultParagraphFont"/>
    <w:link w:val="Heading5"/>
    <w:rsid w:val="00ED4E96"/>
    <w:rPr>
      <w:rFonts w:ascii="Arial" w:hAnsi="Arial"/>
      <w:i/>
      <w:sz w:val="22"/>
    </w:rPr>
  </w:style>
  <w:style w:type="paragraph" w:customStyle="1" w:styleId="Figurespace">
    <w:name w:val="Figure space"/>
    <w:basedOn w:val="Box"/>
    <w:rsid w:val="00ED4E96"/>
    <w:pPr>
      <w:spacing w:before="0" w:line="120" w:lineRule="exact"/>
    </w:pPr>
  </w:style>
  <w:style w:type="paragraph" w:customStyle="1" w:styleId="FooterDraftReport">
    <w:name w:val="FooterDraftReport"/>
    <w:basedOn w:val="Footer"/>
    <w:link w:val="FooterDraftReportChar"/>
    <w:rsid w:val="00ED4E96"/>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D4E96"/>
    <w:rPr>
      <w:sz w:val="24"/>
    </w:rPr>
  </w:style>
  <w:style w:type="character" w:customStyle="1" w:styleId="FooterChar">
    <w:name w:val="Footer Char"/>
    <w:basedOn w:val="BodyTextChar"/>
    <w:link w:val="Footer"/>
    <w:rsid w:val="00ED4E96"/>
    <w:rPr>
      <w:rFonts w:ascii="Arial" w:hAnsi="Arial"/>
      <w:caps/>
      <w:spacing w:val="-4"/>
      <w:sz w:val="16"/>
    </w:rPr>
  </w:style>
  <w:style w:type="character" w:customStyle="1" w:styleId="FooterDraftReportChar">
    <w:name w:val="FooterDraftReport Char"/>
    <w:basedOn w:val="FooterChar"/>
    <w:link w:val="FooterDraftReport"/>
    <w:rsid w:val="00ED4E96"/>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ED4E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ED4E96"/>
    <w:rPr>
      <w:rFonts w:ascii="Arial" w:hAnsi="Arial"/>
      <w:b/>
      <w:sz w:val="26"/>
      <w:szCs w:val="26"/>
      <w:lang w:eastAsia="en-US"/>
    </w:rPr>
  </w:style>
  <w:style w:type="paragraph" w:styleId="Bibliography">
    <w:name w:val="Bibliography"/>
    <w:basedOn w:val="Normal"/>
    <w:next w:val="Normal"/>
    <w:uiPriority w:val="37"/>
    <w:unhideWhenUsed/>
    <w:rsid w:val="005A1E64"/>
    <w:pPr>
      <w:spacing w:after="240"/>
      <w:ind w:left="720" w:hanging="720"/>
    </w:pPr>
  </w:style>
  <w:style w:type="character" w:customStyle="1" w:styleId="NoteChar">
    <w:name w:val="Note Char"/>
    <w:link w:val="Note"/>
    <w:rsid w:val="000F3FA4"/>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31240">
      <w:bodyDiv w:val="1"/>
      <w:marLeft w:val="0"/>
      <w:marRight w:val="0"/>
      <w:marTop w:val="0"/>
      <w:marBottom w:val="0"/>
      <w:divBdr>
        <w:top w:val="none" w:sz="0" w:space="0" w:color="auto"/>
        <w:left w:val="none" w:sz="0" w:space="0" w:color="auto"/>
        <w:bottom w:val="none" w:sz="0" w:space="0" w:color="auto"/>
        <w:right w:val="none" w:sz="0" w:space="0" w:color="auto"/>
      </w:divBdr>
      <w:divsChild>
        <w:div w:id="1864591275">
          <w:marLeft w:val="0"/>
          <w:marRight w:val="0"/>
          <w:marTop w:val="0"/>
          <w:marBottom w:val="0"/>
          <w:divBdr>
            <w:top w:val="none" w:sz="0" w:space="0" w:color="auto"/>
            <w:left w:val="none" w:sz="0" w:space="0" w:color="auto"/>
            <w:bottom w:val="none" w:sz="0" w:space="0" w:color="auto"/>
            <w:right w:val="none" w:sz="0" w:space="0" w:color="auto"/>
          </w:divBdr>
          <w:divsChild>
            <w:div w:id="1775511631">
              <w:marLeft w:val="0"/>
              <w:marRight w:val="0"/>
              <w:marTop w:val="0"/>
              <w:marBottom w:val="0"/>
              <w:divBdr>
                <w:top w:val="none" w:sz="0" w:space="0" w:color="auto"/>
                <w:left w:val="none" w:sz="0" w:space="0" w:color="auto"/>
                <w:bottom w:val="none" w:sz="0" w:space="0" w:color="auto"/>
                <w:right w:val="none" w:sz="0" w:space="0" w:color="auto"/>
              </w:divBdr>
              <w:divsChild>
                <w:div w:id="2018384740">
                  <w:marLeft w:val="0"/>
                  <w:marRight w:val="0"/>
                  <w:marTop w:val="0"/>
                  <w:marBottom w:val="0"/>
                  <w:divBdr>
                    <w:top w:val="none" w:sz="0" w:space="0" w:color="auto"/>
                    <w:left w:val="none" w:sz="0" w:space="0" w:color="auto"/>
                    <w:bottom w:val="none" w:sz="0" w:space="0" w:color="auto"/>
                    <w:right w:val="none" w:sz="0" w:space="0" w:color="auto"/>
                  </w:divBdr>
                  <w:divsChild>
                    <w:div w:id="60686429">
                      <w:marLeft w:val="0"/>
                      <w:marRight w:val="0"/>
                      <w:marTop w:val="0"/>
                      <w:marBottom w:val="0"/>
                      <w:divBdr>
                        <w:top w:val="none" w:sz="0" w:space="0" w:color="auto"/>
                        <w:left w:val="none" w:sz="0" w:space="0" w:color="auto"/>
                        <w:bottom w:val="none" w:sz="0" w:space="0" w:color="auto"/>
                        <w:right w:val="none" w:sz="0" w:space="0" w:color="auto"/>
                      </w:divBdr>
                      <w:divsChild>
                        <w:div w:id="644814813">
                          <w:marLeft w:val="0"/>
                          <w:marRight w:val="0"/>
                          <w:marTop w:val="0"/>
                          <w:marBottom w:val="0"/>
                          <w:divBdr>
                            <w:top w:val="single" w:sz="6" w:space="0" w:color="828282"/>
                            <w:left w:val="single" w:sz="6" w:space="0" w:color="828282"/>
                            <w:bottom w:val="single" w:sz="6" w:space="0" w:color="828282"/>
                            <w:right w:val="single" w:sz="6" w:space="0" w:color="828282"/>
                          </w:divBdr>
                          <w:divsChild>
                            <w:div w:id="476187590">
                              <w:marLeft w:val="0"/>
                              <w:marRight w:val="0"/>
                              <w:marTop w:val="0"/>
                              <w:marBottom w:val="0"/>
                              <w:divBdr>
                                <w:top w:val="none" w:sz="0" w:space="0" w:color="auto"/>
                                <w:left w:val="none" w:sz="0" w:space="0" w:color="auto"/>
                                <w:bottom w:val="none" w:sz="0" w:space="0" w:color="auto"/>
                                <w:right w:val="none" w:sz="0" w:space="0" w:color="auto"/>
                              </w:divBdr>
                              <w:divsChild>
                                <w:div w:id="1362392733">
                                  <w:marLeft w:val="0"/>
                                  <w:marRight w:val="0"/>
                                  <w:marTop w:val="0"/>
                                  <w:marBottom w:val="0"/>
                                  <w:divBdr>
                                    <w:top w:val="none" w:sz="0" w:space="0" w:color="auto"/>
                                    <w:left w:val="none" w:sz="0" w:space="0" w:color="auto"/>
                                    <w:bottom w:val="none" w:sz="0" w:space="0" w:color="auto"/>
                                    <w:right w:val="none" w:sz="0" w:space="0" w:color="auto"/>
                                  </w:divBdr>
                                  <w:divsChild>
                                    <w:div w:id="715276962">
                                      <w:marLeft w:val="0"/>
                                      <w:marRight w:val="0"/>
                                      <w:marTop w:val="0"/>
                                      <w:marBottom w:val="0"/>
                                      <w:divBdr>
                                        <w:top w:val="none" w:sz="0" w:space="0" w:color="auto"/>
                                        <w:left w:val="none" w:sz="0" w:space="0" w:color="auto"/>
                                        <w:bottom w:val="none" w:sz="0" w:space="0" w:color="auto"/>
                                        <w:right w:val="none" w:sz="0" w:space="0" w:color="auto"/>
                                      </w:divBdr>
                                      <w:divsChild>
                                        <w:div w:id="731120174">
                                          <w:marLeft w:val="0"/>
                                          <w:marRight w:val="0"/>
                                          <w:marTop w:val="0"/>
                                          <w:marBottom w:val="0"/>
                                          <w:divBdr>
                                            <w:top w:val="none" w:sz="0" w:space="0" w:color="auto"/>
                                            <w:left w:val="none" w:sz="0" w:space="0" w:color="auto"/>
                                            <w:bottom w:val="none" w:sz="0" w:space="0" w:color="auto"/>
                                            <w:right w:val="none" w:sz="0" w:space="0" w:color="auto"/>
                                          </w:divBdr>
                                          <w:divsChild>
                                            <w:div w:id="1762750530">
                                              <w:marLeft w:val="0"/>
                                              <w:marRight w:val="0"/>
                                              <w:marTop w:val="0"/>
                                              <w:marBottom w:val="0"/>
                                              <w:divBdr>
                                                <w:top w:val="none" w:sz="0" w:space="0" w:color="auto"/>
                                                <w:left w:val="none" w:sz="0" w:space="0" w:color="auto"/>
                                                <w:bottom w:val="none" w:sz="0" w:space="0" w:color="auto"/>
                                                <w:right w:val="none" w:sz="0" w:space="0" w:color="auto"/>
                                              </w:divBdr>
                                              <w:divsChild>
                                                <w:div w:id="35842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6238611">
      <w:bodyDiv w:val="1"/>
      <w:marLeft w:val="0"/>
      <w:marRight w:val="0"/>
      <w:marTop w:val="0"/>
      <w:marBottom w:val="0"/>
      <w:divBdr>
        <w:top w:val="none" w:sz="0" w:space="0" w:color="auto"/>
        <w:left w:val="none" w:sz="0" w:space="0" w:color="auto"/>
        <w:bottom w:val="none" w:sz="0" w:space="0" w:color="auto"/>
        <w:right w:val="none" w:sz="0" w:space="0" w:color="auto"/>
      </w:divBdr>
      <w:divsChild>
        <w:div w:id="1546214159">
          <w:marLeft w:val="0"/>
          <w:marRight w:val="0"/>
          <w:marTop w:val="0"/>
          <w:marBottom w:val="0"/>
          <w:divBdr>
            <w:top w:val="none" w:sz="0" w:space="0" w:color="auto"/>
            <w:left w:val="none" w:sz="0" w:space="0" w:color="auto"/>
            <w:bottom w:val="none" w:sz="0" w:space="0" w:color="auto"/>
            <w:right w:val="none" w:sz="0" w:space="0" w:color="auto"/>
          </w:divBdr>
          <w:divsChild>
            <w:div w:id="685402615">
              <w:marLeft w:val="0"/>
              <w:marRight w:val="0"/>
              <w:marTop w:val="0"/>
              <w:marBottom w:val="0"/>
              <w:divBdr>
                <w:top w:val="none" w:sz="0" w:space="0" w:color="auto"/>
                <w:left w:val="none" w:sz="0" w:space="0" w:color="auto"/>
                <w:bottom w:val="none" w:sz="0" w:space="0" w:color="auto"/>
                <w:right w:val="none" w:sz="0" w:space="0" w:color="auto"/>
              </w:divBdr>
              <w:divsChild>
                <w:div w:id="1909268777">
                  <w:marLeft w:val="0"/>
                  <w:marRight w:val="0"/>
                  <w:marTop w:val="0"/>
                  <w:marBottom w:val="0"/>
                  <w:divBdr>
                    <w:top w:val="none" w:sz="0" w:space="0" w:color="auto"/>
                    <w:left w:val="none" w:sz="0" w:space="0" w:color="auto"/>
                    <w:bottom w:val="none" w:sz="0" w:space="0" w:color="auto"/>
                    <w:right w:val="none" w:sz="0" w:space="0" w:color="auto"/>
                  </w:divBdr>
                  <w:divsChild>
                    <w:div w:id="131601679">
                      <w:marLeft w:val="0"/>
                      <w:marRight w:val="0"/>
                      <w:marTop w:val="0"/>
                      <w:marBottom w:val="0"/>
                      <w:divBdr>
                        <w:top w:val="none" w:sz="0" w:space="0" w:color="auto"/>
                        <w:left w:val="none" w:sz="0" w:space="0" w:color="auto"/>
                        <w:bottom w:val="none" w:sz="0" w:space="0" w:color="auto"/>
                        <w:right w:val="none" w:sz="0" w:space="0" w:color="auto"/>
                      </w:divBdr>
                      <w:divsChild>
                        <w:div w:id="1579635615">
                          <w:marLeft w:val="0"/>
                          <w:marRight w:val="0"/>
                          <w:marTop w:val="0"/>
                          <w:marBottom w:val="0"/>
                          <w:divBdr>
                            <w:top w:val="none" w:sz="0" w:space="0" w:color="auto"/>
                            <w:left w:val="none" w:sz="0" w:space="0" w:color="auto"/>
                            <w:bottom w:val="none" w:sz="0" w:space="0" w:color="auto"/>
                            <w:right w:val="none" w:sz="0" w:space="0" w:color="auto"/>
                          </w:divBdr>
                          <w:divsChild>
                            <w:div w:id="133834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i\chap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346EE-F154-411E-9E8E-1972AEF58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611</TotalTime>
  <Pages>20</Pages>
  <Words>6779</Words>
  <Characters>42414</Characters>
  <Application>Microsoft Office Word</Application>
  <DocSecurity>0</DocSecurity>
  <Lines>353</Lines>
  <Paragraphs>98</Paragraphs>
  <ScaleCrop>false</ScaleCrop>
  <HeadingPairs>
    <vt:vector size="2" baseType="variant">
      <vt:variant>
        <vt:lpstr>Title</vt:lpstr>
      </vt:variant>
      <vt:variant>
        <vt:i4>1</vt:i4>
      </vt:variant>
    </vt:vector>
  </HeadingPairs>
  <TitlesOfParts>
    <vt:vector size="1" baseType="lpstr">
      <vt:lpstr>Chapter 1 Introduction - Overcoming Indigenous Disadvantage - Key Indicators 2014 Report</vt:lpstr>
    </vt:vector>
  </TitlesOfParts>
  <Company>Productivity Commission</Company>
  <LinksUpToDate>false</LinksUpToDate>
  <CharactersWithSpaces>49095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Introduction - Overcoming Indigenous Disadvantage - Key Indicators 2014 Report</dc:title>
  <dc:subject/>
  <dc:creator>Steering Committee for the Review of Government Service Provision</dc:creator>
  <dc:description/>
  <cp:lastModifiedBy>Frech, Tanya</cp:lastModifiedBy>
  <cp:revision>59</cp:revision>
  <cp:lastPrinted>2014-09-02T08:47:00Z</cp:lastPrinted>
  <dcterms:created xsi:type="dcterms:W3CDTF">2014-09-11T06:11:00Z</dcterms:created>
  <dcterms:modified xsi:type="dcterms:W3CDTF">2014-10-31T04:24:00Z</dcterms:modified>
</cp:coreProperties>
</file>