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FF" w:rsidRPr="00574136" w:rsidRDefault="001C4D34" w:rsidP="001C4D34">
      <w:pPr>
        <w:pStyle w:val="Heading1"/>
        <w:spacing w:before="0"/>
        <w:rPr>
          <w:rStyle w:val="NoteLabel"/>
          <w:szCs w:val="18"/>
          <w:vertAlign w:val="superscript"/>
        </w:rPr>
      </w:pPr>
      <w:bookmarkStart w:id="0" w:name="ChapterNumber"/>
      <w:r>
        <w:t>12</w:t>
      </w:r>
      <w:bookmarkEnd w:id="0"/>
      <w:r>
        <w:tab/>
      </w:r>
      <w:bookmarkStart w:id="1" w:name="ChapterTitle"/>
      <w:r>
        <w:t>Outcomes for Torres Strait Islander people</w:t>
      </w:r>
      <w:bookmarkEnd w:id="1"/>
      <w:r w:rsidR="00574136" w:rsidRPr="00574136">
        <w:rPr>
          <w:rStyle w:val="NoteLabel"/>
          <w:szCs w:val="18"/>
        </w:rPr>
        <w:footnoteReference w:id="1"/>
      </w:r>
    </w:p>
    <w:p w:rsidR="007A070D" w:rsidRDefault="007A070D">
      <w:pPr>
        <w:pStyle w:val="BoxSpaceAbove"/>
      </w:pPr>
      <w:bookmarkStart w:id="3" w:name="begin"/>
      <w:bookmarkEnd w:id="3"/>
    </w:p>
    <w:tbl>
      <w:tblPr>
        <w:tblW w:w="0" w:type="auto"/>
        <w:tblInd w:w="164" w:type="dxa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7A070D" w:rsidTr="00176D3F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A070D" w:rsidRDefault="007A070D">
            <w:pPr>
              <w:pStyle w:val="BoxTitle"/>
            </w:pPr>
            <w:r>
              <w:rPr>
                <w:b w:val="0"/>
              </w:rPr>
              <w:t>Box 12.</w:t>
            </w:r>
            <w:r w:rsidR="006A2A1C">
              <w:rPr>
                <w:b w:val="0"/>
                <w:noProof/>
              </w:rPr>
              <w:t>1</w:t>
            </w:r>
            <w:r>
              <w:tab/>
              <w:t>Key messages</w:t>
            </w:r>
          </w:p>
        </w:tc>
      </w:tr>
      <w:tr w:rsidR="007A070D" w:rsidTr="00176D3F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A070D" w:rsidRDefault="007A070D" w:rsidP="007E107F">
            <w:pPr>
              <w:pStyle w:val="BoxListBullet"/>
            </w:pPr>
            <w:r>
              <w:t>Available data suggest that</w:t>
            </w:r>
            <w:r w:rsidR="0000181D">
              <w:t>,</w:t>
            </w:r>
            <w:r>
              <w:t xml:space="preserve"> </w:t>
            </w:r>
            <w:r w:rsidR="0000181D">
              <w:t xml:space="preserve">for many indicators, </w:t>
            </w:r>
            <w:r>
              <w:t>outcomes for Torres Strait Islander Australians are similar to those for Aboriginal Australians, including</w:t>
            </w:r>
            <w:r w:rsidR="0000181D">
              <w:t xml:space="preserve"> for</w:t>
            </w:r>
            <w:r w:rsidR="006A2A1C">
              <w:t>: year 12 attainment</w:t>
            </w:r>
            <w:r>
              <w:t xml:space="preserve"> (table </w:t>
            </w:r>
            <w:proofErr w:type="spellStart"/>
            <w:r>
              <w:t>12A.1.1</w:t>
            </w:r>
            <w:proofErr w:type="spellEnd"/>
            <w:r>
              <w:t>); post</w:t>
            </w:r>
            <w:r>
              <w:noBreakHyphen/>
              <w:t xml:space="preserve">secondary education attainment (table </w:t>
            </w:r>
            <w:proofErr w:type="spellStart"/>
            <w:r>
              <w:t>12A.1.1</w:t>
            </w:r>
            <w:proofErr w:type="spellEnd"/>
            <w:r>
              <w:t xml:space="preserve">); home ownership (table </w:t>
            </w:r>
            <w:proofErr w:type="spellStart"/>
            <w:r>
              <w:t>12A.1.2</w:t>
            </w:r>
            <w:proofErr w:type="spellEnd"/>
            <w:r>
              <w:t xml:space="preserve">); personal income (table </w:t>
            </w:r>
            <w:proofErr w:type="spellStart"/>
            <w:r>
              <w:t>12A.1.3</w:t>
            </w:r>
            <w:proofErr w:type="spellEnd"/>
            <w:r>
              <w:t>); and sel</w:t>
            </w:r>
            <w:r w:rsidR="00952E72">
              <w:t>f-assessed health status (table </w:t>
            </w:r>
            <w:proofErr w:type="spellStart"/>
            <w:r>
              <w:t>12A.1.5</w:t>
            </w:r>
            <w:proofErr w:type="spellEnd"/>
            <w:r>
              <w:t>).</w:t>
            </w:r>
          </w:p>
          <w:p w:rsidR="007A070D" w:rsidRDefault="007A070D" w:rsidP="007E107F">
            <w:pPr>
              <w:pStyle w:val="BoxListBullet"/>
            </w:pPr>
            <w:r>
              <w:t>Labour force participation rates for people aged 18</w:t>
            </w:r>
            <w:r w:rsidR="0007743F">
              <w:t>–64</w:t>
            </w:r>
            <w:r>
              <w:t xml:space="preserve"> years in 201</w:t>
            </w:r>
            <w:r w:rsidR="00D03297">
              <w:t>1</w:t>
            </w:r>
            <w:r w:rsidR="0000181D">
              <w:t>–</w:t>
            </w:r>
            <w:r>
              <w:t xml:space="preserve">13 were higher for Torres Strait Islander Australians (70.5 per cent) than for Aboriginal Australians (61.7 per cent) although still lower than for non-Indigenous Australians (81.6 per cent) </w:t>
            </w:r>
            <w:r w:rsidR="0000181D">
              <w:t xml:space="preserve">(although participation rates for </w:t>
            </w:r>
            <w:r>
              <w:t xml:space="preserve">Torres Strait Islander Australians </w:t>
            </w:r>
            <w:r w:rsidR="0000181D">
              <w:t>living in mainland</w:t>
            </w:r>
            <w:r>
              <w:t xml:space="preserve"> Queensland</w:t>
            </w:r>
            <w:r w:rsidR="0000181D">
              <w:t xml:space="preserve"> were not stat</w:t>
            </w:r>
            <w:r w:rsidR="009B6925">
              <w:t>istically different to those for non-Indi</w:t>
            </w:r>
            <w:r w:rsidR="0000181D">
              <w:t xml:space="preserve">genous </w:t>
            </w:r>
            <w:r w:rsidR="009B6925">
              <w:t>Australians</w:t>
            </w:r>
            <w:r w:rsidR="0000181D">
              <w:t>)</w:t>
            </w:r>
            <w:r>
              <w:t xml:space="preserve"> (figure 12.1</w:t>
            </w:r>
            <w:r w:rsidRPr="00B14AE3">
              <w:t xml:space="preserve">). </w:t>
            </w:r>
            <w:r w:rsidR="0007743F" w:rsidRPr="00B14AE3">
              <w:t>T</w:t>
            </w:r>
            <w:r w:rsidRPr="00B14AE3">
              <w:t>he unemployment rate</w:t>
            </w:r>
            <w:r w:rsidR="0007743F" w:rsidRPr="00B14AE3">
              <w:t>s</w:t>
            </w:r>
            <w:r w:rsidRPr="00B14AE3">
              <w:t xml:space="preserve"> for Torres Strait Islander Australians (</w:t>
            </w:r>
            <w:r w:rsidR="0007743F" w:rsidRPr="00B14AE3">
              <w:t>19.8</w:t>
            </w:r>
            <w:r w:rsidRPr="00B14AE3">
              <w:t xml:space="preserve"> per cent)</w:t>
            </w:r>
            <w:r w:rsidR="0007743F" w:rsidRPr="00B14AE3">
              <w:t xml:space="preserve"> and</w:t>
            </w:r>
            <w:r w:rsidRPr="00B14AE3">
              <w:t xml:space="preserve"> Aboriginal Australians</w:t>
            </w:r>
            <w:r w:rsidR="0007743F" w:rsidRPr="00B14AE3">
              <w:t xml:space="preserve"> (19.1</w:t>
            </w:r>
            <w:r w:rsidRPr="00B14AE3">
              <w:t xml:space="preserve"> per cent) </w:t>
            </w:r>
            <w:r w:rsidR="00D9656C" w:rsidRPr="00B14AE3">
              <w:t>we</w:t>
            </w:r>
            <w:r w:rsidR="0007743F" w:rsidRPr="00B14AE3">
              <w:t>re similar, but</w:t>
            </w:r>
            <w:r w:rsidRPr="00B14AE3">
              <w:t xml:space="preserve"> both </w:t>
            </w:r>
            <w:r w:rsidR="00D9656C" w:rsidRPr="00B14AE3">
              <w:t>we</w:t>
            </w:r>
            <w:r w:rsidRPr="00B14AE3">
              <w:t>re higher than the rate for</w:t>
            </w:r>
            <w:r w:rsidR="0007743F" w:rsidRPr="00B14AE3">
              <w:t xml:space="preserve"> non</w:t>
            </w:r>
            <w:r w:rsidR="0007743F" w:rsidRPr="00B14AE3">
              <w:noBreakHyphen/>
              <w:t>Indigenous Australians (3.8</w:t>
            </w:r>
            <w:r w:rsidRPr="00B14AE3">
              <w:t> per cent) (table </w:t>
            </w:r>
            <w:proofErr w:type="spellStart"/>
            <w:r w:rsidR="0007743F" w:rsidRPr="00B14AE3">
              <w:t>12</w:t>
            </w:r>
            <w:r w:rsidRPr="00B14AE3">
              <w:t>A.</w:t>
            </w:r>
            <w:r w:rsidR="0007743F" w:rsidRPr="00B14AE3">
              <w:t>1</w:t>
            </w:r>
            <w:r w:rsidRPr="00B14AE3">
              <w:t>.</w:t>
            </w:r>
            <w:r w:rsidR="0007743F" w:rsidRPr="00B14AE3">
              <w:t>4</w:t>
            </w:r>
            <w:proofErr w:type="spellEnd"/>
            <w:r w:rsidRPr="00B14AE3">
              <w:t>).</w:t>
            </w:r>
          </w:p>
        </w:tc>
      </w:tr>
      <w:tr w:rsidR="007A070D" w:rsidTr="00176D3F">
        <w:trPr>
          <w:cantSplit/>
        </w:trPr>
        <w:tc>
          <w:tcPr>
            <w:tcW w:w="8771" w:type="dxa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F2F2F2" w:themeFill="background1" w:themeFillShade="F2"/>
          </w:tcPr>
          <w:p w:rsidR="007A070D" w:rsidRDefault="007A070D">
            <w:pPr>
              <w:pStyle w:val="Box"/>
              <w:spacing w:before="0" w:line="120" w:lineRule="exact"/>
            </w:pPr>
          </w:p>
        </w:tc>
      </w:tr>
      <w:tr w:rsidR="007A070D" w:rsidRPr="000863A5" w:rsidTr="00176D3F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7A070D" w:rsidRPr="00626D32" w:rsidRDefault="007A070D" w:rsidP="00537BB4">
            <w:pPr>
              <w:pStyle w:val="BoxSpaceBelow"/>
            </w:pPr>
          </w:p>
        </w:tc>
      </w:tr>
    </w:tbl>
    <w:p w:rsidR="00DB26D2" w:rsidRDefault="002A6A21" w:rsidP="002A6A21">
      <w:pPr>
        <w:pStyle w:val="Heading2"/>
      </w:pPr>
      <w:r>
        <w:t>12.1 Selected outcomes for Torres Strait Islander people</w:t>
      </w:r>
    </w:p>
    <w:p w:rsidR="00F14AA0" w:rsidRDefault="00F14AA0" w:rsidP="00F14AA0">
      <w:pPr>
        <w:pStyle w:val="BodyText"/>
      </w:pPr>
      <w:r>
        <w:t xml:space="preserve">The estimated Indigenous population of Australia at 30 June 2011 was </w:t>
      </w:r>
      <w:r w:rsidR="0040239C">
        <w:t>669 900</w:t>
      </w:r>
      <w:r>
        <w:t xml:space="preserve">, of whom </w:t>
      </w:r>
      <w:r w:rsidR="0040239C">
        <w:t>63 717</w:t>
      </w:r>
      <w:r>
        <w:t xml:space="preserve"> (</w:t>
      </w:r>
      <w:r w:rsidR="0040239C">
        <w:t>9.5</w:t>
      </w:r>
      <w:r>
        <w:t xml:space="preserve"> per cent of the Indigenous population) identified as Torres Strait Islander people. </w:t>
      </w:r>
      <w:r w:rsidRPr="0040239C">
        <w:t xml:space="preserve">This included people who identified as being of Torres Strait Islander origin </w:t>
      </w:r>
      <w:r w:rsidRPr="00A9300F">
        <w:t>(</w:t>
      </w:r>
      <w:r w:rsidR="0040239C" w:rsidRPr="00A9300F">
        <w:t>5.7</w:t>
      </w:r>
      <w:r w:rsidRPr="00A9300F">
        <w:t> per cent of the Indigenous population) and people who identified as being both Aboriginal and Torres Strait Islander (3.</w:t>
      </w:r>
      <w:r w:rsidR="0040239C" w:rsidRPr="00A9300F">
        <w:t>8</w:t>
      </w:r>
      <w:r w:rsidRPr="00A9300F">
        <w:t> per cent of the Indigenous population)</w:t>
      </w:r>
      <w:r w:rsidR="00BF040E" w:rsidRPr="00A9300F">
        <w:t xml:space="preserve"> </w:t>
      </w:r>
      <w:r w:rsidR="00BF040E" w:rsidRPr="00A9300F">
        <w:rPr>
          <w:szCs w:val="24"/>
        </w:rPr>
        <w:t>(ABS 2013)</w:t>
      </w:r>
      <w:r w:rsidRPr="00A9300F">
        <w:t xml:space="preserve">. </w:t>
      </w:r>
      <w:r w:rsidR="00236F00" w:rsidRPr="00A9300F">
        <w:t>From</w:t>
      </w:r>
      <w:r w:rsidR="0070794F" w:rsidRPr="00A9300F">
        <w:t xml:space="preserve"> the 2011 Census, around 11 per cent of Torres Strait Islander people were reported </w:t>
      </w:r>
      <w:r w:rsidR="00236F00" w:rsidRPr="00A9300F">
        <w:t xml:space="preserve">as </w:t>
      </w:r>
      <w:r w:rsidR="0070794F" w:rsidRPr="00A9300F">
        <w:t xml:space="preserve">living in the Torres Strait, while the </w:t>
      </w:r>
      <w:r w:rsidRPr="00A9300F">
        <w:t>majority (62.</w:t>
      </w:r>
      <w:r w:rsidR="0040239C" w:rsidRPr="00A9300F">
        <w:t>6</w:t>
      </w:r>
      <w:r w:rsidRPr="00A9300F">
        <w:t> per cent) lived in Queensland</w:t>
      </w:r>
      <w:r w:rsidR="00BF040E" w:rsidRPr="00A9300F">
        <w:t xml:space="preserve"> </w:t>
      </w:r>
      <w:r w:rsidR="00BF040E" w:rsidRPr="00A9300F">
        <w:rPr>
          <w:szCs w:val="24"/>
        </w:rPr>
        <w:t>(ABS 2012)</w:t>
      </w:r>
      <w:r w:rsidRPr="00A9300F">
        <w:t>.</w:t>
      </w:r>
      <w:r>
        <w:t xml:space="preserve"> </w:t>
      </w:r>
      <w:r w:rsidR="0070794F">
        <w:t xml:space="preserve"> </w:t>
      </w:r>
    </w:p>
    <w:p w:rsidR="00D03297" w:rsidRDefault="00E9483D" w:rsidP="00F14AA0">
      <w:pPr>
        <w:pStyle w:val="BodyText"/>
      </w:pPr>
      <w:r w:rsidRPr="00E9483D">
        <w:t xml:space="preserve">This chapter presents a selection of results </w:t>
      </w:r>
      <w:r w:rsidR="008A071B">
        <w:t xml:space="preserve">for Aboriginal Australians and Torres Strait Islander Australians </w:t>
      </w:r>
      <w:r w:rsidRPr="00E9483D">
        <w:t>from the ABS Australian Aboriginal and Torres Strait Islander Health Survey (AATSIHS) 2012-13</w:t>
      </w:r>
      <w:r w:rsidR="008A071B">
        <w:t>, with non-Indigenous comparators from</w:t>
      </w:r>
      <w:r w:rsidRPr="00E9483D">
        <w:t xml:space="preserve"> the ABS Australian Health Survey (AHS) 2011-12. </w:t>
      </w:r>
      <w:r w:rsidR="00D03297" w:rsidRPr="00D03297">
        <w:t xml:space="preserve">AATSIHS and AHS data are presented together as covering </w:t>
      </w:r>
      <w:r w:rsidR="00D03297">
        <w:t>the overall time period of 2011</w:t>
      </w:r>
      <w:r w:rsidR="0000181D">
        <w:t>–</w:t>
      </w:r>
      <w:r w:rsidR="00D03297" w:rsidRPr="00D03297">
        <w:t>13</w:t>
      </w:r>
      <w:r w:rsidR="009B6925">
        <w:t>.</w:t>
      </w:r>
    </w:p>
    <w:p w:rsidR="00E9483D" w:rsidRDefault="00E9483D" w:rsidP="00F14AA0">
      <w:pPr>
        <w:pStyle w:val="BodyText"/>
      </w:pPr>
      <w:r w:rsidRPr="00E9483D">
        <w:lastRenderedPageBreak/>
        <w:t>More extensive data from the 2008 National Aboriginal and Torres Strait Islander Social Survey and the 2006 Census were presented in the 201</w:t>
      </w:r>
      <w:r w:rsidR="00BF040E">
        <w:t xml:space="preserve">1 and 2009 reports respectively   </w:t>
      </w:r>
      <w:r w:rsidR="00A9300F" w:rsidRPr="00A9300F">
        <w:rPr>
          <w:szCs w:val="24"/>
        </w:rPr>
        <w:t>(SCRGSP 2009, 2011)</w:t>
      </w:r>
      <w:r w:rsidRPr="00E9483D">
        <w:t>.</w:t>
      </w:r>
      <w:r w:rsidR="00D03297">
        <w:t xml:space="preserve"> </w:t>
      </w:r>
      <w:r w:rsidR="00D03297" w:rsidRPr="00D03297">
        <w:t>Survey and Census data are not directly comparable.</w:t>
      </w:r>
    </w:p>
    <w:p w:rsidR="00434397" w:rsidRDefault="0077776C" w:rsidP="00F14AA0">
      <w:pPr>
        <w:pStyle w:val="BodyText"/>
      </w:pPr>
      <w:r w:rsidRPr="00B14AE3">
        <w:t xml:space="preserve">There is great diversity in Torres Strait Islander communities, their languages and traditions. There is also regional variability </w:t>
      </w:r>
      <w:r w:rsidR="0000181D" w:rsidRPr="00B14AE3">
        <w:t>across</w:t>
      </w:r>
      <w:r w:rsidRPr="00B14AE3">
        <w:t xml:space="preserve"> Torres Strait Islander communities, including differences </w:t>
      </w:r>
      <w:r w:rsidR="0000181D" w:rsidRPr="00B14AE3">
        <w:t>between those living</w:t>
      </w:r>
      <w:r w:rsidRPr="00B14AE3">
        <w:t xml:space="preserve"> on the islands, within Australia and in remote versus urban communities. However, </w:t>
      </w:r>
      <w:r w:rsidR="00434397" w:rsidRPr="00B14AE3">
        <w:t>Torres</w:t>
      </w:r>
      <w:r w:rsidR="00434397" w:rsidRPr="00E9483D">
        <w:t xml:space="preserve"> Strait Islander people make up a very small proportion of the Australian population (0.29 per cent), making it difficult to</w:t>
      </w:r>
      <w:r>
        <w:t xml:space="preserve"> report reliable data from sample surveys at a disaggregated level</w:t>
      </w:r>
      <w:r w:rsidR="00434397" w:rsidRPr="00434397">
        <w:t>. In this chapter, data</w:t>
      </w:r>
      <w:r w:rsidR="008A071B">
        <w:t xml:space="preserve"> for</w:t>
      </w:r>
      <w:r w:rsidR="00434397" w:rsidRPr="00434397">
        <w:t xml:space="preserve"> ‘Torres Strait Islander’ </w:t>
      </w:r>
      <w:r w:rsidR="008A071B">
        <w:t xml:space="preserve">Australians </w:t>
      </w:r>
      <w:r w:rsidR="00434397" w:rsidRPr="00434397">
        <w:t>include both people who identified as ‘Torres Strait Islander only’ and people who identified as ‘Both Aboriginal and Torres Strait Islander’. For comparison purposes,</w:t>
      </w:r>
      <w:r w:rsidR="008A071B">
        <w:t xml:space="preserve"> data for</w:t>
      </w:r>
      <w:r w:rsidR="00434397" w:rsidRPr="00434397">
        <w:t xml:space="preserve"> ‘Aboriginal’</w:t>
      </w:r>
      <w:r w:rsidR="008A071B">
        <w:t xml:space="preserve"> Australians</w:t>
      </w:r>
      <w:r w:rsidR="00434397" w:rsidRPr="00434397">
        <w:t xml:space="preserve"> in this chapter ha</w:t>
      </w:r>
      <w:r w:rsidR="008A071B">
        <w:t>ve</w:t>
      </w:r>
      <w:r w:rsidR="00434397" w:rsidRPr="00434397">
        <w:t xml:space="preserve"> been limited to people who identified as ‘Aboriginal only’.</w:t>
      </w:r>
    </w:p>
    <w:p w:rsidR="00125ABE" w:rsidRDefault="00EC5634" w:rsidP="00F14AA0">
      <w:pPr>
        <w:pStyle w:val="BodyText"/>
      </w:pPr>
      <w:r>
        <w:t>Subject to suitable levels of data quality, d</w:t>
      </w:r>
      <w:r w:rsidR="00125ABE">
        <w:t>ata for this chapter are disaggregated into two geographical areas that reflect the distribution of Torres Strait Islander people across Australia: Queensland (</w:t>
      </w:r>
      <w:r w:rsidR="008A071B">
        <w:t>including</w:t>
      </w:r>
      <w:r w:rsidR="00125ABE">
        <w:t xml:space="preserve"> the Torres Strait Indigenous region); and the Balance of Australia (which comprises the remainder of Australia).</w:t>
      </w:r>
      <w:r w:rsidR="00614A11">
        <w:t xml:space="preserve"> These disaggregations are available in the attachment tables.</w:t>
      </w:r>
      <w:r w:rsidR="00CB1FB5">
        <w:t xml:space="preserve"> </w:t>
      </w:r>
    </w:p>
    <w:p w:rsidR="00A07D02" w:rsidRDefault="00434397" w:rsidP="00434397">
      <w:pPr>
        <w:pStyle w:val="Heading3"/>
      </w:pPr>
      <w:r>
        <w:t xml:space="preserve">Year 12 </w:t>
      </w:r>
      <w:r w:rsidR="00A07D02">
        <w:t>or post-secondary education</w:t>
      </w:r>
    </w:p>
    <w:p w:rsidR="00071F9D" w:rsidRDefault="009B6925" w:rsidP="00A07D02">
      <w:pPr>
        <w:pStyle w:val="BodyText"/>
      </w:pPr>
      <w:r>
        <w:t>In 2011–</w:t>
      </w:r>
      <w:r w:rsidR="00B32DED">
        <w:t>13</w:t>
      </w:r>
      <w:r w:rsidR="00071F9D">
        <w:t>:</w:t>
      </w:r>
    </w:p>
    <w:p w:rsidR="00A07D02" w:rsidRPr="009B6925" w:rsidRDefault="008A071B" w:rsidP="00CB1FB5">
      <w:pPr>
        <w:pStyle w:val="ListBullet"/>
      </w:pPr>
      <w:r>
        <w:t>the</w:t>
      </w:r>
      <w:r w:rsidR="00071F9D">
        <w:t>re was no statistically significant difference in</w:t>
      </w:r>
      <w:r>
        <w:t xml:space="preserve"> </w:t>
      </w:r>
      <w:r w:rsidR="00071F9D">
        <w:t xml:space="preserve">the </w:t>
      </w:r>
      <w:r>
        <w:t>proportion</w:t>
      </w:r>
      <w:r w:rsidR="00B11F7D">
        <w:t>s</w:t>
      </w:r>
      <w:r>
        <w:t xml:space="preserve"> of</w:t>
      </w:r>
      <w:r w:rsidRPr="00CE02B9">
        <w:t xml:space="preserve"> </w:t>
      </w:r>
      <w:r w:rsidR="00B11F7D" w:rsidRPr="00B14AE3">
        <w:t>Torres Strait</w:t>
      </w:r>
      <w:r w:rsidR="00B11F7D" w:rsidRPr="00F0184C">
        <w:rPr>
          <w:bdr w:val="single" w:sz="4" w:space="0" w:color="auto"/>
        </w:rPr>
        <w:t xml:space="preserve"> </w:t>
      </w:r>
      <w:r w:rsidR="00B11F7D" w:rsidRPr="00B14AE3">
        <w:t xml:space="preserve">Islander </w:t>
      </w:r>
      <w:r w:rsidR="00071F9D" w:rsidRPr="00B14AE3">
        <w:t>adults</w:t>
      </w:r>
      <w:r w:rsidR="00A07D02" w:rsidRPr="00B14AE3">
        <w:t xml:space="preserve"> </w:t>
      </w:r>
      <w:r w:rsidR="00AD1010" w:rsidRPr="00B14AE3">
        <w:t xml:space="preserve">aged 18–64 years </w:t>
      </w:r>
      <w:r w:rsidR="00A07D02" w:rsidRPr="00B14AE3">
        <w:t>wh</w:t>
      </w:r>
      <w:r w:rsidR="00A07D02" w:rsidRPr="00CE02B9">
        <w:t>o had completed year</w:t>
      </w:r>
      <w:r>
        <w:t xml:space="preserve"> 12 as their highest level of </w:t>
      </w:r>
      <w:r w:rsidRPr="006739C8">
        <w:t xml:space="preserve">education </w:t>
      </w:r>
      <w:r w:rsidR="00CE02B9" w:rsidRPr="00B14AE3">
        <w:t>(</w:t>
      </w:r>
      <w:r w:rsidR="00A453BE" w:rsidRPr="00B14AE3">
        <w:t>14.5</w:t>
      </w:r>
      <w:r w:rsidR="00A07D02" w:rsidRPr="00B14AE3">
        <w:t xml:space="preserve"> per cent)</w:t>
      </w:r>
      <w:r w:rsidR="00A453BE" w:rsidRPr="00B14AE3">
        <w:t xml:space="preserve"> </w:t>
      </w:r>
      <w:r w:rsidR="00B11F7D" w:rsidRPr="00B14AE3">
        <w:t>and</w:t>
      </w:r>
      <w:r w:rsidR="00071F9D" w:rsidRPr="00B14AE3">
        <w:t xml:space="preserve"> </w:t>
      </w:r>
      <w:r w:rsidR="00CE02B9" w:rsidRPr="00B14AE3">
        <w:t xml:space="preserve">Aboriginal </w:t>
      </w:r>
      <w:r w:rsidR="00071F9D" w:rsidRPr="00B14AE3">
        <w:t xml:space="preserve">Australians </w:t>
      </w:r>
      <w:r w:rsidR="00CE02B9" w:rsidRPr="00B14AE3">
        <w:t>(1</w:t>
      </w:r>
      <w:r w:rsidR="00A453BE" w:rsidRPr="00B14AE3">
        <w:t>1.0</w:t>
      </w:r>
      <w:r w:rsidR="00A07D02" w:rsidRPr="00B14AE3">
        <w:t xml:space="preserve"> per cent</w:t>
      </w:r>
      <w:r w:rsidR="00CE02B9" w:rsidRPr="00B14AE3">
        <w:t xml:space="preserve">) </w:t>
      </w:r>
      <w:r w:rsidR="00071F9D" w:rsidRPr="00B14AE3">
        <w:t>and</w:t>
      </w:r>
      <w:r w:rsidR="00071F9D" w:rsidRPr="006739C8">
        <w:rPr>
          <w:bdr w:val="single" w:sz="4" w:space="0" w:color="auto"/>
        </w:rPr>
        <w:t xml:space="preserve"> </w:t>
      </w:r>
      <w:r w:rsidR="00071F9D" w:rsidRPr="00B14AE3">
        <w:t>non</w:t>
      </w:r>
      <w:r w:rsidR="00071F9D" w:rsidRPr="00B14AE3">
        <w:noBreakHyphen/>
      </w:r>
      <w:r w:rsidR="00CE02B9" w:rsidRPr="00B14AE3">
        <w:t xml:space="preserve">Indigenous </w:t>
      </w:r>
      <w:r w:rsidR="00071F9D" w:rsidRPr="00B14AE3">
        <w:t xml:space="preserve">Australians </w:t>
      </w:r>
      <w:r w:rsidR="00CE02B9" w:rsidRPr="00B14AE3">
        <w:t>(1</w:t>
      </w:r>
      <w:r w:rsidR="00A453BE" w:rsidRPr="00B14AE3">
        <w:t>4</w:t>
      </w:r>
      <w:r w:rsidR="00CE02B9" w:rsidRPr="00B14AE3">
        <w:t>.</w:t>
      </w:r>
      <w:r w:rsidR="00A453BE" w:rsidRPr="00B14AE3">
        <w:t>8</w:t>
      </w:r>
      <w:r w:rsidR="00A07D02" w:rsidRPr="00B14AE3">
        <w:t xml:space="preserve"> per cent</w:t>
      </w:r>
      <w:r w:rsidR="000A34D5" w:rsidRPr="00B14AE3">
        <w:t>)</w:t>
      </w:r>
      <w:r w:rsidR="00A453BE" w:rsidRPr="00B14AE3">
        <w:t xml:space="preserve">, </w:t>
      </w:r>
      <w:r w:rsidR="00B11F7D" w:rsidRPr="00B14AE3">
        <w:t>al</w:t>
      </w:r>
      <w:r w:rsidR="00A453BE" w:rsidRPr="00B14AE3">
        <w:t>though the rate for Aboriginal</w:t>
      </w:r>
      <w:r w:rsidR="00A453BE" w:rsidRPr="006739C8">
        <w:rPr>
          <w:bdr w:val="single" w:sz="4" w:space="0" w:color="auto"/>
        </w:rPr>
        <w:t xml:space="preserve"> </w:t>
      </w:r>
      <w:r w:rsidR="00A453BE" w:rsidRPr="00B14AE3">
        <w:t xml:space="preserve">Australians </w:t>
      </w:r>
      <w:r w:rsidR="00B11F7D" w:rsidRPr="00B14AE3">
        <w:t>was statistically</w:t>
      </w:r>
      <w:r w:rsidR="00A453BE" w:rsidRPr="00B14AE3">
        <w:t xml:space="preserve"> significantly lower than </w:t>
      </w:r>
      <w:r w:rsidR="00B11F7D" w:rsidRPr="00B14AE3">
        <w:t xml:space="preserve">the rate for </w:t>
      </w:r>
      <w:r w:rsidR="00A453BE" w:rsidRPr="00B14AE3">
        <w:t>non</w:t>
      </w:r>
      <w:r w:rsidR="00B11F7D" w:rsidRPr="00B14AE3">
        <w:noBreakHyphen/>
      </w:r>
      <w:r w:rsidR="00A453BE" w:rsidRPr="00B14AE3">
        <w:t>Indigenous</w:t>
      </w:r>
      <w:r w:rsidR="00A453BE" w:rsidRPr="006739C8">
        <w:rPr>
          <w:bdr w:val="single" w:sz="4" w:space="0" w:color="auto"/>
        </w:rPr>
        <w:t xml:space="preserve"> </w:t>
      </w:r>
      <w:r w:rsidR="00A453BE" w:rsidRPr="00B14AE3">
        <w:t>Australians</w:t>
      </w:r>
      <w:r w:rsidR="00B11F7D" w:rsidRPr="00B14AE3">
        <w:t xml:space="preserve"> </w:t>
      </w:r>
      <w:r w:rsidR="00660948" w:rsidRPr="009B6925">
        <w:t xml:space="preserve">(table </w:t>
      </w:r>
      <w:proofErr w:type="spellStart"/>
      <w:r w:rsidR="00660948" w:rsidRPr="009B6925">
        <w:t>12A.1.1</w:t>
      </w:r>
      <w:proofErr w:type="spellEnd"/>
      <w:r w:rsidR="00660948" w:rsidRPr="009B6925">
        <w:t>)</w:t>
      </w:r>
      <w:r w:rsidR="00A07D02" w:rsidRPr="009B6925">
        <w:t>.</w:t>
      </w:r>
    </w:p>
    <w:p w:rsidR="00A07D02" w:rsidRPr="00A453BE" w:rsidRDefault="00071F9D" w:rsidP="00052A86">
      <w:pPr>
        <w:pStyle w:val="ListBullet"/>
      </w:pPr>
      <w:r w:rsidRPr="009B6925">
        <w:t>there was no statistically significant difference in the proportion</w:t>
      </w:r>
      <w:r w:rsidR="00B11F7D">
        <w:t>s</w:t>
      </w:r>
      <w:r w:rsidRPr="009B6925">
        <w:t xml:space="preserve"> of </w:t>
      </w:r>
      <w:r w:rsidR="00B11F7D" w:rsidRPr="009B6925">
        <w:t xml:space="preserve">Torres Strait Islander </w:t>
      </w:r>
      <w:r w:rsidRPr="009B6925">
        <w:t>adults</w:t>
      </w:r>
      <w:r w:rsidR="0007743F">
        <w:t xml:space="preserve"> </w:t>
      </w:r>
      <w:r w:rsidR="0007743F" w:rsidRPr="00B14AE3">
        <w:t>aged 18–64 years</w:t>
      </w:r>
      <w:r w:rsidRPr="00B14AE3">
        <w:t xml:space="preserve"> </w:t>
      </w:r>
      <w:r w:rsidR="00125ABE" w:rsidRPr="009B6925">
        <w:t>who had completed post-secondary qualifications at Certificate level III or above</w:t>
      </w:r>
      <w:r w:rsidRPr="009B6925">
        <w:t xml:space="preserve"> </w:t>
      </w:r>
      <w:r w:rsidR="00F93881" w:rsidRPr="00A453BE">
        <w:t>(</w:t>
      </w:r>
      <w:r w:rsidR="00A453BE" w:rsidRPr="00A453BE">
        <w:t>32.5</w:t>
      </w:r>
      <w:r w:rsidR="00F93881" w:rsidRPr="00A453BE">
        <w:t> </w:t>
      </w:r>
      <w:r w:rsidR="00125ABE" w:rsidRPr="00A453BE">
        <w:t xml:space="preserve">per cent) </w:t>
      </w:r>
      <w:r w:rsidRPr="00A453BE">
        <w:t xml:space="preserve">and </w:t>
      </w:r>
      <w:r w:rsidR="00125ABE" w:rsidRPr="00A453BE">
        <w:t xml:space="preserve">Aboriginal </w:t>
      </w:r>
      <w:r w:rsidRPr="00A453BE">
        <w:t xml:space="preserve">Australians </w:t>
      </w:r>
      <w:r w:rsidR="00F93881" w:rsidRPr="00A453BE">
        <w:t>(3</w:t>
      </w:r>
      <w:r w:rsidR="00A453BE" w:rsidRPr="00A453BE">
        <w:t>4.1 </w:t>
      </w:r>
      <w:r w:rsidR="00125ABE" w:rsidRPr="00A453BE">
        <w:t>per cent)</w:t>
      </w:r>
      <w:r w:rsidRPr="00A453BE">
        <w:t>,</w:t>
      </w:r>
      <w:r w:rsidR="00125ABE" w:rsidRPr="00A453BE">
        <w:t xml:space="preserve"> but both were significantly lower than the proportio</w:t>
      </w:r>
      <w:r w:rsidR="00F93881" w:rsidRPr="00A453BE">
        <w:t>n of non</w:t>
      </w:r>
      <w:r w:rsidRPr="00A453BE">
        <w:noBreakHyphen/>
      </w:r>
      <w:r w:rsidR="00F93881" w:rsidRPr="00A453BE">
        <w:t xml:space="preserve">Indigenous </w:t>
      </w:r>
      <w:r w:rsidRPr="00A453BE">
        <w:t xml:space="preserve">Australians </w:t>
      </w:r>
      <w:r w:rsidR="00F93881" w:rsidRPr="00A453BE">
        <w:t>(5</w:t>
      </w:r>
      <w:r w:rsidR="00A453BE" w:rsidRPr="00A453BE">
        <w:t>8</w:t>
      </w:r>
      <w:r w:rsidR="00F93881" w:rsidRPr="00A453BE">
        <w:t>.</w:t>
      </w:r>
      <w:r w:rsidR="00A453BE" w:rsidRPr="00A453BE">
        <w:t>1</w:t>
      </w:r>
      <w:r w:rsidR="00125ABE" w:rsidRPr="00A453BE">
        <w:t xml:space="preserve"> per cent)</w:t>
      </w:r>
      <w:r w:rsidR="00F93881" w:rsidRPr="00A453BE">
        <w:t xml:space="preserve"> (table </w:t>
      </w:r>
      <w:proofErr w:type="spellStart"/>
      <w:r w:rsidR="00F93881" w:rsidRPr="00A453BE">
        <w:t>12</w:t>
      </w:r>
      <w:r w:rsidR="00660948" w:rsidRPr="00A453BE">
        <w:t>A.1.1</w:t>
      </w:r>
      <w:proofErr w:type="spellEnd"/>
      <w:r w:rsidR="00660948" w:rsidRPr="00A453BE">
        <w:t>)</w:t>
      </w:r>
      <w:r w:rsidR="00125ABE" w:rsidRPr="00A453BE">
        <w:t xml:space="preserve">. </w:t>
      </w:r>
    </w:p>
    <w:p w:rsidR="00125ABE" w:rsidRPr="00A453BE" w:rsidRDefault="00071F9D" w:rsidP="00F93881">
      <w:pPr>
        <w:pStyle w:val="BodyText"/>
      </w:pPr>
      <w:r w:rsidRPr="00A453BE">
        <w:t xml:space="preserve">There was no change between 2004-05 and 2012-13 in the proportion of Torres Strait Islander adults </w:t>
      </w:r>
      <w:r w:rsidR="00A453BE" w:rsidRPr="00A453BE">
        <w:t xml:space="preserve">aged 18 years and over </w:t>
      </w:r>
      <w:r w:rsidRPr="00A453BE">
        <w:t xml:space="preserve">who had completed year 12 as their highest level of education or the proportion who had completed </w:t>
      </w:r>
      <w:r w:rsidR="001C1FB7" w:rsidRPr="00A453BE">
        <w:t xml:space="preserve">post-secondary </w:t>
      </w:r>
      <w:r w:rsidRPr="00A453BE">
        <w:t xml:space="preserve">qualifications at Certificate level III or above </w:t>
      </w:r>
      <w:r w:rsidR="00F93881" w:rsidRPr="00A453BE">
        <w:t>(</w:t>
      </w:r>
      <w:r w:rsidR="00125ABE" w:rsidRPr="00A453BE">
        <w:t xml:space="preserve">table </w:t>
      </w:r>
      <w:proofErr w:type="spellStart"/>
      <w:r w:rsidR="00125ABE" w:rsidRPr="00A453BE">
        <w:t>12A.1.1</w:t>
      </w:r>
      <w:proofErr w:type="spellEnd"/>
      <w:r w:rsidR="00125ABE" w:rsidRPr="00A453BE">
        <w:t>).</w:t>
      </w:r>
    </w:p>
    <w:p w:rsidR="00434397" w:rsidRDefault="00434397" w:rsidP="00434397">
      <w:pPr>
        <w:pStyle w:val="Heading3"/>
      </w:pPr>
      <w:r>
        <w:lastRenderedPageBreak/>
        <w:t>Labour force status</w:t>
      </w:r>
    </w:p>
    <w:p w:rsidR="00614A11" w:rsidRDefault="00B03E96" w:rsidP="00A07D02">
      <w:pPr>
        <w:pStyle w:val="BodyText"/>
      </w:pPr>
      <w:r>
        <w:t xml:space="preserve">Employment </w:t>
      </w:r>
      <w:r w:rsidR="005D218F">
        <w:t xml:space="preserve">under the ABS definition includes </w:t>
      </w:r>
      <w:r w:rsidR="005D218F" w:rsidRPr="00B14AE3">
        <w:t xml:space="preserve">CDEP </w:t>
      </w:r>
      <w:r w:rsidR="009B6925" w:rsidRPr="00B14AE3">
        <w:t>participants on CDEP wages</w:t>
      </w:r>
      <w:r w:rsidR="005D218F" w:rsidRPr="00B14AE3">
        <w:t>.</w:t>
      </w:r>
      <w:r w:rsidR="005D218F">
        <w:t xml:space="preserve"> </w:t>
      </w:r>
      <w:r w:rsidR="00071F9D">
        <w:t xml:space="preserve">Although some information is available about CDEP </w:t>
      </w:r>
      <w:r w:rsidR="009B6925">
        <w:t>participation</w:t>
      </w:r>
      <w:r w:rsidR="00071F9D">
        <w:t xml:space="preserve"> in remote areas, t</w:t>
      </w:r>
      <w:r w:rsidR="005D218F">
        <w:t xml:space="preserve">he disaggregation </w:t>
      </w:r>
      <w:r w:rsidR="00071F9D">
        <w:t xml:space="preserve">of data </w:t>
      </w:r>
      <w:r w:rsidR="005D218F">
        <w:t>for Torres Strait Islander and Aboriginal people makes employment data disaggregated by CDEP status too unreliable for general use in this section. For further information on CDEP see section 4.6</w:t>
      </w:r>
      <w:r w:rsidR="000373B3">
        <w:t xml:space="preserve"> in this report</w:t>
      </w:r>
      <w:r w:rsidR="005D218F">
        <w:t>.</w:t>
      </w:r>
      <w:r w:rsidR="0035455F">
        <w:t xml:space="preserve"> Historical data by CDEP status for 2008 and 2004-05 are available in chapter 12 in the 2011 report</w:t>
      </w:r>
      <w:r w:rsidR="00A9300F">
        <w:t xml:space="preserve"> </w:t>
      </w:r>
      <w:r w:rsidR="00A9300F" w:rsidRPr="00A9300F">
        <w:rPr>
          <w:szCs w:val="24"/>
        </w:rPr>
        <w:t>(SCRGSP 2011)</w:t>
      </w:r>
      <w:r w:rsidR="0035455F">
        <w:t>.</w:t>
      </w:r>
    </w:p>
    <w:p w:rsidR="007A070D" w:rsidRDefault="007A070D" w:rsidP="00176D3F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4"/>
      </w:tblGrid>
      <w:tr w:rsidR="007A070D" w:rsidTr="007A070D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:rsidR="007A070D" w:rsidRPr="00176D3F" w:rsidRDefault="007A070D" w:rsidP="0024058A">
            <w:pPr>
              <w:pStyle w:val="FigureTitle"/>
            </w:pPr>
            <w:r w:rsidRPr="00784A05">
              <w:rPr>
                <w:b w:val="0"/>
              </w:rPr>
              <w:t xml:space="preserve">Figure </w:t>
            </w:r>
            <w:r>
              <w:rPr>
                <w:b w:val="0"/>
              </w:rPr>
              <w:t>12.</w:t>
            </w:r>
            <w:r w:rsidR="006A2A1C">
              <w:rPr>
                <w:b w:val="0"/>
                <w:noProof/>
              </w:rPr>
              <w:t>1</w:t>
            </w:r>
            <w:r>
              <w:tab/>
              <w:t xml:space="preserve">Labour force participation rates for Torres Strait </w:t>
            </w:r>
            <w:r w:rsidR="0018506C">
              <w:t>I</w:t>
            </w:r>
            <w:r>
              <w:t>slander, Aboriginal and non-Indigenous Australia</w:t>
            </w:r>
            <w:r w:rsidR="009B6925">
              <w:t xml:space="preserve">ns aged </w:t>
            </w:r>
            <w:r w:rsidR="00952E72">
              <w:br/>
            </w:r>
            <w:r w:rsidR="009B6925">
              <w:t>18</w:t>
            </w:r>
            <w:r w:rsidR="0024058A">
              <w:t>–64</w:t>
            </w:r>
            <w:r w:rsidR="009B6925">
              <w:t xml:space="preserve"> years, 2011–</w:t>
            </w:r>
            <w:r>
              <w:t>13</w:t>
            </w:r>
            <w:proofErr w:type="spellStart"/>
            <w:r w:rsidRPr="005E1B22">
              <w:rPr>
                <w:rStyle w:val="NoteLabel"/>
                <w:b/>
              </w:rPr>
              <w:t>a</w:t>
            </w:r>
            <w:r w:rsidR="00952E72">
              <w:rPr>
                <w:rStyle w:val="NoteLabel"/>
                <w:b/>
              </w:rPr>
              <w:t>,</w:t>
            </w:r>
            <w:r w:rsidR="009B6925">
              <w:rPr>
                <w:rStyle w:val="NoteLabel"/>
                <w:b/>
              </w:rPr>
              <w:t>b</w:t>
            </w:r>
            <w:proofErr w:type="spellEnd"/>
          </w:p>
        </w:tc>
      </w:tr>
      <w:tr w:rsidR="007A070D" w:rsidTr="007A070D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W w:w="5000" w:type="pct"/>
              <w:tblBorders>
                <w:top w:val="single" w:sz="6" w:space="0" w:color="8064A2" w:themeColor="accent4"/>
                <w:bottom w:val="single" w:sz="6" w:space="0" w:color="8064A2" w:themeColor="accent4"/>
              </w:tblBorders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90"/>
            </w:tblGrid>
            <w:tr w:rsidR="007A070D" w:rsidTr="007A070D">
              <w:tc>
                <w:tcPr>
                  <w:tcW w:w="5000" w:type="pct"/>
                  <w:tcBorders>
                    <w:top w:val="nil"/>
                    <w:bottom w:val="nil"/>
                  </w:tcBorders>
                </w:tcPr>
                <w:p w:rsidR="007A070D" w:rsidRDefault="00662A51" w:rsidP="007C17A6">
                  <w:pPr>
                    <w:pStyle w:val="Figure"/>
                    <w:spacing w:before="60" w:after="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91150" cy="2874010"/>
                        <wp:effectExtent l="0" t="0" r="0" b="2540"/>
                        <wp:docPr id="1" name="Picture 1" descr="Figure 12.1 Labour force participation rates for Torres Strait Islander Aboriginal and non-Indigenous Australians aged 18-64 years, 2011-13&#10;&#10;More details can be found within the text surrounding this imag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1150" cy="287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A070D" w:rsidRDefault="007A070D" w:rsidP="00176D3F">
            <w:pPr>
              <w:pStyle w:val="Figure"/>
            </w:pPr>
          </w:p>
        </w:tc>
      </w:tr>
      <w:tr w:rsidR="007A070D" w:rsidRPr="00176D3F" w:rsidTr="007A070D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70D" w:rsidRPr="00176D3F" w:rsidRDefault="007A070D" w:rsidP="00F41D3E">
            <w:pPr>
              <w:pStyle w:val="Note"/>
            </w:pPr>
            <w:proofErr w:type="spellStart"/>
            <w:r>
              <w:rPr>
                <w:rStyle w:val="NoteLabel"/>
              </w:rPr>
              <w:t>a</w:t>
            </w:r>
            <w:proofErr w:type="spellEnd"/>
            <w:r>
              <w:t xml:space="preserve"> Error bars represent 95 per cent confidence intervals around each estimate.</w:t>
            </w:r>
            <w:r w:rsidR="009B6925">
              <w:t xml:space="preserve"> </w:t>
            </w:r>
            <w:r w:rsidR="009B6925">
              <w:rPr>
                <w:rStyle w:val="NoteLabel"/>
              </w:rPr>
              <w:t>b</w:t>
            </w:r>
            <w:r w:rsidR="009B6925">
              <w:t xml:space="preserve"> The 2011–13 reference year includes d</w:t>
            </w:r>
            <w:r w:rsidR="009B6925" w:rsidRPr="00791157">
              <w:t>ata for Aboriginal and Torres Strait Islander Australians from the 2012</w:t>
            </w:r>
            <w:r w:rsidR="009B6925">
              <w:noBreakHyphen/>
            </w:r>
            <w:r w:rsidR="009B6925" w:rsidRPr="00791157">
              <w:t>13 AATSIHS. Data for non</w:t>
            </w:r>
            <w:r w:rsidR="009B6925">
              <w:noBreakHyphen/>
            </w:r>
            <w:r w:rsidR="009B6925" w:rsidRPr="00791157">
              <w:t>Indigenous Australians are from the 2011</w:t>
            </w:r>
            <w:r w:rsidR="009B6925">
              <w:t>–</w:t>
            </w:r>
            <w:r w:rsidR="009B6925" w:rsidRPr="00791157">
              <w:t>13 AHS (for the period 2011</w:t>
            </w:r>
            <w:r w:rsidR="009B6925">
              <w:noBreakHyphen/>
            </w:r>
            <w:r w:rsidR="009B6925" w:rsidRPr="00791157">
              <w:t>12</w:t>
            </w:r>
            <w:r w:rsidR="009B6925">
              <w:t>)</w:t>
            </w:r>
            <w:r w:rsidR="009B6925" w:rsidRPr="00791157">
              <w:t>.</w:t>
            </w:r>
          </w:p>
        </w:tc>
      </w:tr>
      <w:tr w:rsidR="007A070D" w:rsidRPr="00176D3F" w:rsidTr="007A070D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70D" w:rsidRPr="00176D3F" w:rsidRDefault="007A070D" w:rsidP="00286807">
            <w:pPr>
              <w:pStyle w:val="Source"/>
            </w:pPr>
            <w:r w:rsidRPr="007A070D">
              <w:rPr>
                <w:i/>
              </w:rPr>
              <w:t>Source</w:t>
            </w:r>
            <w:r>
              <w:rPr>
                <w:i/>
              </w:rPr>
              <w:t>s</w:t>
            </w:r>
            <w:r w:rsidRPr="007A070D">
              <w:t>: ABS (unpublished) AATSIHS 2012-13 (core conte</w:t>
            </w:r>
            <w:r w:rsidR="009B6925">
              <w:t>nt); ABS (unpublished) AHS 2011–</w:t>
            </w:r>
            <w:r w:rsidRPr="007A070D">
              <w:t>1</w:t>
            </w:r>
            <w:r w:rsidR="009B6925">
              <w:t>3</w:t>
            </w:r>
            <w:r w:rsidRPr="007A070D">
              <w:t xml:space="preserve"> (core content); ABS (unpublished) NATSIHS 2004-05; ABS (unpublished) NHS 2004-05; table </w:t>
            </w:r>
            <w:proofErr w:type="spellStart"/>
            <w:r w:rsidRPr="007A070D">
              <w:t>12A.1.4</w:t>
            </w:r>
            <w:proofErr w:type="spellEnd"/>
            <w:r w:rsidRPr="007A070D">
              <w:t>.</w:t>
            </w:r>
          </w:p>
        </w:tc>
      </w:tr>
      <w:tr w:rsidR="007A070D" w:rsidTr="007A070D">
        <w:tc>
          <w:tcPr>
            <w:tcW w:w="8771" w:type="dxa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:rsidR="007A070D" w:rsidRDefault="007A070D" w:rsidP="00176D3F">
            <w:pPr>
              <w:pStyle w:val="Figurespace"/>
            </w:pPr>
          </w:p>
        </w:tc>
      </w:tr>
      <w:tr w:rsidR="007A070D" w:rsidRPr="000863A5" w:rsidTr="007A070D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7A070D" w:rsidRPr="00626D32" w:rsidRDefault="007A070D" w:rsidP="00176D3F">
            <w:pPr>
              <w:pStyle w:val="BoxSpaceBelow"/>
            </w:pPr>
          </w:p>
        </w:tc>
      </w:tr>
    </w:tbl>
    <w:p w:rsidR="005E1B22" w:rsidRDefault="00E071C3" w:rsidP="000373B3">
      <w:pPr>
        <w:pStyle w:val="BodyText"/>
      </w:pPr>
      <w:r w:rsidRPr="003B450C">
        <w:t>In 201</w:t>
      </w:r>
      <w:r w:rsidR="00B801C8">
        <w:t>1–</w:t>
      </w:r>
      <w:r w:rsidRPr="003B450C">
        <w:t xml:space="preserve">13, </w:t>
      </w:r>
      <w:r w:rsidR="000373B3" w:rsidRPr="003B450C">
        <w:t xml:space="preserve">the </w:t>
      </w:r>
      <w:r w:rsidR="00071F9D">
        <w:t xml:space="preserve">labour force participation rate for </w:t>
      </w:r>
      <w:r w:rsidR="005E1B22">
        <w:t xml:space="preserve">all </w:t>
      </w:r>
      <w:r w:rsidR="000373B3" w:rsidRPr="003B450C">
        <w:t xml:space="preserve">Torres Strait Islander </w:t>
      </w:r>
      <w:r w:rsidR="00071F9D">
        <w:t>Australians</w:t>
      </w:r>
      <w:r w:rsidR="00071F9D" w:rsidRPr="003B450C">
        <w:t xml:space="preserve"> </w:t>
      </w:r>
      <w:r w:rsidR="000373B3" w:rsidRPr="003B450C">
        <w:t xml:space="preserve">(70.5 per cent) </w:t>
      </w:r>
      <w:r w:rsidR="00071F9D">
        <w:t xml:space="preserve">was higher than that for </w:t>
      </w:r>
      <w:r w:rsidRPr="003B450C">
        <w:t>Aboriginal</w:t>
      </w:r>
      <w:r w:rsidR="000373B3" w:rsidRPr="003B450C">
        <w:t xml:space="preserve"> </w:t>
      </w:r>
      <w:r w:rsidR="00071F9D">
        <w:t>Australians</w:t>
      </w:r>
      <w:r w:rsidR="00071F9D" w:rsidRPr="003B450C">
        <w:t xml:space="preserve"> </w:t>
      </w:r>
      <w:r w:rsidR="000373B3" w:rsidRPr="003B450C">
        <w:t>(61.7 per cent)</w:t>
      </w:r>
      <w:r w:rsidR="003B450C">
        <w:t xml:space="preserve"> but lower than </w:t>
      </w:r>
      <w:r w:rsidR="00071F9D">
        <w:t xml:space="preserve">that for </w:t>
      </w:r>
      <w:r w:rsidR="003B450C">
        <w:t>of non</w:t>
      </w:r>
      <w:r w:rsidR="003B450C">
        <w:noBreakHyphen/>
        <w:t xml:space="preserve">Indigenous Australians </w:t>
      </w:r>
      <w:r w:rsidR="00071F9D">
        <w:t>(81.6 per cent)</w:t>
      </w:r>
      <w:r w:rsidR="005E1B22">
        <w:t>, although there was no significant difference in the rate of Torres Strait Islander Australians in Queensland compared to the non-Indigenous population (figure 12.1).</w:t>
      </w:r>
      <w:r w:rsidR="000373B3" w:rsidRPr="003B450C">
        <w:t xml:space="preserve"> </w:t>
      </w:r>
    </w:p>
    <w:p w:rsidR="000373B3" w:rsidRDefault="000373B3" w:rsidP="000373B3">
      <w:pPr>
        <w:pStyle w:val="BodyText"/>
      </w:pPr>
      <w:r w:rsidRPr="003B450C">
        <w:t xml:space="preserve">There was no </w:t>
      </w:r>
      <w:r w:rsidR="00902848">
        <w:t xml:space="preserve">statistically significant </w:t>
      </w:r>
      <w:r w:rsidRPr="003B450C">
        <w:t>difference in unemployment rates</w:t>
      </w:r>
      <w:r w:rsidR="003B450C">
        <w:t xml:space="preserve"> for Torres Strait Islander</w:t>
      </w:r>
      <w:r w:rsidR="00902848">
        <w:t xml:space="preserve"> Australians</w:t>
      </w:r>
      <w:r w:rsidR="003B450C">
        <w:t xml:space="preserve"> </w:t>
      </w:r>
      <w:r w:rsidR="00902848" w:rsidRPr="003B450C">
        <w:t>(</w:t>
      </w:r>
      <w:r w:rsidR="00286807" w:rsidRPr="00B14AE3">
        <w:t>19.8</w:t>
      </w:r>
      <w:r w:rsidR="00902848" w:rsidRPr="00B14AE3">
        <w:t xml:space="preserve"> per cent)</w:t>
      </w:r>
      <w:r w:rsidR="00902848" w:rsidRPr="003B450C">
        <w:t xml:space="preserve"> </w:t>
      </w:r>
      <w:r w:rsidR="003B450C">
        <w:t xml:space="preserve">and Aboriginal </w:t>
      </w:r>
      <w:r w:rsidR="00902848">
        <w:t>Australians (</w:t>
      </w:r>
      <w:r w:rsidR="00286807" w:rsidRPr="00B14AE3">
        <w:t>19.1</w:t>
      </w:r>
      <w:r w:rsidRPr="00B14AE3">
        <w:t xml:space="preserve"> per cent) </w:t>
      </w:r>
      <w:r w:rsidR="00902848">
        <w:t>but bot</w:t>
      </w:r>
      <w:r w:rsidR="00CB1FB5">
        <w:t>h were higher than for non-Indi</w:t>
      </w:r>
      <w:r w:rsidR="00902848">
        <w:t>ge</w:t>
      </w:r>
      <w:r w:rsidR="00CB1FB5">
        <w:t>n</w:t>
      </w:r>
      <w:r w:rsidR="00902848">
        <w:t xml:space="preserve">ous Australians </w:t>
      </w:r>
      <w:r w:rsidR="00902848" w:rsidRPr="00B14AE3">
        <w:t>(</w:t>
      </w:r>
      <w:r w:rsidR="00286807" w:rsidRPr="00B14AE3">
        <w:t>3.8</w:t>
      </w:r>
      <w:r w:rsidR="00902848" w:rsidRPr="00B14AE3">
        <w:t xml:space="preserve"> per cent</w:t>
      </w:r>
      <w:r w:rsidR="00902848">
        <w:t xml:space="preserve">) </w:t>
      </w:r>
      <w:r w:rsidRPr="003B450C">
        <w:t xml:space="preserve">(table </w:t>
      </w:r>
      <w:proofErr w:type="spellStart"/>
      <w:r w:rsidRPr="003B450C">
        <w:t>12A.1.</w:t>
      </w:r>
      <w:r w:rsidR="00286807">
        <w:t>4</w:t>
      </w:r>
      <w:proofErr w:type="spellEnd"/>
      <w:r w:rsidRPr="003B450C">
        <w:t>).</w:t>
      </w:r>
    </w:p>
    <w:p w:rsidR="00331AD1" w:rsidRPr="003B450C" w:rsidRDefault="00331AD1" w:rsidP="000373B3">
      <w:pPr>
        <w:pStyle w:val="BodyText"/>
      </w:pPr>
      <w:r>
        <w:lastRenderedPageBreak/>
        <w:t xml:space="preserve">From </w:t>
      </w:r>
      <w:r w:rsidR="00D979E9">
        <w:t>2004-05 to 201</w:t>
      </w:r>
      <w:r w:rsidR="000A34D5">
        <w:t>1–</w:t>
      </w:r>
      <w:r w:rsidR="00D979E9">
        <w:t xml:space="preserve">13, there was no change in labour force rates </w:t>
      </w:r>
      <w:r w:rsidR="00CE74A5">
        <w:t xml:space="preserve">for Torres Strait Islander </w:t>
      </w:r>
      <w:r w:rsidR="00902848">
        <w:t xml:space="preserve">Australians </w:t>
      </w:r>
      <w:r w:rsidR="00CE74A5">
        <w:t xml:space="preserve">and Aboriginal </w:t>
      </w:r>
      <w:r w:rsidR="00902848">
        <w:t>Australians</w:t>
      </w:r>
      <w:r w:rsidR="00CE74A5">
        <w:t xml:space="preserve">. However, there was an increase in unemployment rates for Torres Strait Islander </w:t>
      </w:r>
      <w:r w:rsidR="00902848">
        <w:t xml:space="preserve">Australians </w:t>
      </w:r>
      <w:r w:rsidR="00CE74A5" w:rsidRPr="00B14AE3">
        <w:t xml:space="preserve">(from </w:t>
      </w:r>
      <w:r w:rsidR="00286807" w:rsidRPr="00B14AE3">
        <w:t>11.3</w:t>
      </w:r>
      <w:r w:rsidR="00CE74A5" w:rsidRPr="00B14AE3">
        <w:t xml:space="preserve"> per cent in 2008 to</w:t>
      </w:r>
      <w:r w:rsidR="00CE74A5" w:rsidRPr="00AD1010">
        <w:rPr>
          <w:bdr w:val="single" w:sz="4" w:space="0" w:color="auto"/>
        </w:rPr>
        <w:t xml:space="preserve"> </w:t>
      </w:r>
      <w:r w:rsidR="00CE74A5" w:rsidRPr="00B14AE3">
        <w:t>1</w:t>
      </w:r>
      <w:r w:rsidR="00286807" w:rsidRPr="00B14AE3">
        <w:t>9</w:t>
      </w:r>
      <w:r w:rsidR="00CE74A5" w:rsidRPr="00B14AE3">
        <w:t>.</w:t>
      </w:r>
      <w:r w:rsidR="00286807" w:rsidRPr="00B14AE3">
        <w:t>8</w:t>
      </w:r>
      <w:r w:rsidR="00CE74A5" w:rsidRPr="00B14AE3">
        <w:t xml:space="preserve"> per cent in 2012-13)</w:t>
      </w:r>
      <w:r w:rsidR="00CE74A5">
        <w:t xml:space="preserve"> and Aboriginal </w:t>
      </w:r>
      <w:r w:rsidR="00902848" w:rsidRPr="00B14AE3">
        <w:t xml:space="preserve">Australians </w:t>
      </w:r>
      <w:r w:rsidR="00CE74A5" w:rsidRPr="00B14AE3">
        <w:t xml:space="preserve">(from </w:t>
      </w:r>
      <w:r w:rsidR="00286807" w:rsidRPr="00B14AE3">
        <w:t>12.7</w:t>
      </w:r>
      <w:r w:rsidR="00CE74A5" w:rsidRPr="00B14AE3">
        <w:t xml:space="preserve"> per cent in 2004-05 to</w:t>
      </w:r>
      <w:r w:rsidR="00CE74A5" w:rsidRPr="00AD1010">
        <w:rPr>
          <w:bdr w:val="single" w:sz="4" w:space="0" w:color="auto"/>
        </w:rPr>
        <w:t xml:space="preserve"> </w:t>
      </w:r>
      <w:r w:rsidR="00286807" w:rsidRPr="00B14AE3">
        <w:t>19.1</w:t>
      </w:r>
      <w:r w:rsidR="00CE74A5" w:rsidRPr="00B14AE3">
        <w:t xml:space="preserve"> per cent in 2012-13)</w:t>
      </w:r>
      <w:r w:rsidR="00CB1FB5" w:rsidRPr="00B14AE3">
        <w:t>,</w:t>
      </w:r>
      <w:r w:rsidR="00CB1FB5">
        <w:t xml:space="preserve"> though no change for non-Indigenous Australians (table</w:t>
      </w:r>
      <w:r w:rsidR="00B11F7D">
        <w:t> </w:t>
      </w:r>
      <w:proofErr w:type="spellStart"/>
      <w:r w:rsidR="00286807">
        <w:t>12</w:t>
      </w:r>
      <w:r w:rsidR="00CB1FB5">
        <w:t>A.</w:t>
      </w:r>
      <w:r w:rsidR="00286807">
        <w:t>1.4</w:t>
      </w:r>
      <w:proofErr w:type="spellEnd"/>
      <w:r w:rsidR="00CB1FB5">
        <w:t>)</w:t>
      </w:r>
      <w:r w:rsidR="00CE74A5">
        <w:t>.</w:t>
      </w:r>
      <w:r w:rsidR="00902848">
        <w:t xml:space="preserve">  </w:t>
      </w:r>
    </w:p>
    <w:p w:rsidR="00BB232A" w:rsidRDefault="00BB232A" w:rsidP="00BB232A">
      <w:pPr>
        <w:pStyle w:val="Heading3"/>
      </w:pPr>
      <w:r>
        <w:t>Income</w:t>
      </w:r>
    </w:p>
    <w:p w:rsidR="00796C1C" w:rsidRDefault="00902848" w:rsidP="00A07D02">
      <w:pPr>
        <w:pStyle w:val="BodyText"/>
      </w:pPr>
      <w:r>
        <w:t>T</w:t>
      </w:r>
      <w:r w:rsidR="00796C1C">
        <w:t xml:space="preserve">his section </w:t>
      </w:r>
      <w:r>
        <w:t>reports data based</w:t>
      </w:r>
      <w:r w:rsidR="00796C1C">
        <w:t xml:space="preserve"> on individual weekly income of people aged 18</w:t>
      </w:r>
      <w:r>
        <w:t> </w:t>
      </w:r>
      <w:r w:rsidR="00796C1C">
        <w:t xml:space="preserve">years </w:t>
      </w:r>
      <w:r w:rsidR="0007743F">
        <w:t xml:space="preserve">and </w:t>
      </w:r>
      <w:r w:rsidR="00796C1C">
        <w:t>over. People are ranked from highest to lowest</w:t>
      </w:r>
      <w:r>
        <w:t>,</w:t>
      </w:r>
      <w:r w:rsidR="00796C1C">
        <w:t xml:space="preserve"> with those with the lowest 20 per cent of incomes in quintile 1 (lowest quintile), ranging to those with the highest 20 per cent of incomes in quintile 5 (highest quintile).</w:t>
      </w:r>
    </w:p>
    <w:p w:rsidR="00BB232A" w:rsidRDefault="00FE4DF9" w:rsidP="00A07D02">
      <w:pPr>
        <w:pStyle w:val="BodyText"/>
      </w:pPr>
      <w:r>
        <w:t>In 2011–</w:t>
      </w:r>
      <w:r w:rsidR="00796C1C">
        <w:t xml:space="preserve">13, </w:t>
      </w:r>
      <w:r w:rsidR="00902848">
        <w:t xml:space="preserve">income </w:t>
      </w:r>
      <w:r w:rsidR="00E953B2">
        <w:t>distribution</w:t>
      </w:r>
      <w:r w:rsidR="00902848">
        <w:t xml:space="preserve">s were similar for </w:t>
      </w:r>
      <w:r w:rsidR="00E953B2">
        <w:t xml:space="preserve">Torres Strait Islander </w:t>
      </w:r>
      <w:r w:rsidR="00902848">
        <w:t xml:space="preserve">adults and Aboriginal adults </w:t>
      </w:r>
      <w:r w:rsidR="00E953B2">
        <w:t>(</w:t>
      </w:r>
      <w:r w:rsidR="00902848" w:rsidRPr="00902848">
        <w:t xml:space="preserve"> </w:t>
      </w:r>
      <w:r w:rsidR="00902848">
        <w:t xml:space="preserve">lowest quintile — </w:t>
      </w:r>
      <w:r w:rsidR="00E953B2">
        <w:t>24.3</w:t>
      </w:r>
      <w:r w:rsidR="00902848">
        <w:t xml:space="preserve"> and 27.1 </w:t>
      </w:r>
      <w:r w:rsidR="00E953B2">
        <w:t xml:space="preserve">per cent </w:t>
      </w:r>
      <w:r w:rsidR="00902848">
        <w:t xml:space="preserve">respectively; middle three quintiles — </w:t>
      </w:r>
      <w:r w:rsidR="00E953B2">
        <w:t xml:space="preserve">64.5 </w:t>
      </w:r>
      <w:r w:rsidR="00902848">
        <w:t xml:space="preserve">and 64.6 </w:t>
      </w:r>
      <w:r w:rsidR="00E953B2">
        <w:t>per cent</w:t>
      </w:r>
      <w:r w:rsidR="00902848">
        <w:t xml:space="preserve"> respectively; and highest quintile — </w:t>
      </w:r>
      <w:r w:rsidR="00E953B2">
        <w:t>11.1</w:t>
      </w:r>
      <w:r w:rsidR="00902848">
        <w:t xml:space="preserve"> and 8.3 </w:t>
      </w:r>
      <w:r w:rsidR="00E953B2">
        <w:t xml:space="preserve">per cent </w:t>
      </w:r>
      <w:r w:rsidR="00902848">
        <w:t>respectively</w:t>
      </w:r>
      <w:r w:rsidR="00E953B2">
        <w:t>)</w:t>
      </w:r>
      <w:r w:rsidR="00902848">
        <w:t xml:space="preserve">. The  </w:t>
      </w:r>
      <w:r w:rsidR="00E953B2">
        <w:t>income distribution for non</w:t>
      </w:r>
      <w:r w:rsidR="00902848">
        <w:noBreakHyphen/>
      </w:r>
      <w:r w:rsidR="00E953B2">
        <w:t xml:space="preserve">Indigenous </w:t>
      </w:r>
      <w:r w:rsidR="00902848">
        <w:t>adults differed at the lowest and highest ends of the distribution (</w:t>
      </w:r>
      <w:r w:rsidR="00E953B2">
        <w:t xml:space="preserve">lowest quintile </w:t>
      </w:r>
      <w:r w:rsidR="00902848">
        <w:t xml:space="preserve">— </w:t>
      </w:r>
      <w:r w:rsidR="00E953B2">
        <w:t>15.8 per cent</w:t>
      </w:r>
      <w:r w:rsidR="00902848">
        <w:t xml:space="preserve">; middle three quintiles — 62.9 per cent; and highest quintile — </w:t>
      </w:r>
      <w:r w:rsidR="00E953B2">
        <w:t>21.3</w:t>
      </w:r>
      <w:r w:rsidR="002A5FD6">
        <w:t> </w:t>
      </w:r>
      <w:r w:rsidR="00E953B2">
        <w:t>per cent</w:t>
      </w:r>
      <w:r w:rsidR="00286807">
        <w:t xml:space="preserve"> respectively</w:t>
      </w:r>
      <w:r w:rsidR="00E953B2">
        <w:t>) (table</w:t>
      </w:r>
      <w:r w:rsidR="00B11F7D">
        <w:t> </w:t>
      </w:r>
      <w:proofErr w:type="spellStart"/>
      <w:r w:rsidR="00E953B2">
        <w:t>12A.1.3</w:t>
      </w:r>
      <w:proofErr w:type="spellEnd"/>
      <w:r w:rsidR="00E953B2">
        <w:t xml:space="preserve">). </w:t>
      </w:r>
    </w:p>
    <w:p w:rsidR="00952E72" w:rsidRDefault="00952E72" w:rsidP="00A07D02">
      <w:pPr>
        <w:pStyle w:val="BodyText"/>
      </w:pPr>
    </w:p>
    <w:p w:rsidR="007A070D" w:rsidRDefault="007A070D" w:rsidP="00176D3F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7A070D" w:rsidTr="00F95957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:rsidR="007A070D" w:rsidRPr="00176D3F" w:rsidRDefault="007A070D" w:rsidP="007A070D">
            <w:pPr>
              <w:pStyle w:val="FigureTitle"/>
            </w:pPr>
            <w:r w:rsidRPr="00784A05">
              <w:rPr>
                <w:b w:val="0"/>
              </w:rPr>
              <w:t xml:space="preserve">Figure </w:t>
            </w:r>
            <w:r>
              <w:rPr>
                <w:b w:val="0"/>
              </w:rPr>
              <w:t>12.</w:t>
            </w:r>
            <w:r w:rsidR="006A2A1C">
              <w:rPr>
                <w:b w:val="0"/>
                <w:noProof/>
              </w:rPr>
              <w:t>2</w:t>
            </w:r>
            <w:r>
              <w:tab/>
              <w:t xml:space="preserve">Proportion of Torres Strait </w:t>
            </w:r>
            <w:r w:rsidR="0018506C">
              <w:t>I</w:t>
            </w:r>
            <w:r w:rsidR="00952E72">
              <w:t>slander, Aboriginal and non</w:t>
            </w:r>
            <w:r w:rsidR="00952E72">
              <w:noBreakHyphen/>
            </w:r>
            <w:r>
              <w:t>Indigenous Australians aged 18 years and over with individual weekly income in lowes</w:t>
            </w:r>
            <w:r w:rsidR="00FE4DF9">
              <w:t>t quintile, 2004-05, 2008, 2011–</w:t>
            </w:r>
            <w:r>
              <w:t>13</w:t>
            </w:r>
            <w:r w:rsidRPr="00C86467">
              <w:rPr>
                <w:rStyle w:val="NoteLabel"/>
                <w:b/>
              </w:rPr>
              <w:t>a</w:t>
            </w:r>
            <w:r w:rsidR="00FE4DF9">
              <w:rPr>
                <w:rStyle w:val="NoteLabel"/>
                <w:b/>
              </w:rPr>
              <w:t>, b</w:t>
            </w:r>
          </w:p>
        </w:tc>
      </w:tr>
      <w:tr w:rsidR="007A070D" w:rsidTr="00F95957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W w:w="5000" w:type="pct"/>
              <w:tblBorders>
                <w:top w:val="single" w:sz="6" w:space="0" w:color="8064A2" w:themeColor="accent4"/>
                <w:bottom w:val="single" w:sz="6" w:space="0" w:color="8064A2" w:themeColor="accent4"/>
              </w:tblBorders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87"/>
            </w:tblGrid>
            <w:tr w:rsidR="007A070D" w:rsidTr="00FD33F1">
              <w:tc>
                <w:tcPr>
                  <w:tcW w:w="5000" w:type="pct"/>
                  <w:tcBorders>
                    <w:top w:val="nil"/>
                    <w:bottom w:val="nil"/>
                  </w:tcBorders>
                </w:tcPr>
                <w:p w:rsidR="007A070D" w:rsidRDefault="00662A51" w:rsidP="007C17A6">
                  <w:pPr>
                    <w:pStyle w:val="Figure"/>
                    <w:spacing w:before="60" w:after="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55590" cy="2874010"/>
                        <wp:effectExtent l="0" t="0" r="0" b="2540"/>
                        <wp:docPr id="2" name="Picture 2" descr="Figure 12.2 Proportion of Torres Strait Islander, Aboriginal and non-Indigenous Australians aged 18 years and over with individual weekly income in lowest quintile, 2004-05, 2008, 2011-13 &#10;&#10;More details can be found within the text surrounding this imag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5590" cy="287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A070D" w:rsidRDefault="007A070D" w:rsidP="00176D3F">
            <w:pPr>
              <w:pStyle w:val="Figure"/>
            </w:pPr>
          </w:p>
        </w:tc>
      </w:tr>
      <w:tr w:rsidR="007A070D" w:rsidRPr="00176D3F" w:rsidTr="00F95957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70D" w:rsidRPr="00176D3F" w:rsidRDefault="007A070D" w:rsidP="00F41D3E">
            <w:pPr>
              <w:pStyle w:val="Note"/>
            </w:pPr>
            <w:proofErr w:type="spellStart"/>
            <w:r>
              <w:rPr>
                <w:rStyle w:val="NoteLabel"/>
              </w:rPr>
              <w:t>a</w:t>
            </w:r>
            <w:proofErr w:type="spellEnd"/>
            <w:r>
              <w:t xml:space="preserve"> Error bars represent 95 per cent confidence intervals around each estimate.</w:t>
            </w:r>
            <w:r w:rsidR="00FE4DF9">
              <w:t xml:space="preserve"> </w:t>
            </w:r>
            <w:r w:rsidR="00FE4DF9">
              <w:rPr>
                <w:rStyle w:val="NoteLabel"/>
              </w:rPr>
              <w:t>b</w:t>
            </w:r>
            <w:r w:rsidR="00FE4DF9">
              <w:t xml:space="preserve"> The 2011–13 reference year includes d</w:t>
            </w:r>
            <w:r w:rsidR="00FE4DF9" w:rsidRPr="00791157">
              <w:t>ata for Aboriginal and Torres Strait Islander Australians from the 2012</w:t>
            </w:r>
            <w:r w:rsidR="00FE4DF9">
              <w:noBreakHyphen/>
            </w:r>
            <w:r w:rsidR="00FE4DF9" w:rsidRPr="00791157">
              <w:t>13 AATSIHS. Data for non</w:t>
            </w:r>
            <w:r w:rsidR="00FE4DF9">
              <w:noBreakHyphen/>
            </w:r>
            <w:r w:rsidR="00FE4DF9" w:rsidRPr="00791157">
              <w:t>Indigenous Australians are from the 2011</w:t>
            </w:r>
            <w:r w:rsidR="00FE4DF9">
              <w:t>–</w:t>
            </w:r>
            <w:r w:rsidR="00FE4DF9" w:rsidRPr="00791157">
              <w:t>13 AHS (for the period 2011</w:t>
            </w:r>
            <w:r w:rsidR="00FE4DF9">
              <w:noBreakHyphen/>
            </w:r>
            <w:r w:rsidR="00FE4DF9" w:rsidRPr="00791157">
              <w:t>12</w:t>
            </w:r>
            <w:r w:rsidR="00FE4DF9">
              <w:t>)</w:t>
            </w:r>
            <w:r w:rsidR="00FE4DF9" w:rsidRPr="00791157">
              <w:t>.</w:t>
            </w:r>
          </w:p>
        </w:tc>
      </w:tr>
      <w:tr w:rsidR="007A070D" w:rsidRPr="00176D3F" w:rsidTr="00F95957"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70D" w:rsidRPr="00176D3F" w:rsidRDefault="007A070D" w:rsidP="007A070D">
            <w:pPr>
              <w:pStyle w:val="Source"/>
            </w:pPr>
            <w:r>
              <w:rPr>
                <w:i/>
              </w:rPr>
              <w:t>S</w:t>
            </w:r>
            <w:r w:rsidRPr="00784A05">
              <w:rPr>
                <w:i/>
              </w:rPr>
              <w:t>ource</w:t>
            </w:r>
            <w:r>
              <w:rPr>
                <w:i/>
              </w:rPr>
              <w:t>s</w:t>
            </w:r>
            <w:r w:rsidRPr="00176D3F">
              <w:t xml:space="preserve">: </w:t>
            </w:r>
            <w:r>
              <w:t xml:space="preserve">ABS (unpublished) AATSIHS 2012-13 (NATSIHS content); ABS (unpublished) AHS 2011-12 (NHS content); ABS (unpublished) NATSISS 2008; ABS (unpublished) NHS 2007-08; ABS (unpublished) NATSIHS 2004-05; ABS (unpublished) NHS 2004-05; table </w:t>
            </w:r>
            <w:proofErr w:type="spellStart"/>
            <w:r>
              <w:t>12A.1.3</w:t>
            </w:r>
            <w:proofErr w:type="spellEnd"/>
            <w:r>
              <w:t>.</w:t>
            </w:r>
          </w:p>
        </w:tc>
      </w:tr>
      <w:tr w:rsidR="007A070D" w:rsidTr="00F95957">
        <w:tc>
          <w:tcPr>
            <w:tcW w:w="8771" w:type="dxa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:rsidR="007A070D" w:rsidRDefault="007A070D" w:rsidP="00176D3F">
            <w:pPr>
              <w:pStyle w:val="Figurespace"/>
            </w:pPr>
          </w:p>
        </w:tc>
      </w:tr>
      <w:tr w:rsidR="007A070D" w:rsidRPr="000863A5" w:rsidTr="00215A8A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7A070D" w:rsidRPr="00626D32" w:rsidRDefault="007A070D" w:rsidP="00176D3F">
            <w:pPr>
              <w:pStyle w:val="BoxSpaceBelow"/>
            </w:pPr>
          </w:p>
        </w:tc>
      </w:tr>
    </w:tbl>
    <w:p w:rsidR="00952E72" w:rsidRDefault="00952E72" w:rsidP="00952E72">
      <w:pPr>
        <w:pStyle w:val="BodyText"/>
      </w:pPr>
      <w:r>
        <w:t xml:space="preserve">Income distributions for both Torres Strait Islander adults and Aboriginal adults changed from 2004-05 to 2012-13, with the proportion in the lowest income increasing over this time (figure 12.2). </w:t>
      </w:r>
    </w:p>
    <w:p w:rsidR="00BB232A" w:rsidRDefault="00BB232A" w:rsidP="00BB232A">
      <w:pPr>
        <w:pStyle w:val="Heading3"/>
      </w:pPr>
      <w:r>
        <w:t>Ho</w:t>
      </w:r>
      <w:r w:rsidR="00A40BBA">
        <w:t>me ownership</w:t>
      </w:r>
    </w:p>
    <w:p w:rsidR="002A5FD6" w:rsidRPr="00F749D8" w:rsidRDefault="0031166D" w:rsidP="00BB232A">
      <w:pPr>
        <w:pStyle w:val="BodyText"/>
      </w:pPr>
      <w:r>
        <w:t>In 201</w:t>
      </w:r>
      <w:r w:rsidR="00AD1010">
        <w:t>1–</w:t>
      </w:r>
      <w:r>
        <w:t xml:space="preserve">13, the proportion of Torres Strait Islander </w:t>
      </w:r>
      <w:r w:rsidR="002A5FD6">
        <w:t>adults</w:t>
      </w:r>
      <w:r>
        <w:t xml:space="preserve"> living in a home owned with or without a mortgage </w:t>
      </w:r>
      <w:r w:rsidR="002A5FD6">
        <w:t>(</w:t>
      </w:r>
      <w:r w:rsidR="002A5FD6" w:rsidRPr="002A5FD6">
        <w:t>31.8 per cent</w:t>
      </w:r>
      <w:r w:rsidR="00AD1010">
        <w:t xml:space="preserve"> in 2012-13</w:t>
      </w:r>
      <w:r w:rsidR="002A5FD6">
        <w:t xml:space="preserve">) </w:t>
      </w:r>
      <w:r>
        <w:t xml:space="preserve">was </w:t>
      </w:r>
      <w:r w:rsidRPr="00DB3234">
        <w:t xml:space="preserve">similar to that for Aboriginal </w:t>
      </w:r>
      <w:r w:rsidR="00952E72">
        <w:t>adults</w:t>
      </w:r>
      <w:r w:rsidRPr="00DB3234">
        <w:t xml:space="preserve"> (</w:t>
      </w:r>
      <w:r w:rsidR="00DB3234" w:rsidRPr="00DB3234">
        <w:t>30.0</w:t>
      </w:r>
      <w:r w:rsidRPr="00DB3234">
        <w:t xml:space="preserve"> per cent respectively</w:t>
      </w:r>
      <w:r w:rsidR="00AD1010">
        <w:t xml:space="preserve"> in 2012-13</w:t>
      </w:r>
      <w:r w:rsidRPr="00DB3234">
        <w:t>)</w:t>
      </w:r>
      <w:r w:rsidR="002A5FD6">
        <w:t xml:space="preserve"> but was signif</w:t>
      </w:r>
      <w:r w:rsidR="00F749D8">
        <w:t>icantly lower than for non-Indi</w:t>
      </w:r>
      <w:r w:rsidR="002A5FD6">
        <w:t>ge</w:t>
      </w:r>
      <w:r w:rsidR="00F749D8">
        <w:t>n</w:t>
      </w:r>
      <w:r w:rsidR="002A5FD6">
        <w:t xml:space="preserve">ous </w:t>
      </w:r>
      <w:r w:rsidR="002A5FD6" w:rsidRPr="00F749D8">
        <w:t>adults (</w:t>
      </w:r>
      <w:r w:rsidR="00F749D8" w:rsidRPr="00F749D8">
        <w:t>71.8</w:t>
      </w:r>
      <w:r w:rsidR="002A5FD6" w:rsidRPr="00F749D8">
        <w:t xml:space="preserve"> per cent</w:t>
      </w:r>
      <w:r w:rsidR="00AD1010">
        <w:t xml:space="preserve"> in 2011-12</w:t>
      </w:r>
      <w:r w:rsidR="002A5FD6" w:rsidRPr="00F749D8">
        <w:t>)</w:t>
      </w:r>
      <w:r w:rsidR="00AD1010">
        <w:t xml:space="preserve"> (table</w:t>
      </w:r>
      <w:r w:rsidR="00F749D8" w:rsidRPr="00F749D8">
        <w:t xml:space="preserve"> </w:t>
      </w:r>
      <w:proofErr w:type="spellStart"/>
      <w:r w:rsidR="00F749D8" w:rsidRPr="00F749D8">
        <w:t>12A.1.</w:t>
      </w:r>
      <w:r w:rsidR="00AD1010">
        <w:t>2</w:t>
      </w:r>
      <w:proofErr w:type="spellEnd"/>
      <w:r w:rsidR="00AD1010">
        <w:t xml:space="preserve"> and table</w:t>
      </w:r>
      <w:r w:rsidR="00F749D8" w:rsidRPr="00F749D8">
        <w:t xml:space="preserve"> </w:t>
      </w:r>
      <w:proofErr w:type="spellStart"/>
      <w:r w:rsidR="00F749D8" w:rsidRPr="00F749D8">
        <w:t>9A.3.2</w:t>
      </w:r>
      <w:proofErr w:type="spellEnd"/>
      <w:r w:rsidR="00F749D8" w:rsidRPr="00F749D8">
        <w:t>)</w:t>
      </w:r>
      <w:r w:rsidRPr="00F749D8">
        <w:t xml:space="preserve">. </w:t>
      </w:r>
    </w:p>
    <w:p w:rsidR="00BB232A" w:rsidRPr="00DB3234" w:rsidRDefault="00AD1010" w:rsidP="00BB232A">
      <w:pPr>
        <w:pStyle w:val="BodyText"/>
      </w:pPr>
      <w:r>
        <w:t>Between 2004-05 and 2011–</w:t>
      </w:r>
      <w:r w:rsidR="0031166D" w:rsidRPr="00DB3234">
        <w:t xml:space="preserve">13, </w:t>
      </w:r>
      <w:r w:rsidR="002A5FD6">
        <w:t xml:space="preserve">home ownership rates </w:t>
      </w:r>
      <w:r w:rsidR="0031166D" w:rsidRPr="00DB3234">
        <w:t xml:space="preserve">did not change significantly for Torres Strait Islander </w:t>
      </w:r>
      <w:r w:rsidR="002A5FD6">
        <w:t>adults</w:t>
      </w:r>
      <w:r w:rsidR="002A5FD6" w:rsidRPr="00DB3234">
        <w:t xml:space="preserve"> </w:t>
      </w:r>
      <w:r w:rsidR="0031166D" w:rsidRPr="00DB3234">
        <w:t>(</w:t>
      </w:r>
      <w:r w:rsidR="00DB3234" w:rsidRPr="00DB3234">
        <w:t>ranging between 30.6 and 32.6 per cent</w:t>
      </w:r>
      <w:r w:rsidR="0031166D" w:rsidRPr="00DB3234">
        <w:t xml:space="preserve">) but increased for Aboriginal </w:t>
      </w:r>
      <w:r w:rsidR="002A5FD6">
        <w:t>adults</w:t>
      </w:r>
      <w:r w:rsidR="002A5FD6" w:rsidRPr="00DB3234">
        <w:t xml:space="preserve"> </w:t>
      </w:r>
      <w:r w:rsidR="0031166D" w:rsidRPr="00DB3234">
        <w:t xml:space="preserve">(from 24.6 per cent to </w:t>
      </w:r>
      <w:r w:rsidR="00DB3234" w:rsidRPr="00DB3234">
        <w:t>30.0</w:t>
      </w:r>
      <w:r w:rsidR="0031166D" w:rsidRPr="00DB3234">
        <w:t xml:space="preserve"> per cent) </w:t>
      </w:r>
      <w:r>
        <w:t xml:space="preserve">(table </w:t>
      </w:r>
      <w:proofErr w:type="spellStart"/>
      <w:r>
        <w:t>12A.1.2</w:t>
      </w:r>
      <w:proofErr w:type="spellEnd"/>
      <w:r w:rsidR="0031166D" w:rsidRPr="00DB3234">
        <w:t>)</w:t>
      </w:r>
      <w:r w:rsidR="00F749D8">
        <w:t xml:space="preserve"> and decreased for non-Indigenous </w:t>
      </w:r>
      <w:r w:rsidR="00952E72">
        <w:t>adult</w:t>
      </w:r>
      <w:r w:rsidR="00F749D8">
        <w:t xml:space="preserve">s (from 73.7 per cent to 71.8 per cent) (table </w:t>
      </w:r>
      <w:proofErr w:type="spellStart"/>
      <w:r w:rsidR="00F749D8">
        <w:t>9A.3.2</w:t>
      </w:r>
      <w:proofErr w:type="spellEnd"/>
      <w:r w:rsidR="00F749D8">
        <w:t>)</w:t>
      </w:r>
      <w:r w:rsidR="0031166D" w:rsidRPr="00DB3234">
        <w:t>.</w:t>
      </w:r>
    </w:p>
    <w:p w:rsidR="00434397" w:rsidRDefault="00A07D02" w:rsidP="00A07D02">
      <w:pPr>
        <w:pStyle w:val="Heading3"/>
      </w:pPr>
      <w:r>
        <w:lastRenderedPageBreak/>
        <w:t>Selected health characteristics</w:t>
      </w:r>
    </w:p>
    <w:p w:rsidR="00577D39" w:rsidRDefault="00577D39" w:rsidP="00A40BBA">
      <w:pPr>
        <w:pStyle w:val="BodyText"/>
      </w:pPr>
      <w:r>
        <w:t xml:space="preserve">Data in this section are based on survey respondents self-assessed health status. </w:t>
      </w:r>
    </w:p>
    <w:p w:rsidR="00577D39" w:rsidRDefault="00AD1010" w:rsidP="00A40BBA">
      <w:pPr>
        <w:pStyle w:val="BodyText"/>
      </w:pPr>
      <w:r>
        <w:t>In 2011–</w:t>
      </w:r>
      <w:r w:rsidR="00EC5634">
        <w:t>13</w:t>
      </w:r>
      <w:r w:rsidR="00577D39">
        <w:t>:</w:t>
      </w:r>
    </w:p>
    <w:p w:rsidR="00A40BBA" w:rsidRDefault="00EC5634" w:rsidP="00F749D8">
      <w:pPr>
        <w:pStyle w:val="ListBullet"/>
      </w:pPr>
      <w:r w:rsidRPr="00821CAF">
        <w:t>the</w:t>
      </w:r>
      <w:r w:rsidR="00577D39">
        <w:t xml:space="preserve"> proportion of </w:t>
      </w:r>
      <w:r w:rsidRPr="00821CAF">
        <w:t xml:space="preserve">Torres Strait Islander </w:t>
      </w:r>
      <w:r w:rsidR="00577D39">
        <w:t>adults</w:t>
      </w:r>
      <w:r w:rsidR="00577D39" w:rsidRPr="00821CAF">
        <w:t xml:space="preserve"> </w:t>
      </w:r>
      <w:r w:rsidR="00577D39">
        <w:t>reporting</w:t>
      </w:r>
      <w:r w:rsidR="00577D39" w:rsidRPr="00821CAF">
        <w:t xml:space="preserve"> a long term health condition </w:t>
      </w:r>
      <w:r w:rsidRPr="00821CAF">
        <w:t>(</w:t>
      </w:r>
      <w:r w:rsidR="00821CAF" w:rsidRPr="00821CAF">
        <w:t>84.3</w:t>
      </w:r>
      <w:r w:rsidRPr="00821CAF">
        <w:t xml:space="preserve"> per cent</w:t>
      </w:r>
      <w:r w:rsidR="00AD1010">
        <w:t xml:space="preserve"> in 2012-13</w:t>
      </w:r>
      <w:r w:rsidRPr="00821CAF">
        <w:t>)</w:t>
      </w:r>
      <w:r w:rsidR="00577D39">
        <w:t xml:space="preserve"> was not statistically different to that of </w:t>
      </w:r>
      <w:r w:rsidRPr="00821CAF">
        <w:t xml:space="preserve">Aboriginal </w:t>
      </w:r>
      <w:r w:rsidR="00577D39">
        <w:t>adults</w:t>
      </w:r>
      <w:r w:rsidR="00577D39" w:rsidRPr="00821CAF">
        <w:t xml:space="preserve"> </w:t>
      </w:r>
      <w:r w:rsidRPr="00821CAF">
        <w:t>(</w:t>
      </w:r>
      <w:r w:rsidR="00821CAF" w:rsidRPr="00821CAF">
        <w:t>87.3</w:t>
      </w:r>
      <w:r w:rsidRPr="00821CAF">
        <w:t xml:space="preserve"> per cent</w:t>
      </w:r>
      <w:r w:rsidR="00AD1010">
        <w:t xml:space="preserve"> in 2012-13</w:t>
      </w:r>
      <w:r w:rsidRPr="00821CAF">
        <w:t xml:space="preserve">) or non-Indigenous </w:t>
      </w:r>
      <w:r w:rsidR="00577D39">
        <w:t>adults</w:t>
      </w:r>
      <w:r w:rsidR="00577D39" w:rsidRPr="00821CAF">
        <w:t xml:space="preserve"> </w:t>
      </w:r>
      <w:r w:rsidRPr="00821CAF">
        <w:t>(</w:t>
      </w:r>
      <w:r w:rsidR="00821CAF" w:rsidRPr="00821CAF">
        <w:t>87.0 </w:t>
      </w:r>
      <w:r w:rsidRPr="00821CAF">
        <w:t>per cent</w:t>
      </w:r>
      <w:r w:rsidR="00AD1010">
        <w:t xml:space="preserve"> in 2011-12</w:t>
      </w:r>
      <w:r w:rsidRPr="00821CAF">
        <w:t xml:space="preserve">), and </w:t>
      </w:r>
      <w:r w:rsidR="00F749D8">
        <w:t xml:space="preserve">for all groups </w:t>
      </w:r>
      <w:r w:rsidR="00577D39">
        <w:t xml:space="preserve">there was </w:t>
      </w:r>
      <w:r w:rsidRPr="00821CAF">
        <w:t xml:space="preserve">no significant change from 2004-05 (table </w:t>
      </w:r>
      <w:proofErr w:type="spellStart"/>
      <w:r>
        <w:t>12A.1.5</w:t>
      </w:r>
      <w:proofErr w:type="spellEnd"/>
      <w:r>
        <w:t xml:space="preserve">).  </w:t>
      </w:r>
    </w:p>
    <w:p w:rsidR="00EC5634" w:rsidRPr="00F749D8" w:rsidRDefault="00EC5634" w:rsidP="00F749D8">
      <w:pPr>
        <w:pStyle w:val="ListBullet"/>
      </w:pPr>
      <w:r>
        <w:t xml:space="preserve">the proportion of </w:t>
      </w:r>
      <w:r w:rsidR="00577D39">
        <w:t>Torres Strait Islander adults reporting</w:t>
      </w:r>
      <w:r>
        <w:t xml:space="preserve"> high/very high levels of psychological distress </w:t>
      </w:r>
      <w:r w:rsidR="00821CAF">
        <w:t>(28.5</w:t>
      </w:r>
      <w:r>
        <w:t xml:space="preserve"> p</w:t>
      </w:r>
      <w:r w:rsidR="00821CAF">
        <w:t>er cent</w:t>
      </w:r>
      <w:r w:rsidR="00AD1010">
        <w:t xml:space="preserve"> in 2012-13</w:t>
      </w:r>
      <w:r w:rsidR="00821CAF">
        <w:t xml:space="preserve">) </w:t>
      </w:r>
      <w:r w:rsidR="00577D39">
        <w:t xml:space="preserve">was not statistically different to that of </w:t>
      </w:r>
      <w:r w:rsidR="00821CAF">
        <w:t>Aboriginal people (29.5</w:t>
      </w:r>
      <w:r>
        <w:t xml:space="preserve"> per cent</w:t>
      </w:r>
      <w:r w:rsidR="00AD1010">
        <w:t xml:space="preserve"> in 2012-13</w:t>
      </w:r>
      <w:r w:rsidR="00821CAF">
        <w:t xml:space="preserve">), </w:t>
      </w:r>
      <w:r w:rsidR="00577D39">
        <w:t xml:space="preserve">but </w:t>
      </w:r>
      <w:r w:rsidR="00821CAF">
        <w:t xml:space="preserve">both </w:t>
      </w:r>
      <w:r w:rsidR="00577D39">
        <w:t xml:space="preserve">rates were </w:t>
      </w:r>
      <w:r w:rsidR="00821CAF">
        <w:t>higher levels than</w:t>
      </w:r>
      <w:r w:rsidR="00577D39">
        <w:t xml:space="preserve"> that for</w:t>
      </w:r>
      <w:r w:rsidR="00821CAF">
        <w:t xml:space="preserve"> non-Indigenous people (10.8 per </w:t>
      </w:r>
      <w:r w:rsidR="00821CAF" w:rsidRPr="00F749D8">
        <w:t>cent</w:t>
      </w:r>
      <w:r w:rsidR="00AD1010">
        <w:t xml:space="preserve"> in 2011-12</w:t>
      </w:r>
      <w:r w:rsidRPr="00F749D8">
        <w:t>)</w:t>
      </w:r>
      <w:r w:rsidR="00577D39" w:rsidRPr="00F749D8">
        <w:t xml:space="preserve"> (table</w:t>
      </w:r>
      <w:r w:rsidR="00F749D8" w:rsidRPr="00F749D8">
        <w:t xml:space="preserve"> </w:t>
      </w:r>
      <w:proofErr w:type="spellStart"/>
      <w:r w:rsidR="00F749D8" w:rsidRPr="00F749D8">
        <w:t>12A.1.5</w:t>
      </w:r>
      <w:proofErr w:type="spellEnd"/>
      <w:r w:rsidR="00577D39" w:rsidRPr="00F749D8">
        <w:t>)</w:t>
      </w:r>
      <w:r w:rsidRPr="00F749D8">
        <w:t>.</w:t>
      </w:r>
    </w:p>
    <w:p w:rsidR="002A6A21" w:rsidRDefault="002A6A21" w:rsidP="002A6A21">
      <w:pPr>
        <w:pStyle w:val="Heading2"/>
      </w:pPr>
      <w:r>
        <w:t>12.2 Attachment tables</w:t>
      </w:r>
    </w:p>
    <w:p w:rsidR="002A6A21" w:rsidRDefault="002A6A21" w:rsidP="00120072">
      <w:pPr>
        <w:pStyle w:val="BodyText"/>
      </w:pPr>
      <w:r w:rsidRPr="002A6A21">
        <w:t xml:space="preserve">Attachment tables are identified in references throughout this chapter by an ‘A’ suffix (for example, table </w:t>
      </w:r>
      <w:proofErr w:type="spellStart"/>
      <w:r w:rsidRPr="002A6A21">
        <w:t>12A.2</w:t>
      </w:r>
      <w:proofErr w:type="spellEnd"/>
      <w:r w:rsidRPr="002A6A21">
        <w:t xml:space="preserve"> is table 2 in the attachment tables for chapter 12). The files containing the attachment tables can also be found on the Review web page (www.pc.gov.au/gsp) or can be obtained by contacting the Secretariat directly.</w:t>
      </w:r>
    </w:p>
    <w:p w:rsidR="002A6A21" w:rsidRDefault="002A6A21" w:rsidP="002A6A21">
      <w:pPr>
        <w:pStyle w:val="Heading2"/>
      </w:pPr>
      <w:r>
        <w:t>12.3 References</w:t>
      </w:r>
    </w:p>
    <w:p w:rsidR="007E3CE0" w:rsidRDefault="007E3CE0" w:rsidP="0040239C">
      <w:pPr>
        <w:pStyle w:val="Reference"/>
        <w:rPr>
          <w:sz w:val="22"/>
          <w:szCs w:val="22"/>
        </w:rPr>
      </w:pPr>
    </w:p>
    <w:p w:rsidR="00A9300F" w:rsidRPr="00A9300F" w:rsidRDefault="00A9300F" w:rsidP="00952E72">
      <w:pPr>
        <w:pStyle w:val="Reference"/>
      </w:pPr>
      <w:r w:rsidRPr="00A9300F">
        <w:t xml:space="preserve">ABS (Australian Bureau of Statistics) 2012, </w:t>
      </w:r>
      <w:r w:rsidRPr="00A9300F">
        <w:rPr>
          <w:i/>
          <w:iCs/>
        </w:rPr>
        <w:t>Census of Population and Housing - Counts of Aboriginal and Torres Strait Islander Australians, 2011</w:t>
      </w:r>
      <w:r w:rsidRPr="00A9300F">
        <w:t>, Cat. no. 2075.0, http://www.abs.gov.au/AUSSTATS/abs@.nsf/productsbyCatalogue/4E7978922DB02C96CA257A230015F235?OpenDocument (accessed 20 May 2014).</w:t>
      </w:r>
    </w:p>
    <w:p w:rsidR="00A9300F" w:rsidRPr="00A9300F" w:rsidRDefault="00A9300F" w:rsidP="00952E72">
      <w:pPr>
        <w:pStyle w:val="Reference"/>
      </w:pPr>
      <w:r w:rsidRPr="00A9300F">
        <w:t xml:space="preserve">—— (Australian Bureau of Statistics) 2013, </w:t>
      </w:r>
      <w:r w:rsidRPr="00A9300F">
        <w:rPr>
          <w:i/>
          <w:iCs/>
        </w:rPr>
        <w:t>Estimates of Aboriginal and Torres Strait Islander Australians, June 2011</w:t>
      </w:r>
      <w:r w:rsidRPr="00A9300F">
        <w:t>, 30 August, Cat. no. 3238.0.55.001, Canberra, http://www.abs.gov.au/ausstats/abs@.nsf/mf/3238.0.55.001 (accessed 29 November 2013).</w:t>
      </w:r>
    </w:p>
    <w:p w:rsidR="00A9300F" w:rsidRPr="00A9300F" w:rsidRDefault="00A9300F" w:rsidP="00952E72">
      <w:pPr>
        <w:pStyle w:val="Reference"/>
      </w:pPr>
      <w:r w:rsidRPr="00A9300F">
        <w:t xml:space="preserve">SCRGSP (Steering Committee for the Review of Government Service Provision) 2009, </w:t>
      </w:r>
      <w:r w:rsidRPr="00A9300F">
        <w:rPr>
          <w:i/>
          <w:iCs/>
        </w:rPr>
        <w:t>Overcoming Indigenous Disadvantage: Key Indicators 2009</w:t>
      </w:r>
      <w:r w:rsidRPr="00A9300F">
        <w:t>, Productivity Commission, Canberra, ACT.</w:t>
      </w:r>
    </w:p>
    <w:p w:rsidR="00A9300F" w:rsidRPr="00A9300F" w:rsidRDefault="00A9300F" w:rsidP="00952E72">
      <w:pPr>
        <w:pStyle w:val="Reference"/>
      </w:pPr>
      <w:r w:rsidRPr="00A9300F">
        <w:t xml:space="preserve">—— (Steering Committee for the Review of Government Service Provision) 2011, </w:t>
      </w:r>
      <w:r w:rsidRPr="00A9300F">
        <w:rPr>
          <w:i/>
          <w:iCs/>
        </w:rPr>
        <w:t>Overcoming Indigenous Disadvantage: Key Indicators 2011</w:t>
      </w:r>
      <w:r w:rsidRPr="00A9300F">
        <w:t>, Productivity Commission, Canberra, ACT.</w:t>
      </w:r>
    </w:p>
    <w:p w:rsidR="00BF040E" w:rsidRDefault="00BF040E" w:rsidP="00952E72">
      <w:pPr>
        <w:pStyle w:val="Reference"/>
        <w:rPr>
          <w:sz w:val="22"/>
          <w:szCs w:val="22"/>
        </w:rPr>
      </w:pPr>
    </w:p>
    <w:sectPr w:rsidR="00BF040E" w:rsidSect="007A070D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984" w:right="1304" w:bottom="1247" w:left="1814" w:header="1701" w:footer="397" w:gutter="0"/>
      <w:pgNumType w:start="1" w:chapSep="period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34" w:rsidRDefault="001C4D34">
      <w:r>
        <w:separator/>
      </w:r>
    </w:p>
  </w:endnote>
  <w:endnote w:type="continuationSeparator" w:id="0">
    <w:p w:rsidR="001C4D34" w:rsidRDefault="001C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7A070D" w:rsidTr="005F48ED">
      <w:trPr>
        <w:trHeight w:hRule="exact" w:val="567"/>
      </w:trPr>
      <w:tc>
        <w:tcPr>
          <w:tcW w:w="510" w:type="dxa"/>
        </w:tcPr>
        <w:p w:rsidR="007A070D" w:rsidRPr="00A24443" w:rsidRDefault="007A070D" w:rsidP="0019293B">
          <w:pPr>
            <w:pStyle w:val="Footer"/>
            <w:tabs>
              <w:tab w:val="left" w:pos="0"/>
            </w:tabs>
            <w:ind w:right="0"/>
            <w:rPr>
              <w:rStyle w:val="PageNumber"/>
              <w:caps w:val="0"/>
            </w:rPr>
          </w:pPr>
          <w:r>
            <w:rPr>
              <w:rStyle w:val="PageNumber"/>
              <w:caps w:val="0"/>
            </w:rPr>
            <w:t>12.</w:t>
          </w: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EA77FE">
            <w:rPr>
              <w:rStyle w:val="PageNumber"/>
              <w:caps w:val="0"/>
              <w:noProof/>
            </w:rPr>
            <w:t>6</w:t>
          </w:r>
          <w:r w:rsidRPr="00A24443">
            <w:rPr>
              <w:rStyle w:val="PageNumber"/>
              <w:caps w:val="0"/>
            </w:rPr>
            <w:fldChar w:fldCharType="end"/>
          </w:r>
        </w:p>
      </w:tc>
      <w:tc>
        <w:tcPr>
          <w:tcW w:w="7767" w:type="dxa"/>
        </w:tcPr>
        <w:p w:rsidR="007A070D" w:rsidRPr="0013739A" w:rsidRDefault="006A2A1C" w:rsidP="0013739A">
          <w:pPr>
            <w:pStyle w:val="Footer"/>
            <w:rPr>
              <w:rFonts w:cs="Arial"/>
            </w:rPr>
          </w:pPr>
          <w:r>
            <w:rPr>
              <w:rFonts w:cs="Arial"/>
            </w:rPr>
            <w:t>OVERCOMING INDIGENOUS DISADVANTAGE 2014</w:t>
          </w:r>
          <w:bookmarkStart w:id="4" w:name="DraftReportEven"/>
          <w:bookmarkEnd w:id="4"/>
        </w:p>
      </w:tc>
      <w:tc>
        <w:tcPr>
          <w:tcW w:w="510" w:type="dxa"/>
        </w:tcPr>
        <w:p w:rsidR="007A070D" w:rsidRDefault="007A070D" w:rsidP="0019293B">
          <w:pPr>
            <w:pStyle w:val="Footer"/>
          </w:pPr>
        </w:p>
      </w:tc>
    </w:tr>
  </w:tbl>
  <w:p w:rsidR="007A070D" w:rsidRDefault="007A070D" w:rsidP="0019293B">
    <w:pPr>
      <w:pStyle w:val="FooterEnd"/>
    </w:pPr>
  </w:p>
  <w:p w:rsidR="00096E55" w:rsidRDefault="00096E55" w:rsidP="0019293B">
    <w:pPr>
      <w:pStyle w:val="FooterE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7A070D" w:rsidTr="005F48ED">
      <w:trPr>
        <w:trHeight w:hRule="exact" w:val="567"/>
      </w:trPr>
      <w:tc>
        <w:tcPr>
          <w:tcW w:w="510" w:type="dxa"/>
        </w:tcPr>
        <w:p w:rsidR="007A070D" w:rsidRDefault="007A070D">
          <w:pPr>
            <w:pStyle w:val="Footer"/>
            <w:ind w:right="360" w:firstLine="360"/>
          </w:pPr>
        </w:p>
      </w:tc>
      <w:tc>
        <w:tcPr>
          <w:tcW w:w="7767" w:type="dxa"/>
        </w:tcPr>
        <w:p w:rsidR="007A070D" w:rsidRPr="00BA5B14" w:rsidRDefault="006A2A1C" w:rsidP="0013739A">
          <w:pPr>
            <w:pStyle w:val="Footer"/>
            <w:jc w:val="right"/>
            <w:rPr>
              <w:rFonts w:cs="Arial"/>
            </w:rPr>
          </w:pPr>
          <w:r>
            <w:rPr>
              <w:rFonts w:cs="Arial"/>
            </w:rPr>
            <w:t>OUTCOMES FOR TORRES STRAIT ISLANDER PEOPLE</w:t>
          </w:r>
        </w:p>
      </w:tc>
      <w:tc>
        <w:tcPr>
          <w:tcW w:w="510" w:type="dxa"/>
        </w:tcPr>
        <w:p w:rsidR="007A070D" w:rsidRPr="00A24443" w:rsidRDefault="007A070D">
          <w:pPr>
            <w:pStyle w:val="Footer"/>
            <w:jc w:val="right"/>
            <w:rPr>
              <w:caps w:val="0"/>
            </w:rPr>
          </w:pPr>
          <w:r>
            <w:rPr>
              <w:rStyle w:val="PageNumber"/>
              <w:caps w:val="0"/>
            </w:rPr>
            <w:t>12.</w:t>
          </w: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EA77FE">
            <w:rPr>
              <w:rStyle w:val="PageNumber"/>
              <w:caps w:val="0"/>
              <w:noProof/>
            </w:rPr>
            <w:t>1</w:t>
          </w:r>
          <w:r w:rsidRPr="00A24443">
            <w:rPr>
              <w:rStyle w:val="PageNumber"/>
              <w:caps w:val="0"/>
            </w:rPr>
            <w:fldChar w:fldCharType="end"/>
          </w:r>
        </w:p>
      </w:tc>
    </w:tr>
  </w:tbl>
  <w:p w:rsidR="007A070D" w:rsidRDefault="007A070D">
    <w:pPr>
      <w:pStyle w:val="FooterEnd"/>
    </w:pPr>
  </w:p>
  <w:p w:rsidR="00096E55" w:rsidRDefault="00096E55">
    <w:pPr>
      <w:pStyle w:val="FooterE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34" w:rsidRDefault="001C4D34">
      <w:r>
        <w:separator/>
      </w:r>
    </w:p>
  </w:footnote>
  <w:footnote w:type="continuationSeparator" w:id="0">
    <w:p w:rsidR="001C4D34" w:rsidRDefault="001C4D34">
      <w:r>
        <w:continuationSeparator/>
      </w:r>
    </w:p>
  </w:footnote>
  <w:footnote w:id="1">
    <w:p w:rsidR="00574136" w:rsidRDefault="00574136" w:rsidP="00574136">
      <w:pPr>
        <w:pStyle w:val="FootnoteText"/>
      </w:pPr>
      <w:r>
        <w:rPr>
          <w:rStyle w:val="FootnoteReference"/>
        </w:rPr>
        <w:footnoteRef/>
      </w:r>
      <w:r>
        <w:tab/>
      </w:r>
      <w:r w:rsidRPr="00BF0A65">
        <w:t xml:space="preserve">The Steering Committee notes its appreciation to </w:t>
      </w:r>
      <w:r w:rsidR="00EA77FE">
        <w:t>Reconciliation Australia</w:t>
      </w:r>
      <w:r w:rsidRPr="00BF0A65">
        <w:t>, wh</w:t>
      </w:r>
      <w:r w:rsidR="00EA77FE">
        <w:t>ich</w:t>
      </w:r>
      <w:bookmarkStart w:id="2" w:name="_GoBack"/>
      <w:bookmarkEnd w:id="2"/>
      <w:r w:rsidRPr="00BF0A65">
        <w:t xml:space="preserve"> reviewed a draft of this section of the report.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6634"/>
    </w:tblGrid>
    <w:tr w:rsidR="00096E55">
      <w:tc>
        <w:tcPr>
          <w:tcW w:w="2155" w:type="dxa"/>
          <w:tcBorders>
            <w:top w:val="single" w:sz="24" w:space="0" w:color="auto"/>
          </w:tcBorders>
        </w:tcPr>
        <w:p w:rsidR="00096E55" w:rsidRDefault="00096E55" w:rsidP="0019293B">
          <w:pPr>
            <w:pStyle w:val="HeaderEven"/>
          </w:pPr>
        </w:p>
      </w:tc>
      <w:tc>
        <w:tcPr>
          <w:tcW w:w="6634" w:type="dxa"/>
          <w:tcBorders>
            <w:top w:val="single" w:sz="6" w:space="0" w:color="auto"/>
          </w:tcBorders>
        </w:tcPr>
        <w:p w:rsidR="00096E55" w:rsidRDefault="00096E55" w:rsidP="00924697">
          <w:pPr>
            <w:pStyle w:val="HeaderEven"/>
          </w:pPr>
        </w:p>
      </w:tc>
    </w:tr>
  </w:tbl>
  <w:p w:rsidR="00096E55" w:rsidRDefault="00096E55" w:rsidP="0019293B">
    <w:pPr>
      <w:pStyle w:val="HeaderE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34"/>
      <w:gridCol w:w="2155"/>
    </w:tblGrid>
    <w:tr w:rsidR="00096E55">
      <w:tc>
        <w:tcPr>
          <w:tcW w:w="6634" w:type="dxa"/>
          <w:tcBorders>
            <w:top w:val="single" w:sz="6" w:space="0" w:color="auto"/>
          </w:tcBorders>
        </w:tcPr>
        <w:p w:rsidR="00096E55" w:rsidRDefault="00096E55" w:rsidP="00924697">
          <w:pPr>
            <w:pStyle w:val="HeaderOdd"/>
          </w:pPr>
        </w:p>
      </w:tc>
      <w:tc>
        <w:tcPr>
          <w:tcW w:w="2155" w:type="dxa"/>
          <w:tcBorders>
            <w:top w:val="single" w:sz="24" w:space="0" w:color="auto"/>
          </w:tcBorders>
        </w:tcPr>
        <w:p w:rsidR="00096E55" w:rsidRDefault="00096E55" w:rsidP="00E669E2">
          <w:pPr>
            <w:pStyle w:val="HeaderOdd"/>
          </w:pPr>
        </w:p>
      </w:tc>
    </w:tr>
  </w:tbl>
  <w:p w:rsidR="00096E55" w:rsidRDefault="00096E55" w:rsidP="00E669E2">
    <w:pPr>
      <w:pStyle w:val="HeaderE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A29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4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5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8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0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2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4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15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16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19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0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"/>
  </w:num>
  <w:num w:numId="5">
    <w:abstractNumId w:val="13"/>
  </w:num>
  <w:num w:numId="6">
    <w:abstractNumId w:val="3"/>
  </w:num>
  <w:num w:numId="7">
    <w:abstractNumId w:val="18"/>
  </w:num>
  <w:num w:numId="8">
    <w:abstractNumId w:val="15"/>
  </w:num>
  <w:num w:numId="9">
    <w:abstractNumId w:val="20"/>
  </w:num>
  <w:num w:numId="10">
    <w:abstractNumId w:val="9"/>
  </w:num>
  <w:num w:numId="11">
    <w:abstractNumId w:val="7"/>
  </w:num>
  <w:num w:numId="12">
    <w:abstractNumId w:val="14"/>
  </w:num>
  <w:num w:numId="13">
    <w:abstractNumId w:val="6"/>
  </w:num>
  <w:num w:numId="14">
    <w:abstractNumId w:val="5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8"/>
  </w:num>
  <w:num w:numId="20">
    <w:abstractNumId w:val="0"/>
  </w:num>
  <w:num w:numId="21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18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lickAndTypeStyle w:val="BodyText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ndingOptions" w:val="1"/>
    <w:docVar w:name="RecOptions" w:val="111"/>
    <w:docVar w:name="ShortChapterTitle" w:val="OUTCOMES FOR TORRES STRAIT ISLANDER PEOPLE"/>
    <w:docVar w:name="ShortReportTitle" w:val="OVERCOMING INDIGENOUS DISADVANTAGE 2014"/>
  </w:docVars>
  <w:rsids>
    <w:rsidRoot w:val="001C4D34"/>
    <w:rsid w:val="0000181D"/>
    <w:rsid w:val="000227D5"/>
    <w:rsid w:val="000245AA"/>
    <w:rsid w:val="0003664B"/>
    <w:rsid w:val="000373B3"/>
    <w:rsid w:val="0004111F"/>
    <w:rsid w:val="00052A86"/>
    <w:rsid w:val="0005351C"/>
    <w:rsid w:val="000565B3"/>
    <w:rsid w:val="0007150B"/>
    <w:rsid w:val="00071F9D"/>
    <w:rsid w:val="000738CE"/>
    <w:rsid w:val="0007743F"/>
    <w:rsid w:val="000938F5"/>
    <w:rsid w:val="00096E55"/>
    <w:rsid w:val="000A34D5"/>
    <w:rsid w:val="000B601B"/>
    <w:rsid w:val="000C207E"/>
    <w:rsid w:val="000F0035"/>
    <w:rsid w:val="000F420B"/>
    <w:rsid w:val="00110116"/>
    <w:rsid w:val="00120072"/>
    <w:rsid w:val="00125ABE"/>
    <w:rsid w:val="00126EB8"/>
    <w:rsid w:val="001274D4"/>
    <w:rsid w:val="001363AA"/>
    <w:rsid w:val="00140629"/>
    <w:rsid w:val="00183E82"/>
    <w:rsid w:val="0018506C"/>
    <w:rsid w:val="001878BB"/>
    <w:rsid w:val="00191AE0"/>
    <w:rsid w:val="0019293B"/>
    <w:rsid w:val="0019426B"/>
    <w:rsid w:val="001B6CC2"/>
    <w:rsid w:val="001C0865"/>
    <w:rsid w:val="001C1FB7"/>
    <w:rsid w:val="001C3ABA"/>
    <w:rsid w:val="001C4D34"/>
    <w:rsid w:val="001E7BE8"/>
    <w:rsid w:val="001F0248"/>
    <w:rsid w:val="001F3EB3"/>
    <w:rsid w:val="001F4F86"/>
    <w:rsid w:val="00202C2C"/>
    <w:rsid w:val="002135AB"/>
    <w:rsid w:val="002144BE"/>
    <w:rsid w:val="002232EF"/>
    <w:rsid w:val="00235B34"/>
    <w:rsid w:val="00236F00"/>
    <w:rsid w:val="0024058A"/>
    <w:rsid w:val="00242279"/>
    <w:rsid w:val="00245C82"/>
    <w:rsid w:val="002803F0"/>
    <w:rsid w:val="00286807"/>
    <w:rsid w:val="00291B40"/>
    <w:rsid w:val="002A5FD6"/>
    <w:rsid w:val="002A6A21"/>
    <w:rsid w:val="002B4008"/>
    <w:rsid w:val="002D0E8E"/>
    <w:rsid w:val="002F53AF"/>
    <w:rsid w:val="00301189"/>
    <w:rsid w:val="003112D8"/>
    <w:rsid w:val="0031166D"/>
    <w:rsid w:val="00323E09"/>
    <w:rsid w:val="00331AD1"/>
    <w:rsid w:val="00333932"/>
    <w:rsid w:val="003518AA"/>
    <w:rsid w:val="00352165"/>
    <w:rsid w:val="00353182"/>
    <w:rsid w:val="0035455F"/>
    <w:rsid w:val="003565D9"/>
    <w:rsid w:val="003602E1"/>
    <w:rsid w:val="0037026F"/>
    <w:rsid w:val="00371240"/>
    <w:rsid w:val="00374731"/>
    <w:rsid w:val="00376E59"/>
    <w:rsid w:val="003919F9"/>
    <w:rsid w:val="003B450C"/>
    <w:rsid w:val="003C38B5"/>
    <w:rsid w:val="003C5D99"/>
    <w:rsid w:val="003E2F59"/>
    <w:rsid w:val="003F0789"/>
    <w:rsid w:val="00401882"/>
    <w:rsid w:val="0040239C"/>
    <w:rsid w:val="004100C8"/>
    <w:rsid w:val="00411DBD"/>
    <w:rsid w:val="00412ACE"/>
    <w:rsid w:val="00431249"/>
    <w:rsid w:val="00434397"/>
    <w:rsid w:val="00434C19"/>
    <w:rsid w:val="00450810"/>
    <w:rsid w:val="00477144"/>
    <w:rsid w:val="00484E11"/>
    <w:rsid w:val="00491380"/>
    <w:rsid w:val="0049459F"/>
    <w:rsid w:val="004A38DD"/>
    <w:rsid w:val="004B43AE"/>
    <w:rsid w:val="004B78D2"/>
    <w:rsid w:val="004C30ED"/>
    <w:rsid w:val="004D5675"/>
    <w:rsid w:val="004F6775"/>
    <w:rsid w:val="00523639"/>
    <w:rsid w:val="00531FE5"/>
    <w:rsid w:val="005402FA"/>
    <w:rsid w:val="00551C86"/>
    <w:rsid w:val="005665A1"/>
    <w:rsid w:val="00574136"/>
    <w:rsid w:val="00574C58"/>
    <w:rsid w:val="00577D39"/>
    <w:rsid w:val="00583C39"/>
    <w:rsid w:val="00587F28"/>
    <w:rsid w:val="005909CF"/>
    <w:rsid w:val="00591E71"/>
    <w:rsid w:val="005A0D41"/>
    <w:rsid w:val="005D218F"/>
    <w:rsid w:val="005E1B22"/>
    <w:rsid w:val="005E7D6D"/>
    <w:rsid w:val="00607BF1"/>
    <w:rsid w:val="00614A11"/>
    <w:rsid w:val="006276A1"/>
    <w:rsid w:val="00630D4D"/>
    <w:rsid w:val="00632A74"/>
    <w:rsid w:val="00655766"/>
    <w:rsid w:val="00660948"/>
    <w:rsid w:val="00662A51"/>
    <w:rsid w:val="006739C8"/>
    <w:rsid w:val="006A2A1C"/>
    <w:rsid w:val="006A4655"/>
    <w:rsid w:val="006B2B3C"/>
    <w:rsid w:val="006C1D81"/>
    <w:rsid w:val="006C7038"/>
    <w:rsid w:val="006E2F18"/>
    <w:rsid w:val="006E73EF"/>
    <w:rsid w:val="0070794F"/>
    <w:rsid w:val="00714D4D"/>
    <w:rsid w:val="0072036C"/>
    <w:rsid w:val="007604BB"/>
    <w:rsid w:val="0077204B"/>
    <w:rsid w:val="0077776C"/>
    <w:rsid w:val="00782C06"/>
    <w:rsid w:val="00785232"/>
    <w:rsid w:val="00786D81"/>
    <w:rsid w:val="00795B00"/>
    <w:rsid w:val="00796C1C"/>
    <w:rsid w:val="007A070D"/>
    <w:rsid w:val="007A21EB"/>
    <w:rsid w:val="007B1A93"/>
    <w:rsid w:val="007C36C9"/>
    <w:rsid w:val="007C6F0D"/>
    <w:rsid w:val="007D6401"/>
    <w:rsid w:val="007E01E4"/>
    <w:rsid w:val="007E107F"/>
    <w:rsid w:val="007E3CE0"/>
    <w:rsid w:val="007F7107"/>
    <w:rsid w:val="00800D4C"/>
    <w:rsid w:val="0081030F"/>
    <w:rsid w:val="0082087D"/>
    <w:rsid w:val="00821CAF"/>
    <w:rsid w:val="00835771"/>
    <w:rsid w:val="00842933"/>
    <w:rsid w:val="0086082C"/>
    <w:rsid w:val="00864ADC"/>
    <w:rsid w:val="00880153"/>
    <w:rsid w:val="00880F97"/>
    <w:rsid w:val="0088133A"/>
    <w:rsid w:val="0089285E"/>
    <w:rsid w:val="0089436C"/>
    <w:rsid w:val="008A071B"/>
    <w:rsid w:val="008B4A71"/>
    <w:rsid w:val="008D365C"/>
    <w:rsid w:val="00902848"/>
    <w:rsid w:val="009030BF"/>
    <w:rsid w:val="0091032F"/>
    <w:rsid w:val="00914368"/>
    <w:rsid w:val="00916BD3"/>
    <w:rsid w:val="00924697"/>
    <w:rsid w:val="00931076"/>
    <w:rsid w:val="009345D9"/>
    <w:rsid w:val="00934B15"/>
    <w:rsid w:val="00940C87"/>
    <w:rsid w:val="00942B62"/>
    <w:rsid w:val="00952E72"/>
    <w:rsid w:val="0095323B"/>
    <w:rsid w:val="00956A0C"/>
    <w:rsid w:val="00956BD9"/>
    <w:rsid w:val="00962489"/>
    <w:rsid w:val="00990C2C"/>
    <w:rsid w:val="009B6925"/>
    <w:rsid w:val="009C137E"/>
    <w:rsid w:val="009E1844"/>
    <w:rsid w:val="009F0D1B"/>
    <w:rsid w:val="009F696D"/>
    <w:rsid w:val="009F6AEF"/>
    <w:rsid w:val="009F6BC6"/>
    <w:rsid w:val="00A07D02"/>
    <w:rsid w:val="00A17328"/>
    <w:rsid w:val="00A23A20"/>
    <w:rsid w:val="00A268B9"/>
    <w:rsid w:val="00A2703A"/>
    <w:rsid w:val="00A33DFF"/>
    <w:rsid w:val="00A35115"/>
    <w:rsid w:val="00A36D9A"/>
    <w:rsid w:val="00A40BBA"/>
    <w:rsid w:val="00A453BE"/>
    <w:rsid w:val="00A554AB"/>
    <w:rsid w:val="00A57062"/>
    <w:rsid w:val="00A73F43"/>
    <w:rsid w:val="00A92B53"/>
    <w:rsid w:val="00A9300F"/>
    <w:rsid w:val="00A94FA6"/>
    <w:rsid w:val="00AA49A0"/>
    <w:rsid w:val="00AA6710"/>
    <w:rsid w:val="00AB0681"/>
    <w:rsid w:val="00AD1010"/>
    <w:rsid w:val="00AD520B"/>
    <w:rsid w:val="00B01E97"/>
    <w:rsid w:val="00B0259F"/>
    <w:rsid w:val="00B03E96"/>
    <w:rsid w:val="00B11F7D"/>
    <w:rsid w:val="00B14AE3"/>
    <w:rsid w:val="00B32DED"/>
    <w:rsid w:val="00B425C3"/>
    <w:rsid w:val="00B440AD"/>
    <w:rsid w:val="00B479BB"/>
    <w:rsid w:val="00B53E7E"/>
    <w:rsid w:val="00B6342E"/>
    <w:rsid w:val="00B7113F"/>
    <w:rsid w:val="00B801C8"/>
    <w:rsid w:val="00B90A6C"/>
    <w:rsid w:val="00B94E4B"/>
    <w:rsid w:val="00BA73B6"/>
    <w:rsid w:val="00BA7E27"/>
    <w:rsid w:val="00BB232A"/>
    <w:rsid w:val="00BB2603"/>
    <w:rsid w:val="00BB4FCD"/>
    <w:rsid w:val="00BC04E9"/>
    <w:rsid w:val="00BD13EA"/>
    <w:rsid w:val="00BE3808"/>
    <w:rsid w:val="00BF040E"/>
    <w:rsid w:val="00C062E9"/>
    <w:rsid w:val="00C07B64"/>
    <w:rsid w:val="00C13721"/>
    <w:rsid w:val="00C14FE4"/>
    <w:rsid w:val="00C3066D"/>
    <w:rsid w:val="00C52416"/>
    <w:rsid w:val="00C543F4"/>
    <w:rsid w:val="00C6291C"/>
    <w:rsid w:val="00C633CB"/>
    <w:rsid w:val="00C736B7"/>
    <w:rsid w:val="00C81D4A"/>
    <w:rsid w:val="00C86467"/>
    <w:rsid w:val="00C8762C"/>
    <w:rsid w:val="00CA00F9"/>
    <w:rsid w:val="00CA2961"/>
    <w:rsid w:val="00CB1FB5"/>
    <w:rsid w:val="00CB50D7"/>
    <w:rsid w:val="00CB7177"/>
    <w:rsid w:val="00CC1998"/>
    <w:rsid w:val="00CC4946"/>
    <w:rsid w:val="00CE02B9"/>
    <w:rsid w:val="00CE74A5"/>
    <w:rsid w:val="00D03297"/>
    <w:rsid w:val="00D270A4"/>
    <w:rsid w:val="00D31FE9"/>
    <w:rsid w:val="00D34E1B"/>
    <w:rsid w:val="00D376BA"/>
    <w:rsid w:val="00D45634"/>
    <w:rsid w:val="00D5568A"/>
    <w:rsid w:val="00D63D73"/>
    <w:rsid w:val="00D64452"/>
    <w:rsid w:val="00D66E1E"/>
    <w:rsid w:val="00D75722"/>
    <w:rsid w:val="00D80CF5"/>
    <w:rsid w:val="00D9656C"/>
    <w:rsid w:val="00D96B2A"/>
    <w:rsid w:val="00D979E9"/>
    <w:rsid w:val="00DA5BBA"/>
    <w:rsid w:val="00DB26D2"/>
    <w:rsid w:val="00DB3234"/>
    <w:rsid w:val="00DB67C9"/>
    <w:rsid w:val="00DC0C95"/>
    <w:rsid w:val="00DD6580"/>
    <w:rsid w:val="00E071C3"/>
    <w:rsid w:val="00E17C72"/>
    <w:rsid w:val="00E21FC6"/>
    <w:rsid w:val="00E431A9"/>
    <w:rsid w:val="00E669E2"/>
    <w:rsid w:val="00E76135"/>
    <w:rsid w:val="00E8286E"/>
    <w:rsid w:val="00E82F4F"/>
    <w:rsid w:val="00E9483D"/>
    <w:rsid w:val="00E953B2"/>
    <w:rsid w:val="00EA77FE"/>
    <w:rsid w:val="00EC2844"/>
    <w:rsid w:val="00EC5500"/>
    <w:rsid w:val="00EC5634"/>
    <w:rsid w:val="00ED18F8"/>
    <w:rsid w:val="00EF6C6C"/>
    <w:rsid w:val="00F056FC"/>
    <w:rsid w:val="00F063EF"/>
    <w:rsid w:val="00F10476"/>
    <w:rsid w:val="00F135D8"/>
    <w:rsid w:val="00F14AA0"/>
    <w:rsid w:val="00F31299"/>
    <w:rsid w:val="00F3534A"/>
    <w:rsid w:val="00F51609"/>
    <w:rsid w:val="00F65CD9"/>
    <w:rsid w:val="00F749D8"/>
    <w:rsid w:val="00F81006"/>
    <w:rsid w:val="00F85325"/>
    <w:rsid w:val="00F93881"/>
    <w:rsid w:val="00FD22B1"/>
    <w:rsid w:val="00FE4DF9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A77FE"/>
    <w:rPr>
      <w:sz w:val="24"/>
      <w:szCs w:val="24"/>
    </w:rPr>
  </w:style>
  <w:style w:type="paragraph" w:styleId="Heading1">
    <w:name w:val="heading 1"/>
    <w:basedOn w:val="BodyText"/>
    <w:next w:val="BodyText"/>
    <w:rsid w:val="00EA77FE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EA77FE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EA77FE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EA77FE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EA77FE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rsid w:val="00EA77FE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rsid w:val="00EA77FE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rsid w:val="00EA77FE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rsid w:val="00EA77FE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EA77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77FE"/>
  </w:style>
  <w:style w:type="paragraph" w:styleId="BodyText">
    <w:name w:val="Body Text"/>
    <w:link w:val="BodyTextChar"/>
    <w:qFormat/>
    <w:rsid w:val="00EA77FE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rsid w:val="00EA77FE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EA77FE"/>
    <w:pPr>
      <w:spacing w:before="0" w:line="20" w:lineRule="exact"/>
    </w:pPr>
  </w:style>
  <w:style w:type="paragraph" w:styleId="Header">
    <w:name w:val="header"/>
    <w:basedOn w:val="BodyText"/>
    <w:rsid w:val="00EA77FE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EA77FE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EA77FE"/>
  </w:style>
  <w:style w:type="paragraph" w:customStyle="1" w:styleId="HeaderOdd">
    <w:name w:val="Header Odd"/>
    <w:basedOn w:val="Header"/>
    <w:semiHidden/>
    <w:rsid w:val="00EA77FE"/>
  </w:style>
  <w:style w:type="character" w:styleId="PageNumber">
    <w:name w:val="page number"/>
    <w:basedOn w:val="DefaultParagraphFont"/>
    <w:rsid w:val="00EA77FE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EA77FE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EA77FE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EA77FE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EA77FE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EA77FE"/>
    <w:rPr>
      <w:b w:val="0"/>
      <w:i/>
    </w:rPr>
  </w:style>
  <w:style w:type="paragraph" w:customStyle="1" w:styleId="BoxListBullet">
    <w:name w:val="Box List Bullet"/>
    <w:basedOn w:val="BodyText"/>
    <w:rsid w:val="00EA77FE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EA77FE"/>
    <w:pPr>
      <w:numPr>
        <w:numId w:val="2"/>
      </w:numPr>
      <w:ind w:left="568" w:hanging="284"/>
    </w:pPr>
  </w:style>
  <w:style w:type="paragraph" w:customStyle="1" w:styleId="BoxListNumber">
    <w:name w:val="Box List Number"/>
    <w:basedOn w:val="BodyText"/>
    <w:rsid w:val="00EA77FE"/>
    <w:pPr>
      <w:keepNext/>
      <w:numPr>
        <w:numId w:val="14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EA77FE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EA77FE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EA77FE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EA77FE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EA77FE"/>
    <w:pPr>
      <w:spacing w:before="120"/>
    </w:pPr>
  </w:style>
  <w:style w:type="paragraph" w:customStyle="1" w:styleId="BoxSpaceAbove">
    <w:name w:val="Box Space Above"/>
    <w:basedOn w:val="BodyText"/>
    <w:rsid w:val="00EA77FE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EA77FE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EA77FE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EA77FE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EA77FE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EA77FE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EA77FE"/>
    <w:rPr>
      <w:b/>
      <w:vanish/>
      <w:color w:val="FF00FF"/>
      <w:sz w:val="20"/>
    </w:rPr>
  </w:style>
  <w:style w:type="paragraph" w:styleId="CommentText">
    <w:name w:val="annotation text"/>
    <w:basedOn w:val="Normal"/>
    <w:link w:val="CommentTextChar"/>
    <w:semiHidden/>
    <w:rsid w:val="00EA77FE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EA77FE"/>
  </w:style>
  <w:style w:type="character" w:customStyle="1" w:styleId="DocumentInfo">
    <w:name w:val="Document Info"/>
    <w:basedOn w:val="DefaultParagraphFont"/>
    <w:semiHidden/>
    <w:rsid w:val="00EA77FE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EA77FE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EA77FE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EA77FE"/>
    <w:pPr>
      <w:spacing w:before="120"/>
    </w:pPr>
  </w:style>
  <w:style w:type="paragraph" w:styleId="Subtitle">
    <w:name w:val="Subtitle"/>
    <w:basedOn w:val="Caption"/>
    <w:link w:val="SubtitleChar"/>
    <w:qFormat/>
    <w:rsid w:val="00EA77FE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EA77FE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EA77FE"/>
    <w:pPr>
      <w:numPr>
        <w:numId w:val="3"/>
      </w:numPr>
      <w:spacing w:before="80"/>
    </w:pPr>
  </w:style>
  <w:style w:type="paragraph" w:customStyle="1" w:styleId="FindingNoTitle">
    <w:name w:val="Finding NoTitle"/>
    <w:basedOn w:val="Finding"/>
    <w:semiHidden/>
    <w:rsid w:val="00EA77FE"/>
    <w:pPr>
      <w:spacing w:before="240"/>
    </w:pPr>
  </w:style>
  <w:style w:type="paragraph" w:customStyle="1" w:styleId="RecTitle">
    <w:name w:val="Rec Title"/>
    <w:basedOn w:val="BodyText"/>
    <w:next w:val="Rec"/>
    <w:qFormat/>
    <w:rsid w:val="00EA77FE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EA77FE"/>
  </w:style>
  <w:style w:type="character" w:styleId="FootnoteReference">
    <w:name w:val="footnote reference"/>
    <w:basedOn w:val="DefaultParagraphFont"/>
    <w:semiHidden/>
    <w:rsid w:val="00EA77FE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rsid w:val="00EA77FE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EA77FE"/>
    <w:rPr>
      <w:i/>
    </w:rPr>
  </w:style>
  <w:style w:type="paragraph" w:customStyle="1" w:styleId="Jurisdictioncommentsbodytext">
    <w:name w:val="Jurisdiction comments body text"/>
    <w:rsid w:val="00EA77FE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EA77FE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EA77FE"/>
    <w:pPr>
      <w:numPr>
        <w:numId w:val="4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EA77FE"/>
    <w:pPr>
      <w:numPr>
        <w:numId w:val="5"/>
      </w:numPr>
      <w:spacing w:before="120"/>
    </w:pPr>
  </w:style>
  <w:style w:type="paragraph" w:styleId="ListBullet2">
    <w:name w:val="List Bullet 2"/>
    <w:basedOn w:val="BodyText"/>
    <w:rsid w:val="00EA77FE"/>
    <w:pPr>
      <w:numPr>
        <w:numId w:val="6"/>
      </w:numPr>
      <w:spacing w:before="120"/>
    </w:pPr>
  </w:style>
  <w:style w:type="paragraph" w:styleId="ListBullet3">
    <w:name w:val="List Bullet 3"/>
    <w:basedOn w:val="BodyText"/>
    <w:rsid w:val="00EA77FE"/>
    <w:pPr>
      <w:numPr>
        <w:numId w:val="7"/>
      </w:numPr>
      <w:spacing w:before="120"/>
      <w:ind w:left="1020" w:hanging="340"/>
    </w:pPr>
  </w:style>
  <w:style w:type="paragraph" w:styleId="ListNumber">
    <w:name w:val="List Number"/>
    <w:basedOn w:val="BodyText"/>
    <w:rsid w:val="00EA77FE"/>
    <w:pPr>
      <w:numPr>
        <w:numId w:val="13"/>
      </w:numPr>
      <w:spacing w:before="120"/>
    </w:pPr>
  </w:style>
  <w:style w:type="paragraph" w:styleId="ListNumber2">
    <w:name w:val="List Number 2"/>
    <w:basedOn w:val="ListNumber"/>
    <w:rsid w:val="00EA77FE"/>
    <w:pPr>
      <w:numPr>
        <w:ilvl w:val="1"/>
      </w:numPr>
    </w:pPr>
  </w:style>
  <w:style w:type="paragraph" w:styleId="ListNumber3">
    <w:name w:val="List Number 3"/>
    <w:basedOn w:val="ListNumber2"/>
    <w:rsid w:val="00EA77FE"/>
    <w:pPr>
      <w:numPr>
        <w:ilvl w:val="2"/>
      </w:numPr>
    </w:pPr>
  </w:style>
  <w:style w:type="character" w:customStyle="1" w:styleId="NoteLabel">
    <w:name w:val="Note Label"/>
    <w:basedOn w:val="DefaultParagraphFont"/>
    <w:rsid w:val="00EA77FE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EA77FE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EA77FE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EA77FE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EA77FE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EA77FE"/>
    <w:pPr>
      <w:numPr>
        <w:numId w:val="8"/>
      </w:numPr>
    </w:pPr>
  </w:style>
  <w:style w:type="paragraph" w:customStyle="1" w:styleId="Rec">
    <w:name w:val="Rec"/>
    <w:basedOn w:val="BodyText"/>
    <w:qFormat/>
    <w:rsid w:val="00EA77FE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EA77FE"/>
    <w:pPr>
      <w:numPr>
        <w:numId w:val="9"/>
      </w:numPr>
      <w:spacing w:before="80"/>
    </w:pPr>
  </w:style>
  <w:style w:type="paragraph" w:customStyle="1" w:styleId="RecB">
    <w:name w:val="RecB"/>
    <w:basedOn w:val="Normal"/>
    <w:semiHidden/>
    <w:rsid w:val="00EA77FE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EA77FE"/>
    <w:pPr>
      <w:numPr>
        <w:numId w:val="10"/>
      </w:numPr>
      <w:spacing w:before="80"/>
    </w:pPr>
  </w:style>
  <w:style w:type="paragraph" w:customStyle="1" w:styleId="RecBNoTitle">
    <w:name w:val="RecB NoTitle"/>
    <w:basedOn w:val="RecB"/>
    <w:semiHidden/>
    <w:rsid w:val="00EA77FE"/>
    <w:pPr>
      <w:spacing w:before="240"/>
    </w:pPr>
  </w:style>
  <w:style w:type="paragraph" w:customStyle="1" w:styleId="Reference">
    <w:name w:val="Reference"/>
    <w:basedOn w:val="BodyText"/>
    <w:rsid w:val="00EA77FE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EA77FE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EA77FE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EA77FE"/>
    <w:pPr>
      <w:framePr w:wrap="around"/>
      <w:numPr>
        <w:numId w:val="11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EA77FE"/>
    <w:pPr>
      <w:framePr w:wrap="around"/>
    </w:pPr>
  </w:style>
  <w:style w:type="paragraph" w:customStyle="1" w:styleId="TableBodyText">
    <w:name w:val="Table Body Text"/>
    <w:basedOn w:val="BodyText"/>
    <w:rsid w:val="00EA77FE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EA77FE"/>
    <w:pPr>
      <w:numPr>
        <w:numId w:val="12"/>
      </w:numPr>
      <w:jc w:val="left"/>
    </w:pPr>
  </w:style>
  <w:style w:type="paragraph" w:customStyle="1" w:styleId="TableColumnHeading">
    <w:name w:val="Table Column Heading"/>
    <w:basedOn w:val="TableBodyText"/>
    <w:rsid w:val="00EA77FE"/>
    <w:pPr>
      <w:spacing w:before="80" w:after="80"/>
    </w:pPr>
    <w:rPr>
      <w:i/>
    </w:rPr>
  </w:style>
  <w:style w:type="paragraph" w:styleId="TOC2">
    <w:name w:val="toc 2"/>
    <w:basedOn w:val="TOC1"/>
    <w:rsid w:val="00EA77FE"/>
    <w:pPr>
      <w:ind w:left="1134" w:hanging="624"/>
    </w:pPr>
    <w:rPr>
      <w:b w:val="0"/>
    </w:rPr>
  </w:style>
  <w:style w:type="paragraph" w:styleId="TOC3">
    <w:name w:val="toc 3"/>
    <w:basedOn w:val="TOC2"/>
    <w:rsid w:val="00EA77FE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EA77FE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EA77FE"/>
    <w:pPr>
      <w:spacing w:before="120"/>
    </w:pPr>
  </w:style>
  <w:style w:type="paragraph" w:customStyle="1" w:styleId="TableUnitsRow">
    <w:name w:val="Table Units Row"/>
    <w:basedOn w:val="TableBodyText"/>
    <w:rsid w:val="00EA77FE"/>
    <w:pPr>
      <w:spacing w:before="40"/>
    </w:pPr>
  </w:style>
  <w:style w:type="paragraph" w:styleId="TOC1">
    <w:name w:val="toc 1"/>
    <w:basedOn w:val="Normal"/>
    <w:next w:val="TOC2"/>
    <w:link w:val="TOC1Char"/>
    <w:rsid w:val="00EA77FE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EA77FE"/>
    <w:pPr>
      <w:ind w:left="1191" w:firstLine="0"/>
    </w:pPr>
  </w:style>
  <w:style w:type="paragraph" w:customStyle="1" w:styleId="RecBBullet2">
    <w:name w:val="RecB Bullet 2"/>
    <w:basedOn w:val="ListBullet2"/>
    <w:semiHidden/>
    <w:rsid w:val="00EA77FE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EA7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7FE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EA77FE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EA77FE"/>
    <w:pPr>
      <w:numPr>
        <w:numId w:val="17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EA77FE"/>
    <w:rPr>
      <w:i/>
      <w:iCs/>
    </w:rPr>
  </w:style>
  <w:style w:type="paragraph" w:customStyle="1" w:styleId="BoxQuoteBullet">
    <w:name w:val="Box Quote Bullet"/>
    <w:basedOn w:val="BoxQuote"/>
    <w:next w:val="Box"/>
    <w:rsid w:val="00EA77FE"/>
    <w:pPr>
      <w:numPr>
        <w:numId w:val="15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EA77FE"/>
    <w:pPr>
      <w:numPr>
        <w:numId w:val="16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EA77FE"/>
    <w:pPr>
      <w:keepNext w:val="0"/>
      <w:spacing w:before="60" w:after="60" w:line="80" w:lineRule="exact"/>
    </w:pPr>
    <w:rPr>
      <w:sz w:val="14"/>
    </w:rPr>
  </w:style>
  <w:style w:type="character" w:styleId="Hyperlink">
    <w:name w:val="Hyperlink"/>
    <w:basedOn w:val="DefaultParagraphFont"/>
    <w:uiPriority w:val="99"/>
    <w:unhideWhenUsed/>
    <w:rsid w:val="0040239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8A071B"/>
    <w:pPr>
      <w:spacing w:before="0" w:line="240" w:lineRule="auto"/>
      <w:ind w:left="0" w:firstLine="0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071B"/>
    <w:rPr>
      <w:szCs w:val="24"/>
    </w:rPr>
  </w:style>
  <w:style w:type="character" w:customStyle="1" w:styleId="CommentSubjectChar">
    <w:name w:val="Comment Subject Char"/>
    <w:basedOn w:val="CommentTextChar"/>
    <w:link w:val="CommentSubject"/>
    <w:rsid w:val="008A071B"/>
    <w:rPr>
      <w:b/>
      <w:bCs/>
      <w:szCs w:val="24"/>
    </w:rPr>
  </w:style>
  <w:style w:type="paragraph" w:styleId="Revision">
    <w:name w:val="Revision"/>
    <w:hidden/>
    <w:uiPriority w:val="99"/>
    <w:semiHidden/>
    <w:rsid w:val="008A071B"/>
    <w:rPr>
      <w:sz w:val="26"/>
      <w:szCs w:val="24"/>
    </w:rPr>
  </w:style>
  <w:style w:type="character" w:styleId="FollowedHyperlink">
    <w:name w:val="FollowedHyperlink"/>
    <w:basedOn w:val="DefaultParagraphFont"/>
    <w:rsid w:val="00F749D8"/>
    <w:rPr>
      <w:color w:val="800080" w:themeColor="followedHyperlink"/>
      <w:u w:val="single"/>
    </w:rPr>
  </w:style>
  <w:style w:type="paragraph" w:customStyle="1" w:styleId="KeyPointsListBullet">
    <w:name w:val="Key Points List Bullet"/>
    <w:basedOn w:val="Normal"/>
    <w:qFormat/>
    <w:rsid w:val="00EA77FE"/>
    <w:pPr>
      <w:keepNext/>
      <w:numPr>
        <w:numId w:val="18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EA77FE"/>
    <w:pPr>
      <w:numPr>
        <w:numId w:val="19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EA77FE"/>
    <w:rPr>
      <w:i/>
    </w:rPr>
  </w:style>
  <w:style w:type="paragraph" w:customStyle="1" w:styleId="Space">
    <w:name w:val="Space"/>
    <w:basedOn w:val="Normal"/>
    <w:rsid w:val="00EA77FE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EA77FE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EA77FE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EA77FE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EA77FE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EA77FE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EA77FE"/>
    <w:rPr>
      <w:sz w:val="24"/>
    </w:rPr>
  </w:style>
  <w:style w:type="character" w:customStyle="1" w:styleId="FooterChar">
    <w:name w:val="Footer Char"/>
    <w:basedOn w:val="BodyTextChar"/>
    <w:link w:val="Footer"/>
    <w:rsid w:val="00EA77FE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EA77FE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EA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1Char">
    <w:name w:val="TOC 1 Char"/>
    <w:basedOn w:val="DefaultParagraphFont"/>
    <w:link w:val="TOC1"/>
    <w:rsid w:val="00EA77FE"/>
    <w:rPr>
      <w:rFonts w:ascii="Arial" w:hAnsi="Arial"/>
      <w:b/>
      <w:sz w:val="26"/>
      <w:szCs w:val="26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BF040E"/>
    <w:pPr>
      <w:spacing w:after="240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A77FE"/>
    <w:rPr>
      <w:sz w:val="24"/>
      <w:szCs w:val="24"/>
    </w:rPr>
  </w:style>
  <w:style w:type="paragraph" w:styleId="Heading1">
    <w:name w:val="heading 1"/>
    <w:basedOn w:val="BodyText"/>
    <w:next w:val="BodyText"/>
    <w:rsid w:val="00EA77FE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EA77FE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EA77FE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EA77FE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EA77FE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rsid w:val="00EA77FE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rsid w:val="00EA77FE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rsid w:val="00EA77FE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rsid w:val="00EA77FE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EA77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77FE"/>
  </w:style>
  <w:style w:type="paragraph" w:styleId="BodyText">
    <w:name w:val="Body Text"/>
    <w:link w:val="BodyTextChar"/>
    <w:qFormat/>
    <w:rsid w:val="00EA77FE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rsid w:val="00EA77FE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EA77FE"/>
    <w:pPr>
      <w:spacing w:before="0" w:line="20" w:lineRule="exact"/>
    </w:pPr>
  </w:style>
  <w:style w:type="paragraph" w:styleId="Header">
    <w:name w:val="header"/>
    <w:basedOn w:val="BodyText"/>
    <w:rsid w:val="00EA77FE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EA77FE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EA77FE"/>
  </w:style>
  <w:style w:type="paragraph" w:customStyle="1" w:styleId="HeaderOdd">
    <w:name w:val="Header Odd"/>
    <w:basedOn w:val="Header"/>
    <w:semiHidden/>
    <w:rsid w:val="00EA77FE"/>
  </w:style>
  <w:style w:type="character" w:styleId="PageNumber">
    <w:name w:val="page number"/>
    <w:basedOn w:val="DefaultParagraphFont"/>
    <w:rsid w:val="00EA77FE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EA77FE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EA77FE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EA77FE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EA77FE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EA77FE"/>
    <w:rPr>
      <w:b w:val="0"/>
      <w:i/>
    </w:rPr>
  </w:style>
  <w:style w:type="paragraph" w:customStyle="1" w:styleId="BoxListBullet">
    <w:name w:val="Box List Bullet"/>
    <w:basedOn w:val="BodyText"/>
    <w:rsid w:val="00EA77FE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EA77FE"/>
    <w:pPr>
      <w:numPr>
        <w:numId w:val="2"/>
      </w:numPr>
      <w:ind w:left="568" w:hanging="284"/>
    </w:pPr>
  </w:style>
  <w:style w:type="paragraph" w:customStyle="1" w:styleId="BoxListNumber">
    <w:name w:val="Box List Number"/>
    <w:basedOn w:val="BodyText"/>
    <w:rsid w:val="00EA77FE"/>
    <w:pPr>
      <w:keepNext/>
      <w:numPr>
        <w:numId w:val="14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EA77FE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EA77FE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EA77FE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EA77FE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EA77FE"/>
    <w:pPr>
      <w:spacing w:before="120"/>
    </w:pPr>
  </w:style>
  <w:style w:type="paragraph" w:customStyle="1" w:styleId="BoxSpaceAbove">
    <w:name w:val="Box Space Above"/>
    <w:basedOn w:val="BodyText"/>
    <w:rsid w:val="00EA77FE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EA77FE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EA77FE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EA77FE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EA77FE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EA77FE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EA77FE"/>
    <w:rPr>
      <w:b/>
      <w:vanish/>
      <w:color w:val="FF00FF"/>
      <w:sz w:val="20"/>
    </w:rPr>
  </w:style>
  <w:style w:type="paragraph" w:styleId="CommentText">
    <w:name w:val="annotation text"/>
    <w:basedOn w:val="Normal"/>
    <w:link w:val="CommentTextChar"/>
    <w:semiHidden/>
    <w:rsid w:val="00EA77FE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EA77FE"/>
  </w:style>
  <w:style w:type="character" w:customStyle="1" w:styleId="DocumentInfo">
    <w:name w:val="Document Info"/>
    <w:basedOn w:val="DefaultParagraphFont"/>
    <w:semiHidden/>
    <w:rsid w:val="00EA77FE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EA77FE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EA77FE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EA77FE"/>
    <w:pPr>
      <w:spacing w:before="120"/>
    </w:pPr>
  </w:style>
  <w:style w:type="paragraph" w:styleId="Subtitle">
    <w:name w:val="Subtitle"/>
    <w:basedOn w:val="Caption"/>
    <w:link w:val="SubtitleChar"/>
    <w:qFormat/>
    <w:rsid w:val="00EA77FE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EA77FE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EA77FE"/>
    <w:pPr>
      <w:numPr>
        <w:numId w:val="3"/>
      </w:numPr>
      <w:spacing w:before="80"/>
    </w:pPr>
  </w:style>
  <w:style w:type="paragraph" w:customStyle="1" w:styleId="FindingNoTitle">
    <w:name w:val="Finding NoTitle"/>
    <w:basedOn w:val="Finding"/>
    <w:semiHidden/>
    <w:rsid w:val="00EA77FE"/>
    <w:pPr>
      <w:spacing w:before="240"/>
    </w:pPr>
  </w:style>
  <w:style w:type="paragraph" w:customStyle="1" w:styleId="RecTitle">
    <w:name w:val="Rec Title"/>
    <w:basedOn w:val="BodyText"/>
    <w:next w:val="Rec"/>
    <w:qFormat/>
    <w:rsid w:val="00EA77FE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EA77FE"/>
  </w:style>
  <w:style w:type="character" w:styleId="FootnoteReference">
    <w:name w:val="footnote reference"/>
    <w:basedOn w:val="DefaultParagraphFont"/>
    <w:semiHidden/>
    <w:rsid w:val="00EA77FE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rsid w:val="00EA77FE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EA77FE"/>
    <w:rPr>
      <w:i/>
    </w:rPr>
  </w:style>
  <w:style w:type="paragraph" w:customStyle="1" w:styleId="Jurisdictioncommentsbodytext">
    <w:name w:val="Jurisdiction comments body text"/>
    <w:rsid w:val="00EA77FE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EA77FE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EA77FE"/>
    <w:pPr>
      <w:numPr>
        <w:numId w:val="4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EA77FE"/>
    <w:pPr>
      <w:numPr>
        <w:numId w:val="5"/>
      </w:numPr>
      <w:spacing w:before="120"/>
    </w:pPr>
  </w:style>
  <w:style w:type="paragraph" w:styleId="ListBullet2">
    <w:name w:val="List Bullet 2"/>
    <w:basedOn w:val="BodyText"/>
    <w:rsid w:val="00EA77FE"/>
    <w:pPr>
      <w:numPr>
        <w:numId w:val="6"/>
      </w:numPr>
      <w:spacing w:before="120"/>
    </w:pPr>
  </w:style>
  <w:style w:type="paragraph" w:styleId="ListBullet3">
    <w:name w:val="List Bullet 3"/>
    <w:basedOn w:val="BodyText"/>
    <w:rsid w:val="00EA77FE"/>
    <w:pPr>
      <w:numPr>
        <w:numId w:val="7"/>
      </w:numPr>
      <w:spacing w:before="120"/>
      <w:ind w:left="1020" w:hanging="340"/>
    </w:pPr>
  </w:style>
  <w:style w:type="paragraph" w:styleId="ListNumber">
    <w:name w:val="List Number"/>
    <w:basedOn w:val="BodyText"/>
    <w:rsid w:val="00EA77FE"/>
    <w:pPr>
      <w:numPr>
        <w:numId w:val="13"/>
      </w:numPr>
      <w:spacing w:before="120"/>
    </w:pPr>
  </w:style>
  <w:style w:type="paragraph" w:styleId="ListNumber2">
    <w:name w:val="List Number 2"/>
    <w:basedOn w:val="ListNumber"/>
    <w:rsid w:val="00EA77FE"/>
    <w:pPr>
      <w:numPr>
        <w:ilvl w:val="1"/>
      </w:numPr>
    </w:pPr>
  </w:style>
  <w:style w:type="paragraph" w:styleId="ListNumber3">
    <w:name w:val="List Number 3"/>
    <w:basedOn w:val="ListNumber2"/>
    <w:rsid w:val="00EA77FE"/>
    <w:pPr>
      <w:numPr>
        <w:ilvl w:val="2"/>
      </w:numPr>
    </w:pPr>
  </w:style>
  <w:style w:type="character" w:customStyle="1" w:styleId="NoteLabel">
    <w:name w:val="Note Label"/>
    <w:basedOn w:val="DefaultParagraphFont"/>
    <w:rsid w:val="00EA77FE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EA77FE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EA77FE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EA77FE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EA77FE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EA77FE"/>
    <w:pPr>
      <w:numPr>
        <w:numId w:val="8"/>
      </w:numPr>
    </w:pPr>
  </w:style>
  <w:style w:type="paragraph" w:customStyle="1" w:styleId="Rec">
    <w:name w:val="Rec"/>
    <w:basedOn w:val="BodyText"/>
    <w:qFormat/>
    <w:rsid w:val="00EA77FE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EA77FE"/>
    <w:pPr>
      <w:numPr>
        <w:numId w:val="9"/>
      </w:numPr>
      <w:spacing w:before="80"/>
    </w:pPr>
  </w:style>
  <w:style w:type="paragraph" w:customStyle="1" w:styleId="RecB">
    <w:name w:val="RecB"/>
    <w:basedOn w:val="Normal"/>
    <w:semiHidden/>
    <w:rsid w:val="00EA77FE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EA77FE"/>
    <w:pPr>
      <w:numPr>
        <w:numId w:val="10"/>
      </w:numPr>
      <w:spacing w:before="80"/>
    </w:pPr>
  </w:style>
  <w:style w:type="paragraph" w:customStyle="1" w:styleId="RecBNoTitle">
    <w:name w:val="RecB NoTitle"/>
    <w:basedOn w:val="RecB"/>
    <w:semiHidden/>
    <w:rsid w:val="00EA77FE"/>
    <w:pPr>
      <w:spacing w:before="240"/>
    </w:pPr>
  </w:style>
  <w:style w:type="paragraph" w:customStyle="1" w:styleId="Reference">
    <w:name w:val="Reference"/>
    <w:basedOn w:val="BodyText"/>
    <w:rsid w:val="00EA77FE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EA77FE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EA77FE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EA77FE"/>
    <w:pPr>
      <w:framePr w:wrap="around"/>
      <w:numPr>
        <w:numId w:val="11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EA77FE"/>
    <w:pPr>
      <w:framePr w:wrap="around"/>
    </w:pPr>
  </w:style>
  <w:style w:type="paragraph" w:customStyle="1" w:styleId="TableBodyText">
    <w:name w:val="Table Body Text"/>
    <w:basedOn w:val="BodyText"/>
    <w:rsid w:val="00EA77FE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EA77FE"/>
    <w:pPr>
      <w:numPr>
        <w:numId w:val="12"/>
      </w:numPr>
      <w:jc w:val="left"/>
    </w:pPr>
  </w:style>
  <w:style w:type="paragraph" w:customStyle="1" w:styleId="TableColumnHeading">
    <w:name w:val="Table Column Heading"/>
    <w:basedOn w:val="TableBodyText"/>
    <w:rsid w:val="00EA77FE"/>
    <w:pPr>
      <w:spacing w:before="80" w:after="80"/>
    </w:pPr>
    <w:rPr>
      <w:i/>
    </w:rPr>
  </w:style>
  <w:style w:type="paragraph" w:styleId="TOC2">
    <w:name w:val="toc 2"/>
    <w:basedOn w:val="TOC1"/>
    <w:rsid w:val="00EA77FE"/>
    <w:pPr>
      <w:ind w:left="1134" w:hanging="624"/>
    </w:pPr>
    <w:rPr>
      <w:b w:val="0"/>
    </w:rPr>
  </w:style>
  <w:style w:type="paragraph" w:styleId="TOC3">
    <w:name w:val="toc 3"/>
    <w:basedOn w:val="TOC2"/>
    <w:rsid w:val="00EA77FE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EA77FE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EA77FE"/>
    <w:pPr>
      <w:spacing w:before="120"/>
    </w:pPr>
  </w:style>
  <w:style w:type="paragraph" w:customStyle="1" w:styleId="TableUnitsRow">
    <w:name w:val="Table Units Row"/>
    <w:basedOn w:val="TableBodyText"/>
    <w:rsid w:val="00EA77FE"/>
    <w:pPr>
      <w:spacing w:before="40"/>
    </w:pPr>
  </w:style>
  <w:style w:type="paragraph" w:styleId="TOC1">
    <w:name w:val="toc 1"/>
    <w:basedOn w:val="Normal"/>
    <w:next w:val="TOC2"/>
    <w:link w:val="TOC1Char"/>
    <w:rsid w:val="00EA77FE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EA77FE"/>
    <w:pPr>
      <w:ind w:left="1191" w:firstLine="0"/>
    </w:pPr>
  </w:style>
  <w:style w:type="paragraph" w:customStyle="1" w:styleId="RecBBullet2">
    <w:name w:val="RecB Bullet 2"/>
    <w:basedOn w:val="ListBullet2"/>
    <w:semiHidden/>
    <w:rsid w:val="00EA77FE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EA7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7FE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EA77FE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EA77FE"/>
    <w:pPr>
      <w:numPr>
        <w:numId w:val="17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EA77FE"/>
    <w:rPr>
      <w:i/>
      <w:iCs/>
    </w:rPr>
  </w:style>
  <w:style w:type="paragraph" w:customStyle="1" w:styleId="BoxQuoteBullet">
    <w:name w:val="Box Quote Bullet"/>
    <w:basedOn w:val="BoxQuote"/>
    <w:next w:val="Box"/>
    <w:rsid w:val="00EA77FE"/>
    <w:pPr>
      <w:numPr>
        <w:numId w:val="15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EA77FE"/>
    <w:pPr>
      <w:numPr>
        <w:numId w:val="16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EA77FE"/>
    <w:pPr>
      <w:keepNext w:val="0"/>
      <w:spacing w:before="60" w:after="60" w:line="80" w:lineRule="exact"/>
    </w:pPr>
    <w:rPr>
      <w:sz w:val="14"/>
    </w:rPr>
  </w:style>
  <w:style w:type="character" w:styleId="Hyperlink">
    <w:name w:val="Hyperlink"/>
    <w:basedOn w:val="DefaultParagraphFont"/>
    <w:uiPriority w:val="99"/>
    <w:unhideWhenUsed/>
    <w:rsid w:val="0040239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8A071B"/>
    <w:pPr>
      <w:spacing w:before="0" w:line="240" w:lineRule="auto"/>
      <w:ind w:left="0" w:firstLine="0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071B"/>
    <w:rPr>
      <w:szCs w:val="24"/>
    </w:rPr>
  </w:style>
  <w:style w:type="character" w:customStyle="1" w:styleId="CommentSubjectChar">
    <w:name w:val="Comment Subject Char"/>
    <w:basedOn w:val="CommentTextChar"/>
    <w:link w:val="CommentSubject"/>
    <w:rsid w:val="008A071B"/>
    <w:rPr>
      <w:b/>
      <w:bCs/>
      <w:szCs w:val="24"/>
    </w:rPr>
  </w:style>
  <w:style w:type="paragraph" w:styleId="Revision">
    <w:name w:val="Revision"/>
    <w:hidden/>
    <w:uiPriority w:val="99"/>
    <w:semiHidden/>
    <w:rsid w:val="008A071B"/>
    <w:rPr>
      <w:sz w:val="26"/>
      <w:szCs w:val="24"/>
    </w:rPr>
  </w:style>
  <w:style w:type="character" w:styleId="FollowedHyperlink">
    <w:name w:val="FollowedHyperlink"/>
    <w:basedOn w:val="DefaultParagraphFont"/>
    <w:rsid w:val="00F749D8"/>
    <w:rPr>
      <w:color w:val="800080" w:themeColor="followedHyperlink"/>
      <w:u w:val="single"/>
    </w:rPr>
  </w:style>
  <w:style w:type="paragraph" w:customStyle="1" w:styleId="KeyPointsListBullet">
    <w:name w:val="Key Points List Bullet"/>
    <w:basedOn w:val="Normal"/>
    <w:qFormat/>
    <w:rsid w:val="00EA77FE"/>
    <w:pPr>
      <w:keepNext/>
      <w:numPr>
        <w:numId w:val="18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EA77FE"/>
    <w:pPr>
      <w:numPr>
        <w:numId w:val="19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EA77FE"/>
    <w:rPr>
      <w:i/>
    </w:rPr>
  </w:style>
  <w:style w:type="paragraph" w:customStyle="1" w:styleId="Space">
    <w:name w:val="Space"/>
    <w:basedOn w:val="Normal"/>
    <w:rsid w:val="00EA77FE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EA77FE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EA77FE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EA77FE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EA77FE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EA77FE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EA77FE"/>
    <w:rPr>
      <w:sz w:val="24"/>
    </w:rPr>
  </w:style>
  <w:style w:type="character" w:customStyle="1" w:styleId="FooterChar">
    <w:name w:val="Footer Char"/>
    <w:basedOn w:val="BodyTextChar"/>
    <w:link w:val="Footer"/>
    <w:rsid w:val="00EA77FE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EA77FE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EA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1Char">
    <w:name w:val="TOC 1 Char"/>
    <w:basedOn w:val="DefaultParagraphFont"/>
    <w:link w:val="TOC1"/>
    <w:rsid w:val="00EA77FE"/>
    <w:rPr>
      <w:rFonts w:ascii="Arial" w:hAnsi="Arial"/>
      <w:b/>
      <w:sz w:val="26"/>
      <w:szCs w:val="26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BF040E"/>
    <w:pPr>
      <w:spacing w:after="240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si\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69BC-D052-4DF4-BCCE-FFA3963F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5</TotalTime>
  <Pages>6</Pages>
  <Words>1694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12 Torres Strait Islanders - Overcoming Indigenous Disadvantage - Key Indicators 2014 Report</vt:lpstr>
    </vt:vector>
  </TitlesOfParts>
  <Company>Productivity Commission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12 Torres Strait Islanders - Overcoming Indigenous Disadvantage - Key Indicators 2014 Report</dc:title>
  <dc:subject/>
  <dc:creator>Steering Committee for the Review of Government Service Provision</dc:creator>
  <dc:description/>
  <cp:lastModifiedBy>Andersson, Catherine</cp:lastModifiedBy>
  <cp:revision>6</cp:revision>
  <cp:lastPrinted>2014-08-29T05:18:00Z</cp:lastPrinted>
  <dcterms:created xsi:type="dcterms:W3CDTF">2014-10-27T03:16:00Z</dcterms:created>
  <dcterms:modified xsi:type="dcterms:W3CDTF">2014-10-28T02:23:00Z</dcterms:modified>
</cp:coreProperties>
</file>