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Pr="00FB4734" w:rsidRDefault="001911A3" w:rsidP="00EF74F7">
      <w:pPr>
        <w:pStyle w:val="Heading1"/>
        <w:rPr>
          <w:rStyle w:val="NoteLabel"/>
        </w:rPr>
      </w:pPr>
      <w:bookmarkStart w:id="0" w:name="ChapterNumber"/>
      <w:r>
        <w:t>13</w:t>
      </w:r>
      <w:bookmarkEnd w:id="0"/>
      <w:r>
        <w:tab/>
      </w:r>
      <w:bookmarkStart w:id="1" w:name="ChapterTitle"/>
      <w:r>
        <w:t xml:space="preserve">Measuring </w:t>
      </w:r>
      <w:r w:rsidR="004C6989">
        <w:t>m</w:t>
      </w:r>
      <w:r>
        <w:t xml:space="preserve">ultiple </w:t>
      </w:r>
      <w:r w:rsidR="004C6989">
        <w:t>d</w:t>
      </w:r>
      <w:r>
        <w:t>isadvantage</w:t>
      </w:r>
      <w:bookmarkEnd w:id="1"/>
      <w:r w:rsidR="001F1A42" w:rsidRPr="00FB4734">
        <w:rPr>
          <w:rStyle w:val="NoteLabel"/>
        </w:rPr>
        <w:footnoteReference w:id="1"/>
      </w:r>
    </w:p>
    <w:p w:rsidR="0093116F" w:rsidRDefault="0093116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93116F" w:rsidTr="00D27860">
        <w:tc>
          <w:tcPr>
            <w:tcW w:w="8771" w:type="dxa"/>
            <w:tcBorders>
              <w:top w:val="single" w:sz="6" w:space="0" w:color="78A22F"/>
              <w:left w:val="nil"/>
              <w:bottom w:val="nil"/>
              <w:right w:val="nil"/>
            </w:tcBorders>
            <w:shd w:val="clear" w:color="auto" w:fill="F2F2F2"/>
          </w:tcPr>
          <w:p w:rsidR="0093116F" w:rsidRDefault="0093116F">
            <w:pPr>
              <w:pStyle w:val="BoxTitle"/>
            </w:pPr>
            <w:r>
              <w:rPr>
                <w:b w:val="0"/>
              </w:rPr>
              <w:t>Box 13.1.</w:t>
            </w:r>
            <w:r w:rsidR="0062055F">
              <w:rPr>
                <w:b w:val="0"/>
                <w:noProof/>
              </w:rPr>
              <w:t>1</w:t>
            </w:r>
            <w:r>
              <w:tab/>
              <w:t>Key messages</w:t>
            </w:r>
          </w:p>
        </w:tc>
      </w:tr>
      <w:tr w:rsidR="0093116F" w:rsidTr="00D27860">
        <w:trPr>
          <w:cantSplit/>
        </w:trPr>
        <w:tc>
          <w:tcPr>
            <w:tcW w:w="8771" w:type="dxa"/>
            <w:tcBorders>
              <w:top w:val="nil"/>
              <w:left w:val="nil"/>
              <w:bottom w:val="nil"/>
              <w:right w:val="nil"/>
            </w:tcBorders>
            <w:shd w:val="clear" w:color="auto" w:fill="F2F2F2"/>
          </w:tcPr>
          <w:p w:rsidR="0093116F" w:rsidRDefault="0093116F" w:rsidP="000439FA">
            <w:pPr>
              <w:pStyle w:val="BoxListBullet"/>
            </w:pPr>
            <w:r>
              <w:t>This chapter presents information on the associations between different aspects of disadvantage. Where people who experience one type of disadvantage also tend to experience another kind of disadvantage, the two aspects of disadvantage may be linked or associated in some way.</w:t>
            </w:r>
          </w:p>
          <w:p w:rsidR="0093116F" w:rsidRDefault="0093116F" w:rsidP="000439FA">
            <w:pPr>
              <w:pStyle w:val="BoxListBullet"/>
            </w:pPr>
            <w:r>
              <w:t xml:space="preserve">Section 13.1 presents descriptive statistics drawing on selected measures in this report, with a particular focus on measures of COAG targets and headline indicators. </w:t>
            </w:r>
          </w:p>
          <w:p w:rsidR="0093116F" w:rsidRDefault="0093116F" w:rsidP="000439FA">
            <w:pPr>
              <w:pStyle w:val="BoxListBullet2"/>
            </w:pPr>
            <w:r>
              <w:t>Nationally in 2011–13, for both Aboriginal and Torres Strait Islander Australians and non</w:t>
            </w:r>
            <w:r>
              <w:noBreakHyphen/>
              <w:t xml:space="preserve">Indigenous Australians, there were strong associations between lower educational attainment, low incomes, unemployment and income support and other indicators of socioeconomic disadvantage (figures 13.1.1–4). </w:t>
            </w:r>
          </w:p>
          <w:p w:rsidR="0093116F" w:rsidRDefault="0093116F" w:rsidP="000439FA">
            <w:pPr>
              <w:pStyle w:val="BoxListBullet2"/>
            </w:pPr>
            <w:r>
              <w:t>Higher proportions of Aboriginal and Torres Strait Islander Australians than non</w:t>
            </w:r>
            <w:r>
              <w:noBreakHyphen/>
              <w:t>Indigenous Australians experienced multiple disadvantage (figures 13.1.1–3; tables </w:t>
            </w:r>
            <w:proofErr w:type="spellStart"/>
            <w:r>
              <w:t>13A.1.7</w:t>
            </w:r>
            <w:proofErr w:type="spellEnd"/>
            <w:r>
              <w:t>–8).</w:t>
            </w:r>
          </w:p>
          <w:p w:rsidR="0093116F" w:rsidRPr="00D11703" w:rsidRDefault="0093116F" w:rsidP="000439FA">
            <w:pPr>
              <w:pStyle w:val="BoxListBullet"/>
            </w:pPr>
            <w:r>
              <w:t>Section 13.2 presents an overview of recent research into factors associated with the disadvantage experienced by many Aboriginal and Torres Strait Islander Australians.</w:t>
            </w:r>
          </w:p>
        </w:tc>
      </w:tr>
      <w:tr w:rsidR="0093116F" w:rsidTr="00D27860">
        <w:trPr>
          <w:cantSplit/>
        </w:trPr>
        <w:tc>
          <w:tcPr>
            <w:tcW w:w="8771" w:type="dxa"/>
            <w:tcBorders>
              <w:top w:val="nil"/>
              <w:left w:val="nil"/>
              <w:bottom w:val="single" w:sz="6" w:space="0" w:color="78A22F"/>
              <w:right w:val="nil"/>
            </w:tcBorders>
            <w:shd w:val="clear" w:color="auto" w:fill="F2F2F2"/>
          </w:tcPr>
          <w:p w:rsidR="0093116F" w:rsidRDefault="0093116F">
            <w:pPr>
              <w:pStyle w:val="Box"/>
              <w:spacing w:before="0" w:line="120" w:lineRule="exact"/>
            </w:pPr>
          </w:p>
        </w:tc>
      </w:tr>
      <w:tr w:rsidR="0093116F" w:rsidRPr="000863A5" w:rsidTr="00176D3F">
        <w:tc>
          <w:tcPr>
            <w:tcW w:w="8771" w:type="dxa"/>
            <w:tcBorders>
              <w:top w:val="single" w:sz="6" w:space="0" w:color="78A22F"/>
              <w:left w:val="nil"/>
              <w:bottom w:val="nil"/>
              <w:right w:val="nil"/>
            </w:tcBorders>
          </w:tcPr>
          <w:p w:rsidR="0093116F" w:rsidRPr="00626D32" w:rsidRDefault="0093116F" w:rsidP="00537BB4">
            <w:pPr>
              <w:pStyle w:val="BoxSpaceBelow"/>
            </w:pPr>
          </w:p>
        </w:tc>
      </w:tr>
    </w:tbl>
    <w:p w:rsidR="003930EB" w:rsidRDefault="003930EB" w:rsidP="00D82F06">
      <w:pPr>
        <w:pStyle w:val="BodyText"/>
      </w:pPr>
      <w:r>
        <w:t>A</w:t>
      </w:r>
      <w:r w:rsidRPr="003930EB">
        <w:t>nalysing the relationship between measure</w:t>
      </w:r>
      <w:r>
        <w:t>s</w:t>
      </w:r>
      <w:r w:rsidRPr="003930EB">
        <w:t xml:space="preserve"> of disadvantage </w:t>
      </w:r>
      <w:r>
        <w:t>provides insight</w:t>
      </w:r>
      <w:r w:rsidRPr="003930EB">
        <w:t xml:space="preserve"> into the </w:t>
      </w:r>
      <w:r>
        <w:t xml:space="preserve">possible </w:t>
      </w:r>
      <w:r w:rsidRPr="003930EB">
        <w:t>causes of disadvantage</w:t>
      </w:r>
      <w:r w:rsidR="001B2554">
        <w:t xml:space="preserve"> and</w:t>
      </w:r>
      <w:r w:rsidRPr="003930EB">
        <w:t xml:space="preserve"> </w:t>
      </w:r>
      <w:r w:rsidR="001B2554">
        <w:t xml:space="preserve">helps identify those </w:t>
      </w:r>
      <w:r w:rsidRPr="003930EB">
        <w:t xml:space="preserve">who </w:t>
      </w:r>
      <w:r w:rsidR="001B2554">
        <w:t>might be</w:t>
      </w:r>
      <w:r w:rsidRPr="003930EB">
        <w:t xml:space="preserve"> in particular need of support, and where interventions </w:t>
      </w:r>
      <w:r>
        <w:t>may be</w:t>
      </w:r>
      <w:r w:rsidRPr="003930EB">
        <w:t xml:space="preserve"> </w:t>
      </w:r>
      <w:r w:rsidR="001B2554" w:rsidRPr="003930EB">
        <w:t xml:space="preserve">targeted </w:t>
      </w:r>
      <w:r w:rsidRPr="003930EB">
        <w:t xml:space="preserve">most effectively. </w:t>
      </w:r>
      <w:r w:rsidR="001B2554">
        <w:t>C</w:t>
      </w:r>
      <w:r w:rsidRPr="003930EB">
        <w:t xml:space="preserve">omparing the outcomes of </w:t>
      </w:r>
      <w:r>
        <w:t>Aboriginal and Torres Strait Islander</w:t>
      </w:r>
      <w:r w:rsidRPr="003930EB">
        <w:t xml:space="preserve"> Australian</w:t>
      </w:r>
      <w:r w:rsidR="00F01EE4">
        <w:t>s</w:t>
      </w:r>
      <w:r w:rsidRPr="003930EB">
        <w:t xml:space="preserve"> with </w:t>
      </w:r>
      <w:r w:rsidR="001B2554">
        <w:t xml:space="preserve">the outcomes of </w:t>
      </w:r>
      <w:r w:rsidRPr="003930EB">
        <w:t>non</w:t>
      </w:r>
      <w:r w:rsidR="00F01EE4">
        <w:noBreakHyphen/>
      </w:r>
      <w:r w:rsidRPr="003930EB">
        <w:t>Indigenous Australian</w:t>
      </w:r>
      <w:r w:rsidR="00F01EE4">
        <w:t>s</w:t>
      </w:r>
      <w:r w:rsidRPr="003930EB">
        <w:t xml:space="preserve"> with the same observable characteristics</w:t>
      </w:r>
      <w:r w:rsidR="001B2554">
        <w:t xml:space="preserve"> can provide </w:t>
      </w:r>
      <w:r w:rsidRPr="003930EB">
        <w:t>insight</w:t>
      </w:r>
      <w:r w:rsidR="001B2554">
        <w:t>s</w:t>
      </w:r>
      <w:r w:rsidRPr="003930EB">
        <w:t xml:space="preserve"> into whether there are Indigenous</w:t>
      </w:r>
      <w:r w:rsidR="00F119B1">
        <w:noBreakHyphen/>
      </w:r>
      <w:r w:rsidRPr="003930EB">
        <w:t>specific ca</w:t>
      </w:r>
      <w:r>
        <w:t xml:space="preserve">uses of disadvantage. </w:t>
      </w:r>
    </w:p>
    <w:p w:rsidR="007532A0" w:rsidRDefault="00D82F06" w:rsidP="00D82F06">
      <w:pPr>
        <w:pStyle w:val="BodyText"/>
      </w:pPr>
      <w:r>
        <w:t>F</w:t>
      </w:r>
      <w:r w:rsidRPr="00D82F06">
        <w:t xml:space="preserve">ollowing suggestions from Aboriginal and Torres Strait Islander Australians, </w:t>
      </w:r>
      <w:r>
        <w:t xml:space="preserve">this report has generally adopted </w:t>
      </w:r>
      <w:r w:rsidRPr="00D82F06">
        <w:t xml:space="preserve">a more strengths based </w:t>
      </w:r>
      <w:r>
        <w:t xml:space="preserve">approach to </w:t>
      </w:r>
      <w:r w:rsidRPr="00D82F06">
        <w:t>reporting (see section</w:t>
      </w:r>
      <w:r w:rsidR="00FB11FE">
        <w:t> </w:t>
      </w:r>
      <w:r w:rsidRPr="00D82F06">
        <w:t>2.2 in chapter</w:t>
      </w:r>
      <w:r w:rsidR="00FB11FE">
        <w:t> </w:t>
      </w:r>
      <w:r w:rsidRPr="00D82F06">
        <w:t xml:space="preserve">2 for more information). </w:t>
      </w:r>
      <w:r>
        <w:t xml:space="preserve">However, this chapter focuses specifically on multiple disadvantage, in order to </w:t>
      </w:r>
      <w:r w:rsidRPr="00AC496A">
        <w:t xml:space="preserve">help understand the </w:t>
      </w:r>
      <w:r>
        <w:t xml:space="preserve">interactions between different aspects of disadvantage. </w:t>
      </w:r>
    </w:p>
    <w:p w:rsidR="00D82F06" w:rsidRDefault="007532A0" w:rsidP="00D82F06">
      <w:pPr>
        <w:pStyle w:val="BodyText"/>
      </w:pPr>
      <w:r w:rsidRPr="007532A0">
        <w:t>Indicators across this report show that, on average, Aboriginal and Torres Strait Islander Australians experience poorer outcomes than non</w:t>
      </w:r>
      <w:r w:rsidR="00FB11FE">
        <w:noBreakHyphen/>
      </w:r>
      <w:r w:rsidRPr="007532A0">
        <w:t>Indigenous Australians</w:t>
      </w:r>
      <w:r>
        <w:t xml:space="preserve">. </w:t>
      </w:r>
      <w:r w:rsidR="005654D7">
        <w:t xml:space="preserve">While not discounting that disadvantage, it is also important to acknowledge the </w:t>
      </w:r>
      <w:r w:rsidR="00D75A2F">
        <w:t xml:space="preserve">unique aspects and </w:t>
      </w:r>
      <w:r w:rsidR="005654D7">
        <w:t xml:space="preserve">strengths of Aboriginal and Torres Strait Islander cultures in terms of </w:t>
      </w:r>
      <w:r w:rsidR="00AB74A9" w:rsidRPr="00AB74A9">
        <w:t>connection</w:t>
      </w:r>
      <w:r w:rsidR="00D75A2F">
        <w:t xml:space="preserve"> to land, </w:t>
      </w:r>
      <w:r w:rsidR="00D75A2F">
        <w:lastRenderedPageBreak/>
        <w:t>culture, spirituality and</w:t>
      </w:r>
      <w:r w:rsidR="00AB74A9" w:rsidRPr="00AB74A9">
        <w:t xml:space="preserve"> ancestry</w:t>
      </w:r>
      <w:r w:rsidR="00D75A2F">
        <w:t>,</w:t>
      </w:r>
      <w:r w:rsidR="00AB74A9" w:rsidRPr="00AB74A9">
        <w:t xml:space="preserve"> </w:t>
      </w:r>
      <w:r w:rsidR="00D75A2F">
        <w:t xml:space="preserve">and </w:t>
      </w:r>
      <w:r w:rsidR="00AB74A9" w:rsidRPr="00AB74A9">
        <w:t>family</w:t>
      </w:r>
      <w:r w:rsidR="00D75A2F">
        <w:t xml:space="preserve">, </w:t>
      </w:r>
      <w:r w:rsidR="00AB74A9">
        <w:t>kinship,</w:t>
      </w:r>
      <w:r w:rsidR="00AB74A9" w:rsidRPr="00AB74A9">
        <w:t xml:space="preserve"> and community</w:t>
      </w:r>
      <w:r w:rsidR="00AB74A9">
        <w:t xml:space="preserve"> which contribute to resilience and can</w:t>
      </w:r>
      <w:r w:rsidR="0005034A">
        <w:t xml:space="preserve"> </w:t>
      </w:r>
      <w:r w:rsidR="00AB74A9">
        <w:t xml:space="preserve">moderate </w:t>
      </w:r>
      <w:r w:rsidR="00A52328">
        <w:t xml:space="preserve">the impact of </w:t>
      </w:r>
      <w:r w:rsidR="00AB74A9">
        <w:t xml:space="preserve">stressful </w:t>
      </w:r>
      <w:r w:rsidR="00D75A2F">
        <w:t xml:space="preserve">life </w:t>
      </w:r>
      <w:r w:rsidR="00AB74A9">
        <w:t>events</w:t>
      </w:r>
      <w:r w:rsidR="00D75A2F">
        <w:t xml:space="preserve"> </w:t>
      </w:r>
      <w:r w:rsidR="0089384C" w:rsidRPr="0089384C">
        <w:rPr>
          <w:szCs w:val="24"/>
        </w:rPr>
        <w:t>(</w:t>
      </w:r>
      <w:proofErr w:type="spellStart"/>
      <w:r w:rsidR="0089384C" w:rsidRPr="0089384C">
        <w:rPr>
          <w:szCs w:val="24"/>
        </w:rPr>
        <w:t>Zubrick</w:t>
      </w:r>
      <w:proofErr w:type="spellEnd"/>
      <w:r w:rsidR="0089384C" w:rsidRPr="0089384C">
        <w:rPr>
          <w:szCs w:val="24"/>
        </w:rPr>
        <w:t xml:space="preserve"> et al. 2014)</w:t>
      </w:r>
      <w:r w:rsidR="00AB74A9">
        <w:t>.</w:t>
      </w:r>
      <w:r w:rsidR="005673C3">
        <w:t xml:space="preserve"> </w:t>
      </w:r>
    </w:p>
    <w:p w:rsidR="0062469D" w:rsidRDefault="00EF74F7" w:rsidP="0062469D">
      <w:pPr>
        <w:pStyle w:val="BodyText"/>
      </w:pPr>
      <w:r w:rsidRPr="00203F18">
        <w:t xml:space="preserve">Different aspects of disadvantage often seem to occur together — for example, poor education may be linked with poor employment outcomes, and both may be linked with low income. </w:t>
      </w:r>
    </w:p>
    <w:p w:rsidR="00EF74F7" w:rsidRPr="0062469D" w:rsidRDefault="00AF1D57" w:rsidP="0062469D">
      <w:pPr>
        <w:pStyle w:val="ListBullet"/>
      </w:pPr>
      <w:r>
        <w:t>Section</w:t>
      </w:r>
      <w:r w:rsidR="00FB11FE">
        <w:t> </w:t>
      </w:r>
      <w:r>
        <w:t xml:space="preserve">13.1 </w:t>
      </w:r>
      <w:r w:rsidR="00EF74F7" w:rsidRPr="00203F18">
        <w:t>present</w:t>
      </w:r>
      <w:r w:rsidR="00056143">
        <w:t>s</w:t>
      </w:r>
      <w:r w:rsidR="00EF74F7" w:rsidRPr="00203F18">
        <w:t xml:space="preserve"> information on the interactions between </w:t>
      </w:r>
      <w:r w:rsidRPr="00203F18">
        <w:t>selected proxy measures of the COAG targets and headline indicators</w:t>
      </w:r>
      <w:r w:rsidR="00EF74F7" w:rsidRPr="00203F18">
        <w:t>.</w:t>
      </w:r>
      <w:r w:rsidR="00EF74F7" w:rsidRPr="00A40D63">
        <w:t xml:space="preserve"> </w:t>
      </w:r>
      <w:r w:rsidR="00EF74F7" w:rsidRPr="00203F18">
        <w:t xml:space="preserve">The data do not indicate cause and effect relationships between different aspects of disadvantage — that is, the data do not demonstrate that disadvantage in one area is the cause of another poor outcome — rather, they show where there are </w:t>
      </w:r>
      <w:r w:rsidR="00CD099C">
        <w:t>relationships</w:t>
      </w:r>
      <w:r w:rsidR="00EF74F7" w:rsidRPr="00203F18">
        <w:t xml:space="preserve"> between different aspects of disadvantage</w:t>
      </w:r>
      <w:r w:rsidR="001B2554">
        <w:t>.</w:t>
      </w:r>
      <w:r w:rsidR="00704190">
        <w:t xml:space="preserve"> </w:t>
      </w:r>
      <w:r w:rsidR="00704190" w:rsidRPr="0062469D">
        <w:t>(</w:t>
      </w:r>
      <w:r w:rsidR="001B2554" w:rsidRPr="0062469D">
        <w:t>F</w:t>
      </w:r>
      <w:r w:rsidR="00704190" w:rsidRPr="0062469D">
        <w:t xml:space="preserve">or more information </w:t>
      </w:r>
      <w:r w:rsidR="00441BBE" w:rsidRPr="0062469D">
        <w:t>about</w:t>
      </w:r>
      <w:r w:rsidR="00B01333" w:rsidRPr="0062469D">
        <w:t xml:space="preserve"> the</w:t>
      </w:r>
      <w:r w:rsidR="00441BBE" w:rsidRPr="0062469D">
        <w:t xml:space="preserve"> type of data required to measure causality </w:t>
      </w:r>
      <w:r w:rsidR="00704190" w:rsidRPr="0062469D">
        <w:t xml:space="preserve">see </w:t>
      </w:r>
      <w:r w:rsidR="00704190" w:rsidRPr="0062469D">
        <w:rPr>
          <w:szCs w:val="24"/>
        </w:rPr>
        <w:t>Biddle </w:t>
      </w:r>
      <w:proofErr w:type="spellStart"/>
      <w:r w:rsidR="00704190" w:rsidRPr="0062469D">
        <w:rPr>
          <w:szCs w:val="24"/>
        </w:rPr>
        <w:t>2014a</w:t>
      </w:r>
      <w:proofErr w:type="spellEnd"/>
      <w:r w:rsidR="00F01EE4" w:rsidRPr="0062469D">
        <w:rPr>
          <w:szCs w:val="24"/>
        </w:rPr>
        <w:t xml:space="preserve"> and</w:t>
      </w:r>
      <w:r w:rsidR="00704190" w:rsidRPr="0062469D">
        <w:rPr>
          <w:szCs w:val="24"/>
        </w:rPr>
        <w:t xml:space="preserve"> Productivity Commission 2013)</w:t>
      </w:r>
      <w:r w:rsidR="00EF74F7" w:rsidRPr="0062469D">
        <w:t>.</w:t>
      </w:r>
      <w:r w:rsidR="00EF74F7" w:rsidRPr="00145EBF">
        <w:rPr>
          <w:bdr w:val="single" w:sz="4" w:space="0" w:color="auto"/>
        </w:rPr>
        <w:t xml:space="preserve"> </w:t>
      </w:r>
    </w:p>
    <w:p w:rsidR="00EF74F7" w:rsidRPr="001A47F8" w:rsidRDefault="00EF74F7" w:rsidP="00A73384">
      <w:pPr>
        <w:pStyle w:val="ListBullet"/>
      </w:pPr>
      <w:r w:rsidRPr="001A47F8">
        <w:t>Section</w:t>
      </w:r>
      <w:r w:rsidR="000B6E1C">
        <w:t> </w:t>
      </w:r>
      <w:r w:rsidRPr="001A47F8">
        <w:t xml:space="preserve">13.2 </w:t>
      </w:r>
      <w:r w:rsidR="00E80CA9" w:rsidRPr="001A47F8">
        <w:t xml:space="preserve">presents an overview of </w:t>
      </w:r>
      <w:r w:rsidR="00CB408F">
        <w:t xml:space="preserve">recent </w:t>
      </w:r>
      <w:r w:rsidR="00E80CA9" w:rsidRPr="001A47F8">
        <w:t xml:space="preserve">work </w:t>
      </w:r>
      <w:r w:rsidR="00AF1D57" w:rsidRPr="001A47F8">
        <w:t xml:space="preserve">into Aboriginal and Torres Strait Islander multiple disadvantage </w:t>
      </w:r>
      <w:r w:rsidR="00E80CA9" w:rsidRPr="001A47F8">
        <w:t xml:space="preserve">conducted by </w:t>
      </w:r>
      <w:r w:rsidR="001A47F8" w:rsidRPr="001A47F8">
        <w:t>other organisations, including the Centre for Aboriginal Economic Policy Research (</w:t>
      </w:r>
      <w:proofErr w:type="spellStart"/>
      <w:r w:rsidR="001A47F8" w:rsidRPr="001A47F8">
        <w:t>CAEPR</w:t>
      </w:r>
      <w:proofErr w:type="spellEnd"/>
      <w:r w:rsidR="001A47F8" w:rsidRPr="001A47F8">
        <w:t>) and the Telethon Kids Institute</w:t>
      </w:r>
      <w:r w:rsidR="00DE50A2">
        <w:t>.</w:t>
      </w:r>
    </w:p>
    <w:p w:rsidR="00DB26D2" w:rsidRPr="00203F18" w:rsidRDefault="004E502C" w:rsidP="004E502C">
      <w:pPr>
        <w:pStyle w:val="Heading2"/>
      </w:pPr>
      <w:bookmarkStart w:id="2" w:name="begin"/>
      <w:bookmarkEnd w:id="2"/>
      <w:r w:rsidRPr="00203F18">
        <w:t>13.</w:t>
      </w:r>
      <w:r w:rsidR="0062055F">
        <w:rPr>
          <w:noProof/>
        </w:rPr>
        <w:t>1</w:t>
      </w:r>
      <w:r w:rsidRPr="00203F18">
        <w:tab/>
        <w:t>Patterns of disadvantage</w:t>
      </w:r>
    </w:p>
    <w:p w:rsidR="004E502C" w:rsidRPr="000D71C0" w:rsidRDefault="004E502C" w:rsidP="004E502C">
      <w:pPr>
        <w:pStyle w:val="BodyText"/>
      </w:pPr>
      <w:r w:rsidRPr="000D71C0">
        <w:t xml:space="preserve">This section examines where different aspects of disadvantage tend to occur </w:t>
      </w:r>
      <w:r w:rsidR="00D82F06">
        <w:t>together</w:t>
      </w:r>
      <w:r w:rsidR="00D82F06" w:rsidRPr="00D82F06">
        <w:t xml:space="preserve"> </w:t>
      </w:r>
      <w:r w:rsidR="00D82F06">
        <w:t xml:space="preserve">for </w:t>
      </w:r>
      <w:r w:rsidR="00D82F06" w:rsidRPr="00AC496A">
        <w:t xml:space="preserve">both </w:t>
      </w:r>
      <w:r w:rsidR="00D82F06">
        <w:t>Aboriginal and Torres Strait Islander</w:t>
      </w:r>
      <w:r w:rsidR="00D82F06" w:rsidRPr="00AC496A">
        <w:t xml:space="preserve"> and non</w:t>
      </w:r>
      <w:r w:rsidR="00D82F06">
        <w:noBreakHyphen/>
      </w:r>
      <w:r w:rsidR="00D82F06" w:rsidRPr="00AC496A">
        <w:t xml:space="preserve">Indigenous </w:t>
      </w:r>
      <w:r w:rsidR="00D82F06">
        <w:t>Australians</w:t>
      </w:r>
      <w:r w:rsidRPr="000D71C0">
        <w:t xml:space="preserve">. Where a particular population </w:t>
      </w:r>
      <w:r w:rsidR="00D82F06">
        <w:t>that</w:t>
      </w:r>
      <w:r w:rsidR="00D82F06" w:rsidRPr="000D71C0">
        <w:t xml:space="preserve"> </w:t>
      </w:r>
      <w:r w:rsidRPr="000D71C0">
        <w:t>experience</w:t>
      </w:r>
      <w:r w:rsidR="00D82F06">
        <w:t>s</w:t>
      </w:r>
      <w:r w:rsidRPr="000D71C0">
        <w:t xml:space="preserve"> one type of disadvantage also experience</w:t>
      </w:r>
      <w:r w:rsidR="00D82F06">
        <w:t>s</w:t>
      </w:r>
      <w:r w:rsidRPr="000D71C0">
        <w:t xml:space="preserve"> another kind of disadvantage, the two aspects are assumed to be linked or associated in some way; for example, low levels of educational attainment appear to be linked with high levels of unemployment. </w:t>
      </w:r>
    </w:p>
    <w:p w:rsidR="004E502C" w:rsidRDefault="004E502C" w:rsidP="001D729C">
      <w:pPr>
        <w:pStyle w:val="BodyText"/>
      </w:pPr>
      <w:r w:rsidRPr="000D71C0">
        <w:t xml:space="preserve">The approach to measuring associations between </w:t>
      </w:r>
      <w:r w:rsidR="00D82F06">
        <w:t xml:space="preserve">various indicators </w:t>
      </w:r>
      <w:r w:rsidRPr="000D71C0">
        <w:t>is described in box</w:t>
      </w:r>
      <w:r w:rsidR="000B6E1C">
        <w:t> </w:t>
      </w:r>
      <w:r w:rsidRPr="000D71C0">
        <w:t>13.1.</w:t>
      </w:r>
      <w:r w:rsidR="005B6CD8">
        <w:t>2</w:t>
      </w:r>
      <w:r w:rsidRPr="000D71C0">
        <w:t>.</w:t>
      </w:r>
      <w:r w:rsidR="00056143">
        <w:t xml:space="preserve"> D</w:t>
      </w:r>
      <w:r w:rsidR="00056143" w:rsidRPr="00056143">
        <w:t>ata</w:t>
      </w:r>
      <w:r w:rsidR="00056143">
        <w:t xml:space="preserve"> are drawn</w:t>
      </w:r>
      <w:r w:rsidR="00056143" w:rsidRPr="00056143">
        <w:t xml:space="preserve"> from the ABS Australian Aboriginal and Torres Strait Islander Health Survey (AATSIHS) 2012</w:t>
      </w:r>
      <w:r w:rsidR="00FB11FE">
        <w:noBreakHyphen/>
      </w:r>
      <w:r w:rsidR="00056143" w:rsidRPr="00056143">
        <w:t>13</w:t>
      </w:r>
      <w:r w:rsidR="005705CB">
        <w:t>, with non-Indigenous comparator data sourced from</w:t>
      </w:r>
      <w:r w:rsidR="00056143" w:rsidRPr="00056143">
        <w:t xml:space="preserve"> the ABS Australian Health Survey (AHS) </w:t>
      </w:r>
      <w:r w:rsidR="005705CB">
        <w:t>for the period 2011-12</w:t>
      </w:r>
      <w:r w:rsidR="00056143">
        <w:t>.</w:t>
      </w:r>
      <w:r w:rsidR="005A62F3" w:rsidRPr="005A62F3">
        <w:t xml:space="preserve"> </w:t>
      </w:r>
      <w:r w:rsidR="005A62F3">
        <w:t>Indicators</w:t>
      </w:r>
      <w:r w:rsidR="005A62F3" w:rsidRPr="005A62F3">
        <w:t xml:space="preserve"> using both AATSIHS (2012</w:t>
      </w:r>
      <w:r w:rsidR="00F119B1">
        <w:noBreakHyphen/>
      </w:r>
      <w:r w:rsidR="005A62F3" w:rsidRPr="005A62F3">
        <w:t>13) and AHS (2011</w:t>
      </w:r>
      <w:r w:rsidR="00F119B1">
        <w:noBreakHyphen/>
      </w:r>
      <w:r w:rsidR="005A62F3" w:rsidRPr="005A62F3">
        <w:t>12) are referenced as 2011–13</w:t>
      </w:r>
      <w:r w:rsidR="005A62F3">
        <w:t>.</w:t>
      </w:r>
    </w:p>
    <w:p w:rsidR="0093116F" w:rsidRDefault="0093116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4385"/>
        <w:gridCol w:w="4386"/>
      </w:tblGrid>
      <w:tr w:rsidR="0093116F" w:rsidTr="00D27860">
        <w:tc>
          <w:tcPr>
            <w:tcW w:w="8771" w:type="dxa"/>
            <w:gridSpan w:val="2"/>
            <w:tcBorders>
              <w:top w:val="single" w:sz="6" w:space="0" w:color="78A22F"/>
              <w:left w:val="nil"/>
              <w:bottom w:val="nil"/>
              <w:right w:val="nil"/>
            </w:tcBorders>
            <w:shd w:val="clear" w:color="auto" w:fill="F2F2F2"/>
          </w:tcPr>
          <w:p w:rsidR="0093116F" w:rsidRDefault="0093116F">
            <w:pPr>
              <w:pStyle w:val="BoxTitle"/>
            </w:pPr>
            <w:r>
              <w:rPr>
                <w:b w:val="0"/>
              </w:rPr>
              <w:t>Box 13.1.</w:t>
            </w:r>
            <w:r w:rsidR="0062055F">
              <w:rPr>
                <w:b w:val="0"/>
                <w:noProof/>
              </w:rPr>
              <w:t>2</w:t>
            </w:r>
            <w:r>
              <w:tab/>
            </w:r>
            <w:r w:rsidRPr="000D71C0">
              <w:t>Measuring associations between the selected proxy measures of the COAG targets</w:t>
            </w:r>
            <w:r>
              <w:t>,</w:t>
            </w:r>
            <w:r w:rsidRPr="000D71C0">
              <w:t xml:space="preserve"> headline indicators </w:t>
            </w:r>
            <w:r>
              <w:t>and strategic change indicators/areas</w:t>
            </w:r>
          </w:p>
        </w:tc>
      </w:tr>
      <w:tr w:rsidR="0093116F" w:rsidTr="00D27860">
        <w:trPr>
          <w:cantSplit/>
        </w:trPr>
        <w:tc>
          <w:tcPr>
            <w:tcW w:w="8771" w:type="dxa"/>
            <w:gridSpan w:val="2"/>
            <w:tcBorders>
              <w:top w:val="nil"/>
              <w:left w:val="nil"/>
              <w:bottom w:val="nil"/>
              <w:right w:val="nil"/>
            </w:tcBorders>
            <w:shd w:val="clear" w:color="auto" w:fill="F2F2F2"/>
          </w:tcPr>
          <w:p w:rsidR="0093116F" w:rsidRDefault="0093116F" w:rsidP="00784A05">
            <w:pPr>
              <w:pStyle w:val="Box"/>
            </w:pPr>
            <w:r w:rsidRPr="000D71C0">
              <w:t xml:space="preserve">The analysis in this section looks at outcomes in education, employment and income, against selected indicators of disadvantage using data from the ABS </w:t>
            </w:r>
            <w:r>
              <w:t>AATSIHS 2012</w:t>
            </w:r>
            <w:r>
              <w:noBreakHyphen/>
              <w:t>13</w:t>
            </w:r>
            <w:r w:rsidRPr="000D71C0">
              <w:t xml:space="preserve"> and the ABS </w:t>
            </w:r>
            <w:r>
              <w:t>A</w:t>
            </w:r>
            <w:r w:rsidRPr="000D71C0">
              <w:t>HS 20</w:t>
            </w:r>
            <w:r>
              <w:t>11–13</w:t>
            </w:r>
            <w:r w:rsidRPr="000D71C0">
              <w:t>. Subgroups with different education, employment and income characteristics are compared against selected indicators of disadvantage.</w:t>
            </w:r>
          </w:p>
        </w:tc>
      </w:tr>
      <w:tr w:rsidR="0093116F" w:rsidTr="00435064">
        <w:trPr>
          <w:cantSplit/>
        </w:trPr>
        <w:tc>
          <w:tcPr>
            <w:tcW w:w="4385" w:type="dxa"/>
            <w:tcBorders>
              <w:top w:val="nil"/>
              <w:left w:val="nil"/>
              <w:bottom w:val="nil"/>
              <w:right w:val="nil"/>
            </w:tcBorders>
            <w:shd w:val="clear" w:color="auto" w:fill="F2F2F2"/>
          </w:tcPr>
          <w:p w:rsidR="0093116F" w:rsidRPr="000D71C0" w:rsidRDefault="0093116F" w:rsidP="0093116F">
            <w:pPr>
              <w:pStyle w:val="TableColumnHeading"/>
              <w:spacing w:before="240"/>
              <w:jc w:val="left"/>
            </w:pPr>
            <w:r w:rsidRPr="000D71C0">
              <w:t>Selected measures of disadvantage</w:t>
            </w:r>
          </w:p>
        </w:tc>
        <w:tc>
          <w:tcPr>
            <w:tcW w:w="4386" w:type="dxa"/>
            <w:tcBorders>
              <w:top w:val="nil"/>
              <w:left w:val="nil"/>
              <w:bottom w:val="nil"/>
              <w:right w:val="nil"/>
            </w:tcBorders>
            <w:shd w:val="clear" w:color="auto" w:fill="F2F2F2"/>
          </w:tcPr>
          <w:p w:rsidR="0093116F" w:rsidRPr="000D71C0" w:rsidRDefault="0093116F" w:rsidP="0093116F">
            <w:pPr>
              <w:pStyle w:val="TableColumnHeading"/>
              <w:spacing w:before="240"/>
              <w:jc w:val="left"/>
            </w:pPr>
            <w:r w:rsidRPr="000D71C0">
              <w:t>COAG target/ headline indicator</w:t>
            </w:r>
            <w:r>
              <w:t>/strategic change indicator/area</w:t>
            </w:r>
          </w:p>
        </w:tc>
      </w:tr>
      <w:tr w:rsidR="0093116F" w:rsidTr="009E4996">
        <w:trPr>
          <w:cantSplit/>
        </w:trPr>
        <w:tc>
          <w:tcPr>
            <w:tcW w:w="4385" w:type="dxa"/>
            <w:tcBorders>
              <w:top w:val="nil"/>
              <w:left w:val="nil"/>
              <w:bottom w:val="nil"/>
              <w:right w:val="nil"/>
            </w:tcBorders>
            <w:shd w:val="clear" w:color="auto" w:fill="F2F2F2"/>
          </w:tcPr>
          <w:p w:rsidR="0093116F" w:rsidRPr="00203F18" w:rsidRDefault="0093116F" w:rsidP="0093116F">
            <w:pPr>
              <w:pStyle w:val="TableBodyText"/>
              <w:spacing w:before="80" w:after="80"/>
              <w:jc w:val="left"/>
            </w:pPr>
            <w:r w:rsidRPr="00203F18">
              <w:t>Unemployment</w:t>
            </w:r>
          </w:p>
        </w:tc>
        <w:tc>
          <w:tcPr>
            <w:tcW w:w="4386" w:type="dxa"/>
            <w:tcBorders>
              <w:top w:val="nil"/>
              <w:left w:val="nil"/>
              <w:bottom w:val="nil"/>
              <w:right w:val="nil"/>
            </w:tcBorders>
            <w:shd w:val="clear" w:color="auto" w:fill="F2F2F2"/>
          </w:tcPr>
          <w:p w:rsidR="0093116F" w:rsidRPr="00203F18" w:rsidRDefault="0093116F" w:rsidP="0093116F">
            <w:pPr>
              <w:pStyle w:val="TableBodyText"/>
              <w:spacing w:before="80" w:after="80"/>
              <w:jc w:val="left"/>
            </w:pPr>
            <w:r w:rsidRPr="00203F18">
              <w:t>4.6 Employment</w:t>
            </w:r>
          </w:p>
        </w:tc>
      </w:tr>
      <w:tr w:rsidR="0093116F" w:rsidTr="009E4996">
        <w:trPr>
          <w:cantSplit/>
        </w:trPr>
        <w:tc>
          <w:tcPr>
            <w:tcW w:w="4385" w:type="dxa"/>
            <w:tcBorders>
              <w:top w:val="nil"/>
              <w:left w:val="nil"/>
              <w:bottom w:val="nil"/>
              <w:right w:val="nil"/>
            </w:tcBorders>
            <w:shd w:val="clear" w:color="auto" w:fill="F2F2F2"/>
          </w:tcPr>
          <w:p w:rsidR="0093116F" w:rsidRPr="00203F18" w:rsidRDefault="0093116F" w:rsidP="0093116F">
            <w:pPr>
              <w:pStyle w:val="TableBodyText"/>
              <w:spacing w:before="80" w:after="80"/>
              <w:jc w:val="left"/>
            </w:pPr>
            <w:r w:rsidRPr="00203F18">
              <w:t>Long term unemployment</w:t>
            </w:r>
          </w:p>
        </w:tc>
        <w:tc>
          <w:tcPr>
            <w:tcW w:w="4386" w:type="dxa"/>
            <w:tcBorders>
              <w:top w:val="nil"/>
              <w:left w:val="nil"/>
              <w:bottom w:val="nil"/>
              <w:right w:val="nil"/>
            </w:tcBorders>
            <w:shd w:val="clear" w:color="auto" w:fill="F2F2F2"/>
          </w:tcPr>
          <w:p w:rsidR="0093116F" w:rsidRPr="00203F18" w:rsidRDefault="0093116F" w:rsidP="0093116F">
            <w:pPr>
              <w:pStyle w:val="TableBodyText"/>
              <w:spacing w:before="80" w:after="80"/>
              <w:jc w:val="left"/>
            </w:pPr>
            <w:r w:rsidRPr="00203F18">
              <w:t>4.6 Employment</w:t>
            </w:r>
          </w:p>
        </w:tc>
      </w:tr>
      <w:tr w:rsidR="0093116F" w:rsidTr="009E4996">
        <w:trPr>
          <w:cantSplit/>
        </w:trPr>
        <w:tc>
          <w:tcPr>
            <w:tcW w:w="4385" w:type="dxa"/>
            <w:tcBorders>
              <w:top w:val="nil"/>
              <w:left w:val="nil"/>
              <w:bottom w:val="nil"/>
              <w:right w:val="nil"/>
            </w:tcBorders>
            <w:shd w:val="clear" w:color="auto" w:fill="F2F2F2"/>
          </w:tcPr>
          <w:p w:rsidR="0093116F" w:rsidRPr="00203F18" w:rsidRDefault="0093116F" w:rsidP="0093116F">
            <w:pPr>
              <w:pStyle w:val="TableBodyText"/>
              <w:spacing w:before="80" w:after="80"/>
              <w:jc w:val="left"/>
            </w:pPr>
            <w:r w:rsidRPr="00203F18">
              <w:t>Not in the labour force</w:t>
            </w:r>
          </w:p>
        </w:tc>
        <w:tc>
          <w:tcPr>
            <w:tcW w:w="4386" w:type="dxa"/>
            <w:tcBorders>
              <w:top w:val="nil"/>
              <w:left w:val="nil"/>
              <w:bottom w:val="nil"/>
              <w:right w:val="nil"/>
            </w:tcBorders>
            <w:shd w:val="clear" w:color="auto" w:fill="F2F2F2"/>
          </w:tcPr>
          <w:p w:rsidR="0093116F" w:rsidRPr="00203F18" w:rsidRDefault="0093116F" w:rsidP="0093116F">
            <w:pPr>
              <w:pStyle w:val="TableBodyText"/>
              <w:spacing w:before="80" w:after="80"/>
              <w:jc w:val="left"/>
            </w:pPr>
            <w:r w:rsidRPr="00203F18">
              <w:t>4.6 Employment</w:t>
            </w:r>
          </w:p>
        </w:tc>
      </w:tr>
      <w:tr w:rsidR="0093116F" w:rsidTr="009E4996">
        <w:trPr>
          <w:cantSplit/>
        </w:trPr>
        <w:tc>
          <w:tcPr>
            <w:tcW w:w="4385" w:type="dxa"/>
            <w:tcBorders>
              <w:top w:val="nil"/>
              <w:left w:val="nil"/>
              <w:bottom w:val="nil"/>
              <w:right w:val="nil"/>
            </w:tcBorders>
            <w:shd w:val="clear" w:color="auto" w:fill="F2F2F2"/>
          </w:tcPr>
          <w:p w:rsidR="0093116F" w:rsidRPr="001D0E96" w:rsidRDefault="0093116F" w:rsidP="0093116F">
            <w:pPr>
              <w:pStyle w:val="TableBodyText"/>
              <w:spacing w:before="80" w:after="80"/>
              <w:jc w:val="left"/>
            </w:pPr>
            <w:r w:rsidRPr="001D0E96">
              <w:t>Without a non</w:t>
            </w:r>
            <w:r>
              <w:noBreakHyphen/>
            </w:r>
            <w:r w:rsidRPr="001D0E96">
              <w:t>school qualification</w:t>
            </w:r>
          </w:p>
        </w:tc>
        <w:tc>
          <w:tcPr>
            <w:tcW w:w="4386" w:type="dxa"/>
            <w:tcBorders>
              <w:top w:val="nil"/>
              <w:left w:val="nil"/>
              <w:bottom w:val="nil"/>
              <w:right w:val="nil"/>
            </w:tcBorders>
            <w:shd w:val="clear" w:color="auto" w:fill="F2F2F2"/>
          </w:tcPr>
          <w:p w:rsidR="0093116F" w:rsidRPr="001D0E96" w:rsidRDefault="0093116F" w:rsidP="0093116F">
            <w:pPr>
              <w:pStyle w:val="TableBodyText"/>
              <w:spacing w:before="80" w:after="80"/>
              <w:jc w:val="left"/>
            </w:pPr>
            <w:r>
              <w:t xml:space="preserve">4.7 </w:t>
            </w:r>
            <w:r w:rsidR="00E276DD">
              <w:t>Post-</w:t>
            </w:r>
            <w:r w:rsidRPr="001D0E96">
              <w:t>secondary education</w:t>
            </w:r>
          </w:p>
        </w:tc>
      </w:tr>
      <w:tr w:rsidR="0093116F" w:rsidTr="009E4996">
        <w:trPr>
          <w:cantSplit/>
        </w:trPr>
        <w:tc>
          <w:tcPr>
            <w:tcW w:w="4385" w:type="dxa"/>
            <w:tcBorders>
              <w:top w:val="nil"/>
              <w:left w:val="nil"/>
              <w:bottom w:val="nil"/>
              <w:right w:val="nil"/>
            </w:tcBorders>
            <w:shd w:val="clear" w:color="auto" w:fill="F2F2F2"/>
          </w:tcPr>
          <w:p w:rsidR="0093116F" w:rsidRPr="001D0E96" w:rsidRDefault="0093116F" w:rsidP="0093116F">
            <w:pPr>
              <w:pStyle w:val="TableBodyText"/>
              <w:spacing w:before="80" w:after="80"/>
              <w:jc w:val="left"/>
            </w:pPr>
            <w:r w:rsidRPr="001D0E96">
              <w:t>Has profound or severe core activity restriction</w:t>
            </w:r>
          </w:p>
        </w:tc>
        <w:tc>
          <w:tcPr>
            <w:tcW w:w="4386" w:type="dxa"/>
            <w:tcBorders>
              <w:top w:val="nil"/>
              <w:left w:val="nil"/>
              <w:bottom w:val="nil"/>
              <w:right w:val="nil"/>
            </w:tcBorders>
            <w:shd w:val="clear" w:color="auto" w:fill="F2F2F2"/>
          </w:tcPr>
          <w:p w:rsidR="0093116F" w:rsidRPr="001D0E96" w:rsidRDefault="0093116F" w:rsidP="0093116F">
            <w:pPr>
              <w:pStyle w:val="TableBodyText"/>
              <w:spacing w:before="80" w:after="80"/>
              <w:jc w:val="left"/>
            </w:pPr>
            <w:r w:rsidRPr="001D0E96">
              <w:t>4.8 Disability and chronic disease</w:t>
            </w:r>
          </w:p>
        </w:tc>
      </w:tr>
      <w:tr w:rsidR="0093116F" w:rsidTr="009E4996">
        <w:trPr>
          <w:cantSplit/>
        </w:trPr>
        <w:tc>
          <w:tcPr>
            <w:tcW w:w="4385" w:type="dxa"/>
            <w:tcBorders>
              <w:top w:val="nil"/>
              <w:left w:val="nil"/>
              <w:bottom w:val="nil"/>
              <w:right w:val="nil"/>
            </w:tcBorders>
            <w:shd w:val="clear" w:color="auto" w:fill="F2F2F2"/>
          </w:tcPr>
          <w:p w:rsidR="0093116F" w:rsidRPr="00A40D63" w:rsidRDefault="0093116F" w:rsidP="0093116F">
            <w:pPr>
              <w:pStyle w:val="TableBodyText"/>
              <w:spacing w:before="80" w:after="80"/>
              <w:jc w:val="left"/>
            </w:pPr>
            <w:r w:rsidRPr="0077356E">
              <w:t>In the lowest quintile of equivalised gross weekly household income</w:t>
            </w:r>
          </w:p>
        </w:tc>
        <w:tc>
          <w:tcPr>
            <w:tcW w:w="4386" w:type="dxa"/>
            <w:tcBorders>
              <w:top w:val="nil"/>
              <w:left w:val="nil"/>
              <w:bottom w:val="nil"/>
              <w:right w:val="nil"/>
            </w:tcBorders>
            <w:shd w:val="clear" w:color="auto" w:fill="F2F2F2"/>
          </w:tcPr>
          <w:p w:rsidR="0093116F" w:rsidRPr="00E742F4" w:rsidRDefault="0093116F" w:rsidP="0093116F">
            <w:pPr>
              <w:pStyle w:val="TableBodyText"/>
              <w:spacing w:before="80" w:after="80"/>
              <w:jc w:val="left"/>
            </w:pPr>
            <w:r w:rsidRPr="00E742F4">
              <w:t>4.9 Household and individual income</w:t>
            </w:r>
          </w:p>
        </w:tc>
      </w:tr>
      <w:tr w:rsidR="0093116F" w:rsidTr="009E4996">
        <w:trPr>
          <w:cantSplit/>
        </w:trPr>
        <w:tc>
          <w:tcPr>
            <w:tcW w:w="4385" w:type="dxa"/>
            <w:tcBorders>
              <w:top w:val="nil"/>
              <w:left w:val="nil"/>
              <w:bottom w:val="nil"/>
              <w:right w:val="nil"/>
            </w:tcBorders>
            <w:shd w:val="clear" w:color="auto" w:fill="F2F2F2"/>
          </w:tcPr>
          <w:p w:rsidR="0093116F" w:rsidRPr="00A40D63" w:rsidRDefault="0093116F" w:rsidP="0093116F">
            <w:pPr>
              <w:pStyle w:val="TableBodyText"/>
              <w:spacing w:before="80" w:after="80"/>
              <w:jc w:val="left"/>
            </w:pPr>
            <w:r w:rsidRPr="0077356E">
              <w:t>In the lowest quintile of personal gross weekly income</w:t>
            </w:r>
          </w:p>
        </w:tc>
        <w:tc>
          <w:tcPr>
            <w:tcW w:w="4386" w:type="dxa"/>
            <w:tcBorders>
              <w:top w:val="nil"/>
              <w:left w:val="nil"/>
              <w:bottom w:val="nil"/>
              <w:right w:val="nil"/>
            </w:tcBorders>
            <w:shd w:val="clear" w:color="auto" w:fill="F2F2F2"/>
          </w:tcPr>
          <w:p w:rsidR="0093116F" w:rsidRPr="00E742F4" w:rsidRDefault="0093116F" w:rsidP="0093116F">
            <w:pPr>
              <w:pStyle w:val="TableBodyText"/>
              <w:spacing w:before="80" w:after="80"/>
              <w:jc w:val="left"/>
            </w:pPr>
            <w:r w:rsidRPr="00E742F4">
              <w:t>4.9 Household and individual income</w:t>
            </w:r>
          </w:p>
        </w:tc>
      </w:tr>
      <w:tr w:rsidR="0093116F" w:rsidTr="009E4996">
        <w:trPr>
          <w:cantSplit/>
        </w:trPr>
        <w:tc>
          <w:tcPr>
            <w:tcW w:w="4385" w:type="dxa"/>
            <w:tcBorders>
              <w:top w:val="nil"/>
              <w:left w:val="nil"/>
              <w:bottom w:val="nil"/>
              <w:right w:val="nil"/>
            </w:tcBorders>
            <w:shd w:val="clear" w:color="auto" w:fill="F2F2F2"/>
          </w:tcPr>
          <w:p w:rsidR="0093116F" w:rsidRPr="00A40D63" w:rsidRDefault="0093116F" w:rsidP="0093116F">
            <w:pPr>
              <w:pStyle w:val="TableBodyText"/>
              <w:spacing w:before="80" w:after="80"/>
              <w:jc w:val="left"/>
            </w:pPr>
            <w:r w:rsidRPr="0077356E">
              <w:t>Household members could not raise $2000 in an emergency</w:t>
            </w:r>
          </w:p>
        </w:tc>
        <w:tc>
          <w:tcPr>
            <w:tcW w:w="4386" w:type="dxa"/>
            <w:tcBorders>
              <w:top w:val="nil"/>
              <w:left w:val="nil"/>
              <w:bottom w:val="nil"/>
              <w:right w:val="nil"/>
            </w:tcBorders>
            <w:shd w:val="clear" w:color="auto" w:fill="F2F2F2"/>
          </w:tcPr>
          <w:p w:rsidR="0093116F" w:rsidRPr="00E742F4" w:rsidRDefault="0093116F" w:rsidP="0093116F">
            <w:pPr>
              <w:pStyle w:val="TableBodyText"/>
              <w:spacing w:before="80" w:after="80"/>
              <w:jc w:val="left"/>
            </w:pPr>
            <w:r w:rsidRPr="00E742F4">
              <w:t>4.9 Household and individual income</w:t>
            </w:r>
          </w:p>
        </w:tc>
      </w:tr>
      <w:tr w:rsidR="0093116F" w:rsidTr="009E4996">
        <w:trPr>
          <w:cantSplit/>
        </w:trPr>
        <w:tc>
          <w:tcPr>
            <w:tcW w:w="4385" w:type="dxa"/>
            <w:tcBorders>
              <w:top w:val="nil"/>
              <w:left w:val="nil"/>
              <w:bottom w:val="nil"/>
              <w:right w:val="nil"/>
            </w:tcBorders>
            <w:shd w:val="clear" w:color="auto" w:fill="F2F2F2"/>
          </w:tcPr>
          <w:p w:rsidR="0093116F" w:rsidRPr="00A40D63" w:rsidRDefault="0093116F" w:rsidP="0093116F">
            <w:pPr>
              <w:pStyle w:val="TableBodyText"/>
              <w:spacing w:before="80" w:after="80"/>
              <w:jc w:val="left"/>
            </w:pPr>
            <w:r w:rsidRPr="0077356E">
              <w:t>Household members ran out of money in the last two weeks for basic living expenses</w:t>
            </w:r>
          </w:p>
        </w:tc>
        <w:tc>
          <w:tcPr>
            <w:tcW w:w="4386" w:type="dxa"/>
            <w:tcBorders>
              <w:top w:val="nil"/>
              <w:left w:val="nil"/>
              <w:bottom w:val="nil"/>
              <w:right w:val="nil"/>
            </w:tcBorders>
            <w:shd w:val="clear" w:color="auto" w:fill="F2F2F2"/>
          </w:tcPr>
          <w:p w:rsidR="0093116F" w:rsidRPr="00E742F4" w:rsidRDefault="0093116F" w:rsidP="0093116F">
            <w:pPr>
              <w:pStyle w:val="TableBodyText"/>
              <w:spacing w:before="80" w:after="80"/>
              <w:jc w:val="left"/>
            </w:pPr>
            <w:r w:rsidRPr="00E742F4">
              <w:t>4.9 Household and individual income</w:t>
            </w:r>
          </w:p>
        </w:tc>
      </w:tr>
      <w:tr w:rsidR="0093116F" w:rsidTr="009E4996">
        <w:trPr>
          <w:cantSplit/>
        </w:trPr>
        <w:tc>
          <w:tcPr>
            <w:tcW w:w="4385" w:type="dxa"/>
            <w:tcBorders>
              <w:top w:val="nil"/>
              <w:left w:val="nil"/>
              <w:bottom w:val="nil"/>
              <w:right w:val="nil"/>
            </w:tcBorders>
            <w:shd w:val="clear" w:color="auto" w:fill="F2F2F2"/>
          </w:tcPr>
          <w:p w:rsidR="0093116F" w:rsidRPr="00E742F4" w:rsidRDefault="0093116F" w:rsidP="0093116F">
            <w:pPr>
              <w:pStyle w:val="TableBodyText"/>
              <w:spacing w:before="80" w:after="80"/>
              <w:jc w:val="left"/>
            </w:pPr>
            <w:r w:rsidRPr="00E742F4">
              <w:t>Speaks English not well or not at all</w:t>
            </w:r>
          </w:p>
        </w:tc>
        <w:tc>
          <w:tcPr>
            <w:tcW w:w="4386" w:type="dxa"/>
            <w:tcBorders>
              <w:top w:val="nil"/>
              <w:left w:val="nil"/>
              <w:bottom w:val="nil"/>
              <w:right w:val="nil"/>
            </w:tcBorders>
            <w:shd w:val="clear" w:color="auto" w:fill="F2F2F2"/>
          </w:tcPr>
          <w:p w:rsidR="0093116F" w:rsidRPr="00E742F4" w:rsidRDefault="0093116F" w:rsidP="0093116F">
            <w:pPr>
              <w:pStyle w:val="TableBodyText"/>
              <w:spacing w:before="80" w:after="80"/>
              <w:jc w:val="left"/>
            </w:pPr>
            <w:r w:rsidRPr="00E742F4">
              <w:t>5.3 Engagement with service</w:t>
            </w:r>
            <w:r>
              <w:t>s</w:t>
            </w:r>
          </w:p>
        </w:tc>
      </w:tr>
      <w:tr w:rsidR="0093116F" w:rsidTr="009E4996">
        <w:trPr>
          <w:cantSplit/>
        </w:trPr>
        <w:tc>
          <w:tcPr>
            <w:tcW w:w="4385" w:type="dxa"/>
            <w:tcBorders>
              <w:top w:val="nil"/>
              <w:left w:val="nil"/>
              <w:bottom w:val="nil"/>
              <w:right w:val="nil"/>
            </w:tcBorders>
            <w:shd w:val="clear" w:color="auto" w:fill="F2F2F2"/>
          </w:tcPr>
          <w:p w:rsidR="0093116F" w:rsidRPr="00E742F4" w:rsidRDefault="0093116F" w:rsidP="0093116F">
            <w:pPr>
              <w:pStyle w:val="TableBodyText"/>
              <w:spacing w:before="80" w:after="80"/>
              <w:jc w:val="left"/>
            </w:pPr>
            <w:r w:rsidRPr="00E742F4">
              <w:t>Highest year of school completed was year 9</w:t>
            </w:r>
            <w:r>
              <w:t xml:space="preserve"> or below</w:t>
            </w:r>
          </w:p>
        </w:tc>
        <w:tc>
          <w:tcPr>
            <w:tcW w:w="4386" w:type="dxa"/>
            <w:tcBorders>
              <w:top w:val="nil"/>
              <w:left w:val="nil"/>
              <w:bottom w:val="nil"/>
              <w:right w:val="nil"/>
            </w:tcBorders>
            <w:shd w:val="clear" w:color="auto" w:fill="F2F2F2"/>
          </w:tcPr>
          <w:p w:rsidR="0093116F" w:rsidRPr="00E742F4" w:rsidRDefault="0093116F" w:rsidP="0093116F">
            <w:pPr>
              <w:pStyle w:val="TableBodyText"/>
              <w:spacing w:before="80" w:after="80"/>
              <w:jc w:val="left"/>
            </w:pPr>
            <w:r>
              <w:t>7</w:t>
            </w:r>
            <w:r w:rsidRPr="00E742F4">
              <w:t xml:space="preserve"> Education and training</w:t>
            </w:r>
          </w:p>
        </w:tc>
      </w:tr>
      <w:tr w:rsidR="0093116F" w:rsidTr="009E4996">
        <w:trPr>
          <w:cantSplit/>
        </w:trPr>
        <w:tc>
          <w:tcPr>
            <w:tcW w:w="4385" w:type="dxa"/>
            <w:tcBorders>
              <w:top w:val="nil"/>
              <w:left w:val="nil"/>
              <w:bottom w:val="nil"/>
              <w:right w:val="nil"/>
            </w:tcBorders>
            <w:shd w:val="clear" w:color="auto" w:fill="F2F2F2"/>
          </w:tcPr>
          <w:p w:rsidR="0093116F" w:rsidRPr="00E742F4" w:rsidRDefault="0093116F" w:rsidP="0093116F">
            <w:pPr>
              <w:pStyle w:val="TableBodyText"/>
              <w:spacing w:before="80" w:after="80"/>
              <w:jc w:val="left"/>
            </w:pPr>
            <w:r w:rsidRPr="00E742F4">
              <w:t>Has fair/poor self</w:t>
            </w:r>
            <w:r>
              <w:noBreakHyphen/>
            </w:r>
            <w:r w:rsidRPr="00E742F4">
              <w:t>assessed health status</w:t>
            </w:r>
          </w:p>
        </w:tc>
        <w:tc>
          <w:tcPr>
            <w:tcW w:w="4386" w:type="dxa"/>
            <w:tcBorders>
              <w:top w:val="nil"/>
              <w:left w:val="nil"/>
              <w:bottom w:val="nil"/>
              <w:right w:val="nil"/>
            </w:tcBorders>
            <w:shd w:val="clear" w:color="auto" w:fill="F2F2F2"/>
          </w:tcPr>
          <w:p w:rsidR="0093116F" w:rsidRPr="00E742F4" w:rsidRDefault="0093116F" w:rsidP="0093116F">
            <w:pPr>
              <w:pStyle w:val="TableBodyText"/>
              <w:spacing w:before="80" w:after="80"/>
              <w:jc w:val="left"/>
            </w:pPr>
            <w:r w:rsidRPr="00E742F4">
              <w:t>8</w:t>
            </w:r>
            <w:r>
              <w:t>.1</w:t>
            </w:r>
            <w:r w:rsidRPr="00E742F4">
              <w:t xml:space="preserve"> </w:t>
            </w:r>
            <w:r>
              <w:t>Access to primary health care</w:t>
            </w:r>
          </w:p>
        </w:tc>
      </w:tr>
      <w:tr w:rsidR="0093116F" w:rsidTr="009E4996">
        <w:trPr>
          <w:cantSplit/>
        </w:trPr>
        <w:tc>
          <w:tcPr>
            <w:tcW w:w="4385" w:type="dxa"/>
            <w:tcBorders>
              <w:top w:val="nil"/>
              <w:left w:val="nil"/>
              <w:bottom w:val="nil"/>
              <w:right w:val="nil"/>
            </w:tcBorders>
            <w:shd w:val="clear" w:color="auto" w:fill="F2F2F2"/>
          </w:tcPr>
          <w:p w:rsidR="0093116F" w:rsidRPr="00E742F4" w:rsidRDefault="0093116F" w:rsidP="0093116F">
            <w:pPr>
              <w:pStyle w:val="TableBodyText"/>
              <w:spacing w:before="80" w:after="80"/>
              <w:jc w:val="left"/>
            </w:pPr>
            <w:r w:rsidRPr="00E742F4">
              <w:t>Current daily smoker</w:t>
            </w:r>
          </w:p>
        </w:tc>
        <w:tc>
          <w:tcPr>
            <w:tcW w:w="4386" w:type="dxa"/>
            <w:tcBorders>
              <w:top w:val="nil"/>
              <w:left w:val="nil"/>
              <w:bottom w:val="nil"/>
              <w:right w:val="nil"/>
            </w:tcBorders>
            <w:shd w:val="clear" w:color="auto" w:fill="F2F2F2"/>
          </w:tcPr>
          <w:p w:rsidR="0093116F" w:rsidRPr="00E742F4" w:rsidRDefault="0093116F" w:rsidP="0093116F">
            <w:pPr>
              <w:pStyle w:val="TableBodyText"/>
              <w:spacing w:before="80" w:after="80"/>
              <w:jc w:val="left"/>
            </w:pPr>
            <w:r w:rsidRPr="00E742F4">
              <w:t>8.4 Tobacco consumption and harm</w:t>
            </w:r>
          </w:p>
        </w:tc>
      </w:tr>
      <w:tr w:rsidR="0093116F" w:rsidTr="009E4996">
        <w:trPr>
          <w:cantSplit/>
        </w:trPr>
        <w:tc>
          <w:tcPr>
            <w:tcW w:w="4385" w:type="dxa"/>
            <w:tcBorders>
              <w:top w:val="nil"/>
              <w:left w:val="nil"/>
              <w:bottom w:val="nil"/>
              <w:right w:val="nil"/>
            </w:tcBorders>
            <w:shd w:val="clear" w:color="auto" w:fill="F2F2F2"/>
          </w:tcPr>
          <w:p w:rsidR="0093116F" w:rsidRPr="00E742F4" w:rsidRDefault="0093116F" w:rsidP="0093116F">
            <w:pPr>
              <w:pStyle w:val="TableBodyText"/>
              <w:spacing w:before="80" w:after="80"/>
              <w:jc w:val="left"/>
            </w:pPr>
            <w:r w:rsidRPr="00E742F4">
              <w:t>Has high/very high psychological distress (</w:t>
            </w:r>
            <w:proofErr w:type="spellStart"/>
            <w:r w:rsidRPr="00E742F4">
              <w:t>K5</w:t>
            </w:r>
            <w:proofErr w:type="spellEnd"/>
            <w:r w:rsidRPr="00E742F4">
              <w:t>)</w:t>
            </w:r>
          </w:p>
        </w:tc>
        <w:tc>
          <w:tcPr>
            <w:tcW w:w="4386" w:type="dxa"/>
            <w:tcBorders>
              <w:top w:val="nil"/>
              <w:left w:val="nil"/>
              <w:bottom w:val="nil"/>
              <w:right w:val="nil"/>
            </w:tcBorders>
            <w:shd w:val="clear" w:color="auto" w:fill="F2F2F2"/>
          </w:tcPr>
          <w:p w:rsidR="0093116F" w:rsidRPr="00E742F4" w:rsidRDefault="0093116F" w:rsidP="0093116F">
            <w:pPr>
              <w:pStyle w:val="TableBodyText"/>
              <w:spacing w:before="80" w:after="80"/>
              <w:jc w:val="left"/>
            </w:pPr>
            <w:r w:rsidRPr="00E742F4">
              <w:t>8.7 Mental health</w:t>
            </w:r>
          </w:p>
        </w:tc>
      </w:tr>
      <w:tr w:rsidR="0093116F" w:rsidTr="009E4996">
        <w:trPr>
          <w:cantSplit/>
        </w:trPr>
        <w:tc>
          <w:tcPr>
            <w:tcW w:w="4385" w:type="dxa"/>
            <w:tcBorders>
              <w:top w:val="nil"/>
              <w:left w:val="nil"/>
              <w:bottom w:val="nil"/>
              <w:right w:val="nil"/>
            </w:tcBorders>
            <w:shd w:val="clear" w:color="auto" w:fill="F2F2F2"/>
          </w:tcPr>
          <w:p w:rsidR="0093116F" w:rsidRPr="00E742F4" w:rsidRDefault="0093116F" w:rsidP="0093116F">
            <w:pPr>
              <w:pStyle w:val="TableBodyText"/>
              <w:spacing w:before="80" w:after="80"/>
              <w:jc w:val="left"/>
            </w:pPr>
            <w:r w:rsidRPr="00E742F4">
              <w:t>Living in a home not owned by someone in the household</w:t>
            </w:r>
          </w:p>
        </w:tc>
        <w:tc>
          <w:tcPr>
            <w:tcW w:w="4386" w:type="dxa"/>
            <w:tcBorders>
              <w:top w:val="nil"/>
              <w:left w:val="nil"/>
              <w:bottom w:val="nil"/>
              <w:right w:val="nil"/>
            </w:tcBorders>
            <w:shd w:val="clear" w:color="auto" w:fill="F2F2F2"/>
          </w:tcPr>
          <w:p w:rsidR="0093116F" w:rsidRPr="00E742F4" w:rsidRDefault="0093116F" w:rsidP="0093116F">
            <w:pPr>
              <w:pStyle w:val="TableBodyText"/>
              <w:spacing w:before="80" w:after="80"/>
              <w:jc w:val="left"/>
            </w:pPr>
            <w:r w:rsidRPr="00E742F4">
              <w:t>9.3 Home ownership</w:t>
            </w:r>
          </w:p>
        </w:tc>
      </w:tr>
      <w:tr w:rsidR="0093116F" w:rsidTr="009E4996">
        <w:trPr>
          <w:cantSplit/>
        </w:trPr>
        <w:tc>
          <w:tcPr>
            <w:tcW w:w="4385" w:type="dxa"/>
            <w:tcBorders>
              <w:top w:val="nil"/>
              <w:left w:val="nil"/>
              <w:bottom w:val="nil"/>
              <w:right w:val="nil"/>
            </w:tcBorders>
            <w:shd w:val="clear" w:color="auto" w:fill="F2F2F2"/>
          </w:tcPr>
          <w:p w:rsidR="0093116F" w:rsidRPr="00E742F4" w:rsidRDefault="0093116F" w:rsidP="0093116F">
            <w:pPr>
              <w:pStyle w:val="TableBodyText"/>
              <w:spacing w:before="80" w:after="80"/>
              <w:jc w:val="left"/>
            </w:pPr>
            <w:r w:rsidRPr="00E742F4">
              <w:t xml:space="preserve">Principal source of personal income was </w:t>
            </w:r>
            <w:r>
              <w:t>government pension, allowance or benefits</w:t>
            </w:r>
          </w:p>
        </w:tc>
        <w:tc>
          <w:tcPr>
            <w:tcW w:w="4386" w:type="dxa"/>
            <w:tcBorders>
              <w:top w:val="nil"/>
              <w:left w:val="nil"/>
              <w:bottom w:val="nil"/>
              <w:right w:val="nil"/>
            </w:tcBorders>
            <w:shd w:val="clear" w:color="auto" w:fill="F2F2F2"/>
          </w:tcPr>
          <w:p w:rsidR="0093116F" w:rsidRPr="00E742F4" w:rsidRDefault="0093116F" w:rsidP="0093116F">
            <w:pPr>
              <w:pStyle w:val="TableBodyText"/>
              <w:spacing w:before="80" w:after="80"/>
              <w:jc w:val="left"/>
            </w:pPr>
            <w:r w:rsidRPr="00E742F4">
              <w:t>9.4 Income support</w:t>
            </w:r>
          </w:p>
        </w:tc>
      </w:tr>
      <w:tr w:rsidR="0093116F" w:rsidTr="009E4996">
        <w:trPr>
          <w:cantSplit/>
        </w:trPr>
        <w:tc>
          <w:tcPr>
            <w:tcW w:w="4385" w:type="dxa"/>
            <w:tcBorders>
              <w:top w:val="nil"/>
              <w:left w:val="nil"/>
              <w:bottom w:val="nil"/>
              <w:right w:val="nil"/>
            </w:tcBorders>
            <w:shd w:val="clear" w:color="auto" w:fill="F2F2F2"/>
          </w:tcPr>
          <w:p w:rsidR="0093116F" w:rsidRPr="00E742F4" w:rsidRDefault="0093116F" w:rsidP="0093116F">
            <w:pPr>
              <w:pStyle w:val="TableBodyText"/>
              <w:spacing w:before="80" w:after="80"/>
              <w:jc w:val="left"/>
            </w:pPr>
            <w:r w:rsidRPr="00E742F4">
              <w:t>Principal source of personal income was CDEP</w:t>
            </w:r>
          </w:p>
        </w:tc>
        <w:tc>
          <w:tcPr>
            <w:tcW w:w="4386" w:type="dxa"/>
            <w:tcBorders>
              <w:top w:val="nil"/>
              <w:left w:val="nil"/>
              <w:bottom w:val="nil"/>
              <w:right w:val="nil"/>
            </w:tcBorders>
            <w:shd w:val="clear" w:color="auto" w:fill="F2F2F2"/>
          </w:tcPr>
          <w:p w:rsidR="0093116F" w:rsidRPr="00E742F4" w:rsidRDefault="0093116F" w:rsidP="0093116F">
            <w:pPr>
              <w:pStyle w:val="TableBodyText"/>
              <w:spacing w:before="80" w:after="80"/>
              <w:jc w:val="left"/>
            </w:pPr>
            <w:r w:rsidRPr="00E742F4">
              <w:t>9.4 Income support</w:t>
            </w:r>
          </w:p>
        </w:tc>
      </w:tr>
      <w:tr w:rsidR="0093116F" w:rsidTr="009E4996">
        <w:trPr>
          <w:cantSplit/>
        </w:trPr>
        <w:tc>
          <w:tcPr>
            <w:tcW w:w="4385" w:type="dxa"/>
            <w:tcBorders>
              <w:top w:val="nil"/>
              <w:left w:val="nil"/>
              <w:bottom w:val="nil"/>
              <w:right w:val="nil"/>
            </w:tcBorders>
            <w:shd w:val="clear" w:color="auto" w:fill="F2F2F2"/>
          </w:tcPr>
          <w:p w:rsidR="0093116F" w:rsidRPr="00E742F4" w:rsidRDefault="0093116F" w:rsidP="0093116F">
            <w:pPr>
              <w:pStyle w:val="TableBodyText"/>
              <w:spacing w:before="80" w:after="80"/>
              <w:jc w:val="left"/>
            </w:pPr>
            <w:r w:rsidRPr="00E742F4">
              <w:t>Living in an overcrowded household</w:t>
            </w:r>
          </w:p>
        </w:tc>
        <w:tc>
          <w:tcPr>
            <w:tcW w:w="4386" w:type="dxa"/>
            <w:tcBorders>
              <w:top w:val="nil"/>
              <w:left w:val="nil"/>
              <w:bottom w:val="nil"/>
              <w:right w:val="nil"/>
            </w:tcBorders>
            <w:shd w:val="clear" w:color="auto" w:fill="F2F2F2"/>
          </w:tcPr>
          <w:p w:rsidR="0093116F" w:rsidRPr="00E742F4" w:rsidRDefault="0093116F" w:rsidP="0093116F">
            <w:pPr>
              <w:pStyle w:val="TableBodyText"/>
              <w:spacing w:before="80" w:after="80"/>
              <w:jc w:val="left"/>
            </w:pPr>
            <w:r w:rsidRPr="00E742F4">
              <w:t>10.1 Overcrowding in housing</w:t>
            </w:r>
          </w:p>
        </w:tc>
      </w:tr>
      <w:tr w:rsidR="0093116F" w:rsidTr="009E4996">
        <w:trPr>
          <w:cantSplit/>
        </w:trPr>
        <w:tc>
          <w:tcPr>
            <w:tcW w:w="4385" w:type="dxa"/>
            <w:tcBorders>
              <w:top w:val="nil"/>
              <w:left w:val="nil"/>
              <w:bottom w:val="nil"/>
              <w:right w:val="nil"/>
            </w:tcBorders>
            <w:shd w:val="clear" w:color="auto" w:fill="F2F2F2"/>
          </w:tcPr>
          <w:p w:rsidR="0093116F" w:rsidRPr="00E742F4" w:rsidRDefault="0093116F" w:rsidP="0093116F">
            <w:pPr>
              <w:pStyle w:val="TableBodyText"/>
              <w:spacing w:before="80" w:after="80"/>
              <w:jc w:val="left"/>
            </w:pPr>
            <w:r w:rsidRPr="00E742F4">
              <w:t>Removal – self or a relative has been taken away from family</w:t>
            </w:r>
          </w:p>
        </w:tc>
        <w:tc>
          <w:tcPr>
            <w:tcW w:w="4386" w:type="dxa"/>
            <w:tcBorders>
              <w:top w:val="nil"/>
              <w:left w:val="nil"/>
              <w:bottom w:val="nil"/>
              <w:right w:val="nil"/>
            </w:tcBorders>
            <w:shd w:val="clear" w:color="auto" w:fill="F2F2F2"/>
          </w:tcPr>
          <w:p w:rsidR="0093116F" w:rsidRPr="00E742F4" w:rsidRDefault="0093116F" w:rsidP="0093116F">
            <w:pPr>
              <w:pStyle w:val="TableBodyText"/>
              <w:spacing w:before="80" w:after="80"/>
              <w:jc w:val="left"/>
            </w:pPr>
            <w:r>
              <w:t>11</w:t>
            </w:r>
            <w:r w:rsidRPr="00E742F4">
              <w:t xml:space="preserve"> Safe and supportive communities</w:t>
            </w:r>
          </w:p>
        </w:tc>
      </w:tr>
      <w:tr w:rsidR="0093116F" w:rsidTr="009E4996">
        <w:trPr>
          <w:cantSplit/>
        </w:trPr>
        <w:tc>
          <w:tcPr>
            <w:tcW w:w="4385" w:type="dxa"/>
            <w:tcBorders>
              <w:top w:val="nil"/>
              <w:left w:val="nil"/>
              <w:bottom w:val="nil"/>
              <w:right w:val="nil"/>
            </w:tcBorders>
            <w:shd w:val="clear" w:color="auto" w:fill="F2F2F2"/>
          </w:tcPr>
          <w:p w:rsidR="0093116F" w:rsidRPr="00E742F4" w:rsidRDefault="0093116F" w:rsidP="0093116F">
            <w:pPr>
              <w:pStyle w:val="TableBodyText"/>
              <w:spacing w:before="80" w:after="80"/>
              <w:jc w:val="left"/>
            </w:pPr>
            <w:r w:rsidRPr="00E742F4">
              <w:t xml:space="preserve">Alcohol consumption exceeded 2009 lifetime risk </w:t>
            </w:r>
            <w:proofErr w:type="spellStart"/>
            <w:r w:rsidRPr="00E742F4">
              <w:t>NHMRC</w:t>
            </w:r>
            <w:proofErr w:type="spellEnd"/>
            <w:r w:rsidRPr="00E742F4">
              <w:t xml:space="preserve"> guidelines</w:t>
            </w:r>
          </w:p>
        </w:tc>
        <w:tc>
          <w:tcPr>
            <w:tcW w:w="4386" w:type="dxa"/>
            <w:tcBorders>
              <w:top w:val="nil"/>
              <w:left w:val="nil"/>
              <w:bottom w:val="nil"/>
              <w:right w:val="nil"/>
            </w:tcBorders>
            <w:shd w:val="clear" w:color="auto" w:fill="F2F2F2"/>
          </w:tcPr>
          <w:p w:rsidR="0093116F" w:rsidRPr="00E742F4" w:rsidRDefault="0093116F" w:rsidP="0093116F">
            <w:pPr>
              <w:pStyle w:val="TableBodyText"/>
              <w:spacing w:before="80" w:after="80"/>
              <w:jc w:val="left"/>
            </w:pPr>
            <w:r w:rsidRPr="00E742F4">
              <w:t>11.1 Alcohol consumption and harm</w:t>
            </w:r>
          </w:p>
        </w:tc>
      </w:tr>
      <w:tr w:rsidR="0093116F" w:rsidTr="00D27860">
        <w:trPr>
          <w:cantSplit/>
        </w:trPr>
        <w:tc>
          <w:tcPr>
            <w:tcW w:w="8771" w:type="dxa"/>
            <w:gridSpan w:val="2"/>
            <w:tcBorders>
              <w:top w:val="nil"/>
              <w:left w:val="nil"/>
              <w:bottom w:val="nil"/>
              <w:right w:val="nil"/>
            </w:tcBorders>
            <w:shd w:val="clear" w:color="auto" w:fill="F2F2F2"/>
          </w:tcPr>
          <w:p w:rsidR="0093116F" w:rsidRPr="00E276DD" w:rsidRDefault="0093116F" w:rsidP="00AC4004">
            <w:pPr>
              <w:pStyle w:val="Continued"/>
            </w:pPr>
            <w:r w:rsidRPr="00E276DD">
              <w:t>(continued next page)</w:t>
            </w:r>
          </w:p>
        </w:tc>
      </w:tr>
      <w:tr w:rsidR="0093116F" w:rsidTr="00D27860">
        <w:trPr>
          <w:cantSplit/>
        </w:trPr>
        <w:tc>
          <w:tcPr>
            <w:tcW w:w="8771" w:type="dxa"/>
            <w:gridSpan w:val="2"/>
            <w:tcBorders>
              <w:top w:val="nil"/>
              <w:left w:val="nil"/>
              <w:bottom w:val="single" w:sz="6" w:space="0" w:color="78A22F"/>
              <w:right w:val="nil"/>
            </w:tcBorders>
            <w:shd w:val="clear" w:color="auto" w:fill="F2F2F2"/>
          </w:tcPr>
          <w:p w:rsidR="0093116F" w:rsidRDefault="0093116F">
            <w:pPr>
              <w:pStyle w:val="Box"/>
              <w:spacing w:before="0" w:line="120" w:lineRule="exact"/>
            </w:pPr>
          </w:p>
        </w:tc>
      </w:tr>
      <w:tr w:rsidR="0093116F" w:rsidRPr="000863A5" w:rsidTr="00176D3F">
        <w:tc>
          <w:tcPr>
            <w:tcW w:w="8771" w:type="dxa"/>
            <w:gridSpan w:val="2"/>
            <w:tcBorders>
              <w:top w:val="single" w:sz="6" w:space="0" w:color="78A22F"/>
              <w:left w:val="nil"/>
              <w:bottom w:val="nil"/>
              <w:right w:val="nil"/>
            </w:tcBorders>
          </w:tcPr>
          <w:p w:rsidR="0093116F" w:rsidRPr="00626D32" w:rsidRDefault="0093116F" w:rsidP="00537BB4">
            <w:pPr>
              <w:pStyle w:val="BoxSpaceBelow"/>
            </w:pPr>
          </w:p>
        </w:tc>
      </w:tr>
    </w:tbl>
    <w:p w:rsidR="0093116F" w:rsidRDefault="0093116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93116F" w:rsidTr="00D27860">
        <w:tc>
          <w:tcPr>
            <w:tcW w:w="8771" w:type="dxa"/>
            <w:tcBorders>
              <w:top w:val="single" w:sz="6" w:space="0" w:color="78A22F"/>
              <w:left w:val="nil"/>
              <w:bottom w:val="nil"/>
              <w:right w:val="nil"/>
            </w:tcBorders>
            <w:shd w:val="clear" w:color="auto" w:fill="F2F2F2"/>
          </w:tcPr>
          <w:p w:rsidR="0093116F" w:rsidRDefault="0093116F" w:rsidP="0093116F">
            <w:pPr>
              <w:pStyle w:val="BoxTitle"/>
            </w:pPr>
            <w:r>
              <w:rPr>
                <w:b w:val="0"/>
              </w:rPr>
              <w:t>Box 13.1.2</w:t>
            </w:r>
            <w:r>
              <w:tab/>
            </w:r>
            <w:r w:rsidRPr="00AC4004">
              <w:rPr>
                <w:sz w:val="18"/>
                <w:szCs w:val="18"/>
              </w:rPr>
              <w:t>(continued)</w:t>
            </w:r>
          </w:p>
        </w:tc>
      </w:tr>
      <w:tr w:rsidR="0093116F" w:rsidTr="00D27860">
        <w:trPr>
          <w:cantSplit/>
        </w:trPr>
        <w:tc>
          <w:tcPr>
            <w:tcW w:w="8771" w:type="dxa"/>
            <w:tcBorders>
              <w:top w:val="nil"/>
              <w:left w:val="nil"/>
              <w:bottom w:val="nil"/>
              <w:right w:val="nil"/>
            </w:tcBorders>
            <w:shd w:val="clear" w:color="auto" w:fill="F2F2F2"/>
          </w:tcPr>
          <w:p w:rsidR="0093116F" w:rsidRPr="000D71C0" w:rsidRDefault="0093116F" w:rsidP="0093116F">
            <w:pPr>
              <w:pStyle w:val="Box"/>
            </w:pPr>
            <w:r w:rsidRPr="000D71C0">
              <w:t>The analysis:</w:t>
            </w:r>
          </w:p>
          <w:p w:rsidR="0093116F" w:rsidRPr="000D71C0" w:rsidRDefault="0093116F" w:rsidP="0093116F">
            <w:pPr>
              <w:pStyle w:val="BoxListBullet"/>
            </w:pPr>
            <w:r w:rsidRPr="000D71C0">
              <w:t>classifies the population into various subgroups; (for example has a non</w:t>
            </w:r>
            <w:r>
              <w:noBreakHyphen/>
            </w:r>
            <w:r w:rsidRPr="000D71C0">
              <w:t>school qualification or has no non</w:t>
            </w:r>
            <w:r>
              <w:noBreakHyphen/>
            </w:r>
            <w:r w:rsidRPr="000D71C0">
              <w:t xml:space="preserve">school qualification; </w:t>
            </w:r>
            <w:r>
              <w:t xml:space="preserve">is </w:t>
            </w:r>
            <w:r w:rsidRPr="000D71C0">
              <w:t xml:space="preserve">employed or </w:t>
            </w:r>
            <w:r>
              <w:t xml:space="preserve">is </w:t>
            </w:r>
            <w:r w:rsidRPr="000D71C0">
              <w:t>unemployed)</w:t>
            </w:r>
          </w:p>
          <w:p w:rsidR="0093116F" w:rsidRDefault="0093116F" w:rsidP="0093116F">
            <w:pPr>
              <w:pStyle w:val="BoxListBullet"/>
            </w:pPr>
            <w:r w:rsidRPr="000D71C0">
              <w:t xml:space="preserve">compares the proportions of people in each population subgroup who experience other outcomes (for example, </w:t>
            </w:r>
            <w:r>
              <w:t xml:space="preserve">comparing the </w:t>
            </w:r>
            <w:r w:rsidRPr="000D71C0">
              <w:t xml:space="preserve">proportions of people </w:t>
            </w:r>
            <w:r w:rsidRPr="00A73384">
              <w:rPr>
                <w:i/>
              </w:rPr>
              <w:t>with</w:t>
            </w:r>
            <w:r>
              <w:t xml:space="preserve"> and </w:t>
            </w:r>
            <w:r w:rsidRPr="00155CD3">
              <w:rPr>
                <w:i/>
              </w:rPr>
              <w:t>without</w:t>
            </w:r>
            <w:r w:rsidRPr="000D71C0">
              <w:t xml:space="preserve"> a non</w:t>
            </w:r>
            <w:r>
              <w:noBreakHyphen/>
            </w:r>
            <w:r w:rsidRPr="000D71C0">
              <w:t>school qualification living in an overcrowded household)</w:t>
            </w:r>
          </w:p>
          <w:p w:rsidR="0093116F" w:rsidRDefault="0093116F" w:rsidP="0093116F">
            <w:pPr>
              <w:pStyle w:val="BoxListBullet"/>
            </w:pPr>
            <w:r w:rsidRPr="000D71C0">
              <w:t xml:space="preserve">compares the proportions of people in the </w:t>
            </w:r>
            <w:r>
              <w:t>Aboriginal and Torres Strait Islander</w:t>
            </w:r>
            <w:r w:rsidRPr="000D71C0">
              <w:t xml:space="preserve"> subgroup who experience selected indicators of disadvantage with a comparable subgroup in the non</w:t>
            </w:r>
            <w:r>
              <w:noBreakHyphen/>
            </w:r>
            <w:r w:rsidRPr="000D71C0">
              <w:t xml:space="preserve">Indigenous population (for example, </w:t>
            </w:r>
            <w:r>
              <w:t xml:space="preserve">comparing the </w:t>
            </w:r>
            <w:r w:rsidRPr="000D71C0">
              <w:t xml:space="preserve">proportion of </w:t>
            </w:r>
            <w:r>
              <w:t>Aboriginal and Torres Strait Islander Australians</w:t>
            </w:r>
            <w:r w:rsidRPr="000D71C0">
              <w:t xml:space="preserve"> without a non</w:t>
            </w:r>
            <w:r>
              <w:noBreakHyphen/>
            </w:r>
            <w:r w:rsidRPr="000D71C0">
              <w:t>school qualification who have low household income</w:t>
            </w:r>
            <w:r>
              <w:t xml:space="preserve"> with </w:t>
            </w:r>
            <w:r w:rsidRPr="000D71C0">
              <w:t xml:space="preserve">the proportion </w:t>
            </w:r>
            <w:r>
              <w:t>of</w:t>
            </w:r>
            <w:r w:rsidRPr="000D71C0">
              <w:t xml:space="preserve"> non</w:t>
            </w:r>
            <w:r>
              <w:noBreakHyphen/>
            </w:r>
            <w:r w:rsidRPr="000D71C0">
              <w:t xml:space="preserve">Indigenous people </w:t>
            </w:r>
            <w:r>
              <w:t>without a non</w:t>
            </w:r>
            <w:r>
              <w:noBreakHyphen/>
            </w:r>
            <w:r w:rsidRPr="000E53F8">
              <w:t>school qualification who have low household income</w:t>
            </w:r>
            <w:r w:rsidRPr="000D71C0">
              <w:t>)</w:t>
            </w:r>
            <w:r>
              <w:t>.</w:t>
            </w:r>
          </w:p>
        </w:tc>
      </w:tr>
      <w:tr w:rsidR="0093116F" w:rsidTr="00D27860">
        <w:trPr>
          <w:cantSplit/>
        </w:trPr>
        <w:tc>
          <w:tcPr>
            <w:tcW w:w="8771" w:type="dxa"/>
            <w:tcBorders>
              <w:top w:val="nil"/>
              <w:left w:val="nil"/>
              <w:bottom w:val="single" w:sz="6" w:space="0" w:color="78A22F"/>
              <w:right w:val="nil"/>
            </w:tcBorders>
            <w:shd w:val="clear" w:color="auto" w:fill="F2F2F2"/>
          </w:tcPr>
          <w:p w:rsidR="0093116F" w:rsidRDefault="0093116F">
            <w:pPr>
              <w:pStyle w:val="Box"/>
              <w:spacing w:before="0" w:line="120" w:lineRule="exact"/>
            </w:pPr>
          </w:p>
        </w:tc>
      </w:tr>
      <w:tr w:rsidR="0093116F" w:rsidRPr="000863A5" w:rsidTr="00176D3F">
        <w:tc>
          <w:tcPr>
            <w:tcW w:w="8771" w:type="dxa"/>
            <w:tcBorders>
              <w:top w:val="single" w:sz="6" w:space="0" w:color="78A22F"/>
              <w:left w:val="nil"/>
              <w:bottom w:val="nil"/>
              <w:right w:val="nil"/>
            </w:tcBorders>
          </w:tcPr>
          <w:p w:rsidR="0093116F" w:rsidRPr="00626D32" w:rsidRDefault="0093116F" w:rsidP="00537BB4">
            <w:pPr>
              <w:pStyle w:val="BoxSpaceBelow"/>
            </w:pPr>
          </w:p>
        </w:tc>
      </w:tr>
    </w:tbl>
    <w:p w:rsidR="007532A0" w:rsidRPr="005D0A76" w:rsidRDefault="007532A0" w:rsidP="007532A0">
      <w:pPr>
        <w:pStyle w:val="BodyText"/>
      </w:pPr>
      <w:r>
        <w:t xml:space="preserve">This section </w:t>
      </w:r>
      <w:r w:rsidRPr="00337CEC">
        <w:t>provides a</w:t>
      </w:r>
      <w:r>
        <w:t xml:space="preserve"> brief</w:t>
      </w:r>
      <w:r w:rsidRPr="00337CEC">
        <w:t xml:space="preserve"> overview </w:t>
      </w:r>
      <w:r>
        <w:t>of the data, with more information available in the attachment tables.</w:t>
      </w:r>
    </w:p>
    <w:p w:rsidR="007532A0" w:rsidRDefault="002500FA" w:rsidP="002500FA">
      <w:pPr>
        <w:pStyle w:val="BodyText"/>
      </w:pPr>
      <w:r w:rsidRPr="005D0A76">
        <w:t xml:space="preserve">The data in this </w:t>
      </w:r>
      <w:r w:rsidR="007532A0">
        <w:t>section</w:t>
      </w:r>
      <w:r w:rsidR="007532A0" w:rsidRPr="005D0A76">
        <w:t xml:space="preserve"> </w:t>
      </w:r>
      <w:r w:rsidRPr="005D0A76">
        <w:t>should be interpreted carefully. The measures used are broad and may cover a range of outco</w:t>
      </w:r>
      <w:r w:rsidR="009527D3">
        <w:t>mes; for example, the measure ‘w</w:t>
      </w:r>
      <w:r w:rsidRPr="005D0A76">
        <w:t xml:space="preserve">ith a </w:t>
      </w:r>
      <w:r w:rsidR="00EE48C4" w:rsidRPr="005D0A76">
        <w:t>non</w:t>
      </w:r>
      <w:r w:rsidR="000B6E1C">
        <w:noBreakHyphen/>
      </w:r>
      <w:r w:rsidR="00EE48C4" w:rsidRPr="005D0A76">
        <w:t>school</w:t>
      </w:r>
      <w:r w:rsidRPr="005D0A76">
        <w:t xml:space="preserve"> qualification’ includes a wide range of different non</w:t>
      </w:r>
      <w:r w:rsidR="000B6E1C">
        <w:noBreakHyphen/>
      </w:r>
      <w:r w:rsidRPr="005D0A76">
        <w:t xml:space="preserve">school qualifications, from certificate I through to </w:t>
      </w:r>
      <w:r w:rsidR="009527D3" w:rsidRPr="005D0A76">
        <w:t>post</w:t>
      </w:r>
      <w:r w:rsidR="009527D3">
        <w:t>graduate</w:t>
      </w:r>
      <w:r w:rsidR="00337CEC">
        <w:t xml:space="preserve"> degrees. If non</w:t>
      </w:r>
      <w:r w:rsidR="000B6E1C">
        <w:noBreakHyphen/>
      </w:r>
      <w:r w:rsidRPr="005D0A76">
        <w:t xml:space="preserve">Indigenous </w:t>
      </w:r>
      <w:r w:rsidR="00337CEC">
        <w:t>Australians</w:t>
      </w:r>
      <w:r w:rsidRPr="005D0A76">
        <w:t xml:space="preserve"> have obtained non</w:t>
      </w:r>
      <w:r w:rsidR="000B6E1C">
        <w:noBreakHyphen/>
      </w:r>
      <w:r w:rsidRPr="005D0A76">
        <w:t>school qualifications at different levels or in different fields</w:t>
      </w:r>
      <w:r w:rsidR="007532A0">
        <w:t xml:space="preserve"> to those obtained by Aboriginal and Torres Strait Islander Australians</w:t>
      </w:r>
      <w:r w:rsidRPr="005D0A76">
        <w:t>, they may have different income and employment outcomes.</w:t>
      </w:r>
      <w:r w:rsidR="00337CEC" w:rsidRPr="00337CEC">
        <w:t xml:space="preserve"> </w:t>
      </w:r>
    </w:p>
    <w:p w:rsidR="004E502C" w:rsidRPr="005D0A76" w:rsidRDefault="002500FA" w:rsidP="002500FA">
      <w:pPr>
        <w:pStyle w:val="Heading3"/>
      </w:pPr>
      <w:r w:rsidRPr="005D0A76">
        <w:t>Non</w:t>
      </w:r>
      <w:r w:rsidR="000B6E1C">
        <w:noBreakHyphen/>
      </w:r>
      <w:r w:rsidRPr="005D0A76">
        <w:t>school qualifications</w:t>
      </w:r>
    </w:p>
    <w:p w:rsidR="00EE74D7" w:rsidRPr="0028405F" w:rsidRDefault="0020754B" w:rsidP="00EE74D7">
      <w:pPr>
        <w:pStyle w:val="BodyText"/>
      </w:pPr>
      <w:r>
        <w:t>In 2012</w:t>
      </w:r>
      <w:r w:rsidR="00FB11FE">
        <w:noBreakHyphen/>
      </w:r>
      <w:r>
        <w:t>13</w:t>
      </w:r>
      <w:r w:rsidR="00EE74D7" w:rsidRPr="0028405F">
        <w:t xml:space="preserve">, </w:t>
      </w:r>
      <w:r w:rsidR="0065370B">
        <w:t>Aboriginal and Torres Strait Islander</w:t>
      </w:r>
      <w:r w:rsidR="00EE74D7" w:rsidRPr="0028405F">
        <w:t xml:space="preserve"> </w:t>
      </w:r>
      <w:r w:rsidR="00337CEC">
        <w:t>Australians</w:t>
      </w:r>
      <w:r w:rsidR="00EE74D7" w:rsidRPr="0028405F">
        <w:t xml:space="preserve"> aged 20–64 years </w:t>
      </w:r>
      <w:r w:rsidR="00EE74D7" w:rsidRPr="00A73384">
        <w:rPr>
          <w:i/>
        </w:rPr>
        <w:t>without</w:t>
      </w:r>
      <w:r w:rsidR="00EE74D7" w:rsidRPr="0028405F">
        <w:t xml:space="preserve"> a non</w:t>
      </w:r>
      <w:r w:rsidR="000B6E1C">
        <w:noBreakHyphen/>
      </w:r>
      <w:r w:rsidR="00EE74D7" w:rsidRPr="0028405F">
        <w:t xml:space="preserve">school qualification </w:t>
      </w:r>
      <w:r w:rsidR="0005034A" w:rsidRPr="0005034A">
        <w:t xml:space="preserve">were more likely than those </w:t>
      </w:r>
      <w:r w:rsidR="0005034A" w:rsidRPr="0005034A">
        <w:rPr>
          <w:i/>
        </w:rPr>
        <w:t>with</w:t>
      </w:r>
      <w:r w:rsidR="0005034A" w:rsidRPr="0005034A">
        <w:t xml:space="preserve"> a non</w:t>
      </w:r>
      <w:r w:rsidR="00F119B1">
        <w:noBreakHyphen/>
      </w:r>
      <w:r w:rsidR="0005034A" w:rsidRPr="0005034A">
        <w:t>school qualification to experience other forms of disadvantage</w:t>
      </w:r>
      <w:r w:rsidR="00EE74D7" w:rsidRPr="0028405F">
        <w:t>, including:</w:t>
      </w:r>
    </w:p>
    <w:p w:rsidR="007532A0" w:rsidRDefault="00EE74D7" w:rsidP="00EE74D7">
      <w:pPr>
        <w:pStyle w:val="ListBullet"/>
      </w:pPr>
      <w:r w:rsidRPr="0028405F">
        <w:t>bei</w:t>
      </w:r>
      <w:r w:rsidR="0028405F" w:rsidRPr="0028405F">
        <w:t>ng out of the labour force (49.0</w:t>
      </w:r>
      <w:r w:rsidRPr="0028405F">
        <w:t xml:space="preserve"> per cent compared with </w:t>
      </w:r>
      <w:r w:rsidR="0028405F" w:rsidRPr="0028405F">
        <w:t>2</w:t>
      </w:r>
      <w:r w:rsidR="001A4FE4">
        <w:t>4.3</w:t>
      </w:r>
      <w:r w:rsidRPr="0028405F">
        <w:t xml:space="preserve"> per </w:t>
      </w:r>
      <w:r w:rsidRPr="001A4FE4">
        <w:t>cent)</w:t>
      </w:r>
    </w:p>
    <w:p w:rsidR="007532A0" w:rsidRDefault="001A4FE4" w:rsidP="00EE74D7">
      <w:pPr>
        <w:pStyle w:val="ListBullet"/>
      </w:pPr>
      <w:r w:rsidRPr="001A4FE4">
        <w:t xml:space="preserve">having a </w:t>
      </w:r>
      <w:r w:rsidR="005F23FB">
        <w:t>government pension, allowance or benefits</w:t>
      </w:r>
      <w:r w:rsidRPr="001A4FE4">
        <w:t xml:space="preserve"> as their principal source of income (58.4 per cent compared with </w:t>
      </w:r>
      <w:r>
        <w:t>30.7</w:t>
      </w:r>
      <w:r w:rsidRPr="001A4FE4">
        <w:t xml:space="preserve"> per </w:t>
      </w:r>
      <w:r w:rsidRPr="001919E7">
        <w:t>cent)</w:t>
      </w:r>
    </w:p>
    <w:p w:rsidR="007532A0" w:rsidRDefault="00EE74D7" w:rsidP="00EE74D7">
      <w:pPr>
        <w:pStyle w:val="ListBullet"/>
      </w:pPr>
      <w:r w:rsidRPr="001919E7">
        <w:t>living in a low income household</w:t>
      </w:r>
      <w:r w:rsidR="00B47162" w:rsidRPr="009B40B0">
        <w:rPr>
          <w:rStyle w:val="FootnoteReference"/>
        </w:rPr>
        <w:footnoteReference w:id="2"/>
      </w:r>
      <w:r w:rsidRPr="001919E7">
        <w:t xml:space="preserve"> (</w:t>
      </w:r>
      <w:r w:rsidR="001A4FE4" w:rsidRPr="001919E7">
        <w:t>51.0</w:t>
      </w:r>
      <w:r w:rsidRPr="001919E7">
        <w:t xml:space="preserve"> per cen</w:t>
      </w:r>
      <w:r w:rsidR="001A4FE4" w:rsidRPr="001919E7">
        <w:t>t compared with 29.3 per cent)</w:t>
      </w:r>
    </w:p>
    <w:p w:rsidR="007532A0" w:rsidRDefault="001919E7" w:rsidP="00EE74D7">
      <w:pPr>
        <w:pStyle w:val="ListBullet"/>
      </w:pPr>
      <w:r w:rsidRPr="001919E7">
        <w:t>living in a home not owned by someone in the household (76.5 compared with 59.7 per cent)</w:t>
      </w:r>
    </w:p>
    <w:p w:rsidR="001919E7" w:rsidRPr="0065370B" w:rsidRDefault="00EE74D7" w:rsidP="00EE74D7">
      <w:pPr>
        <w:pStyle w:val="ListBullet"/>
      </w:pPr>
      <w:r w:rsidRPr="0065370B">
        <w:t xml:space="preserve">having left school before </w:t>
      </w:r>
      <w:r w:rsidR="0005034A">
        <w:t xml:space="preserve">completing </w:t>
      </w:r>
      <w:r w:rsidRPr="0065370B">
        <w:t>year 10 (</w:t>
      </w:r>
      <w:r w:rsidR="001919E7" w:rsidRPr="0065370B">
        <w:t>36.2</w:t>
      </w:r>
      <w:r w:rsidRPr="0065370B">
        <w:t xml:space="preserve"> per cent compared with </w:t>
      </w:r>
      <w:r w:rsidR="0065370B" w:rsidRPr="0065370B">
        <w:t>15.6</w:t>
      </w:r>
      <w:r w:rsidR="0065370B">
        <w:t xml:space="preserve"> per cent)</w:t>
      </w:r>
      <w:r w:rsidR="00E0119B">
        <w:t xml:space="preserve"> (figure 13.1.1)</w:t>
      </w:r>
      <w:r w:rsidR="0065370B">
        <w:t>.</w:t>
      </w:r>
    </w:p>
    <w:p w:rsidR="003B23D4" w:rsidRDefault="003B23D4" w:rsidP="00176D3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B23D4" w:rsidTr="00F95957">
        <w:tc>
          <w:tcPr>
            <w:tcW w:w="8771" w:type="dxa"/>
            <w:tcBorders>
              <w:top w:val="single" w:sz="6" w:space="0" w:color="78A22F"/>
              <w:left w:val="nil"/>
              <w:bottom w:val="nil"/>
              <w:right w:val="nil"/>
            </w:tcBorders>
            <w:shd w:val="clear" w:color="auto" w:fill="auto"/>
          </w:tcPr>
          <w:p w:rsidR="003B23D4" w:rsidRPr="00176D3F" w:rsidRDefault="003B23D4" w:rsidP="003B23D4">
            <w:pPr>
              <w:pStyle w:val="FigureTitle"/>
            </w:pPr>
            <w:r w:rsidRPr="00784A05">
              <w:rPr>
                <w:b w:val="0"/>
              </w:rPr>
              <w:t xml:space="preserve">Figure </w:t>
            </w:r>
            <w:r>
              <w:rPr>
                <w:b w:val="0"/>
              </w:rPr>
              <w:t>13.1.</w:t>
            </w:r>
            <w:r w:rsidR="0062055F">
              <w:rPr>
                <w:b w:val="0"/>
                <w:noProof/>
              </w:rPr>
              <w:t>1</w:t>
            </w:r>
            <w:r>
              <w:tab/>
            </w:r>
            <w:r w:rsidRPr="00E703D0">
              <w:t>People aged 20–64 years non</w:t>
            </w:r>
            <w:r>
              <w:noBreakHyphen/>
            </w:r>
            <w:r w:rsidRPr="00E703D0">
              <w:t>school qualification status —</w:t>
            </w:r>
            <w:r>
              <w:t xml:space="preserve"> </w:t>
            </w:r>
            <w:r w:rsidRPr="00E703D0">
              <w:t>with selected characteristics, 2011</w:t>
            </w:r>
            <w:r>
              <w:t>–</w:t>
            </w:r>
            <w:r w:rsidRPr="00E703D0">
              <w:t>13</w:t>
            </w:r>
            <w:proofErr w:type="spellStart"/>
            <w:r w:rsidRPr="0001742F">
              <w:rPr>
                <w:rStyle w:val="NoteLabel"/>
                <w:b/>
              </w:rPr>
              <w:t>a,b</w:t>
            </w:r>
            <w:r w:rsidR="00AC4004">
              <w:rPr>
                <w:rStyle w:val="NoteLabel"/>
                <w:b/>
              </w:rPr>
              <w:t>,</w:t>
            </w:r>
            <w:r>
              <w:rPr>
                <w:rStyle w:val="NoteLabel"/>
                <w:b/>
              </w:rPr>
              <w:t>c</w:t>
            </w:r>
            <w:proofErr w:type="spellEnd"/>
          </w:p>
        </w:tc>
      </w:tr>
      <w:tr w:rsidR="003B23D4" w:rsidTr="00F95957">
        <w:tc>
          <w:tcPr>
            <w:tcW w:w="8771" w:type="dxa"/>
            <w:tcBorders>
              <w:top w:val="nil"/>
              <w:left w:val="nil"/>
              <w:bottom w:val="nil"/>
              <w:right w:val="nil"/>
            </w:tcBorders>
            <w:shd w:val="clear" w:color="auto" w:fill="auto"/>
            <w:tcMar>
              <w:top w:w="28" w:type="dxa"/>
              <w:bottom w:w="28" w:type="dxa"/>
            </w:tcMar>
          </w:tcPr>
          <w:p w:rsidR="003B23D4" w:rsidRPr="003B23D4" w:rsidRDefault="00C1447E" w:rsidP="003B23D4">
            <w:pPr>
              <w:pStyle w:val="Figure"/>
              <w:spacing w:before="80" w:after="0"/>
              <w:rPr>
                <w:sz w:val="4"/>
                <w:szCs w:val="4"/>
              </w:rPr>
            </w:pPr>
            <w:r>
              <w:rPr>
                <w:noProof/>
                <w:sz w:val="4"/>
                <w:szCs w:val="4"/>
              </w:rPr>
              <w:drawing>
                <wp:inline distT="0" distB="0" distL="0" distR="0">
                  <wp:extent cx="5390515" cy="2094865"/>
                  <wp:effectExtent l="0" t="0" r="635" b="635"/>
                  <wp:docPr id="1" name="Picture 1" descr="Figure 13.1.1 People aged 20-64 yeras non-school qualification status - with selected characteristics, 2011-13 - employment statu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0515" cy="2094865"/>
                          </a:xfrm>
                          <a:prstGeom prst="rect">
                            <a:avLst/>
                          </a:prstGeom>
                          <a:noFill/>
                          <a:ln>
                            <a:noFill/>
                          </a:ln>
                        </pic:spPr>
                      </pic:pic>
                    </a:graphicData>
                  </a:graphic>
                </wp:inline>
              </w:drawing>
            </w:r>
            <w:r>
              <w:rPr>
                <w:noProof/>
                <w:sz w:val="4"/>
                <w:szCs w:val="4"/>
              </w:rPr>
              <w:drawing>
                <wp:inline distT="0" distB="0" distL="0" distR="0">
                  <wp:extent cx="5390515" cy="2147570"/>
                  <wp:effectExtent l="0" t="0" r="635" b="5080"/>
                  <wp:docPr id="3" name="Picture 3" descr="Figure 13.1.1 People aged 20-64 years non-school qualification status - with selected characteristics, 2011-13 - income level&#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0515" cy="2147570"/>
                          </a:xfrm>
                          <a:prstGeom prst="rect">
                            <a:avLst/>
                          </a:prstGeom>
                          <a:noFill/>
                          <a:ln>
                            <a:noFill/>
                          </a:ln>
                        </pic:spPr>
                      </pic:pic>
                    </a:graphicData>
                  </a:graphic>
                </wp:inline>
              </w:drawing>
            </w:r>
            <w:r>
              <w:rPr>
                <w:noProof/>
                <w:sz w:val="4"/>
                <w:szCs w:val="4"/>
              </w:rPr>
              <w:drawing>
                <wp:inline distT="0" distB="0" distL="0" distR="0">
                  <wp:extent cx="5347970" cy="2328545"/>
                  <wp:effectExtent l="0" t="0" r="5080" b="0"/>
                  <wp:docPr id="4" name="Picture 4" descr="Figure 13.1.1 People aged 20-64 years non-school qualification status - with selected characteristics, 2011-13 - home ownership&#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7970" cy="2328545"/>
                          </a:xfrm>
                          <a:prstGeom prst="rect">
                            <a:avLst/>
                          </a:prstGeom>
                          <a:noFill/>
                          <a:ln>
                            <a:noFill/>
                          </a:ln>
                        </pic:spPr>
                      </pic:pic>
                    </a:graphicData>
                  </a:graphic>
                </wp:inline>
              </w:drawing>
            </w:r>
          </w:p>
        </w:tc>
      </w:tr>
      <w:tr w:rsidR="003B23D4" w:rsidRPr="00176D3F" w:rsidTr="00F95957">
        <w:tc>
          <w:tcPr>
            <w:tcW w:w="8771" w:type="dxa"/>
            <w:tcBorders>
              <w:top w:val="nil"/>
              <w:left w:val="nil"/>
              <w:bottom w:val="nil"/>
              <w:right w:val="nil"/>
            </w:tcBorders>
            <w:shd w:val="clear" w:color="auto" w:fill="auto"/>
          </w:tcPr>
          <w:p w:rsidR="003B23D4" w:rsidRPr="00176D3F" w:rsidRDefault="003B23D4" w:rsidP="00F41D3E">
            <w:pPr>
              <w:pStyle w:val="Note"/>
            </w:pPr>
            <w:r>
              <w:rPr>
                <w:rStyle w:val="NoteLabel"/>
              </w:rPr>
              <w:t>a</w:t>
            </w:r>
            <w:r>
              <w:t xml:space="preserve"> See tables </w:t>
            </w:r>
            <w:proofErr w:type="spellStart"/>
            <w:r>
              <w:t>13A.1.1</w:t>
            </w:r>
            <w:proofErr w:type="spellEnd"/>
            <w:r>
              <w:t>–2</w:t>
            </w:r>
            <w:r w:rsidRPr="00BC5A61">
              <w:t xml:space="preserve"> for more information on </w:t>
            </w:r>
            <w:r>
              <w:t>caveats to these data</w:t>
            </w:r>
            <w:r w:rsidRPr="00BC5A61">
              <w:t>.</w:t>
            </w:r>
            <w:r>
              <w:t xml:space="preserve"> </w:t>
            </w:r>
            <w:r>
              <w:rPr>
                <w:rStyle w:val="NoteLabel"/>
              </w:rPr>
              <w:t>b</w:t>
            </w:r>
            <w:r w:rsidRPr="00BC5A61">
              <w:rPr>
                <w:rStyle w:val="NoteLabel"/>
              </w:rPr>
              <w:t xml:space="preserve"> </w:t>
            </w:r>
            <w:r w:rsidRPr="0088311C">
              <w:t>Error bars represent 95 per cent confidence intervals around each estimate.</w:t>
            </w:r>
            <w:r>
              <w:t xml:space="preserve"> </w:t>
            </w:r>
            <w:r w:rsidRPr="00E007AF">
              <w:rPr>
                <w:rStyle w:val="NoteLabel"/>
              </w:rPr>
              <w:t>c</w:t>
            </w:r>
            <w:r>
              <w:t xml:space="preserve"> </w:t>
            </w:r>
            <w:r w:rsidRPr="00431F87">
              <w:t>The 2011–13 reference year includes data for Aboriginal and Torres Strait Islander Australians from the 2012 13 AATSIHS. Data for non</w:t>
            </w:r>
            <w:r>
              <w:noBreakHyphen/>
            </w:r>
            <w:r w:rsidRPr="00431F87">
              <w:t>Indigenous Australians are from the 201</w:t>
            </w:r>
            <w:r>
              <w:t>1–13 AHS (for the period 2011</w:t>
            </w:r>
            <w:r>
              <w:noBreakHyphen/>
            </w:r>
            <w:r w:rsidRPr="00431F87">
              <w:t>12).</w:t>
            </w:r>
          </w:p>
        </w:tc>
      </w:tr>
      <w:tr w:rsidR="003B23D4" w:rsidRPr="00176D3F" w:rsidTr="00F95957">
        <w:tc>
          <w:tcPr>
            <w:tcW w:w="8771" w:type="dxa"/>
            <w:tcBorders>
              <w:top w:val="nil"/>
              <w:left w:val="nil"/>
              <w:bottom w:val="nil"/>
              <w:right w:val="nil"/>
            </w:tcBorders>
            <w:shd w:val="clear" w:color="auto" w:fill="auto"/>
          </w:tcPr>
          <w:p w:rsidR="003B23D4" w:rsidRPr="00176D3F" w:rsidRDefault="003B23D4" w:rsidP="00784A05">
            <w:pPr>
              <w:pStyle w:val="Source"/>
            </w:pPr>
            <w:r>
              <w:rPr>
                <w:i/>
              </w:rPr>
              <w:t>S</w:t>
            </w:r>
            <w:r w:rsidRPr="00784A05">
              <w:rPr>
                <w:i/>
              </w:rPr>
              <w:t>ource</w:t>
            </w:r>
            <w:r w:rsidR="00AC4004">
              <w:rPr>
                <w:i/>
              </w:rPr>
              <w:t>s</w:t>
            </w:r>
            <w:r w:rsidRPr="00176D3F">
              <w:t xml:space="preserve">: </w:t>
            </w:r>
            <w:r w:rsidRPr="005D0A76">
              <w:t>ABS (unpublished) Australian Aboriginal and Torres Strait Islander Health Survey 2012</w:t>
            </w:r>
            <w:r>
              <w:noBreakHyphen/>
            </w:r>
            <w:r w:rsidRPr="005D0A76">
              <w:t>13; ABS (unpublished) Australian Health Survey 2011</w:t>
            </w:r>
            <w:r>
              <w:t>–</w:t>
            </w:r>
            <w:r w:rsidRPr="005D0A76">
              <w:t>13; tables</w:t>
            </w:r>
            <w:r>
              <w:t> </w:t>
            </w:r>
            <w:proofErr w:type="spellStart"/>
            <w:r w:rsidRPr="005D0A76">
              <w:t>13A.1</w:t>
            </w:r>
            <w:proofErr w:type="spellEnd"/>
            <w:r w:rsidRPr="005D0A76">
              <w:t>–2.</w:t>
            </w:r>
          </w:p>
        </w:tc>
      </w:tr>
      <w:tr w:rsidR="003B23D4" w:rsidTr="00F95957">
        <w:tc>
          <w:tcPr>
            <w:tcW w:w="8771" w:type="dxa"/>
            <w:tcBorders>
              <w:top w:val="nil"/>
              <w:left w:val="nil"/>
              <w:bottom w:val="single" w:sz="6" w:space="0" w:color="78A22F"/>
              <w:right w:val="nil"/>
            </w:tcBorders>
            <w:shd w:val="clear" w:color="auto" w:fill="auto"/>
          </w:tcPr>
          <w:p w:rsidR="003B23D4" w:rsidRDefault="003B23D4" w:rsidP="00176D3F">
            <w:pPr>
              <w:pStyle w:val="Figurespace"/>
            </w:pPr>
          </w:p>
        </w:tc>
      </w:tr>
      <w:tr w:rsidR="003B23D4" w:rsidRPr="000863A5" w:rsidTr="00215A8A">
        <w:tc>
          <w:tcPr>
            <w:tcW w:w="8771" w:type="dxa"/>
            <w:tcBorders>
              <w:top w:val="single" w:sz="6" w:space="0" w:color="78A22F"/>
              <w:left w:val="nil"/>
              <w:bottom w:val="nil"/>
              <w:right w:val="nil"/>
            </w:tcBorders>
          </w:tcPr>
          <w:p w:rsidR="003B23D4" w:rsidRPr="00626D32" w:rsidRDefault="003B23D4" w:rsidP="00176D3F">
            <w:pPr>
              <w:pStyle w:val="BoxSpaceBelow"/>
            </w:pPr>
          </w:p>
        </w:tc>
      </w:tr>
    </w:tbl>
    <w:p w:rsidR="00E276DD" w:rsidRDefault="00E276DD" w:rsidP="00E276DD">
      <w:pPr>
        <w:pStyle w:val="BodyText"/>
      </w:pPr>
      <w:r>
        <w:lastRenderedPageBreak/>
        <w:t>In 2011–13, Aboriginal and Torres Strait Islander</w:t>
      </w:r>
      <w:r w:rsidRPr="001919E7">
        <w:t xml:space="preserve"> </w:t>
      </w:r>
      <w:r>
        <w:t>Australians</w:t>
      </w:r>
      <w:r w:rsidRPr="001919E7">
        <w:t xml:space="preserve"> with the same l</w:t>
      </w:r>
      <w:r>
        <w:t>evels of educational attainment</w:t>
      </w:r>
      <w:r w:rsidRPr="001919E7">
        <w:t xml:space="preserve"> </w:t>
      </w:r>
      <w:r>
        <w:t xml:space="preserve">as </w:t>
      </w:r>
      <w:r w:rsidRPr="001919E7">
        <w:t>non</w:t>
      </w:r>
      <w:r>
        <w:noBreakHyphen/>
      </w:r>
      <w:r w:rsidRPr="001919E7">
        <w:t xml:space="preserve">Indigenous </w:t>
      </w:r>
      <w:r>
        <w:t>Australians</w:t>
      </w:r>
      <w:r w:rsidRPr="001919E7">
        <w:t xml:space="preserve"> had higher rates </w:t>
      </w:r>
      <w:r>
        <w:t>for</w:t>
      </w:r>
      <w:r w:rsidRPr="001919E7">
        <w:t xml:space="preserve"> all the selected indicators of disadvantage</w:t>
      </w:r>
      <w:r>
        <w:t xml:space="preserve"> except for:</w:t>
      </w:r>
    </w:p>
    <w:p w:rsidR="00E276DD" w:rsidRDefault="00E276DD" w:rsidP="00E276DD">
      <w:pPr>
        <w:pStyle w:val="ListBullet"/>
      </w:pPr>
      <w:r>
        <w:t>alcohol consumption that exceeded lifetime risk (similar rates around 20 per cent for both Aboriginal and Torres Strait Islander Australians and non</w:t>
      </w:r>
      <w:r>
        <w:noBreakHyphen/>
        <w:t>Indigenous Australians with and without a non</w:t>
      </w:r>
      <w:r>
        <w:noBreakHyphen/>
        <w:t>school qualification)</w:t>
      </w:r>
    </w:p>
    <w:p w:rsidR="00E276DD" w:rsidRDefault="00E276DD" w:rsidP="00E276DD">
      <w:pPr>
        <w:pStyle w:val="ListBullet"/>
      </w:pPr>
      <w:r>
        <w:t>those without a non</w:t>
      </w:r>
      <w:r>
        <w:noBreakHyphen/>
        <w:t>school qualification who spoke English not well or not at all (similar rates around 4 per cent for both Aboriginal and Torres Strait Islander Australians and non</w:t>
      </w:r>
      <w:r>
        <w:noBreakHyphen/>
        <w:t>Indigenous Australians) (table </w:t>
      </w:r>
      <w:proofErr w:type="spellStart"/>
      <w:r>
        <w:t>13A.1.1</w:t>
      </w:r>
      <w:proofErr w:type="spellEnd"/>
      <w:r>
        <w:t>–2).</w:t>
      </w:r>
    </w:p>
    <w:p w:rsidR="00E276DD" w:rsidRDefault="00E276DD" w:rsidP="00E276DD">
      <w:pPr>
        <w:pStyle w:val="BodyText"/>
      </w:pPr>
      <w:r w:rsidRPr="001A4FE4">
        <w:t>For more information about associations between non</w:t>
      </w:r>
      <w:r>
        <w:noBreakHyphen/>
      </w:r>
      <w:r w:rsidRPr="001A4FE4">
        <w:t>school qualifications and other characteristics of disadvantage see tables</w:t>
      </w:r>
      <w:r>
        <w:t> </w:t>
      </w:r>
      <w:proofErr w:type="spellStart"/>
      <w:r w:rsidRPr="001A4FE4">
        <w:t>13A.1.1</w:t>
      </w:r>
      <w:proofErr w:type="spellEnd"/>
      <w:r w:rsidRPr="001A4FE4">
        <w:t>–</w:t>
      </w:r>
      <w:r>
        <w:t>2</w:t>
      </w:r>
      <w:r w:rsidRPr="001A4FE4">
        <w:t>. For more information about non</w:t>
      </w:r>
      <w:r>
        <w:noBreakHyphen/>
      </w:r>
      <w:r w:rsidRPr="001A4FE4">
        <w:t>school qualifications in general, see section</w:t>
      </w:r>
      <w:r>
        <w:t> </w:t>
      </w:r>
      <w:r w:rsidRPr="001A4FE4">
        <w:t>4.7 ‘Post</w:t>
      </w:r>
      <w:r>
        <w:noBreakHyphen/>
      </w:r>
      <w:r w:rsidRPr="001A4FE4">
        <w:t>secondary education — participation and attainment’.</w:t>
      </w:r>
    </w:p>
    <w:p w:rsidR="009E1844" w:rsidRPr="0020754B" w:rsidRDefault="002500FA" w:rsidP="00FB34CA">
      <w:pPr>
        <w:pStyle w:val="Heading3"/>
      </w:pPr>
      <w:r w:rsidRPr="0020754B">
        <w:t>Unemployment and participation in the labour force</w:t>
      </w:r>
    </w:p>
    <w:p w:rsidR="0078392E" w:rsidRPr="00877859" w:rsidRDefault="0078392E" w:rsidP="0078392E">
      <w:pPr>
        <w:pStyle w:val="BodyText"/>
      </w:pPr>
      <w:r w:rsidRPr="00FB50EE">
        <w:t xml:space="preserve">In </w:t>
      </w:r>
      <w:r w:rsidR="00FB50EE" w:rsidRPr="00FB50EE">
        <w:t>201</w:t>
      </w:r>
      <w:r w:rsidR="009C39A0">
        <w:t>2</w:t>
      </w:r>
      <w:r w:rsidR="00FB11FE">
        <w:noBreakHyphen/>
      </w:r>
      <w:r w:rsidR="00FB50EE" w:rsidRPr="00FB50EE">
        <w:t>13</w:t>
      </w:r>
      <w:r w:rsidRPr="00FB50EE">
        <w:t>, for those aged 15–64 years:</w:t>
      </w:r>
    </w:p>
    <w:p w:rsidR="0078392E" w:rsidRPr="00FB50EE" w:rsidRDefault="0078392E" w:rsidP="0078392E">
      <w:pPr>
        <w:pStyle w:val="ListBullet"/>
      </w:pPr>
      <w:r w:rsidRPr="00FB50EE">
        <w:t xml:space="preserve">among </w:t>
      </w:r>
      <w:r w:rsidR="00877859">
        <w:t>Aboriginal and Torres Strait Islander Australians</w:t>
      </w:r>
      <w:r w:rsidRPr="00FB50EE">
        <w:t xml:space="preserve"> who were not in the labour force:</w:t>
      </w:r>
    </w:p>
    <w:p w:rsidR="00212C9B" w:rsidRPr="00877859" w:rsidRDefault="00F90CEB" w:rsidP="0078392E">
      <w:pPr>
        <w:pStyle w:val="ListBullet2"/>
      </w:pPr>
      <w:r>
        <w:t>around three</w:t>
      </w:r>
      <w:r w:rsidR="001D729C">
        <w:noBreakHyphen/>
      </w:r>
      <w:r>
        <w:t>quarters or more w</w:t>
      </w:r>
      <w:r w:rsidR="0078392E" w:rsidRPr="00FB50EE">
        <w:t>ere</w:t>
      </w:r>
      <w:r>
        <w:t xml:space="preserve"> living in a home not owned by someone in the household (79.8 per cent), were</w:t>
      </w:r>
      <w:r w:rsidR="0078392E" w:rsidRPr="00FB50EE">
        <w:t xml:space="preserve"> </w:t>
      </w:r>
      <w:r w:rsidR="00FB50EE" w:rsidRPr="00FB50EE">
        <w:t>receiving a government pension, allowance or benefit as their main source of personal income (</w:t>
      </w:r>
      <w:r w:rsidR="00DD4A13">
        <w:t>74.8</w:t>
      </w:r>
      <w:r w:rsidR="00FB50EE" w:rsidRPr="00FB50EE">
        <w:t xml:space="preserve"> per cent), </w:t>
      </w:r>
      <w:r w:rsidR="00BF4FC9">
        <w:t>or</w:t>
      </w:r>
      <w:r>
        <w:t xml:space="preserve"> did not have a non</w:t>
      </w:r>
      <w:r w:rsidR="001D729C">
        <w:noBreakHyphen/>
      </w:r>
      <w:r>
        <w:t>school qualification (74.1 per cent)</w:t>
      </w:r>
      <w:r w:rsidR="00212C9B">
        <w:t xml:space="preserve"> </w:t>
      </w:r>
    </w:p>
    <w:p w:rsidR="0078392E" w:rsidRPr="00FA2CDA" w:rsidRDefault="00212C9B" w:rsidP="0078392E">
      <w:pPr>
        <w:pStyle w:val="ListBullet2"/>
      </w:pPr>
      <w:r w:rsidRPr="00FA2CDA">
        <w:t>higher proportion</w:t>
      </w:r>
      <w:r w:rsidR="009461FC">
        <w:t>s</w:t>
      </w:r>
      <w:r w:rsidRPr="00FA2CDA">
        <w:t xml:space="preserve"> </w:t>
      </w:r>
      <w:r w:rsidR="0078392E" w:rsidRPr="00FA2CDA">
        <w:t>had a profound or severe core activity limitation (</w:t>
      </w:r>
      <w:r w:rsidR="00BA36C6" w:rsidRPr="00FA2CDA">
        <w:t>12.9</w:t>
      </w:r>
      <w:r w:rsidR="0078392E" w:rsidRPr="00FA2CDA">
        <w:t xml:space="preserve"> per cent), </w:t>
      </w:r>
      <w:r w:rsidR="00FA2CDA" w:rsidRPr="00FA2CDA">
        <w:t>than those who were unemployed for less than 12 months (3.5 per cent</w:t>
      </w:r>
      <w:r w:rsidR="0078392E" w:rsidRPr="00FA2CDA">
        <w:t>)</w:t>
      </w:r>
      <w:r w:rsidR="00FA2CDA" w:rsidRPr="00FA2CDA">
        <w:t>, or long term unemployed (5.3 per cent)</w:t>
      </w:r>
      <w:r w:rsidR="0078392E" w:rsidRPr="009B40B0">
        <w:rPr>
          <w:rStyle w:val="FootnoteReference"/>
        </w:rPr>
        <w:footnoteReference w:id="3"/>
      </w:r>
      <w:r w:rsidR="00F90CEB">
        <w:t xml:space="preserve"> (table</w:t>
      </w:r>
      <w:r w:rsidR="001D729C">
        <w:t> </w:t>
      </w:r>
      <w:proofErr w:type="spellStart"/>
      <w:r w:rsidR="00F90CEB">
        <w:t>13A.1.3</w:t>
      </w:r>
      <w:proofErr w:type="spellEnd"/>
      <w:r w:rsidR="00F90CEB">
        <w:t>)</w:t>
      </w:r>
      <w:r w:rsidR="0078392E" w:rsidRPr="00FA2CDA">
        <w:t xml:space="preserve">. </w:t>
      </w:r>
    </w:p>
    <w:p w:rsidR="0078392E" w:rsidRPr="00877859" w:rsidRDefault="00E85241" w:rsidP="0078392E">
      <w:pPr>
        <w:pStyle w:val="ListBullet"/>
      </w:pPr>
      <w:r>
        <w:t>Aboriginal and Torres Strait Islander</w:t>
      </w:r>
      <w:r w:rsidR="0078392E" w:rsidRPr="00877859">
        <w:t xml:space="preserve"> </w:t>
      </w:r>
      <w:r>
        <w:t>Australians</w:t>
      </w:r>
      <w:r w:rsidR="0078392E" w:rsidRPr="00877859">
        <w:t xml:space="preserve"> who had been unemployed for less than 12 months had lower rates </w:t>
      </w:r>
      <w:r w:rsidR="00877859" w:rsidRPr="00877859">
        <w:t xml:space="preserve">of disadvantage </w:t>
      </w:r>
      <w:r w:rsidR="0078392E" w:rsidRPr="00877859">
        <w:t>than the long term unemployed:</w:t>
      </w:r>
    </w:p>
    <w:p w:rsidR="00EA0D9F" w:rsidRDefault="0005034A" w:rsidP="005A1E5F">
      <w:pPr>
        <w:pStyle w:val="ListBullet2"/>
      </w:pPr>
      <w:r>
        <w:t xml:space="preserve">to </w:t>
      </w:r>
      <w:r w:rsidR="0078392E" w:rsidRPr="00DD4A13">
        <w:t>hav</w:t>
      </w:r>
      <w:r>
        <w:t>e</w:t>
      </w:r>
      <w:r w:rsidR="0078392E" w:rsidRPr="00DD4A13">
        <w:t xml:space="preserve"> </w:t>
      </w:r>
      <w:r w:rsidRPr="00DD4A13">
        <w:t xml:space="preserve">a government pension, allowance or benefits </w:t>
      </w:r>
      <w:r>
        <w:t xml:space="preserve">as </w:t>
      </w:r>
      <w:r w:rsidR="0078392E" w:rsidRPr="00DD4A13">
        <w:t>their principal source of personal income (</w:t>
      </w:r>
      <w:r w:rsidR="00DD4A13" w:rsidRPr="00DD4A13">
        <w:t>74.8 per cent compared with 86.5</w:t>
      </w:r>
      <w:r w:rsidR="0078392E" w:rsidRPr="00DD4A13">
        <w:t xml:space="preserve"> per cent)</w:t>
      </w:r>
    </w:p>
    <w:p w:rsidR="005A1E5F" w:rsidRPr="00127C7E" w:rsidRDefault="0005034A" w:rsidP="005A1E5F">
      <w:pPr>
        <w:pStyle w:val="ListBullet2"/>
      </w:pPr>
      <w:r>
        <w:t xml:space="preserve">to be </w:t>
      </w:r>
      <w:r w:rsidR="0078392E" w:rsidRPr="005A1E5F">
        <w:t>living in a low income household (</w:t>
      </w:r>
      <w:r w:rsidR="005A1E5F" w:rsidRPr="005A1E5F">
        <w:t>63.5 per cent compared with 7</w:t>
      </w:r>
      <w:r w:rsidR="0078392E" w:rsidRPr="005A1E5F">
        <w:t>4.3 per cent)</w:t>
      </w:r>
      <w:r w:rsidR="00127C7E">
        <w:t xml:space="preserve"> (</w:t>
      </w:r>
      <w:r w:rsidR="00F90CEB">
        <w:t>table</w:t>
      </w:r>
      <w:r w:rsidR="001D729C">
        <w:t> </w:t>
      </w:r>
      <w:proofErr w:type="spellStart"/>
      <w:r w:rsidR="00F90CEB">
        <w:t>13A.1.3</w:t>
      </w:r>
      <w:proofErr w:type="spellEnd"/>
      <w:r w:rsidR="00F90CEB">
        <w:t>).</w:t>
      </w:r>
    </w:p>
    <w:p w:rsidR="0078392E" w:rsidRPr="0094415C" w:rsidRDefault="009C39A0" w:rsidP="00E276DD">
      <w:pPr>
        <w:pStyle w:val="BodyText"/>
      </w:pPr>
      <w:r w:rsidRPr="00FB50EE">
        <w:t xml:space="preserve">In </w:t>
      </w:r>
      <w:r w:rsidR="00710FE4">
        <w:t>2011–13</w:t>
      </w:r>
      <w:r w:rsidRPr="00FB50EE">
        <w:t>, for those aged 15–64 years</w:t>
      </w:r>
      <w:r w:rsidR="00E276DD">
        <w:t xml:space="preserve">, </w:t>
      </w:r>
      <w:r w:rsidR="00E85241">
        <w:t>Aboriginal and Torres Strait Islander Australians</w:t>
      </w:r>
      <w:r w:rsidR="0078392E" w:rsidRPr="005A1E5F">
        <w:t xml:space="preserve"> who were unemployed or not in the labour force </w:t>
      </w:r>
      <w:r w:rsidR="00822C7D" w:rsidRPr="00822C7D">
        <w:t xml:space="preserve">were more likely </w:t>
      </w:r>
      <w:r w:rsidR="0078392E" w:rsidRPr="0094415C">
        <w:t>than non</w:t>
      </w:r>
      <w:r w:rsidR="000B6E1C">
        <w:noBreakHyphen/>
      </w:r>
      <w:r w:rsidR="0078392E" w:rsidRPr="0094415C">
        <w:t xml:space="preserve">Indigenous </w:t>
      </w:r>
      <w:r w:rsidR="00F01EE4">
        <w:t>Australians</w:t>
      </w:r>
      <w:r w:rsidR="00F01EE4" w:rsidRPr="0094415C">
        <w:t xml:space="preserve"> </w:t>
      </w:r>
      <w:r w:rsidR="0078392E" w:rsidRPr="0094415C">
        <w:t>with the same labour force characteristics</w:t>
      </w:r>
      <w:r w:rsidR="00EA0D9F">
        <w:t xml:space="preserve"> </w:t>
      </w:r>
      <w:r w:rsidR="00822C7D" w:rsidRPr="00822C7D">
        <w:t xml:space="preserve">to experience other forms of disadvantage </w:t>
      </w:r>
      <w:r w:rsidR="0078392E" w:rsidRPr="0094415C">
        <w:t>(figure</w:t>
      </w:r>
      <w:r w:rsidR="000B6E1C">
        <w:t> </w:t>
      </w:r>
      <w:r w:rsidR="0094415C" w:rsidRPr="0094415C">
        <w:t>13.1.2</w:t>
      </w:r>
      <w:r w:rsidR="0078392E" w:rsidRPr="0094415C">
        <w:t>)</w:t>
      </w:r>
      <w:r w:rsidR="00EA0D9F">
        <w:t>.</w:t>
      </w:r>
    </w:p>
    <w:p w:rsidR="00E72F0E" w:rsidRDefault="00E72F0E" w:rsidP="00176D3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72F0E" w:rsidTr="00F95957">
        <w:tc>
          <w:tcPr>
            <w:tcW w:w="8771" w:type="dxa"/>
            <w:tcBorders>
              <w:top w:val="single" w:sz="6" w:space="0" w:color="78A22F"/>
              <w:left w:val="nil"/>
              <w:bottom w:val="nil"/>
              <w:right w:val="nil"/>
            </w:tcBorders>
            <w:shd w:val="clear" w:color="auto" w:fill="auto"/>
          </w:tcPr>
          <w:p w:rsidR="00E72F0E" w:rsidRPr="00176D3F" w:rsidRDefault="00E72F0E" w:rsidP="00E72F0E">
            <w:pPr>
              <w:pStyle w:val="FigureTitle"/>
            </w:pPr>
            <w:r w:rsidRPr="00784A05">
              <w:rPr>
                <w:b w:val="0"/>
              </w:rPr>
              <w:t xml:space="preserve">Figure </w:t>
            </w:r>
            <w:r w:rsidR="004B2246">
              <w:rPr>
                <w:b w:val="0"/>
              </w:rPr>
              <w:t>13.1</w:t>
            </w:r>
            <w:r>
              <w:rPr>
                <w:b w:val="0"/>
              </w:rPr>
              <w:t>.</w:t>
            </w:r>
            <w:r w:rsidR="0062055F">
              <w:rPr>
                <w:b w:val="0"/>
                <w:noProof/>
              </w:rPr>
              <w:t>2</w:t>
            </w:r>
            <w:r>
              <w:rPr>
                <w:b w:val="0"/>
              </w:rPr>
              <w:t xml:space="preserve"> </w:t>
            </w:r>
            <w:r w:rsidRPr="0083693F">
              <w:t xml:space="preserve">People aged 15–64 years, not in the labour force and </w:t>
            </w:r>
            <w:r w:rsidR="00996B8A">
              <w:br/>
            </w:r>
            <w:r w:rsidRPr="0083693F">
              <w:t>unemployed —</w:t>
            </w:r>
            <w:r>
              <w:t xml:space="preserve"> </w:t>
            </w:r>
            <w:r w:rsidRPr="0083693F">
              <w:t>with selected characteristics, 2011</w:t>
            </w:r>
            <w:r>
              <w:t>–</w:t>
            </w:r>
            <w:r w:rsidRPr="0083693F">
              <w:t>13</w:t>
            </w:r>
            <w:proofErr w:type="spellStart"/>
            <w:r w:rsidR="00AC4004">
              <w:rPr>
                <w:rStyle w:val="NoteLabel"/>
                <w:b/>
              </w:rPr>
              <w:t>a,b,</w:t>
            </w:r>
            <w:r>
              <w:rPr>
                <w:rStyle w:val="NoteLabel"/>
                <w:b/>
              </w:rPr>
              <w:t>c</w:t>
            </w:r>
            <w:proofErr w:type="spellEnd"/>
          </w:p>
        </w:tc>
      </w:tr>
      <w:tr w:rsidR="00E72F0E" w:rsidTr="00F95957">
        <w:tc>
          <w:tcPr>
            <w:tcW w:w="8771" w:type="dxa"/>
            <w:tcBorders>
              <w:top w:val="nil"/>
              <w:left w:val="nil"/>
              <w:bottom w:val="nil"/>
              <w:right w:val="nil"/>
            </w:tcBorders>
            <w:shd w:val="clear" w:color="auto" w:fill="auto"/>
            <w:tcMar>
              <w:top w:w="28" w:type="dxa"/>
              <w:bottom w:w="28" w:type="dxa"/>
            </w:tcMar>
          </w:tcPr>
          <w:p w:rsidR="00E72F0E" w:rsidRDefault="00E72F0E" w:rsidP="00E72F0E">
            <w:pPr>
              <w:pStyle w:val="Figure"/>
              <w:spacing w:after="0"/>
              <w:rPr>
                <w:rFonts w:ascii="Arial" w:hAnsi="Arial" w:cs="Arial"/>
                <w:b/>
                <w:sz w:val="20"/>
              </w:rPr>
            </w:pPr>
            <w:r w:rsidRPr="00E72F0E">
              <w:rPr>
                <w:rFonts w:ascii="Arial" w:hAnsi="Arial" w:cs="Arial"/>
                <w:b/>
                <w:sz w:val="20"/>
              </w:rPr>
              <w:t>Not in labour force</w:t>
            </w:r>
          </w:p>
          <w:p w:rsidR="006C58B2" w:rsidRDefault="00C1447E" w:rsidP="00E72F0E">
            <w:pPr>
              <w:pStyle w:val="Figure"/>
              <w:spacing w:after="0"/>
              <w:rPr>
                <w:rFonts w:ascii="Arial" w:hAnsi="Arial" w:cs="Arial"/>
                <w:b/>
                <w:sz w:val="20"/>
              </w:rPr>
            </w:pPr>
            <w:r>
              <w:rPr>
                <w:rFonts w:ascii="Arial" w:hAnsi="Arial" w:cs="Arial"/>
                <w:b/>
                <w:noProof/>
                <w:sz w:val="20"/>
              </w:rPr>
              <w:drawing>
                <wp:inline distT="0" distB="0" distL="0" distR="0">
                  <wp:extent cx="5475605" cy="1988185"/>
                  <wp:effectExtent l="0" t="0" r="0" b="0"/>
                  <wp:docPr id="5" name="Picture 5" descr="Figure 13.1.2 People aged 15-64 years, not in the labour force and unemployed - with selected characteristics, 2011-13 - Not in labour forc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5605" cy="1988185"/>
                          </a:xfrm>
                          <a:prstGeom prst="rect">
                            <a:avLst/>
                          </a:prstGeom>
                          <a:noFill/>
                          <a:ln>
                            <a:noFill/>
                          </a:ln>
                        </pic:spPr>
                      </pic:pic>
                    </a:graphicData>
                  </a:graphic>
                </wp:inline>
              </w:drawing>
            </w:r>
          </w:p>
          <w:p w:rsidR="00E72F0E" w:rsidRDefault="00E72F0E" w:rsidP="00E72F0E">
            <w:pPr>
              <w:pStyle w:val="Figure"/>
              <w:spacing w:before="0" w:after="0"/>
              <w:rPr>
                <w:rFonts w:ascii="Arial" w:hAnsi="Arial" w:cs="Arial"/>
                <w:b/>
                <w:sz w:val="20"/>
              </w:rPr>
            </w:pPr>
            <w:r w:rsidRPr="00E72F0E">
              <w:rPr>
                <w:rFonts w:ascii="Arial" w:hAnsi="Arial" w:cs="Arial"/>
                <w:b/>
                <w:sz w:val="20"/>
              </w:rPr>
              <w:t>Unemployed less than 12 months</w:t>
            </w:r>
          </w:p>
          <w:p w:rsidR="006C58B2" w:rsidRDefault="00C1447E" w:rsidP="00E72F0E">
            <w:pPr>
              <w:pStyle w:val="Figure"/>
              <w:spacing w:before="0" w:after="0"/>
              <w:rPr>
                <w:rFonts w:ascii="Arial" w:hAnsi="Arial" w:cs="Arial"/>
                <w:b/>
                <w:sz w:val="20"/>
              </w:rPr>
            </w:pPr>
            <w:r>
              <w:rPr>
                <w:rFonts w:ascii="Arial" w:hAnsi="Arial" w:cs="Arial"/>
                <w:b/>
                <w:noProof/>
                <w:sz w:val="20"/>
              </w:rPr>
              <w:drawing>
                <wp:inline distT="0" distB="0" distL="0" distR="0">
                  <wp:extent cx="5390515" cy="1977390"/>
                  <wp:effectExtent l="0" t="0" r="635" b="3810"/>
                  <wp:docPr id="6" name="Picture 6" descr="Figure 13.1.2 People aged 15-64 years, not in the labour force and unemployed - with selected characteristics, 2011-13 - unemployed less than 12 month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0515" cy="1977390"/>
                          </a:xfrm>
                          <a:prstGeom prst="rect">
                            <a:avLst/>
                          </a:prstGeom>
                          <a:noFill/>
                          <a:ln>
                            <a:noFill/>
                          </a:ln>
                        </pic:spPr>
                      </pic:pic>
                    </a:graphicData>
                  </a:graphic>
                </wp:inline>
              </w:drawing>
            </w:r>
          </w:p>
          <w:p w:rsidR="00E72F0E" w:rsidRDefault="00E72F0E" w:rsidP="006C58B2">
            <w:pPr>
              <w:pStyle w:val="Figure"/>
              <w:spacing w:before="0" w:after="0"/>
              <w:rPr>
                <w:rFonts w:ascii="Arial" w:hAnsi="Arial" w:cs="Arial"/>
                <w:b/>
                <w:sz w:val="20"/>
              </w:rPr>
            </w:pPr>
            <w:r w:rsidRPr="00E72F0E">
              <w:rPr>
                <w:rFonts w:ascii="Arial" w:hAnsi="Arial" w:cs="Arial"/>
                <w:b/>
                <w:sz w:val="20"/>
              </w:rPr>
              <w:t>Unemployed long term</w:t>
            </w:r>
          </w:p>
          <w:p w:rsidR="006C58B2" w:rsidRPr="001C025F" w:rsidRDefault="00EC2F27" w:rsidP="006C58B2">
            <w:pPr>
              <w:pStyle w:val="Figure"/>
              <w:spacing w:before="0" w:after="0"/>
              <w:rPr>
                <w:rFonts w:ascii="Arial" w:hAnsi="Arial" w:cs="Arial"/>
                <w:b/>
                <w:sz w:val="20"/>
              </w:rPr>
            </w:pPr>
            <w:r>
              <w:rPr>
                <w:rFonts w:ascii="Arial" w:hAnsi="Arial" w:cs="Arial"/>
                <w:b/>
                <w:noProof/>
                <w:sz w:val="20"/>
              </w:rPr>
              <w:drawing>
                <wp:inline distT="0" distB="0" distL="0" distR="0">
                  <wp:extent cx="5327015" cy="2041525"/>
                  <wp:effectExtent l="0" t="0" r="6985" b="0"/>
                  <wp:docPr id="7" name="Picture 7" descr="Figure 13.1.2 People aged 15-64 years, not in the labour force and unemployed - with selected characteristics, 2011-13 - unemployed long term&#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7015" cy="2041525"/>
                          </a:xfrm>
                          <a:prstGeom prst="rect">
                            <a:avLst/>
                          </a:prstGeom>
                          <a:noFill/>
                          <a:ln>
                            <a:noFill/>
                          </a:ln>
                        </pic:spPr>
                      </pic:pic>
                    </a:graphicData>
                  </a:graphic>
                </wp:inline>
              </w:drawing>
            </w:r>
          </w:p>
        </w:tc>
      </w:tr>
      <w:tr w:rsidR="00E72F0E" w:rsidRPr="00176D3F" w:rsidTr="00F95957">
        <w:tc>
          <w:tcPr>
            <w:tcW w:w="8771" w:type="dxa"/>
            <w:tcBorders>
              <w:top w:val="nil"/>
              <w:left w:val="nil"/>
              <w:bottom w:val="nil"/>
              <w:right w:val="nil"/>
            </w:tcBorders>
            <w:shd w:val="clear" w:color="auto" w:fill="auto"/>
          </w:tcPr>
          <w:p w:rsidR="00E72F0E" w:rsidRPr="00176D3F" w:rsidRDefault="00E72F0E" w:rsidP="00F41D3E">
            <w:pPr>
              <w:pStyle w:val="Note"/>
            </w:pPr>
            <w:r>
              <w:rPr>
                <w:rStyle w:val="NoteLabel"/>
              </w:rPr>
              <w:t>a</w:t>
            </w:r>
            <w:r>
              <w:t xml:space="preserve"> See tables </w:t>
            </w:r>
            <w:proofErr w:type="spellStart"/>
            <w:r>
              <w:t>13A.1.3</w:t>
            </w:r>
            <w:proofErr w:type="spellEnd"/>
            <w:r>
              <w:t>–4</w:t>
            </w:r>
            <w:r w:rsidRPr="00BC5A61">
              <w:t xml:space="preserve"> for more information on </w:t>
            </w:r>
            <w:r>
              <w:t>caveats to these data</w:t>
            </w:r>
            <w:r w:rsidRPr="00BC5A61">
              <w:t xml:space="preserve">. </w:t>
            </w:r>
            <w:r>
              <w:rPr>
                <w:rStyle w:val="NoteLabel"/>
              </w:rPr>
              <w:t xml:space="preserve">b </w:t>
            </w:r>
            <w:r w:rsidRPr="0088311C">
              <w:t xml:space="preserve">Error bars represent 95 per cent confidence intervals around each estimate. </w:t>
            </w:r>
            <w:r>
              <w:t xml:space="preserve"> </w:t>
            </w:r>
            <w:r w:rsidRPr="007E4911">
              <w:rPr>
                <w:rStyle w:val="NoteLabel"/>
              </w:rPr>
              <w:t>c</w:t>
            </w:r>
            <w:r>
              <w:t xml:space="preserve"> </w:t>
            </w:r>
            <w:r w:rsidRPr="00431F87">
              <w:t>The 2011–13 reference year includes data for Aboriginal and Torres Strait Islander Australians from the 2012 13 AATSIHS. Data for non</w:t>
            </w:r>
            <w:r>
              <w:noBreakHyphen/>
            </w:r>
            <w:r w:rsidRPr="00431F87">
              <w:t>Indigenous Australians are from the 201</w:t>
            </w:r>
            <w:r>
              <w:t>1–13 AHS (for the period 2011</w:t>
            </w:r>
            <w:r>
              <w:noBreakHyphen/>
            </w:r>
            <w:r w:rsidRPr="00431F87">
              <w:t>12).</w:t>
            </w:r>
          </w:p>
        </w:tc>
      </w:tr>
      <w:tr w:rsidR="00E72F0E" w:rsidRPr="00176D3F" w:rsidTr="00F95957">
        <w:tc>
          <w:tcPr>
            <w:tcW w:w="8771" w:type="dxa"/>
            <w:tcBorders>
              <w:top w:val="nil"/>
              <w:left w:val="nil"/>
              <w:bottom w:val="nil"/>
              <w:right w:val="nil"/>
            </w:tcBorders>
            <w:shd w:val="clear" w:color="auto" w:fill="auto"/>
          </w:tcPr>
          <w:p w:rsidR="00E72F0E" w:rsidRPr="00176D3F" w:rsidRDefault="00E72F0E" w:rsidP="00784A05">
            <w:pPr>
              <w:pStyle w:val="Source"/>
            </w:pPr>
            <w:r>
              <w:rPr>
                <w:i/>
              </w:rPr>
              <w:t>S</w:t>
            </w:r>
            <w:r w:rsidRPr="00784A05">
              <w:rPr>
                <w:i/>
              </w:rPr>
              <w:t>ource</w:t>
            </w:r>
            <w:r w:rsidRPr="00176D3F">
              <w:t xml:space="preserve">: </w:t>
            </w:r>
            <w:r w:rsidRPr="009D5A14">
              <w:t>ABS (unpublished) Australian Aboriginal and Torres Strait Islander Health Survey 2012</w:t>
            </w:r>
            <w:r>
              <w:noBreakHyphen/>
            </w:r>
            <w:r w:rsidRPr="009D5A14">
              <w:t>13</w:t>
            </w:r>
            <w:r>
              <w:t>;</w:t>
            </w:r>
            <w:r w:rsidRPr="009D5A14">
              <w:t xml:space="preserve"> ABS (unpublished) Australian Health Survey 2011</w:t>
            </w:r>
            <w:r>
              <w:t>–</w:t>
            </w:r>
            <w:r w:rsidRPr="009D5A14">
              <w:t>13</w:t>
            </w:r>
            <w:r>
              <w:t>; tables </w:t>
            </w:r>
            <w:proofErr w:type="spellStart"/>
            <w:r>
              <w:t>13A.1.3</w:t>
            </w:r>
            <w:proofErr w:type="spellEnd"/>
            <w:r>
              <w:t>–4</w:t>
            </w:r>
            <w:r w:rsidRPr="0083693F">
              <w:t>.</w:t>
            </w:r>
          </w:p>
        </w:tc>
      </w:tr>
      <w:tr w:rsidR="00E72F0E" w:rsidTr="00F95957">
        <w:tc>
          <w:tcPr>
            <w:tcW w:w="8771" w:type="dxa"/>
            <w:tcBorders>
              <w:top w:val="nil"/>
              <w:left w:val="nil"/>
              <w:bottom w:val="single" w:sz="6" w:space="0" w:color="78A22F"/>
              <w:right w:val="nil"/>
            </w:tcBorders>
            <w:shd w:val="clear" w:color="auto" w:fill="auto"/>
          </w:tcPr>
          <w:p w:rsidR="00E72F0E" w:rsidRDefault="00E72F0E" w:rsidP="00176D3F">
            <w:pPr>
              <w:pStyle w:val="Figurespace"/>
            </w:pPr>
          </w:p>
        </w:tc>
      </w:tr>
      <w:tr w:rsidR="00E72F0E" w:rsidRPr="000863A5" w:rsidTr="00215A8A">
        <w:tc>
          <w:tcPr>
            <w:tcW w:w="8771" w:type="dxa"/>
            <w:tcBorders>
              <w:top w:val="single" w:sz="6" w:space="0" w:color="78A22F"/>
              <w:left w:val="nil"/>
              <w:bottom w:val="nil"/>
              <w:right w:val="nil"/>
            </w:tcBorders>
          </w:tcPr>
          <w:p w:rsidR="00E72F0E" w:rsidRPr="00626D32" w:rsidRDefault="00E72F0E" w:rsidP="00176D3F">
            <w:pPr>
              <w:pStyle w:val="BoxSpaceBelow"/>
            </w:pPr>
          </w:p>
        </w:tc>
      </w:tr>
    </w:tbl>
    <w:p w:rsidR="00E276DD" w:rsidRDefault="00E276DD" w:rsidP="00E276DD">
      <w:pPr>
        <w:pStyle w:val="BodyText"/>
      </w:pPr>
      <w:r w:rsidRPr="0094415C">
        <w:lastRenderedPageBreak/>
        <w:t>For more information on characteristics of disadvantage for people who were unemployed or not in the</w:t>
      </w:r>
      <w:r>
        <w:t xml:space="preserve"> labour force, see tables </w:t>
      </w:r>
      <w:proofErr w:type="spellStart"/>
      <w:r>
        <w:t>13A.1.3</w:t>
      </w:r>
      <w:proofErr w:type="spellEnd"/>
      <w:r>
        <w:t>–4</w:t>
      </w:r>
      <w:r w:rsidRPr="0094415C">
        <w:t xml:space="preserve">. For more information about unemployment or labour force characteristics </w:t>
      </w:r>
      <w:r>
        <w:t>in general see sections 4.6 and 9.1.</w:t>
      </w:r>
    </w:p>
    <w:p w:rsidR="00F056FC" w:rsidRPr="006374DE" w:rsidRDefault="00953FEB" w:rsidP="00953FEB">
      <w:pPr>
        <w:pStyle w:val="Heading3"/>
      </w:pPr>
      <w:r w:rsidRPr="006374DE">
        <w:t>Personal gross weekly income</w:t>
      </w:r>
    </w:p>
    <w:p w:rsidR="006A2343" w:rsidRPr="006374DE" w:rsidRDefault="006374DE" w:rsidP="006374DE">
      <w:pPr>
        <w:pStyle w:val="BodyText"/>
      </w:pPr>
      <w:r>
        <w:t>In 201</w:t>
      </w:r>
      <w:r w:rsidR="009C39A0">
        <w:t>2</w:t>
      </w:r>
      <w:r w:rsidR="00FB11FE">
        <w:noBreakHyphen/>
      </w:r>
      <w:r w:rsidR="009C39A0">
        <w:t>13</w:t>
      </w:r>
      <w:r w:rsidRPr="006374DE">
        <w:t>, for those aged 18 years and over:</w:t>
      </w:r>
    </w:p>
    <w:p w:rsidR="00EA0D9F" w:rsidRDefault="00C949AB" w:rsidP="006374DE">
      <w:pPr>
        <w:pStyle w:val="ListBullet"/>
      </w:pPr>
      <w:r>
        <w:t xml:space="preserve">close to </w:t>
      </w:r>
      <w:r w:rsidR="00EA0D9F">
        <w:t>three quarters of</w:t>
      </w:r>
      <w:r w:rsidR="00B47162">
        <w:t xml:space="preserve"> </w:t>
      </w:r>
      <w:r w:rsidR="00B97A2E" w:rsidRPr="00B47162">
        <w:t>Aboriginal and Torres Strait Islander Australians</w:t>
      </w:r>
      <w:r w:rsidR="006374DE" w:rsidRPr="00B47162">
        <w:t xml:space="preserve"> in the lowest quintile of personal gross weekly income </w:t>
      </w:r>
      <w:r w:rsidR="00B47162" w:rsidRPr="00B47162">
        <w:t xml:space="preserve">lived in a home not owned by someone in the household (76.1 per cent) </w:t>
      </w:r>
      <w:r w:rsidR="000E30A4">
        <w:t xml:space="preserve">or </w:t>
      </w:r>
      <w:r w:rsidR="00B47162">
        <w:t>had a government</w:t>
      </w:r>
      <w:r w:rsidR="00DD292B">
        <w:t xml:space="preserve"> pension, allowance or</w:t>
      </w:r>
      <w:r w:rsidR="00B47162">
        <w:t xml:space="preserve"> benefit as their main source of income (73.5 per cent)</w:t>
      </w:r>
      <w:r w:rsidR="006C2566">
        <w:t xml:space="preserve"> (figure</w:t>
      </w:r>
      <w:r w:rsidR="000B6E1C">
        <w:t> </w:t>
      </w:r>
      <w:r w:rsidR="006C2566">
        <w:t>13.1.3)</w:t>
      </w:r>
    </w:p>
    <w:p w:rsidR="006374DE" w:rsidRPr="00B47162" w:rsidRDefault="00EA0D9F" w:rsidP="00EA0D9F">
      <w:pPr>
        <w:pStyle w:val="ListBullet"/>
      </w:pPr>
      <w:r>
        <w:t>over two</w:t>
      </w:r>
      <w:r w:rsidR="00FB11FE">
        <w:noBreakHyphen/>
      </w:r>
      <w:r>
        <w:t xml:space="preserve">thirds </w:t>
      </w:r>
      <w:r w:rsidRPr="00EA0D9F">
        <w:t xml:space="preserve">of Aboriginal and Torres Strait Islander Australians in the lowest quintile of personal gross weekly income </w:t>
      </w:r>
      <w:r w:rsidR="00B47162" w:rsidRPr="00B47162">
        <w:t>were in the lowest quintile of gross weekly household income (70.3</w:t>
      </w:r>
      <w:r w:rsidR="00B47162">
        <w:t xml:space="preserve"> per cent) or </w:t>
      </w:r>
      <w:r w:rsidR="00DD292B">
        <w:t>did not have</w:t>
      </w:r>
      <w:r w:rsidR="006374DE" w:rsidRPr="00B47162">
        <w:t xml:space="preserve"> a non</w:t>
      </w:r>
      <w:r w:rsidR="000B6E1C">
        <w:noBreakHyphen/>
      </w:r>
      <w:r w:rsidR="006374DE" w:rsidRPr="00B47162">
        <w:t>school qualification (</w:t>
      </w:r>
      <w:r w:rsidR="00B97A2E" w:rsidRPr="00B47162">
        <w:t>69.1</w:t>
      </w:r>
      <w:r w:rsidR="006374DE" w:rsidRPr="00B47162">
        <w:t xml:space="preserve"> per cent)</w:t>
      </w:r>
      <w:r w:rsidR="00B47162">
        <w:t xml:space="preserve"> (table</w:t>
      </w:r>
      <w:r w:rsidR="000B6E1C">
        <w:t> </w:t>
      </w:r>
      <w:proofErr w:type="spellStart"/>
      <w:r w:rsidR="00B47162">
        <w:t>13A.1.5</w:t>
      </w:r>
      <w:proofErr w:type="spellEnd"/>
      <w:r w:rsidR="006374DE" w:rsidRPr="00B47162">
        <w:t>)</w:t>
      </w:r>
    </w:p>
    <w:p w:rsidR="009C39A0" w:rsidRDefault="009C39A0" w:rsidP="000A380C">
      <w:pPr>
        <w:pStyle w:val="BodyText"/>
      </w:pPr>
      <w:r>
        <w:t xml:space="preserve">In </w:t>
      </w:r>
      <w:r w:rsidR="00710FE4">
        <w:t>2011–13</w:t>
      </w:r>
      <w:r w:rsidRPr="006374DE">
        <w:t>, for those aged 18 years and over:</w:t>
      </w:r>
    </w:p>
    <w:p w:rsidR="00FD5F2E" w:rsidRDefault="00B47162" w:rsidP="00C949AB">
      <w:pPr>
        <w:pStyle w:val="ListBullet"/>
      </w:pPr>
      <w:r>
        <w:t>Aboriginal and Torres Strait Islander Australians</w:t>
      </w:r>
      <w:r w:rsidR="006374DE" w:rsidRPr="00DC365B">
        <w:t xml:space="preserve"> in </w:t>
      </w:r>
      <w:r w:rsidR="003616DF">
        <w:t xml:space="preserve">all </w:t>
      </w:r>
      <w:r w:rsidR="006374DE" w:rsidRPr="00DC365B">
        <w:t>quintile</w:t>
      </w:r>
      <w:r w:rsidR="00DD292B">
        <w:t>s</w:t>
      </w:r>
      <w:r w:rsidR="006374DE" w:rsidRPr="00DC365B">
        <w:t xml:space="preserve"> of personal gross weekly income </w:t>
      </w:r>
      <w:r w:rsidR="00C949AB" w:rsidRPr="00C949AB">
        <w:t xml:space="preserve">were more likely to experience </w:t>
      </w:r>
      <w:r w:rsidR="00EA0D9F">
        <w:t xml:space="preserve">most </w:t>
      </w:r>
      <w:r w:rsidR="006374DE" w:rsidRPr="00DC365B">
        <w:t xml:space="preserve">other </w:t>
      </w:r>
      <w:r w:rsidR="00C949AB">
        <w:t xml:space="preserve">forms of </w:t>
      </w:r>
      <w:r w:rsidR="006374DE" w:rsidRPr="00DC365B">
        <w:t>disadvantage than non</w:t>
      </w:r>
      <w:r w:rsidR="000B6E1C">
        <w:noBreakHyphen/>
      </w:r>
      <w:r w:rsidR="006374DE" w:rsidRPr="00DC365B">
        <w:t xml:space="preserve">Indigenous </w:t>
      </w:r>
      <w:r w:rsidR="00DD292B">
        <w:t>Australians</w:t>
      </w:r>
      <w:r w:rsidR="00DD292B" w:rsidRPr="00DC365B">
        <w:t xml:space="preserve"> </w:t>
      </w:r>
      <w:r w:rsidR="006374DE" w:rsidRPr="00DC365B">
        <w:t xml:space="preserve">in the </w:t>
      </w:r>
      <w:r w:rsidR="00EC4111">
        <w:t xml:space="preserve">respective </w:t>
      </w:r>
      <w:r w:rsidR="006374DE" w:rsidRPr="00DC365B">
        <w:t>quintile</w:t>
      </w:r>
      <w:r w:rsidR="00EC4111">
        <w:t>s</w:t>
      </w:r>
      <w:r w:rsidR="003616DF">
        <w:t xml:space="preserve"> </w:t>
      </w:r>
      <w:r w:rsidR="00DD292B">
        <w:t>(</w:t>
      </w:r>
      <w:r w:rsidR="003616DF">
        <w:t>t</w:t>
      </w:r>
      <w:r w:rsidR="00DD292B">
        <w:t xml:space="preserve">hat is, even for higher earning individuals, disadvantage is greater for </w:t>
      </w:r>
      <w:r w:rsidR="00676597">
        <w:t xml:space="preserve">Aboriginal and Torres Strait Islander Australians </w:t>
      </w:r>
      <w:r w:rsidR="00EA0D9F">
        <w:t>than for</w:t>
      </w:r>
      <w:r w:rsidR="00676597">
        <w:t xml:space="preserve"> non</w:t>
      </w:r>
      <w:r w:rsidR="00676597">
        <w:noBreakHyphen/>
        <w:t>Indigenous Australians)</w:t>
      </w:r>
      <w:r w:rsidR="00FA7FE5">
        <w:t>.</w:t>
      </w:r>
      <w:r w:rsidR="00FD5F2E">
        <w:t xml:space="preserve"> </w:t>
      </w:r>
      <w:r w:rsidR="00FA7FE5">
        <w:t>H</w:t>
      </w:r>
      <w:r w:rsidR="00EA0D9F">
        <w:t xml:space="preserve">owever, </w:t>
      </w:r>
      <w:r w:rsidR="00FD5F2E">
        <w:t>there was no</w:t>
      </w:r>
      <w:r w:rsidR="00BF4FC9">
        <w:t xml:space="preserve"> significant</w:t>
      </w:r>
      <w:r w:rsidR="00FD5F2E">
        <w:t xml:space="preserve"> difference for:</w:t>
      </w:r>
    </w:p>
    <w:p w:rsidR="003616DF" w:rsidRPr="000C60FB" w:rsidRDefault="00EC4111" w:rsidP="003616DF">
      <w:pPr>
        <w:pStyle w:val="ListBullet2"/>
      </w:pPr>
      <w:r w:rsidRPr="000C60FB">
        <w:t>those in the highest quintile who</w:t>
      </w:r>
      <w:r w:rsidR="003616DF" w:rsidRPr="000C60FB">
        <w:t>se</w:t>
      </w:r>
      <w:r w:rsidRPr="000C60FB">
        <w:t xml:space="preserve"> </w:t>
      </w:r>
      <w:r w:rsidR="003616DF" w:rsidRPr="000C60FB">
        <w:t>alcohol consumption exceeded lifetime risk (30.4 per cent for Aboriginal and Torres Strait Islander Australians and 29.4 per cent for non</w:t>
      </w:r>
      <w:r w:rsidR="003616DF" w:rsidRPr="000C60FB">
        <w:noBreakHyphen/>
        <w:t>Indigenous Australians) and those who had a profound or severe core activity limitation (4.4 per cent of Aboriginal and Torres Strait Islander Australians and 1.5 per cent of non</w:t>
      </w:r>
      <w:r w:rsidR="00FB11FE">
        <w:noBreakHyphen/>
      </w:r>
      <w:r w:rsidR="003616DF" w:rsidRPr="000C60FB">
        <w:t>Indigenous Australians)</w:t>
      </w:r>
    </w:p>
    <w:p w:rsidR="00FA7FE5" w:rsidRPr="000C60FB" w:rsidRDefault="00FA7FE5" w:rsidP="006B1C37">
      <w:pPr>
        <w:pStyle w:val="ListBullet2"/>
      </w:pPr>
      <w:r w:rsidRPr="000C60FB">
        <w:t xml:space="preserve">those in the second to the fourth quintiles </w:t>
      </w:r>
      <w:r w:rsidR="006B1C37" w:rsidRPr="006B1C37">
        <w:t>whose alcohol consumption exceeded lifetime risk</w:t>
      </w:r>
      <w:r w:rsidR="006B1C37" w:rsidRPr="006B1C37" w:rsidDel="006B1C37">
        <w:t xml:space="preserve"> </w:t>
      </w:r>
      <w:r w:rsidRPr="000C60FB">
        <w:t>(18.9 per cent for Aboriginal and Torres Strai</w:t>
      </w:r>
      <w:r w:rsidR="00A536CC">
        <w:t>t Islander Australians, and 18.3</w:t>
      </w:r>
      <w:r w:rsidRPr="000C60FB">
        <w:t xml:space="preserve"> per cent for non</w:t>
      </w:r>
      <w:r w:rsidR="00FB11FE">
        <w:noBreakHyphen/>
      </w:r>
      <w:r w:rsidRPr="000C60FB">
        <w:t>Indigenous Australians)</w:t>
      </w:r>
    </w:p>
    <w:p w:rsidR="006374DE" w:rsidRPr="000C60FB" w:rsidRDefault="00EC4111" w:rsidP="00FD5F2E">
      <w:pPr>
        <w:pStyle w:val="ListBullet2"/>
      </w:pPr>
      <w:r w:rsidRPr="000C60FB">
        <w:t xml:space="preserve">those in the lowest quintile </w:t>
      </w:r>
      <w:r w:rsidR="00FA5683" w:rsidRPr="000C60FB">
        <w:t xml:space="preserve">who </w:t>
      </w:r>
      <w:r w:rsidR="0014189D" w:rsidRPr="000C60FB">
        <w:t xml:space="preserve">had </w:t>
      </w:r>
      <w:r w:rsidR="00FA5683" w:rsidRPr="000C60FB">
        <w:t>a profound or severe core activity limitation</w:t>
      </w:r>
      <w:r w:rsidR="00FD5F2E" w:rsidRPr="000C60FB">
        <w:t xml:space="preserve"> (7.4 per cent </w:t>
      </w:r>
      <w:r w:rsidR="0014189D" w:rsidRPr="000C60FB">
        <w:t xml:space="preserve">of </w:t>
      </w:r>
      <w:r w:rsidR="00FD5F2E" w:rsidRPr="000C60FB">
        <w:t>Aboriginal and Torres Strait Islander Australian</w:t>
      </w:r>
      <w:r w:rsidR="0014189D" w:rsidRPr="000C60FB">
        <w:t>s</w:t>
      </w:r>
      <w:r w:rsidR="00FD5F2E" w:rsidRPr="000C60FB">
        <w:t xml:space="preserve"> and 5.8 per cent </w:t>
      </w:r>
      <w:r w:rsidR="0014189D" w:rsidRPr="000C60FB">
        <w:t xml:space="preserve">of </w:t>
      </w:r>
      <w:r w:rsidR="00FD5F2E" w:rsidRPr="000C60FB">
        <w:t>non</w:t>
      </w:r>
      <w:r w:rsidR="000B6E1C" w:rsidRPr="000C60FB">
        <w:noBreakHyphen/>
      </w:r>
      <w:r w:rsidR="0014189D" w:rsidRPr="000C60FB">
        <w:t>I</w:t>
      </w:r>
      <w:r w:rsidR="00FD5F2E" w:rsidRPr="000C60FB">
        <w:t>ndigenous</w:t>
      </w:r>
      <w:r w:rsidR="0014189D" w:rsidRPr="000C60FB">
        <w:t xml:space="preserve"> Australians</w:t>
      </w:r>
      <w:r w:rsidR="00FD5F2E" w:rsidRPr="000C60FB">
        <w:t>)</w:t>
      </w:r>
      <w:r w:rsidR="00FA5683" w:rsidRPr="000C60FB">
        <w:t xml:space="preserve"> </w:t>
      </w:r>
      <w:r w:rsidRPr="000C60FB">
        <w:t xml:space="preserve">and </w:t>
      </w:r>
      <w:r w:rsidR="00FA5683" w:rsidRPr="000C60FB">
        <w:t>those who spoke English not well or not at all</w:t>
      </w:r>
      <w:r w:rsidR="00AC4004">
        <w:t xml:space="preserve"> (5.3 </w:t>
      </w:r>
      <w:r w:rsidR="00FD5F2E" w:rsidRPr="000C60FB">
        <w:t xml:space="preserve">per cent </w:t>
      </w:r>
      <w:r w:rsidR="0014189D" w:rsidRPr="000C60FB">
        <w:t xml:space="preserve">of </w:t>
      </w:r>
      <w:r w:rsidR="00FD5F2E" w:rsidRPr="000C60FB">
        <w:t>Aboriginal and Torres Strait Islander Australian</w:t>
      </w:r>
      <w:r w:rsidR="0014189D" w:rsidRPr="000C60FB">
        <w:t>s</w:t>
      </w:r>
      <w:r w:rsidR="00FD5F2E" w:rsidRPr="000C60FB">
        <w:t xml:space="preserve"> and 6.4 per cent </w:t>
      </w:r>
      <w:r w:rsidR="0014189D" w:rsidRPr="000C60FB">
        <w:t xml:space="preserve">of </w:t>
      </w:r>
      <w:r w:rsidR="006C3D23" w:rsidRPr="000C60FB">
        <w:t>non</w:t>
      </w:r>
      <w:r w:rsidR="000B6E1C" w:rsidRPr="000C60FB">
        <w:noBreakHyphen/>
      </w:r>
      <w:r w:rsidR="006C3D23" w:rsidRPr="000C60FB">
        <w:t>Indigenous</w:t>
      </w:r>
      <w:r w:rsidR="00FD5F2E" w:rsidRPr="000C60FB">
        <w:t xml:space="preserve"> Australians</w:t>
      </w:r>
      <w:r w:rsidR="006C3D23" w:rsidRPr="000C60FB">
        <w:t>)</w:t>
      </w:r>
      <w:r w:rsidR="00D2741D">
        <w:t xml:space="preserve"> </w:t>
      </w:r>
      <w:r w:rsidR="00087C50" w:rsidRPr="000C60FB">
        <w:t>(table</w:t>
      </w:r>
      <w:r w:rsidR="000B6E1C" w:rsidRPr="000C60FB">
        <w:t> </w:t>
      </w:r>
      <w:proofErr w:type="spellStart"/>
      <w:r w:rsidR="00087C50" w:rsidRPr="000C60FB">
        <w:t>13A.1.5</w:t>
      </w:r>
      <w:proofErr w:type="spellEnd"/>
      <w:r w:rsidR="00087C50" w:rsidRPr="000C60FB">
        <w:t>–6)</w:t>
      </w:r>
      <w:r w:rsidRPr="000C60FB">
        <w:t>.</w:t>
      </w:r>
      <w:r w:rsidR="00FA5683" w:rsidRPr="000C60FB">
        <w:t xml:space="preserve"> </w:t>
      </w:r>
    </w:p>
    <w:p w:rsidR="006374DE" w:rsidRDefault="00AA1448" w:rsidP="006374DE">
      <w:pPr>
        <w:pStyle w:val="BodyText"/>
      </w:pPr>
      <w:r>
        <w:t>The lowest and highest quintiles for Aboriginal and Torres Strait Islander Australians and non</w:t>
      </w:r>
      <w:r w:rsidR="00FB11FE">
        <w:noBreakHyphen/>
      </w:r>
      <w:r>
        <w:t xml:space="preserve">Indigenous Australians </w:t>
      </w:r>
      <w:r w:rsidRPr="00AA1448">
        <w:t xml:space="preserve">with selected characteristics </w:t>
      </w:r>
      <w:r>
        <w:t xml:space="preserve">of disadvantage are presented in figure 13.1.3. </w:t>
      </w:r>
      <w:r w:rsidR="006374DE" w:rsidRPr="00087C50">
        <w:t>For more information on multiple disadvantage by quintiles of personal gross weekly income see tables</w:t>
      </w:r>
      <w:r w:rsidR="000B6E1C">
        <w:t> </w:t>
      </w:r>
      <w:proofErr w:type="spellStart"/>
      <w:r w:rsidR="00087C50" w:rsidRPr="00087C50">
        <w:t>13A.1.5</w:t>
      </w:r>
      <w:proofErr w:type="spellEnd"/>
      <w:r w:rsidR="00087C50" w:rsidRPr="00087C50">
        <w:t>–6</w:t>
      </w:r>
      <w:r w:rsidR="006374DE" w:rsidRPr="00087C50">
        <w:t>. Sect</w:t>
      </w:r>
      <w:r w:rsidR="00087C50">
        <w:t>ion</w:t>
      </w:r>
      <w:r w:rsidR="000B6E1C">
        <w:t> </w:t>
      </w:r>
      <w:r w:rsidR="00087C50">
        <w:t xml:space="preserve">4.9 contains more data on </w:t>
      </w:r>
      <w:r w:rsidR="006374DE" w:rsidRPr="00087C50">
        <w:t>income.</w:t>
      </w:r>
    </w:p>
    <w:p w:rsidR="0090536B" w:rsidRDefault="0090536B" w:rsidP="00176D3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90536B" w:rsidTr="00F95957">
        <w:tc>
          <w:tcPr>
            <w:tcW w:w="8771" w:type="dxa"/>
            <w:tcBorders>
              <w:top w:val="single" w:sz="6" w:space="0" w:color="78A22F"/>
              <w:left w:val="nil"/>
              <w:bottom w:val="nil"/>
              <w:right w:val="nil"/>
            </w:tcBorders>
            <w:shd w:val="clear" w:color="auto" w:fill="auto"/>
          </w:tcPr>
          <w:p w:rsidR="0090536B" w:rsidRPr="00176D3F" w:rsidRDefault="0090536B" w:rsidP="0090536B">
            <w:pPr>
              <w:pStyle w:val="FigureTitle"/>
            </w:pPr>
            <w:r w:rsidRPr="00784A05">
              <w:rPr>
                <w:b w:val="0"/>
              </w:rPr>
              <w:t xml:space="preserve">Figure </w:t>
            </w:r>
            <w:r>
              <w:rPr>
                <w:b w:val="0"/>
              </w:rPr>
              <w:t>13.1.</w:t>
            </w:r>
            <w:r w:rsidR="0062055F">
              <w:rPr>
                <w:b w:val="0"/>
                <w:noProof/>
              </w:rPr>
              <w:t>3</w:t>
            </w:r>
            <w:r>
              <w:tab/>
            </w:r>
            <w:r w:rsidRPr="006374DE">
              <w:t>People aged 18 years and over, personal gross weekly income —</w:t>
            </w:r>
            <w:r>
              <w:t xml:space="preserve"> </w:t>
            </w:r>
            <w:r w:rsidRPr="006374DE">
              <w:t xml:space="preserve">with selected characteristics, </w:t>
            </w:r>
            <w:r>
              <w:t>2011–13</w:t>
            </w:r>
            <w:proofErr w:type="spellStart"/>
            <w:r w:rsidR="00AC4004">
              <w:rPr>
                <w:rStyle w:val="NoteLabel"/>
                <w:b/>
              </w:rPr>
              <w:t>a,b,</w:t>
            </w:r>
            <w:r w:rsidRPr="00A0519A">
              <w:rPr>
                <w:rStyle w:val="NoteLabel"/>
                <w:b/>
              </w:rPr>
              <w:t>c</w:t>
            </w:r>
            <w:r w:rsidR="00AC4004">
              <w:rPr>
                <w:rStyle w:val="NoteLabel"/>
                <w:b/>
              </w:rPr>
              <w:t>,d,</w:t>
            </w:r>
            <w:r>
              <w:rPr>
                <w:rStyle w:val="NoteLabel"/>
                <w:b/>
              </w:rPr>
              <w:t>e</w:t>
            </w:r>
            <w:proofErr w:type="spellEnd"/>
          </w:p>
        </w:tc>
      </w:tr>
      <w:tr w:rsidR="0090536B" w:rsidTr="00F95957">
        <w:tc>
          <w:tcPr>
            <w:tcW w:w="8771" w:type="dxa"/>
            <w:tcBorders>
              <w:top w:val="nil"/>
              <w:left w:val="nil"/>
              <w:bottom w:val="nil"/>
              <w:right w:val="nil"/>
            </w:tcBorders>
            <w:shd w:val="clear" w:color="auto" w:fill="auto"/>
            <w:tcMar>
              <w:top w:w="28" w:type="dxa"/>
              <w:bottom w:w="28" w:type="dxa"/>
            </w:tcMar>
          </w:tcPr>
          <w:p w:rsidR="00AC4004" w:rsidRDefault="0090536B" w:rsidP="00AC4004">
            <w:pPr>
              <w:pStyle w:val="Figure"/>
              <w:spacing w:after="0"/>
              <w:rPr>
                <w:rFonts w:ascii="Arial" w:hAnsi="Arial" w:cs="Arial"/>
                <w:b/>
                <w:sz w:val="20"/>
              </w:rPr>
            </w:pPr>
            <w:r w:rsidRPr="0090536B">
              <w:rPr>
                <w:rFonts w:ascii="Arial" w:hAnsi="Arial" w:cs="Arial"/>
                <w:b/>
                <w:sz w:val="20"/>
              </w:rPr>
              <w:t>Lowest quintile</w:t>
            </w:r>
          </w:p>
          <w:p w:rsidR="0090536B" w:rsidRDefault="00EC2F27" w:rsidP="00AC4004">
            <w:pPr>
              <w:pStyle w:val="Figure"/>
              <w:spacing w:after="0"/>
              <w:rPr>
                <w:rFonts w:ascii="Arial" w:hAnsi="Arial" w:cs="Arial"/>
                <w:b/>
                <w:sz w:val="20"/>
              </w:rPr>
            </w:pPr>
            <w:r>
              <w:rPr>
                <w:rFonts w:ascii="Arial" w:hAnsi="Arial" w:cs="Arial"/>
                <w:b/>
                <w:noProof/>
                <w:sz w:val="20"/>
              </w:rPr>
              <w:drawing>
                <wp:inline distT="0" distB="0" distL="0" distR="0">
                  <wp:extent cx="5390515" cy="2881630"/>
                  <wp:effectExtent l="0" t="0" r="635" b="0"/>
                  <wp:docPr id="8" name="Picture 8" descr="Figure 13.1.3 People aged 18 years and over, personal gross weekly income - with selected characterisitcs, 2011-13 - lowest quintil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0515" cy="2881630"/>
                          </a:xfrm>
                          <a:prstGeom prst="rect">
                            <a:avLst/>
                          </a:prstGeom>
                          <a:noFill/>
                          <a:ln>
                            <a:noFill/>
                          </a:ln>
                        </pic:spPr>
                      </pic:pic>
                    </a:graphicData>
                  </a:graphic>
                </wp:inline>
              </w:drawing>
            </w:r>
            <w:r w:rsidR="0090536B" w:rsidRPr="0090536B">
              <w:rPr>
                <w:rFonts w:ascii="Arial" w:hAnsi="Arial" w:cs="Arial"/>
                <w:b/>
                <w:sz w:val="20"/>
              </w:rPr>
              <w:t>Highest quintile</w:t>
            </w:r>
          </w:p>
          <w:p w:rsidR="00AC4004" w:rsidRPr="003C149B" w:rsidRDefault="00EC2F27" w:rsidP="00AC4004">
            <w:pPr>
              <w:pStyle w:val="Figure"/>
              <w:spacing w:after="0"/>
              <w:rPr>
                <w:rFonts w:ascii="Arial" w:hAnsi="Arial" w:cs="Arial"/>
                <w:b/>
                <w:sz w:val="20"/>
              </w:rPr>
            </w:pPr>
            <w:r>
              <w:rPr>
                <w:rFonts w:ascii="Arial" w:hAnsi="Arial" w:cs="Arial"/>
                <w:b/>
                <w:noProof/>
                <w:sz w:val="20"/>
              </w:rPr>
              <w:drawing>
                <wp:inline distT="0" distB="0" distL="0" distR="0">
                  <wp:extent cx="5305425" cy="2881630"/>
                  <wp:effectExtent l="0" t="0" r="9525" b="0"/>
                  <wp:docPr id="9" name="Picture 9" descr="Figure 13.1.3 People aged 18 years and over, personal gross weekly income - with selected characteristics, 2011-13 - highest quintil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05425" cy="2881630"/>
                          </a:xfrm>
                          <a:prstGeom prst="rect">
                            <a:avLst/>
                          </a:prstGeom>
                          <a:noFill/>
                          <a:ln>
                            <a:noFill/>
                          </a:ln>
                        </pic:spPr>
                      </pic:pic>
                    </a:graphicData>
                  </a:graphic>
                </wp:inline>
              </w:drawing>
            </w:r>
          </w:p>
        </w:tc>
      </w:tr>
      <w:tr w:rsidR="0090536B" w:rsidRPr="00176D3F" w:rsidTr="00F95957">
        <w:tc>
          <w:tcPr>
            <w:tcW w:w="8771" w:type="dxa"/>
            <w:tcBorders>
              <w:top w:val="nil"/>
              <w:left w:val="nil"/>
              <w:bottom w:val="nil"/>
              <w:right w:val="nil"/>
            </w:tcBorders>
            <w:shd w:val="clear" w:color="auto" w:fill="auto"/>
          </w:tcPr>
          <w:p w:rsidR="0090536B" w:rsidRPr="00176D3F" w:rsidRDefault="0090536B" w:rsidP="00F41D3E">
            <w:pPr>
              <w:pStyle w:val="Note"/>
            </w:pPr>
            <w:r>
              <w:rPr>
                <w:rStyle w:val="NoteLabel"/>
              </w:rPr>
              <w:t>a</w:t>
            </w:r>
            <w:r>
              <w:t xml:space="preserve"> </w:t>
            </w:r>
            <w:r w:rsidRPr="005F23FB">
              <w:t>Government benefit is not shown for people in the highest quintile due to high relative standard errors</w:t>
            </w:r>
            <w:r>
              <w:t xml:space="preserve"> (greater than 50 per cent)</w:t>
            </w:r>
            <w:r>
              <w:rPr>
                <w:color w:val="FF0000"/>
              </w:rPr>
              <w:t>.</w:t>
            </w:r>
            <w:r w:rsidRPr="00BC5A61">
              <w:rPr>
                <w:rStyle w:val="NoteLabel"/>
              </w:rPr>
              <w:t xml:space="preserve">b </w:t>
            </w:r>
            <w:r>
              <w:t>See tables </w:t>
            </w:r>
            <w:proofErr w:type="spellStart"/>
            <w:r>
              <w:t>13A.1.5</w:t>
            </w:r>
            <w:proofErr w:type="spellEnd"/>
            <w:r>
              <w:t>–6</w:t>
            </w:r>
            <w:r w:rsidRPr="00BC5A61">
              <w:t xml:space="preserve"> for more information on </w:t>
            </w:r>
            <w:r>
              <w:t>caveats to these data</w:t>
            </w:r>
            <w:r w:rsidRPr="00BC5A61">
              <w:t xml:space="preserve">. </w:t>
            </w:r>
            <w:r w:rsidRPr="00BC5A61">
              <w:rPr>
                <w:rStyle w:val="NoteLabel"/>
              </w:rPr>
              <w:t>c</w:t>
            </w:r>
            <w:r>
              <w:rPr>
                <w:rStyle w:val="NoteLabel"/>
              </w:rPr>
              <w:t xml:space="preserve"> </w:t>
            </w:r>
            <w:r w:rsidRPr="0088311C">
              <w:t>Error bars represent 95 per cent confidence intervals around each estimate.</w:t>
            </w:r>
            <w:r>
              <w:t xml:space="preserve"> </w:t>
            </w:r>
            <w:r w:rsidRPr="001D729C">
              <w:rPr>
                <w:rStyle w:val="NoteLabel"/>
              </w:rPr>
              <w:t>d</w:t>
            </w:r>
            <w:r>
              <w:t xml:space="preserve"> ‘Lowest quintile’ refers to the 20 per cent of people with the lowest incomes. ‘Highest quintile’ refers to the 20 per cent of people with the highest incomes.</w:t>
            </w:r>
            <w:r w:rsidRPr="00EA2BAF">
              <w:rPr>
                <w:rStyle w:val="NoteLabel"/>
              </w:rPr>
              <w:t xml:space="preserve"> </w:t>
            </w:r>
            <w:r>
              <w:rPr>
                <w:rStyle w:val="NoteLabel"/>
              </w:rPr>
              <w:t>e</w:t>
            </w:r>
            <w:r>
              <w:t xml:space="preserve"> </w:t>
            </w:r>
            <w:r w:rsidRPr="00431F87">
              <w:t>The 2011–13 reference year includes data for Aboriginal and Torres Strait Islander Australians from the 2012 13 AATSIHS. Data for non</w:t>
            </w:r>
            <w:r>
              <w:noBreakHyphen/>
            </w:r>
            <w:r w:rsidRPr="00431F87">
              <w:t>Indigenous Australians are from the 201</w:t>
            </w:r>
            <w:r>
              <w:t>1–13 AHS (for the period 2011</w:t>
            </w:r>
            <w:r>
              <w:noBreakHyphen/>
            </w:r>
            <w:r w:rsidRPr="00431F87">
              <w:t>12).</w:t>
            </w:r>
          </w:p>
        </w:tc>
      </w:tr>
      <w:tr w:rsidR="0090536B" w:rsidRPr="00176D3F" w:rsidTr="00F95957">
        <w:tc>
          <w:tcPr>
            <w:tcW w:w="8771" w:type="dxa"/>
            <w:tcBorders>
              <w:top w:val="nil"/>
              <w:left w:val="nil"/>
              <w:bottom w:val="nil"/>
              <w:right w:val="nil"/>
            </w:tcBorders>
            <w:shd w:val="clear" w:color="auto" w:fill="auto"/>
          </w:tcPr>
          <w:p w:rsidR="0090536B" w:rsidRPr="00176D3F" w:rsidRDefault="0090536B" w:rsidP="00784A05">
            <w:pPr>
              <w:pStyle w:val="Source"/>
            </w:pPr>
            <w:r>
              <w:rPr>
                <w:i/>
              </w:rPr>
              <w:t>S</w:t>
            </w:r>
            <w:r w:rsidRPr="00784A05">
              <w:rPr>
                <w:i/>
              </w:rPr>
              <w:t>ource</w:t>
            </w:r>
            <w:r>
              <w:rPr>
                <w:i/>
              </w:rPr>
              <w:t>s</w:t>
            </w:r>
            <w:r w:rsidRPr="00176D3F">
              <w:t xml:space="preserve">: </w:t>
            </w:r>
            <w:r w:rsidRPr="00077F12">
              <w:t>ABS (unpublished) Australian Aboriginal and Torres Strait Islander Health Survey 2012</w:t>
            </w:r>
            <w:r>
              <w:noBreakHyphen/>
            </w:r>
            <w:r w:rsidRPr="00077F12">
              <w:t>13; ABS (unpublished) Australian Hea</w:t>
            </w:r>
            <w:r>
              <w:t>lth Survey 2011–13; tables </w:t>
            </w:r>
            <w:proofErr w:type="spellStart"/>
            <w:r>
              <w:t>13A.1.5</w:t>
            </w:r>
            <w:proofErr w:type="spellEnd"/>
            <w:r>
              <w:t>–6</w:t>
            </w:r>
            <w:r w:rsidRPr="00077F12">
              <w:t>.</w:t>
            </w:r>
          </w:p>
        </w:tc>
      </w:tr>
      <w:tr w:rsidR="0090536B" w:rsidTr="00F95957">
        <w:tc>
          <w:tcPr>
            <w:tcW w:w="8771" w:type="dxa"/>
            <w:tcBorders>
              <w:top w:val="nil"/>
              <w:left w:val="nil"/>
              <w:bottom w:val="single" w:sz="6" w:space="0" w:color="78A22F"/>
              <w:right w:val="nil"/>
            </w:tcBorders>
            <w:shd w:val="clear" w:color="auto" w:fill="auto"/>
          </w:tcPr>
          <w:p w:rsidR="0090536B" w:rsidRDefault="0090536B" w:rsidP="00176D3F">
            <w:pPr>
              <w:pStyle w:val="Figurespace"/>
            </w:pPr>
          </w:p>
        </w:tc>
      </w:tr>
      <w:tr w:rsidR="0090536B" w:rsidRPr="000863A5" w:rsidTr="00215A8A">
        <w:tc>
          <w:tcPr>
            <w:tcW w:w="8771" w:type="dxa"/>
            <w:tcBorders>
              <w:top w:val="single" w:sz="6" w:space="0" w:color="78A22F"/>
              <w:left w:val="nil"/>
              <w:bottom w:val="nil"/>
              <w:right w:val="nil"/>
            </w:tcBorders>
          </w:tcPr>
          <w:p w:rsidR="0090536B" w:rsidRPr="00626D32" w:rsidRDefault="0090536B" w:rsidP="00176D3F">
            <w:pPr>
              <w:pStyle w:val="BoxSpaceBelow"/>
            </w:pPr>
          </w:p>
        </w:tc>
      </w:tr>
    </w:tbl>
    <w:p w:rsidR="00953FEB" w:rsidRPr="00906011" w:rsidRDefault="003D0883" w:rsidP="003D0883">
      <w:pPr>
        <w:pStyle w:val="Heading3"/>
      </w:pPr>
      <w:r w:rsidRPr="00906011">
        <w:lastRenderedPageBreak/>
        <w:t>Principal source of personal income</w:t>
      </w:r>
    </w:p>
    <w:p w:rsidR="008D1AED" w:rsidRDefault="00E50E90" w:rsidP="00653C11">
      <w:pPr>
        <w:pStyle w:val="BodyText"/>
      </w:pPr>
      <w:r w:rsidRPr="008D5488">
        <w:t>In</w:t>
      </w:r>
      <w:r w:rsidR="00653C11" w:rsidRPr="008D5488">
        <w:t xml:space="preserve"> 201</w:t>
      </w:r>
      <w:r w:rsidR="009C39A0">
        <w:t>2</w:t>
      </w:r>
      <w:r w:rsidR="00FB11FE">
        <w:noBreakHyphen/>
      </w:r>
      <w:r w:rsidR="00653C11" w:rsidRPr="008D5488">
        <w:t xml:space="preserve">13, Aboriginal and Torres Strait Islander </w:t>
      </w:r>
      <w:r w:rsidR="005705CB">
        <w:t>Australians</w:t>
      </w:r>
      <w:r w:rsidR="00653C11" w:rsidRPr="008D5488">
        <w:t xml:space="preserve"> aged 18</w:t>
      </w:r>
      <w:r w:rsidRPr="008D5488">
        <w:t>–64 years</w:t>
      </w:r>
      <w:r w:rsidR="00056143">
        <w:t xml:space="preserve"> </w:t>
      </w:r>
      <w:r w:rsidR="008D1AED">
        <w:t xml:space="preserve">whose </w:t>
      </w:r>
      <w:r w:rsidR="008D1AED" w:rsidRPr="008D5488">
        <w:t>principal source of personal income was</w:t>
      </w:r>
      <w:r w:rsidR="008D1AED">
        <w:t>:</w:t>
      </w:r>
    </w:p>
    <w:p w:rsidR="00E50E90" w:rsidRDefault="009E3500" w:rsidP="007E3E57">
      <w:pPr>
        <w:pStyle w:val="ListBullet"/>
      </w:pPr>
      <w:r>
        <w:t xml:space="preserve">a </w:t>
      </w:r>
      <w:r w:rsidR="005F23FB">
        <w:t>government pension, allowance or benefits</w:t>
      </w:r>
      <w:r w:rsidR="00E50E90" w:rsidRPr="008D5488">
        <w:t>, had higher rates of disadvantage ac</w:t>
      </w:r>
      <w:r w:rsidR="00E50E90" w:rsidRPr="009E3500">
        <w:t xml:space="preserve">ross all indicators than those whose principal income was </w:t>
      </w:r>
      <w:r w:rsidRPr="009E3500">
        <w:t xml:space="preserve">employee cash income, </w:t>
      </w:r>
      <w:r w:rsidR="00E50E90" w:rsidRPr="009E3500">
        <w:t>except for</w:t>
      </w:r>
      <w:r w:rsidR="00056143">
        <w:t>:</w:t>
      </w:r>
      <w:r w:rsidR="00E50E90" w:rsidRPr="009E3500">
        <w:t xml:space="preserve"> </w:t>
      </w:r>
      <w:r w:rsidR="00710FE4" w:rsidRPr="00710FE4">
        <w:t xml:space="preserve">lifetime risk of harm from </w:t>
      </w:r>
      <w:r w:rsidR="00E50E90" w:rsidRPr="009E3500">
        <w:t>drinking</w:t>
      </w:r>
      <w:r w:rsidR="008D5488" w:rsidRPr="009E3500">
        <w:t xml:space="preserve"> </w:t>
      </w:r>
      <w:r w:rsidR="00056143">
        <w:t>(</w:t>
      </w:r>
      <w:r w:rsidR="008D5488" w:rsidRPr="009E3500">
        <w:t>which was lower</w:t>
      </w:r>
      <w:r>
        <w:t xml:space="preserve"> </w:t>
      </w:r>
      <w:r w:rsidR="00056143">
        <w:t xml:space="preserve">— </w:t>
      </w:r>
      <w:r>
        <w:t xml:space="preserve">17.6 per cent </w:t>
      </w:r>
      <w:r w:rsidR="008D5488" w:rsidRPr="009E3500">
        <w:t>compared wit</w:t>
      </w:r>
      <w:r>
        <w:t>h 23.5</w:t>
      </w:r>
      <w:r w:rsidR="00190839">
        <w:t>)</w:t>
      </w:r>
      <w:r w:rsidR="00056143">
        <w:t>;</w:t>
      </w:r>
      <w:r w:rsidR="000B6E1C">
        <w:t xml:space="preserve"> </w:t>
      </w:r>
      <w:r w:rsidR="00E50E90" w:rsidRPr="009E3500">
        <w:t xml:space="preserve">and removal of self or </w:t>
      </w:r>
      <w:r>
        <w:t>relative</w:t>
      </w:r>
      <w:r w:rsidR="00E50E90" w:rsidRPr="009E3500">
        <w:t xml:space="preserve"> from family</w:t>
      </w:r>
      <w:r w:rsidR="007E3E57">
        <w:t>, which were similar between the two groups</w:t>
      </w:r>
      <w:r w:rsidR="00056143">
        <w:t xml:space="preserve"> </w:t>
      </w:r>
      <w:r w:rsidR="007E3E57" w:rsidRPr="007E3E57">
        <w:t>(48.2 per cent and 46.0 per cent, respectively)</w:t>
      </w:r>
    </w:p>
    <w:p w:rsidR="008D1AED" w:rsidRDefault="008D1AED" w:rsidP="000E30A4">
      <w:pPr>
        <w:pStyle w:val="ListBullet"/>
      </w:pPr>
      <w:r w:rsidRPr="008D1AED">
        <w:t xml:space="preserve">other cash income (including CDEP) had lower rates of disadvantage </w:t>
      </w:r>
      <w:r w:rsidR="00BF4FC9">
        <w:t>for</w:t>
      </w:r>
      <w:r w:rsidRPr="008D1AED">
        <w:t xml:space="preserve"> most indicators </w:t>
      </w:r>
      <w:r w:rsidR="00056143">
        <w:t>than</w:t>
      </w:r>
      <w:r w:rsidRPr="008D1AED">
        <w:t xml:space="preserve"> those whose primary source of income was a </w:t>
      </w:r>
      <w:r w:rsidR="005F23FB">
        <w:t>government pension, allowance or benefits</w:t>
      </w:r>
      <w:r>
        <w:t xml:space="preserve"> </w:t>
      </w:r>
      <w:r w:rsidR="00FC4B9F" w:rsidRPr="00FC4B9F">
        <w:t>(figure</w:t>
      </w:r>
      <w:r w:rsidR="000B6E1C">
        <w:t> </w:t>
      </w:r>
      <w:r w:rsidR="00FC4B9F">
        <w:t xml:space="preserve">13.1.4 </w:t>
      </w:r>
      <w:r w:rsidR="00FC4B9F" w:rsidRPr="00FC4B9F">
        <w:t>and t</w:t>
      </w:r>
      <w:r w:rsidR="00FC4B9F">
        <w:t>able</w:t>
      </w:r>
      <w:r w:rsidR="000B6E1C">
        <w:t> </w:t>
      </w:r>
      <w:proofErr w:type="spellStart"/>
      <w:r w:rsidR="00FC4B9F">
        <w:t>13A.1.7</w:t>
      </w:r>
      <w:proofErr w:type="spellEnd"/>
      <w:r w:rsidR="00FC4B9F">
        <w:t>)</w:t>
      </w:r>
      <w:r w:rsidR="00351699">
        <w:t>.</w:t>
      </w:r>
      <w:r w:rsidR="00056143">
        <w:t xml:space="preserve"> (</w:t>
      </w:r>
      <w:r>
        <w:t>In the 2012</w:t>
      </w:r>
      <w:r w:rsidR="00FB11FE">
        <w:noBreakHyphen/>
      </w:r>
      <w:r>
        <w:t xml:space="preserve">13 AATSIHS, information about CDEP participation was only collected in remote areas (in earlier ABS surveys, CDEP participation was collected in both remote and </w:t>
      </w:r>
      <w:r w:rsidR="00676597">
        <w:t>non</w:t>
      </w:r>
      <w:r w:rsidR="001D729C">
        <w:noBreakHyphen/>
      </w:r>
      <w:r>
        <w:t>remote areas). Some of the characteristics associated with people who have CDEP as a principal source of income are likely to reflect the circumstances of Aboriginal and Torres Strait Islander people living in remote areas.</w:t>
      </w:r>
      <w:r w:rsidR="00056143">
        <w:t>)</w:t>
      </w:r>
      <w:r w:rsidR="00351699">
        <w:t xml:space="preserve"> </w:t>
      </w:r>
    </w:p>
    <w:p w:rsidR="0089384C" w:rsidRDefault="0089384C" w:rsidP="0089384C">
      <w:pPr>
        <w:pStyle w:val="BodyText"/>
      </w:pPr>
      <w:r w:rsidRPr="00DC365B">
        <w:t xml:space="preserve">In </w:t>
      </w:r>
      <w:r w:rsidR="00710FE4">
        <w:t>2011–13</w:t>
      </w:r>
      <w:r w:rsidRPr="009C39A0">
        <w:t xml:space="preserve"> </w:t>
      </w:r>
      <w:r>
        <w:t xml:space="preserve">for those </w:t>
      </w:r>
      <w:r w:rsidRPr="00DC365B">
        <w:t xml:space="preserve">aged 18–64 years, </w:t>
      </w:r>
      <w:r>
        <w:t>Aboriginal and Torres Strait Islander Australians generally had higher rates of disadvantage than non</w:t>
      </w:r>
      <w:r>
        <w:noBreakHyphen/>
        <w:t>Indigenous Australians</w:t>
      </w:r>
      <w:r w:rsidRPr="00B331ED">
        <w:t xml:space="preserve"> </w:t>
      </w:r>
      <w:r w:rsidR="007E3E57">
        <w:t xml:space="preserve">regardless of </w:t>
      </w:r>
      <w:r>
        <w:t>the</w:t>
      </w:r>
      <w:r w:rsidRPr="00B331ED">
        <w:t xml:space="preserve"> principal source of personal income</w:t>
      </w:r>
      <w:r>
        <w:t>. Both Aboriginal and Torres Strait Islander Australians and non</w:t>
      </w:r>
      <w:r>
        <w:noBreakHyphen/>
        <w:t xml:space="preserve">Indigenous Australians </w:t>
      </w:r>
      <w:r w:rsidRPr="00DC365B">
        <w:t xml:space="preserve">whose principal source of personal income was a </w:t>
      </w:r>
      <w:r>
        <w:t>government pension, allowance or benefit</w:t>
      </w:r>
      <w:r w:rsidR="00F01EE4">
        <w:t>s</w:t>
      </w:r>
      <w:r>
        <w:t xml:space="preserve"> </w:t>
      </w:r>
      <w:r w:rsidR="00710FE4" w:rsidRPr="00710FE4">
        <w:t xml:space="preserve">were more likely to experience </w:t>
      </w:r>
      <w:r>
        <w:t xml:space="preserve">disadvantage than those </w:t>
      </w:r>
      <w:r w:rsidRPr="00DC365B">
        <w:t>whose principal source of personal income</w:t>
      </w:r>
      <w:r>
        <w:t xml:space="preserve"> was</w:t>
      </w:r>
      <w:r w:rsidRPr="00F331A6">
        <w:t xml:space="preserve"> employee cash income</w:t>
      </w:r>
      <w:r>
        <w:t xml:space="preserve"> (tables </w:t>
      </w:r>
      <w:proofErr w:type="spellStart"/>
      <w:r>
        <w:t>13A.1.7</w:t>
      </w:r>
      <w:proofErr w:type="spellEnd"/>
      <w:r>
        <w:t>–</w:t>
      </w:r>
      <w:r w:rsidRPr="00F331A6">
        <w:t>8</w:t>
      </w:r>
      <w:r>
        <w:t xml:space="preserve">). </w:t>
      </w:r>
    </w:p>
    <w:p w:rsidR="0089384C" w:rsidRPr="00F331A6" w:rsidRDefault="0089384C" w:rsidP="0089384C">
      <w:pPr>
        <w:pStyle w:val="BodyText"/>
      </w:pPr>
      <w:r w:rsidRPr="00F331A6">
        <w:t xml:space="preserve">For more information on association </w:t>
      </w:r>
      <w:r w:rsidR="00BF4FC9">
        <w:t xml:space="preserve">of principal source of personal income </w:t>
      </w:r>
      <w:r w:rsidRPr="00F331A6">
        <w:t xml:space="preserve">with indicators of disadvantage </w:t>
      </w:r>
      <w:r>
        <w:t>see tables </w:t>
      </w:r>
      <w:proofErr w:type="spellStart"/>
      <w:r>
        <w:t>13A.1.7</w:t>
      </w:r>
      <w:proofErr w:type="spellEnd"/>
      <w:r>
        <w:t>–</w:t>
      </w:r>
      <w:r w:rsidRPr="00F331A6">
        <w:t>8. Section</w:t>
      </w:r>
      <w:r>
        <w:t> </w:t>
      </w:r>
      <w:r w:rsidRPr="00F331A6">
        <w:t xml:space="preserve">4.6 (‘Employment’) contains general </w:t>
      </w:r>
      <w:r>
        <w:t xml:space="preserve">information and </w:t>
      </w:r>
      <w:r w:rsidRPr="00F331A6">
        <w:t>analysis on CDEP. Section</w:t>
      </w:r>
      <w:r>
        <w:t> </w:t>
      </w:r>
      <w:r w:rsidR="00F01EE4">
        <w:t>9</w:t>
      </w:r>
      <w:r w:rsidRPr="00F331A6">
        <w:t>.4 (‘Income support’) contains analysis on government pensions, allowances and benefits. Section</w:t>
      </w:r>
      <w:r>
        <w:t> </w:t>
      </w:r>
      <w:r w:rsidRPr="00F331A6">
        <w:t>4.9 (‘Household and individual income’) contains more information on income.</w:t>
      </w:r>
    </w:p>
    <w:p w:rsidR="00CB1CBF" w:rsidRDefault="00CB1CBF" w:rsidP="00176D3F">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D30BB4" w:rsidRPr="00D30BB4" w:rsidTr="00D30BB4">
        <w:tc>
          <w:tcPr>
            <w:tcW w:w="8771" w:type="dxa"/>
            <w:tcBorders>
              <w:top w:val="single" w:sz="6" w:space="0" w:color="78A22F"/>
              <w:left w:val="nil"/>
              <w:bottom w:val="nil"/>
              <w:right w:val="nil"/>
            </w:tcBorders>
            <w:shd w:val="clear" w:color="auto" w:fill="auto"/>
          </w:tcPr>
          <w:p w:rsidR="00D30BB4" w:rsidRPr="00D30BB4" w:rsidRDefault="00D30BB4" w:rsidP="00D30BB4">
            <w:pPr>
              <w:pStyle w:val="FigureTitle"/>
              <w:spacing w:before="0" w:after="0" w:line="240" w:lineRule="auto"/>
              <w:rPr>
                <w:b w:val="0"/>
                <w:sz w:val="4"/>
                <w:szCs w:val="4"/>
              </w:rPr>
            </w:pPr>
          </w:p>
        </w:tc>
      </w:tr>
      <w:tr w:rsidR="00CB1CBF" w:rsidTr="00982A5E">
        <w:tc>
          <w:tcPr>
            <w:tcW w:w="8767" w:type="dxa"/>
            <w:tcBorders>
              <w:top w:val="nil"/>
              <w:left w:val="nil"/>
              <w:bottom w:val="nil"/>
              <w:right w:val="nil"/>
            </w:tcBorders>
            <w:shd w:val="clear" w:color="auto" w:fill="auto"/>
          </w:tcPr>
          <w:p w:rsidR="00CB1CBF" w:rsidRPr="00176D3F" w:rsidRDefault="00CB1CBF" w:rsidP="00982A5E">
            <w:pPr>
              <w:pStyle w:val="FigureTitle"/>
            </w:pPr>
            <w:r w:rsidRPr="00784A05">
              <w:rPr>
                <w:b w:val="0"/>
              </w:rPr>
              <w:t xml:space="preserve">Figure </w:t>
            </w:r>
            <w:r>
              <w:rPr>
                <w:b w:val="0"/>
              </w:rPr>
              <w:t>13.1.</w:t>
            </w:r>
            <w:r w:rsidR="0062055F">
              <w:rPr>
                <w:b w:val="0"/>
                <w:noProof/>
              </w:rPr>
              <w:t>4</w:t>
            </w:r>
            <w:r>
              <w:tab/>
            </w:r>
            <w:r w:rsidRPr="00190839">
              <w:t xml:space="preserve">Indigenous </w:t>
            </w:r>
            <w:r w:rsidRPr="008D5488">
              <w:t>people aged 18–64 years, principal source of personal income —</w:t>
            </w:r>
            <w:r>
              <w:t xml:space="preserve"> </w:t>
            </w:r>
            <w:r w:rsidRPr="008D5488">
              <w:t>selected characteristics, 2012</w:t>
            </w:r>
            <w:r>
              <w:noBreakHyphen/>
            </w:r>
            <w:r w:rsidRPr="0088311C">
              <w:t>13</w:t>
            </w:r>
            <w:proofErr w:type="spellStart"/>
            <w:r w:rsidR="00AC4004">
              <w:rPr>
                <w:rStyle w:val="NoteLabel"/>
                <w:b/>
              </w:rPr>
              <w:t>a,</w:t>
            </w:r>
            <w:r w:rsidRPr="0088311C">
              <w:rPr>
                <w:rStyle w:val="NoteLabel"/>
                <w:b/>
              </w:rPr>
              <w:t>b,c</w:t>
            </w:r>
            <w:proofErr w:type="spellEnd"/>
          </w:p>
        </w:tc>
      </w:tr>
      <w:tr w:rsidR="00CB1CBF" w:rsidTr="00F95957">
        <w:tc>
          <w:tcPr>
            <w:tcW w:w="8771" w:type="dxa"/>
            <w:tcBorders>
              <w:top w:val="nil"/>
              <w:left w:val="nil"/>
              <w:bottom w:val="nil"/>
              <w:right w:val="nil"/>
            </w:tcBorders>
            <w:shd w:val="clear" w:color="auto" w:fill="auto"/>
            <w:tcMar>
              <w:top w:w="28" w:type="dxa"/>
              <w:bottom w:w="28" w:type="dxa"/>
            </w:tcMar>
          </w:tcPr>
          <w:p w:rsidR="00D30BB4" w:rsidRDefault="00EC2F27" w:rsidP="00D30BB4">
            <w:pPr>
              <w:pStyle w:val="Figure"/>
              <w:spacing w:after="0"/>
            </w:pPr>
            <w:r>
              <w:rPr>
                <w:noProof/>
              </w:rPr>
              <w:drawing>
                <wp:inline distT="0" distB="0" distL="0" distR="0">
                  <wp:extent cx="5390515" cy="2052320"/>
                  <wp:effectExtent l="0" t="0" r="635" b="5080"/>
                  <wp:docPr id="10" name="Picture 10" descr="Figure 13.1.4 Indigenous people aged 18-64 years, principal source of personal income - selected characteristics, 2012-13&#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0515" cy="2052320"/>
                          </a:xfrm>
                          <a:prstGeom prst="rect">
                            <a:avLst/>
                          </a:prstGeom>
                          <a:noFill/>
                          <a:ln>
                            <a:noFill/>
                          </a:ln>
                        </pic:spPr>
                      </pic:pic>
                    </a:graphicData>
                  </a:graphic>
                </wp:inline>
              </w:drawing>
            </w:r>
            <w:r>
              <w:rPr>
                <w:noProof/>
              </w:rPr>
              <w:drawing>
                <wp:inline distT="0" distB="0" distL="0" distR="0">
                  <wp:extent cx="5390515" cy="2115820"/>
                  <wp:effectExtent l="0" t="0" r="635" b="0"/>
                  <wp:docPr id="11" name="Picture 11" descr="Figure 13.1.4 Indigenous people aged 18-64 years, principal source of personal income - selected characteristics, 2012-13&#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0515" cy="2115820"/>
                          </a:xfrm>
                          <a:prstGeom prst="rect">
                            <a:avLst/>
                          </a:prstGeom>
                          <a:noFill/>
                          <a:ln>
                            <a:noFill/>
                          </a:ln>
                        </pic:spPr>
                      </pic:pic>
                    </a:graphicData>
                  </a:graphic>
                </wp:inline>
              </w:drawing>
            </w:r>
            <w:r>
              <w:rPr>
                <w:noProof/>
              </w:rPr>
              <w:drawing>
                <wp:inline distT="0" distB="0" distL="0" distR="0">
                  <wp:extent cx="5337810" cy="2296795"/>
                  <wp:effectExtent l="0" t="0" r="0" b="8255"/>
                  <wp:docPr id="12" name="Picture 12" descr="Figure 13.1.4 Indigenous people aged 18-64 years, principal source of personal income - selected characteristics, 2012-13&#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7810" cy="2296795"/>
                          </a:xfrm>
                          <a:prstGeom prst="rect">
                            <a:avLst/>
                          </a:prstGeom>
                          <a:noFill/>
                          <a:ln>
                            <a:noFill/>
                          </a:ln>
                        </pic:spPr>
                      </pic:pic>
                    </a:graphicData>
                  </a:graphic>
                </wp:inline>
              </w:drawing>
            </w:r>
          </w:p>
        </w:tc>
      </w:tr>
      <w:tr w:rsidR="00CB1CBF" w:rsidRPr="00176D3F" w:rsidTr="00F95957">
        <w:tc>
          <w:tcPr>
            <w:tcW w:w="8771" w:type="dxa"/>
            <w:tcBorders>
              <w:top w:val="nil"/>
              <w:left w:val="nil"/>
              <w:bottom w:val="nil"/>
              <w:right w:val="nil"/>
            </w:tcBorders>
            <w:shd w:val="clear" w:color="auto" w:fill="auto"/>
          </w:tcPr>
          <w:p w:rsidR="00CB1CBF" w:rsidRPr="00176D3F" w:rsidRDefault="00CB1CBF" w:rsidP="00F41D3E">
            <w:pPr>
              <w:pStyle w:val="Note"/>
            </w:pPr>
            <w:r>
              <w:rPr>
                <w:rStyle w:val="NoteLabel"/>
              </w:rPr>
              <w:t>a</w:t>
            </w:r>
            <w:r>
              <w:t xml:space="preserve"> </w:t>
            </w:r>
            <w:r w:rsidR="00D30BB4" w:rsidRPr="00BC5A61">
              <w:t>‘Other cash income’ includes owners of unincorporated businesses, participants in CDEP programs, and any other source of regular income.</w:t>
            </w:r>
            <w:r w:rsidR="00D30BB4" w:rsidRPr="00BC5A61">
              <w:rPr>
                <w:rStyle w:val="NoteLabel"/>
              </w:rPr>
              <w:t xml:space="preserve"> b </w:t>
            </w:r>
            <w:r w:rsidR="00D30BB4" w:rsidRPr="00BC5A61">
              <w:t>See table</w:t>
            </w:r>
            <w:r w:rsidR="00D30BB4">
              <w:t> </w:t>
            </w:r>
            <w:proofErr w:type="spellStart"/>
            <w:r w:rsidR="00D30BB4" w:rsidRPr="00BC5A61">
              <w:t>13A.1.7</w:t>
            </w:r>
            <w:proofErr w:type="spellEnd"/>
            <w:r w:rsidR="00D30BB4" w:rsidRPr="00BC5A61">
              <w:t xml:space="preserve"> for more information on </w:t>
            </w:r>
            <w:r w:rsidR="00D30BB4">
              <w:t>caveats to these data</w:t>
            </w:r>
            <w:r w:rsidR="00D30BB4" w:rsidRPr="00BC5A61">
              <w:t>.</w:t>
            </w:r>
            <w:r w:rsidR="00D30BB4">
              <w:t xml:space="preserve"> </w:t>
            </w:r>
            <w:r w:rsidR="00D30BB4">
              <w:rPr>
                <w:rStyle w:val="NoteLabel"/>
              </w:rPr>
              <w:br/>
            </w:r>
            <w:r w:rsidR="00D30BB4" w:rsidRPr="00BC5A61">
              <w:rPr>
                <w:rStyle w:val="NoteLabel"/>
              </w:rPr>
              <w:t>c</w:t>
            </w:r>
            <w:r w:rsidR="00D30BB4">
              <w:rPr>
                <w:rStyle w:val="NoteLabel"/>
              </w:rPr>
              <w:t xml:space="preserve"> </w:t>
            </w:r>
            <w:r w:rsidR="00D30BB4" w:rsidRPr="0088311C">
              <w:t>Error bars represent 95 per cent confidence intervals around each estimate.</w:t>
            </w:r>
          </w:p>
        </w:tc>
      </w:tr>
      <w:tr w:rsidR="00CB1CBF" w:rsidRPr="00176D3F" w:rsidTr="00F95957">
        <w:tc>
          <w:tcPr>
            <w:tcW w:w="8771" w:type="dxa"/>
            <w:tcBorders>
              <w:top w:val="nil"/>
              <w:left w:val="nil"/>
              <w:bottom w:val="nil"/>
              <w:right w:val="nil"/>
            </w:tcBorders>
            <w:shd w:val="clear" w:color="auto" w:fill="auto"/>
          </w:tcPr>
          <w:p w:rsidR="00CB1CBF" w:rsidRPr="00176D3F" w:rsidRDefault="00D30BB4" w:rsidP="00784A05">
            <w:pPr>
              <w:pStyle w:val="Source"/>
            </w:pPr>
            <w:r>
              <w:rPr>
                <w:i/>
              </w:rPr>
              <w:t>S</w:t>
            </w:r>
            <w:r w:rsidR="00CB1CBF" w:rsidRPr="00784A05">
              <w:rPr>
                <w:i/>
              </w:rPr>
              <w:t>ource</w:t>
            </w:r>
            <w:r w:rsidR="00CB1CBF" w:rsidRPr="00176D3F">
              <w:t xml:space="preserve">: </w:t>
            </w:r>
            <w:r w:rsidRPr="0088311C">
              <w:t>ABS (unpublished) Australian Aboriginal and Torres Strait Islander Health Survey 2012</w:t>
            </w:r>
            <w:r>
              <w:noBreakHyphen/>
            </w:r>
            <w:r w:rsidRPr="0088311C">
              <w:t>13 (2012</w:t>
            </w:r>
            <w:r>
              <w:noBreakHyphen/>
            </w:r>
            <w:r w:rsidRPr="0088311C">
              <w:t>13 NATSIHS component)</w:t>
            </w:r>
            <w:r>
              <w:t>; table </w:t>
            </w:r>
            <w:proofErr w:type="spellStart"/>
            <w:r w:rsidRPr="0088311C">
              <w:t>13A.1.7</w:t>
            </w:r>
            <w:proofErr w:type="spellEnd"/>
            <w:r w:rsidRPr="0088311C">
              <w:t>.</w:t>
            </w:r>
          </w:p>
        </w:tc>
      </w:tr>
      <w:tr w:rsidR="00CB1CBF" w:rsidTr="00F95957">
        <w:tc>
          <w:tcPr>
            <w:tcW w:w="8771" w:type="dxa"/>
            <w:tcBorders>
              <w:top w:val="nil"/>
              <w:left w:val="nil"/>
              <w:bottom w:val="single" w:sz="6" w:space="0" w:color="78A22F"/>
              <w:right w:val="nil"/>
            </w:tcBorders>
            <w:shd w:val="clear" w:color="auto" w:fill="auto"/>
          </w:tcPr>
          <w:p w:rsidR="00CB1CBF" w:rsidRDefault="00CB1CBF" w:rsidP="00176D3F">
            <w:pPr>
              <w:pStyle w:val="Figurespace"/>
            </w:pPr>
          </w:p>
        </w:tc>
      </w:tr>
      <w:tr w:rsidR="00CB1CBF" w:rsidRPr="000863A5" w:rsidTr="00215A8A">
        <w:tc>
          <w:tcPr>
            <w:tcW w:w="8771" w:type="dxa"/>
            <w:tcBorders>
              <w:top w:val="single" w:sz="6" w:space="0" w:color="78A22F"/>
              <w:left w:val="nil"/>
              <w:bottom w:val="nil"/>
              <w:right w:val="nil"/>
            </w:tcBorders>
          </w:tcPr>
          <w:p w:rsidR="00CB1CBF" w:rsidRPr="00626D32" w:rsidRDefault="00CB1CBF" w:rsidP="00176D3F">
            <w:pPr>
              <w:pStyle w:val="BoxSpaceBelow"/>
            </w:pPr>
          </w:p>
        </w:tc>
      </w:tr>
    </w:tbl>
    <w:p w:rsidR="003D0883" w:rsidRDefault="00EE48C4" w:rsidP="00EE48C4">
      <w:pPr>
        <w:pStyle w:val="Heading2"/>
      </w:pPr>
      <w:r w:rsidRPr="005E7CE9">
        <w:lastRenderedPageBreak/>
        <w:t>13.</w:t>
      </w:r>
      <w:r w:rsidR="0062055F">
        <w:rPr>
          <w:noProof/>
        </w:rPr>
        <w:t>2</w:t>
      </w:r>
      <w:r w:rsidRPr="005E7CE9">
        <w:tab/>
      </w:r>
      <w:r w:rsidR="00E64612">
        <w:t>Recent research into multiple disadvantage</w:t>
      </w:r>
    </w:p>
    <w:p w:rsidR="0021363F" w:rsidRDefault="0021363F" w:rsidP="0021363F">
      <w:pPr>
        <w:pStyle w:val="BodyText"/>
      </w:pPr>
      <w:r>
        <w:t xml:space="preserve">Work reported in previous </w:t>
      </w:r>
      <w:r w:rsidRPr="00F57AE6">
        <w:rPr>
          <w:i/>
        </w:rPr>
        <w:t>Overcoming Indigenous Disadvantage</w:t>
      </w:r>
      <w:r>
        <w:t xml:space="preserve"> reports included analysis of the determinants of labour market outcomes for Aboriginal and Torres Strait Islander Australians:</w:t>
      </w:r>
    </w:p>
    <w:p w:rsidR="0021363F" w:rsidRDefault="0021363F" w:rsidP="0021363F">
      <w:pPr>
        <w:pStyle w:val="ListBullet"/>
      </w:pPr>
      <w:r>
        <w:t xml:space="preserve">the 2011 report analysed data from the National Aboriginal and Torres Strait Islander Social Survey (NATSISS) 2008, and found that better levels of health, more education and additional years of work experience are associated with a greater probability of being in the labour force and being employed. History of arrest was </w:t>
      </w:r>
      <w:r w:rsidR="008D5FAC">
        <w:t>negatively associated with empl</w:t>
      </w:r>
      <w:r>
        <w:t>oym</w:t>
      </w:r>
      <w:r w:rsidR="008D5FAC">
        <w:t>ent and labour force partici</w:t>
      </w:r>
      <w:r>
        <w:t>p</w:t>
      </w:r>
      <w:r w:rsidR="008D5FAC">
        <w:t>a</w:t>
      </w:r>
      <w:r>
        <w:t xml:space="preserve">tion, as </w:t>
      </w:r>
      <w:r w:rsidR="00BF4FC9">
        <w:t>was</w:t>
      </w:r>
      <w:r w:rsidR="004475EB">
        <w:t xml:space="preserve"> </w:t>
      </w:r>
      <w:r>
        <w:t xml:space="preserve">imprisonment </w:t>
      </w:r>
      <w:r w:rsidR="004475EB">
        <w:t xml:space="preserve">rates </w:t>
      </w:r>
      <w:r>
        <w:t xml:space="preserve">for men </w:t>
      </w:r>
      <w:r w:rsidRPr="008B44DD">
        <w:rPr>
          <w:szCs w:val="24"/>
        </w:rPr>
        <w:t>(SCRGSP 2011)</w:t>
      </w:r>
    </w:p>
    <w:p w:rsidR="0021363F" w:rsidRDefault="0021363F" w:rsidP="0021363F">
      <w:pPr>
        <w:pStyle w:val="ListBullet"/>
      </w:pPr>
      <w:r>
        <w:t xml:space="preserve">the 2009 report analysed data from the </w:t>
      </w:r>
      <w:r w:rsidRPr="001B5BD0">
        <w:t>2006 Census</w:t>
      </w:r>
      <w:r>
        <w:t xml:space="preserve">, and found that </w:t>
      </w:r>
      <w:r w:rsidR="00BF4FC9">
        <w:t>for both males and females, those w</w:t>
      </w:r>
      <w:r>
        <w:t xml:space="preserve">ho had attained higher than year 8 were more likely to be in the labour force and </w:t>
      </w:r>
      <w:r w:rsidR="00D803B4">
        <w:t xml:space="preserve">were </w:t>
      </w:r>
      <w:r>
        <w:t xml:space="preserve">less likely to be unemployed than those whose highest level of educational attainment was year 8 or below. This effect was stronger for </w:t>
      </w:r>
      <w:r w:rsidR="00BF4FC9">
        <w:t>Aboriginal and Torres Strait Islander</w:t>
      </w:r>
      <w:r>
        <w:t xml:space="preserve"> </w:t>
      </w:r>
      <w:r w:rsidR="00BF4FC9">
        <w:t>Australians</w:t>
      </w:r>
      <w:r>
        <w:t xml:space="preserve"> than for non</w:t>
      </w:r>
      <w:r>
        <w:noBreakHyphen/>
        <w:t xml:space="preserve">Indigenous </w:t>
      </w:r>
      <w:r w:rsidR="00BF4FC9">
        <w:t>Australians</w:t>
      </w:r>
      <w:r>
        <w:t xml:space="preserve"> </w:t>
      </w:r>
      <w:r>
        <w:rPr>
          <w:szCs w:val="24"/>
        </w:rPr>
        <w:t>(</w:t>
      </w:r>
      <w:r w:rsidRPr="008B44DD">
        <w:rPr>
          <w:szCs w:val="24"/>
        </w:rPr>
        <w:t>SCRGSP 2009)</w:t>
      </w:r>
      <w:r>
        <w:t>.</w:t>
      </w:r>
    </w:p>
    <w:p w:rsidR="008B44DD" w:rsidRDefault="0021363F" w:rsidP="00F57AE6">
      <w:pPr>
        <w:pStyle w:val="BodyText"/>
      </w:pPr>
      <w:r>
        <w:t>The remainder of this section</w:t>
      </w:r>
      <w:r w:rsidR="00503998" w:rsidRPr="00503998">
        <w:t xml:space="preserve"> presents an overview of recent work</w:t>
      </w:r>
      <w:r w:rsidR="00B0787D" w:rsidRPr="00B0787D">
        <w:t xml:space="preserve"> into Aboriginal and Torres Strait Islander multiple disadvantage</w:t>
      </w:r>
      <w:r w:rsidR="005E2755">
        <w:t xml:space="preserve"> </w:t>
      </w:r>
      <w:r w:rsidR="005E2755" w:rsidRPr="00B0787D">
        <w:t>conducted by other organisations</w:t>
      </w:r>
      <w:r w:rsidR="005E2755">
        <w:t xml:space="preserve">, including </w:t>
      </w:r>
      <w:r w:rsidR="005E2755" w:rsidRPr="00503998">
        <w:t>the Centre for Aboriginal Economic Policy Research (</w:t>
      </w:r>
      <w:proofErr w:type="spellStart"/>
      <w:r w:rsidR="005E2755" w:rsidRPr="00503998">
        <w:t>CAEPR</w:t>
      </w:r>
      <w:proofErr w:type="spellEnd"/>
      <w:r w:rsidR="005E2755" w:rsidRPr="00503998">
        <w:t>) and the Telethon Kids Institute.</w:t>
      </w:r>
      <w:r w:rsidR="005E2755">
        <w:t xml:space="preserve"> </w:t>
      </w:r>
    </w:p>
    <w:p w:rsidR="00245E89" w:rsidRDefault="00245E89" w:rsidP="00944396">
      <w:pPr>
        <w:pStyle w:val="Heading3"/>
      </w:pPr>
      <w:r w:rsidRPr="00245E89">
        <w:t>Centre for Aboriginal Economic Policy Research</w:t>
      </w:r>
    </w:p>
    <w:p w:rsidR="00245E89" w:rsidRDefault="0079030A" w:rsidP="00245E89">
      <w:pPr>
        <w:pStyle w:val="BodyText"/>
      </w:pPr>
      <w:r w:rsidRPr="0079030A">
        <w:t>The</w:t>
      </w:r>
      <w:r>
        <w:t xml:space="preserve"> </w:t>
      </w:r>
      <w:r w:rsidRPr="0079030A">
        <w:t>Centre for Aboriginal Economic Policy Research (</w:t>
      </w:r>
      <w:proofErr w:type="spellStart"/>
      <w:r w:rsidRPr="0079030A">
        <w:t>CAEPR</w:t>
      </w:r>
      <w:proofErr w:type="spellEnd"/>
      <w:r w:rsidRPr="0079030A">
        <w:t xml:space="preserve">) is </w:t>
      </w:r>
      <w:r>
        <w:t>a</w:t>
      </w:r>
      <w:r w:rsidRPr="0079030A">
        <w:t xml:space="preserve"> social science research body focusing on Indigenous economic and social policy</w:t>
      </w:r>
      <w:r>
        <w:t>, and sits within the Australian National University</w:t>
      </w:r>
      <w:r w:rsidRPr="0079030A">
        <w:t xml:space="preserve">. </w:t>
      </w:r>
    </w:p>
    <w:p w:rsidR="00207EAC" w:rsidRDefault="00E54A5E" w:rsidP="00D03D97">
      <w:pPr>
        <w:pStyle w:val="BodyText"/>
      </w:pPr>
      <w:r>
        <w:t>In 2012 and 2013</w:t>
      </w:r>
      <w:r w:rsidR="00B0787D">
        <w:t>,</w:t>
      </w:r>
      <w:r>
        <w:t xml:space="preserve"> </w:t>
      </w:r>
      <w:proofErr w:type="spellStart"/>
      <w:r w:rsidR="00D03D97">
        <w:t>CAEPR</w:t>
      </w:r>
      <w:proofErr w:type="spellEnd"/>
      <w:r w:rsidR="00D03D97">
        <w:t xml:space="preserve"> authors released the </w:t>
      </w:r>
      <w:r w:rsidR="00D03D97" w:rsidRPr="00D03D97">
        <w:t>Indigenous Population Project: 2011 Census Papers</w:t>
      </w:r>
      <w:r w:rsidR="00D03D97">
        <w:t>, which</w:t>
      </w:r>
      <w:r w:rsidR="00FF0888">
        <w:t xml:space="preserve"> aim to</w:t>
      </w:r>
      <w:r w:rsidR="00D03D97">
        <w:t xml:space="preserve"> document the changing composition and distribution of different Indigenous outcomes following the increase in Aboriginal and Torres Strait Islander identification in the 2011 Census </w:t>
      </w:r>
      <w:r w:rsidR="002502FD">
        <w:t>(see chapter</w:t>
      </w:r>
      <w:r w:rsidR="00D24C33">
        <w:t> </w:t>
      </w:r>
      <w:r w:rsidR="002502FD">
        <w:t>3 for more information)</w:t>
      </w:r>
      <w:r w:rsidR="00D03D97">
        <w:t>.</w:t>
      </w:r>
      <w:r w:rsidR="00D33797">
        <w:t xml:space="preserve"> </w:t>
      </w:r>
      <w:r w:rsidR="00B0787D">
        <w:t>K</w:t>
      </w:r>
      <w:r w:rsidR="00A13B5C">
        <w:t>ey results include:</w:t>
      </w:r>
    </w:p>
    <w:p w:rsidR="00FA322A" w:rsidRDefault="00FA322A" w:rsidP="00FA322A">
      <w:pPr>
        <w:pStyle w:val="ListBullet"/>
      </w:pPr>
      <w:r>
        <w:t xml:space="preserve">preschool alone is </w:t>
      </w:r>
      <w:r w:rsidRPr="00A13B5C">
        <w:t xml:space="preserve">not </w:t>
      </w:r>
      <w:r>
        <w:t>enough</w:t>
      </w:r>
      <w:r w:rsidRPr="00A13B5C">
        <w:t xml:space="preserve"> to ensure all </w:t>
      </w:r>
      <w:r>
        <w:t>Aboriginal and Torres Strait Islander</w:t>
      </w:r>
      <w:r w:rsidRPr="00A13B5C">
        <w:t xml:space="preserve"> children start school in the same </w:t>
      </w:r>
      <w:r>
        <w:t>developmental</w:t>
      </w:r>
      <w:r w:rsidR="00D24C33">
        <w:t xml:space="preserve"> </w:t>
      </w:r>
      <w:r w:rsidRPr="00A13B5C">
        <w:t>position as their non</w:t>
      </w:r>
      <w:r w:rsidR="00D24C33">
        <w:noBreakHyphen/>
      </w:r>
      <w:r w:rsidRPr="00A13B5C">
        <w:t>Indigenous peers</w:t>
      </w:r>
      <w:r w:rsidR="00B0787D">
        <w:t>. A</w:t>
      </w:r>
      <w:r w:rsidRPr="00A13B5C">
        <w:t xml:space="preserve">lthough </w:t>
      </w:r>
      <w:r>
        <w:t>Aboriginal and Torres Strait Islander</w:t>
      </w:r>
      <w:r w:rsidRPr="00A13B5C">
        <w:t xml:space="preserve"> children who participate in preschool tend to start school with lower rates of developmental vulnerability than those who d</w:t>
      </w:r>
      <w:r w:rsidR="00B0787D">
        <w:t>o</w:t>
      </w:r>
      <w:r w:rsidRPr="00A13B5C">
        <w:t xml:space="preserve"> not, </w:t>
      </w:r>
      <w:r w:rsidR="00B0787D" w:rsidRPr="00A13B5C">
        <w:t xml:space="preserve">once preschool is controlled for </w:t>
      </w:r>
      <w:r w:rsidRPr="00A13B5C">
        <w:t xml:space="preserve">there </w:t>
      </w:r>
      <w:r w:rsidR="00B0787D">
        <w:t>a</w:t>
      </w:r>
      <w:r w:rsidR="00B0787D" w:rsidRPr="00A13B5C">
        <w:t xml:space="preserve">re </w:t>
      </w:r>
      <w:r w:rsidRPr="00A13B5C">
        <w:t xml:space="preserve">still very large gaps between </w:t>
      </w:r>
      <w:r>
        <w:t>Aboriginal and Torres Strait Islander</w:t>
      </w:r>
      <w:r w:rsidRPr="00A13B5C">
        <w:t xml:space="preserve"> and non</w:t>
      </w:r>
      <w:r w:rsidR="00D24C33">
        <w:noBreakHyphen/>
      </w:r>
      <w:r w:rsidRPr="00A13B5C">
        <w:t xml:space="preserve">Indigenous students. </w:t>
      </w:r>
      <w:r>
        <w:t xml:space="preserve">In addition, </w:t>
      </w:r>
      <w:r w:rsidRPr="00A13B5C">
        <w:t>large gaps</w:t>
      </w:r>
      <w:r w:rsidR="00643C7F">
        <w:t xml:space="preserve"> in preschool participation </w:t>
      </w:r>
      <w:r w:rsidRPr="00A13B5C">
        <w:t xml:space="preserve">still remain between </w:t>
      </w:r>
      <w:r>
        <w:t>Aboriginal and Torres Strait Islander</w:t>
      </w:r>
      <w:r w:rsidRPr="00A13B5C">
        <w:t xml:space="preserve"> and non</w:t>
      </w:r>
      <w:r w:rsidR="00D24C33">
        <w:noBreakHyphen/>
      </w:r>
      <w:r w:rsidRPr="00A13B5C">
        <w:t>Indigenous children once geography and other cha</w:t>
      </w:r>
      <w:r>
        <w:t>racteristics are controlled for</w:t>
      </w:r>
      <w:r w:rsidR="00D34236">
        <w:t xml:space="preserve"> </w:t>
      </w:r>
      <w:r w:rsidR="00D34236" w:rsidRPr="00D34236">
        <w:rPr>
          <w:szCs w:val="24"/>
        </w:rPr>
        <w:t>(Bath and Biddle 2013)</w:t>
      </w:r>
    </w:p>
    <w:p w:rsidR="00FA322A" w:rsidRDefault="000A380C" w:rsidP="00BE37F1">
      <w:pPr>
        <w:pStyle w:val="ListBullet"/>
      </w:pPr>
      <w:r w:rsidRPr="00BE37F1">
        <w:lastRenderedPageBreak/>
        <w:t xml:space="preserve">Analysis of the Longitudinal Study of Australian </w:t>
      </w:r>
      <w:r w:rsidR="00D803B4">
        <w:t>Youth</w:t>
      </w:r>
      <w:r w:rsidR="00D803B4" w:rsidRPr="00BE37F1">
        <w:t xml:space="preserve"> </w:t>
      </w:r>
      <w:r w:rsidRPr="00BE37F1">
        <w:t>(</w:t>
      </w:r>
      <w:proofErr w:type="spellStart"/>
      <w:r w:rsidRPr="00BE37F1">
        <w:t>LSAY</w:t>
      </w:r>
      <w:proofErr w:type="spellEnd"/>
      <w:r w:rsidRPr="00BE37F1">
        <w:t xml:space="preserve">) showed that socioeconomic status and school sector explains some, but not all of the difference in maths, reading and science test scores </w:t>
      </w:r>
      <w:r w:rsidR="00D803B4">
        <w:t>between</w:t>
      </w:r>
      <w:r w:rsidR="00D803B4" w:rsidRPr="00BE37F1">
        <w:t xml:space="preserve"> </w:t>
      </w:r>
      <w:r w:rsidRPr="00BE37F1">
        <w:t>Aboriginal and Torres Strait Islander and non</w:t>
      </w:r>
      <w:r w:rsidR="00FB11FE">
        <w:noBreakHyphen/>
      </w:r>
      <w:r w:rsidRPr="00BE37F1">
        <w:t>Indigenous students aged 15</w:t>
      </w:r>
      <w:r w:rsidR="00F01EE4">
        <w:t xml:space="preserve"> years old</w:t>
      </w:r>
      <w:r w:rsidRPr="00BE37F1">
        <w:t xml:space="preserve"> in 2009 (Biddle </w:t>
      </w:r>
      <w:proofErr w:type="spellStart"/>
      <w:r w:rsidRPr="00BE37F1">
        <w:t>2013a</w:t>
      </w:r>
      <w:proofErr w:type="spellEnd"/>
      <w:r w:rsidRPr="00BE37F1">
        <w:t>)</w:t>
      </w:r>
    </w:p>
    <w:p w:rsidR="008D5FAC" w:rsidRDefault="008D5FAC" w:rsidP="00BE37F1">
      <w:pPr>
        <w:pStyle w:val="ListBullet"/>
      </w:pPr>
      <w:r>
        <w:t xml:space="preserve">although some of the difference in </w:t>
      </w:r>
      <w:r w:rsidR="00F01EE4">
        <w:t>Y</w:t>
      </w:r>
      <w:r>
        <w:t>ear 12 completion rates between Aboriginal and Torres Strait Islander Australians and non</w:t>
      </w:r>
      <w:r>
        <w:noBreakHyphen/>
        <w:t xml:space="preserve">Indigenous Australians can be explained </w:t>
      </w:r>
      <w:r w:rsidR="00D803B4">
        <w:t xml:space="preserve">by </w:t>
      </w:r>
      <w:r>
        <w:t xml:space="preserve">geography, </w:t>
      </w:r>
      <w:r w:rsidRPr="00A13B5C">
        <w:t xml:space="preserve">even if geographic distribution </w:t>
      </w:r>
      <w:r>
        <w:t xml:space="preserve">were the same, </w:t>
      </w:r>
      <w:r w:rsidR="00F01EE4">
        <w:t xml:space="preserve">completion rates for </w:t>
      </w:r>
      <w:r w:rsidRPr="00BE37F1">
        <w:t>Aboriginal and Torres Strait Islander Australian</w:t>
      </w:r>
      <w:r w:rsidR="00F01EE4">
        <w:t>s</w:t>
      </w:r>
      <w:r>
        <w:t xml:space="preserve"> </w:t>
      </w:r>
      <w:r w:rsidRPr="00A13B5C">
        <w:t>would still be lower</w:t>
      </w:r>
      <w:r>
        <w:t xml:space="preserve"> </w:t>
      </w:r>
      <w:r w:rsidR="00AC4004" w:rsidRPr="00AC4004">
        <w:rPr>
          <w:szCs w:val="24"/>
        </w:rPr>
        <w:t>(Bath and Biddle 2011)</w:t>
      </w:r>
    </w:p>
    <w:p w:rsidR="00FA322A" w:rsidRDefault="00FA322A" w:rsidP="00FA322A">
      <w:pPr>
        <w:pStyle w:val="ListBullet"/>
      </w:pPr>
      <w:r w:rsidRPr="00A13B5C">
        <w:t xml:space="preserve">there is </w:t>
      </w:r>
      <w:r w:rsidR="00566E8C">
        <w:t>great</w:t>
      </w:r>
      <w:r w:rsidR="00566E8C" w:rsidRPr="00A13B5C">
        <w:t xml:space="preserve"> </w:t>
      </w:r>
      <w:r w:rsidRPr="00A13B5C">
        <w:t xml:space="preserve">variation </w:t>
      </w:r>
      <w:r>
        <w:t xml:space="preserve">in income </w:t>
      </w:r>
      <w:r w:rsidRPr="00A13B5C">
        <w:t xml:space="preserve">within the </w:t>
      </w:r>
      <w:r>
        <w:t>Aboriginal and Torres Strait Islander</w:t>
      </w:r>
      <w:r w:rsidRPr="00A13B5C">
        <w:t xml:space="preserve"> population </w:t>
      </w:r>
      <w:r w:rsidR="00277EF9">
        <w:t>as well as</w:t>
      </w:r>
      <w:r w:rsidRPr="00A13B5C">
        <w:t xml:space="preserve"> </w:t>
      </w:r>
      <w:r w:rsidR="00566E8C">
        <w:t xml:space="preserve">great variation </w:t>
      </w:r>
      <w:r w:rsidRPr="00A13B5C">
        <w:t xml:space="preserve">between the </w:t>
      </w:r>
      <w:r>
        <w:t>Aboriginal and Torres Strait Islander</w:t>
      </w:r>
      <w:r w:rsidRPr="00A13B5C">
        <w:t xml:space="preserve"> </w:t>
      </w:r>
      <w:r w:rsidR="00BE37F1">
        <w:t xml:space="preserve">population and the </w:t>
      </w:r>
      <w:r w:rsidRPr="00A13B5C">
        <w:t>non</w:t>
      </w:r>
      <w:r w:rsidR="00D24C33">
        <w:noBreakHyphen/>
      </w:r>
      <w:r w:rsidRPr="00A13B5C">
        <w:t xml:space="preserve">Indigenous population. Despite this variation, for almost every demographic, geographic, education and employment combination, </w:t>
      </w:r>
      <w:r>
        <w:t>Aboriginal and Torres Strait Islander</w:t>
      </w:r>
      <w:r w:rsidRPr="00A13B5C">
        <w:t xml:space="preserve"> Australians </w:t>
      </w:r>
      <w:r w:rsidR="00D803B4">
        <w:t>had</w:t>
      </w:r>
      <w:r w:rsidR="00D803B4" w:rsidRPr="00A13B5C">
        <w:t xml:space="preserve"> </w:t>
      </w:r>
      <w:r w:rsidRPr="00A13B5C">
        <w:t>a lower average income than their non</w:t>
      </w:r>
      <w:r w:rsidR="00D24C33">
        <w:noBreakHyphen/>
      </w:r>
      <w:r w:rsidRPr="00A13B5C">
        <w:t xml:space="preserve">Indigenous counterparts. The only major exception to this </w:t>
      </w:r>
      <w:r w:rsidR="00D803B4">
        <w:t>was</w:t>
      </w:r>
      <w:r w:rsidR="00D803B4" w:rsidRPr="00A13B5C">
        <w:t xml:space="preserve"> </w:t>
      </w:r>
      <w:r>
        <w:t>Aboriginal and Torres Strait Islander</w:t>
      </w:r>
      <w:r w:rsidRPr="00A13B5C">
        <w:t xml:space="preserve"> females with a degree, who had a slightly higher average income than non</w:t>
      </w:r>
      <w:r w:rsidR="00D24C33">
        <w:noBreakHyphen/>
      </w:r>
      <w:r w:rsidRPr="00A13B5C">
        <w:t>I</w:t>
      </w:r>
      <w:r w:rsidR="00D34236">
        <w:t xml:space="preserve">ndigenous females with a degree </w:t>
      </w:r>
      <w:r w:rsidR="00AC4004" w:rsidRPr="00AC4004">
        <w:rPr>
          <w:szCs w:val="24"/>
        </w:rPr>
        <w:t>(Biddle </w:t>
      </w:r>
      <w:proofErr w:type="spellStart"/>
      <w:r w:rsidR="00AC4004" w:rsidRPr="00AC4004">
        <w:rPr>
          <w:szCs w:val="24"/>
        </w:rPr>
        <w:t>2013a</w:t>
      </w:r>
      <w:proofErr w:type="spellEnd"/>
      <w:r w:rsidR="00AC4004" w:rsidRPr="00AC4004">
        <w:rPr>
          <w:szCs w:val="24"/>
        </w:rPr>
        <w:t>)</w:t>
      </w:r>
    </w:p>
    <w:p w:rsidR="00D33797" w:rsidRDefault="004373B6" w:rsidP="008E2842">
      <w:pPr>
        <w:pStyle w:val="ListBullet"/>
      </w:pPr>
      <w:r>
        <w:t>f</w:t>
      </w:r>
      <w:r w:rsidR="00BE37F1">
        <w:t>actors affect</w:t>
      </w:r>
      <w:r w:rsidR="00D803B4">
        <w:t>ed by</w:t>
      </w:r>
      <w:r w:rsidR="00BE37F1">
        <w:t xml:space="preserve"> Aboriginal and Torres Strait Islander Australians</w:t>
      </w:r>
      <w:r w:rsidR="00BF4FC9">
        <w:t>’</w:t>
      </w:r>
      <w:r w:rsidR="00BE37F1">
        <w:t xml:space="preserve"> </w:t>
      </w:r>
      <w:r w:rsidR="00BE37F1" w:rsidRPr="008E2842">
        <w:t xml:space="preserve">location </w:t>
      </w:r>
      <w:r w:rsidR="00BE37F1">
        <w:t xml:space="preserve">include </w:t>
      </w:r>
      <w:r w:rsidR="00BE37F1" w:rsidRPr="008E2842">
        <w:t xml:space="preserve">income and housing </w:t>
      </w:r>
      <w:r w:rsidR="00BE37F1">
        <w:t xml:space="preserve">tenure. </w:t>
      </w:r>
      <w:r w:rsidR="008E2842">
        <w:t>Aboriginal and Torres Strait Islander</w:t>
      </w:r>
      <w:r w:rsidR="00D33797" w:rsidRPr="00D33797">
        <w:t xml:space="preserve"> Australians in urban areas are more likely to live in areas where their neighbours have a low inco</w:t>
      </w:r>
      <w:r w:rsidR="008E2842">
        <w:t>me or live in community rental</w:t>
      </w:r>
      <w:r w:rsidR="00F02134">
        <w:t xml:space="preserve"> </w:t>
      </w:r>
      <w:r w:rsidR="008D5FAC">
        <w:t xml:space="preserve">housing </w:t>
      </w:r>
      <w:r w:rsidR="00AC4004" w:rsidRPr="00AC4004">
        <w:rPr>
          <w:szCs w:val="24"/>
        </w:rPr>
        <w:t>(Biddle </w:t>
      </w:r>
      <w:proofErr w:type="spellStart"/>
      <w:r w:rsidR="00AC4004" w:rsidRPr="00AC4004">
        <w:rPr>
          <w:szCs w:val="24"/>
        </w:rPr>
        <w:t>2013b</w:t>
      </w:r>
      <w:proofErr w:type="spellEnd"/>
      <w:r w:rsidR="00AC4004" w:rsidRPr="00AC4004">
        <w:rPr>
          <w:szCs w:val="24"/>
        </w:rPr>
        <w:t>)</w:t>
      </w:r>
      <w:r w:rsidR="008D5FAC">
        <w:t>.</w:t>
      </w:r>
    </w:p>
    <w:p w:rsidR="0079030A" w:rsidRDefault="009F0E91" w:rsidP="00245E89">
      <w:pPr>
        <w:pStyle w:val="BodyText"/>
      </w:pPr>
      <w:r>
        <w:t xml:space="preserve">In 2011, </w:t>
      </w:r>
      <w:proofErr w:type="spellStart"/>
      <w:r>
        <w:t>CAEPR</w:t>
      </w:r>
      <w:proofErr w:type="spellEnd"/>
      <w:r>
        <w:t xml:space="preserve"> presented a number </w:t>
      </w:r>
      <w:r w:rsidR="00207EAC">
        <w:t xml:space="preserve">of online </w:t>
      </w:r>
      <w:r>
        <w:t xml:space="preserve">lectures </w:t>
      </w:r>
      <w:r w:rsidR="00BE37F1">
        <w:t>summarising</w:t>
      </w:r>
      <w:r>
        <w:t xml:space="preserve"> the</w:t>
      </w:r>
      <w:r w:rsidR="00D24C33">
        <w:t xml:space="preserve"> </w:t>
      </w:r>
      <w:r w:rsidRPr="009F0E91">
        <w:t>evidence on Indigenous wellbeing</w:t>
      </w:r>
      <w:r>
        <w:t xml:space="preserve"> from the </w:t>
      </w:r>
      <w:r w:rsidRPr="009F0E91">
        <w:t>2008 National Aboriginal and Torres Strait I</w:t>
      </w:r>
      <w:r>
        <w:t>slander Social Survey (NATSISS)</w:t>
      </w:r>
      <w:r w:rsidRPr="009F0E91">
        <w:t xml:space="preserve">, with a focus </w:t>
      </w:r>
      <w:r>
        <w:t>on</w:t>
      </w:r>
      <w:r w:rsidRPr="009F0E91">
        <w:t xml:space="preserve"> variation in measures of wellbeing across the life course</w:t>
      </w:r>
      <w:r w:rsidR="00BE37F1">
        <w:t xml:space="preserve"> (Biddle 2011)</w:t>
      </w:r>
      <w:r>
        <w:t xml:space="preserve">. </w:t>
      </w:r>
      <w:r w:rsidR="00BE37F1">
        <w:t>K</w:t>
      </w:r>
      <w:r w:rsidR="002D25BF">
        <w:t>ey findings includ</w:t>
      </w:r>
      <w:r w:rsidR="00BE37F1">
        <w:t>ed</w:t>
      </w:r>
      <w:r w:rsidR="002D25BF">
        <w:t>:</w:t>
      </w:r>
    </w:p>
    <w:p w:rsidR="002D25BF" w:rsidRDefault="002D25BF" w:rsidP="002D25BF">
      <w:pPr>
        <w:pStyle w:val="ListBullet"/>
      </w:pPr>
      <w:r>
        <w:t>health and maint</w:t>
      </w:r>
      <w:r w:rsidR="00BE37F1">
        <w:t>enance of</w:t>
      </w:r>
      <w:r>
        <w:t xml:space="preserve"> Aboriginal and Torres Strait Islander culture is a part of, and a determinant of, wellbeing </w:t>
      </w:r>
    </w:p>
    <w:p w:rsidR="002D25BF" w:rsidRDefault="002D25BF" w:rsidP="002D25BF">
      <w:pPr>
        <w:pStyle w:val="ListBullet"/>
      </w:pPr>
      <w:r>
        <w:t>being a victim of crime is associated with lower levels of emotional wellbeing, and lower subjective wellbeing is related to a higher chance of future arrest</w:t>
      </w:r>
    </w:p>
    <w:p w:rsidR="002D25BF" w:rsidRDefault="008F18B8" w:rsidP="002D25BF">
      <w:pPr>
        <w:pStyle w:val="ListBullet"/>
      </w:pPr>
      <w:r>
        <w:t>Aboriginal and Torres Strait Islander Australians living in remote areas had higher levels of emotional wellbeing and self</w:t>
      </w:r>
      <w:r w:rsidR="00D24C33">
        <w:noBreakHyphen/>
      </w:r>
      <w:r>
        <w:t>assessed health</w:t>
      </w:r>
      <w:r w:rsidR="00BE37F1" w:rsidRPr="00BE37F1">
        <w:t xml:space="preserve"> </w:t>
      </w:r>
      <w:r w:rsidR="00BE37F1">
        <w:t>than those in non</w:t>
      </w:r>
      <w:r w:rsidR="00BE37F1">
        <w:noBreakHyphen/>
        <w:t>remote areas</w:t>
      </w:r>
    </w:p>
    <w:p w:rsidR="00E10150" w:rsidRDefault="00BE37F1" w:rsidP="000A380C">
      <w:pPr>
        <w:pStyle w:val="ListBullet"/>
      </w:pPr>
      <w:r>
        <w:t xml:space="preserve">employed </w:t>
      </w:r>
      <w:r w:rsidR="00E10150">
        <w:t>Aboriginal and Torres Strait Islander Australians have higher emotional wellbeing and self</w:t>
      </w:r>
      <w:r w:rsidR="00D24C33">
        <w:noBreakHyphen/>
      </w:r>
      <w:r w:rsidR="00E10150">
        <w:t xml:space="preserve">assessed health </w:t>
      </w:r>
      <w:r>
        <w:t>than</w:t>
      </w:r>
      <w:r w:rsidR="00E10150">
        <w:t xml:space="preserve"> the unemployed </w:t>
      </w:r>
      <w:r w:rsidR="00E10150" w:rsidRPr="00313947">
        <w:rPr>
          <w:szCs w:val="24"/>
        </w:rPr>
        <w:t>(Biddle 2011)</w:t>
      </w:r>
      <w:r w:rsidR="00E10150">
        <w:t xml:space="preserve">. </w:t>
      </w:r>
    </w:p>
    <w:p w:rsidR="00566979" w:rsidRDefault="00A93E6F" w:rsidP="00566979">
      <w:pPr>
        <w:pStyle w:val="BodyText"/>
      </w:pPr>
      <w:r>
        <w:t>A recent research paper</w:t>
      </w:r>
      <w:r w:rsidR="008A5D23">
        <w:t xml:space="preserve"> </w:t>
      </w:r>
      <w:r>
        <w:t>examine</w:t>
      </w:r>
      <w:r w:rsidR="00BE37F1">
        <w:t>s</w:t>
      </w:r>
      <w:r>
        <w:t xml:space="preserve"> </w:t>
      </w:r>
      <w:r w:rsidR="008A5D23">
        <w:t xml:space="preserve">factors </w:t>
      </w:r>
      <w:r w:rsidR="00BE37F1">
        <w:t xml:space="preserve">linking </w:t>
      </w:r>
      <w:r w:rsidR="008A5D23">
        <w:t xml:space="preserve">disadvantage and education. Biddle </w:t>
      </w:r>
      <w:r w:rsidR="00704190" w:rsidRPr="00E007AF">
        <w:rPr>
          <w:szCs w:val="24"/>
        </w:rPr>
        <w:t>(</w:t>
      </w:r>
      <w:proofErr w:type="spellStart"/>
      <w:r w:rsidR="00704190" w:rsidRPr="00E007AF">
        <w:rPr>
          <w:szCs w:val="24"/>
        </w:rPr>
        <w:t>2014b</w:t>
      </w:r>
      <w:proofErr w:type="spellEnd"/>
      <w:r w:rsidR="00704190" w:rsidRPr="00E007AF">
        <w:rPr>
          <w:szCs w:val="24"/>
        </w:rPr>
        <w:t>)</w:t>
      </w:r>
      <w:r w:rsidR="00353CF7">
        <w:t xml:space="preserve"> </w:t>
      </w:r>
      <w:r w:rsidR="00566979">
        <w:t>analysed the</w:t>
      </w:r>
      <w:r w:rsidR="00566979" w:rsidRPr="00566979">
        <w:t xml:space="preserve"> </w:t>
      </w:r>
      <w:r w:rsidR="00566979">
        <w:t>NATSISS</w:t>
      </w:r>
      <w:r w:rsidR="00566979" w:rsidRPr="00566979">
        <w:t>, the Longitudinal Study of Indigenous Children (</w:t>
      </w:r>
      <w:proofErr w:type="spellStart"/>
      <w:r w:rsidR="00566979" w:rsidRPr="00566979">
        <w:t>LSIC</w:t>
      </w:r>
      <w:proofErr w:type="spellEnd"/>
      <w:r w:rsidR="00566979" w:rsidRPr="00566979">
        <w:t>), the Longitudinal Study of Australian Children (</w:t>
      </w:r>
      <w:proofErr w:type="spellStart"/>
      <w:r w:rsidR="00566979" w:rsidRPr="00566979">
        <w:t>LSAC</w:t>
      </w:r>
      <w:proofErr w:type="spellEnd"/>
      <w:r w:rsidR="00566979" w:rsidRPr="00566979">
        <w:t xml:space="preserve">) and the </w:t>
      </w:r>
      <w:proofErr w:type="spellStart"/>
      <w:r w:rsidR="00566979">
        <w:t>LSAY</w:t>
      </w:r>
      <w:proofErr w:type="spellEnd"/>
      <w:r w:rsidR="00566979">
        <w:t xml:space="preserve"> to develop a</w:t>
      </w:r>
      <w:r w:rsidR="00566979" w:rsidRPr="00566979">
        <w:t xml:space="preserve"> behavioural model that explains patterns of </w:t>
      </w:r>
      <w:r w:rsidR="00566979">
        <w:t xml:space="preserve">school </w:t>
      </w:r>
      <w:r w:rsidR="00566979" w:rsidRPr="00566979">
        <w:t>attendance</w:t>
      </w:r>
      <w:r w:rsidR="00566979">
        <w:t xml:space="preserve"> for Aboriginal and Torres Strait Islander</w:t>
      </w:r>
      <w:r w:rsidR="00566979" w:rsidRPr="00566979">
        <w:t xml:space="preserve"> children and youth</w:t>
      </w:r>
      <w:r w:rsidR="00566979">
        <w:t xml:space="preserve">. </w:t>
      </w:r>
      <w:r w:rsidR="00BF4FC9">
        <w:t>Biddle</w:t>
      </w:r>
      <w:r w:rsidR="00566979">
        <w:t xml:space="preserve"> found that Aboriginal and Torres Strait Islander students are more likely to miss school (with or without permission) than non</w:t>
      </w:r>
      <w:r w:rsidR="00FB11FE">
        <w:noBreakHyphen/>
      </w:r>
      <w:r w:rsidR="00566979">
        <w:t>Indigenous children</w:t>
      </w:r>
      <w:r w:rsidR="00BE37F1">
        <w:t>, and that a</w:t>
      </w:r>
      <w:r w:rsidR="00566979">
        <w:t xml:space="preserve"> range of </w:t>
      </w:r>
      <w:r w:rsidR="00566979" w:rsidRPr="00566979">
        <w:t>individual, school and family characteristics</w:t>
      </w:r>
      <w:r w:rsidR="00566979">
        <w:t xml:space="preserve"> explain some, but not all, of the difference. </w:t>
      </w:r>
      <w:r w:rsidR="00BE37F1">
        <w:t>K</w:t>
      </w:r>
      <w:r w:rsidR="00566979">
        <w:t xml:space="preserve">ey </w:t>
      </w:r>
      <w:r w:rsidR="00BF4FC9">
        <w:t>contributing factors</w:t>
      </w:r>
      <w:r w:rsidR="00566979">
        <w:t xml:space="preserve"> include:</w:t>
      </w:r>
    </w:p>
    <w:p w:rsidR="00FA3D74" w:rsidRDefault="00566979" w:rsidP="00FA3D74">
      <w:pPr>
        <w:pStyle w:val="ListBullet"/>
      </w:pPr>
      <w:r>
        <w:lastRenderedPageBreak/>
        <w:t>health</w:t>
      </w:r>
      <w:r w:rsidR="00BF4FC9">
        <w:t>:</w:t>
      </w:r>
      <w:r>
        <w:t xml:space="preserve"> with </w:t>
      </w:r>
      <w:r w:rsidR="00FA3D74">
        <w:t>sick</w:t>
      </w:r>
      <w:r>
        <w:t xml:space="preserve"> children </w:t>
      </w:r>
      <w:r w:rsidR="00FA3D74">
        <w:t>less</w:t>
      </w:r>
      <w:r>
        <w:t xml:space="preserve"> likely to attend school</w:t>
      </w:r>
    </w:p>
    <w:p w:rsidR="00566979" w:rsidRDefault="00566979" w:rsidP="00FA3D74">
      <w:pPr>
        <w:pStyle w:val="ListBullet"/>
      </w:pPr>
      <w:r>
        <w:t>carers with lower levels of school education</w:t>
      </w:r>
      <w:r w:rsidR="00BF4FC9">
        <w:t>: higher levels of absenteeism amongst children in their care</w:t>
      </w:r>
    </w:p>
    <w:p w:rsidR="00FA3D74" w:rsidRDefault="00FA3D74" w:rsidP="00FA3D74">
      <w:pPr>
        <w:pStyle w:val="ListBullet"/>
      </w:pPr>
      <w:r>
        <w:t>household stress</w:t>
      </w:r>
      <w:r w:rsidR="00BF4FC9">
        <w:t>:</w:t>
      </w:r>
      <w:r>
        <w:t xml:space="preserve"> housing issues and family crises predict non</w:t>
      </w:r>
      <w:r w:rsidR="00FB11FE">
        <w:noBreakHyphen/>
      </w:r>
      <w:r>
        <w:t xml:space="preserve">attendance better than children </w:t>
      </w:r>
      <w:r w:rsidR="00BF4FC9">
        <w:t xml:space="preserve">being </w:t>
      </w:r>
      <w:r>
        <w:t>from families on income support.</w:t>
      </w:r>
    </w:p>
    <w:p w:rsidR="00944396" w:rsidRDefault="00944396" w:rsidP="00944396">
      <w:pPr>
        <w:pStyle w:val="Heading3"/>
      </w:pPr>
      <w:r>
        <w:t>Telethon Kids Institute</w:t>
      </w:r>
    </w:p>
    <w:p w:rsidR="00D327C0" w:rsidRDefault="0030343A" w:rsidP="00E31BEA">
      <w:pPr>
        <w:pStyle w:val="BodyText"/>
      </w:pPr>
      <w:r>
        <w:t>The T</w:t>
      </w:r>
      <w:r w:rsidRPr="0030343A">
        <w:t xml:space="preserve">elethon </w:t>
      </w:r>
      <w:r>
        <w:t>Kids Institute is a research centre based in Western Australia</w:t>
      </w:r>
      <w:r w:rsidR="008A05B5">
        <w:t>,</w:t>
      </w:r>
      <w:r>
        <w:t xml:space="preserve"> </w:t>
      </w:r>
      <w:r w:rsidR="00B9631F">
        <w:t xml:space="preserve">which </w:t>
      </w:r>
      <w:r>
        <w:t>aims to improve the health and wellbeing of children through research</w:t>
      </w:r>
      <w:r w:rsidR="00BE37F1">
        <w:t xml:space="preserve">. It </w:t>
      </w:r>
      <w:r>
        <w:t xml:space="preserve">has an explicit focus on the health and wellbeing of Aboriginal and Torres Strait Islander children and their families. </w:t>
      </w:r>
    </w:p>
    <w:p w:rsidR="00E44DBE" w:rsidRDefault="00D327C0">
      <w:pPr>
        <w:pStyle w:val="BodyText"/>
      </w:pPr>
      <w:r>
        <w:t>Recent</w:t>
      </w:r>
      <w:r w:rsidR="008A5C55">
        <w:t xml:space="preserve"> research</w:t>
      </w:r>
      <w:r>
        <w:t xml:space="preserve"> focuses on </w:t>
      </w:r>
      <w:r w:rsidRPr="00D327C0">
        <w:t>socioeconomic factors</w:t>
      </w:r>
      <w:r>
        <w:t xml:space="preserve"> and aspects of disadvantage which</w:t>
      </w:r>
      <w:r w:rsidRPr="00D327C0">
        <w:t xml:space="preserve"> </w:t>
      </w:r>
      <w:r w:rsidR="00BE37F1">
        <w:t>affect</w:t>
      </w:r>
      <w:r w:rsidR="00BE37F1" w:rsidRPr="00D327C0">
        <w:t xml:space="preserve"> </w:t>
      </w:r>
      <w:r w:rsidRPr="00D327C0">
        <w:t xml:space="preserve">the health of </w:t>
      </w:r>
      <w:r>
        <w:t xml:space="preserve">Aboriginal and Torres Strait </w:t>
      </w:r>
      <w:r w:rsidRPr="00D327C0">
        <w:t>Islander populations</w:t>
      </w:r>
      <w:r>
        <w:t>.</w:t>
      </w:r>
      <w:r w:rsidRPr="00D327C0">
        <w:t xml:space="preserve"> </w:t>
      </w:r>
      <w:r w:rsidR="00EE0497" w:rsidRPr="00EE0497">
        <w:rPr>
          <w:szCs w:val="24"/>
        </w:rPr>
        <w:t xml:space="preserve">Shepherd, Li and </w:t>
      </w:r>
      <w:proofErr w:type="spellStart"/>
      <w:r w:rsidR="00EE0497" w:rsidRPr="00EE0497">
        <w:rPr>
          <w:szCs w:val="24"/>
        </w:rPr>
        <w:t>Zubrick</w:t>
      </w:r>
      <w:proofErr w:type="spellEnd"/>
      <w:r w:rsidR="00EE0497" w:rsidRPr="00EE0497">
        <w:rPr>
          <w:szCs w:val="24"/>
        </w:rPr>
        <w:t> </w:t>
      </w:r>
      <w:r w:rsidR="00882FAD">
        <w:rPr>
          <w:szCs w:val="24"/>
        </w:rPr>
        <w:t>(</w:t>
      </w:r>
      <w:proofErr w:type="spellStart"/>
      <w:r w:rsidR="00EE0497" w:rsidRPr="00EE0497">
        <w:rPr>
          <w:szCs w:val="24"/>
        </w:rPr>
        <w:t>2012b</w:t>
      </w:r>
      <w:proofErr w:type="spellEnd"/>
      <w:r w:rsidR="00882FAD">
        <w:t>)</w:t>
      </w:r>
      <w:r w:rsidR="008454D0">
        <w:t xml:space="preserve"> </w:t>
      </w:r>
      <w:r w:rsidR="00A66081">
        <w:t>analysed</w:t>
      </w:r>
      <w:r w:rsidR="00240D4E">
        <w:t xml:space="preserve"> the </w:t>
      </w:r>
      <w:r w:rsidR="00240D4E" w:rsidRPr="00240D4E">
        <w:t>Western Australian Aboriginal Child Health Survey (</w:t>
      </w:r>
      <w:proofErr w:type="spellStart"/>
      <w:r w:rsidR="00240D4E" w:rsidRPr="00240D4E">
        <w:t>WAACHS</w:t>
      </w:r>
      <w:proofErr w:type="spellEnd"/>
      <w:r w:rsidR="00240D4E" w:rsidRPr="00240D4E">
        <w:t>)</w:t>
      </w:r>
      <w:r w:rsidR="00A66081" w:rsidRPr="009B40B0">
        <w:rPr>
          <w:rStyle w:val="FootnoteReference"/>
        </w:rPr>
        <w:footnoteReference w:id="4"/>
      </w:r>
      <w:r w:rsidR="00240D4E">
        <w:t xml:space="preserve"> conducted in 2000–2002</w:t>
      </w:r>
      <w:r w:rsidR="00A66081">
        <w:t xml:space="preserve">, for socioeconomic differences </w:t>
      </w:r>
      <w:r w:rsidR="00882FAD">
        <w:t xml:space="preserve">in </w:t>
      </w:r>
      <w:r w:rsidR="00A66081">
        <w:t xml:space="preserve">the physical health of Aboriginal and Torres Strait Islander children in Western Australia. They found that </w:t>
      </w:r>
      <w:r w:rsidR="008D3356">
        <w:t>socioeconomic characteristics</w:t>
      </w:r>
      <w:r w:rsidR="00882FAD">
        <w:t xml:space="preserve"> </w:t>
      </w:r>
      <w:r w:rsidR="008D3356">
        <w:t xml:space="preserve">of carers (educational attainment of both primary and secondary carers and highest occupational class of carers), families/households (family financial strain, housing tenure, housing quality) and neighbourhoods/communities (two indexes of </w:t>
      </w:r>
      <w:proofErr w:type="spellStart"/>
      <w:r w:rsidR="008D3356">
        <w:t>socio</w:t>
      </w:r>
      <w:r w:rsidR="00D24C33">
        <w:noBreakHyphen/>
      </w:r>
      <w:r w:rsidR="008D3356">
        <w:t>economic</w:t>
      </w:r>
      <w:proofErr w:type="spellEnd"/>
      <w:r w:rsidR="008D3356">
        <w:t xml:space="preserve"> disadvantage)</w:t>
      </w:r>
      <w:r w:rsidR="00342C45">
        <w:t xml:space="preserve"> </w:t>
      </w:r>
      <w:r w:rsidR="008D3356">
        <w:t xml:space="preserve">all have an influence on the physical health of </w:t>
      </w:r>
      <w:r w:rsidR="000331D6">
        <w:t>Aboriginal and Torres Strait Islander</w:t>
      </w:r>
      <w:r w:rsidR="008D3356">
        <w:t xml:space="preserve"> children</w:t>
      </w:r>
      <w:r w:rsidR="00154A8E">
        <w:t xml:space="preserve">, with the strongest impact seen with </w:t>
      </w:r>
      <w:r w:rsidR="008D3356">
        <w:t xml:space="preserve">area measures of socioeconomic status. Moreover, </w:t>
      </w:r>
      <w:r w:rsidR="00A66081">
        <w:t>within the Aboriginal and Torres Strait Islander population</w:t>
      </w:r>
      <w:r w:rsidR="008D3356">
        <w:t xml:space="preserve"> aged 0</w:t>
      </w:r>
      <w:r w:rsidR="000331D6">
        <w:t>–</w:t>
      </w:r>
      <w:r w:rsidR="008D3356">
        <w:t>17</w:t>
      </w:r>
      <w:r w:rsidR="000331D6">
        <w:t xml:space="preserve"> years</w:t>
      </w:r>
      <w:r w:rsidR="00882FAD">
        <w:t>,</w:t>
      </w:r>
      <w:r w:rsidR="008D3356">
        <w:t xml:space="preserve"> the rate of ear infections, recurring chest infections and sensory function problems followed a ‘positive social gradient’ — that is, as socioeconomic status </w:t>
      </w:r>
      <w:r w:rsidR="004373B6">
        <w:t>increased</w:t>
      </w:r>
      <w:r w:rsidR="008D3356">
        <w:t xml:space="preserve"> the rate of these health problems decreased. However, the reverse phenomena was found for asthma, accidents and injuries, and oral health problems — that is</w:t>
      </w:r>
      <w:r w:rsidR="00882FAD">
        <w:t>,</w:t>
      </w:r>
      <w:r w:rsidR="008D3356">
        <w:t xml:space="preserve"> as </w:t>
      </w:r>
      <w:r w:rsidR="008D3356" w:rsidRPr="008D3356">
        <w:t xml:space="preserve">socioeconomic status increased, the rate of these health problems </w:t>
      </w:r>
      <w:r w:rsidR="008D3356">
        <w:t>also increased</w:t>
      </w:r>
      <w:r w:rsidR="00A22433">
        <w:t xml:space="preserve">. Whilst the factors behind this phenomena were not tested by the authors, they theorised that it could be due to a decrease in early childhood exposure to infections (asthma), a greater </w:t>
      </w:r>
      <w:r w:rsidR="00DE73F1">
        <w:t>availability of recreational activities and facilities</w:t>
      </w:r>
      <w:r w:rsidR="00A22433">
        <w:t xml:space="preserve"> (accidents and injuries), and better access to dental health services (</w:t>
      </w:r>
      <w:r w:rsidR="005614ED">
        <w:t xml:space="preserve">detection of </w:t>
      </w:r>
      <w:r w:rsidR="00A22433">
        <w:t>oral health problems).</w:t>
      </w:r>
    </w:p>
    <w:p w:rsidR="00154A8E" w:rsidRDefault="00EE0497" w:rsidP="00154A8E">
      <w:pPr>
        <w:pStyle w:val="BodyText"/>
      </w:pPr>
      <w:r w:rsidRPr="00EE0497">
        <w:rPr>
          <w:szCs w:val="24"/>
        </w:rPr>
        <w:t>Shepherd et al. </w:t>
      </w:r>
      <w:r w:rsidR="00882FAD">
        <w:rPr>
          <w:szCs w:val="24"/>
        </w:rPr>
        <w:t>(</w:t>
      </w:r>
      <w:r w:rsidRPr="00EE0497">
        <w:rPr>
          <w:szCs w:val="24"/>
        </w:rPr>
        <w:t>2012)</w:t>
      </w:r>
      <w:r w:rsidR="00154A8E">
        <w:t xml:space="preserve"> conducted a similar analys</w:t>
      </w:r>
      <w:r w:rsidR="00BE37F1">
        <w:t>i</w:t>
      </w:r>
      <w:r w:rsidR="00154A8E">
        <w:t>s focusing on the mental health of Aboriginal and Torres Strait Islander children. Th</w:t>
      </w:r>
      <w:r w:rsidR="001D5309">
        <w:t>is</w:t>
      </w:r>
      <w:r w:rsidR="00154A8E">
        <w:t xml:space="preserve"> study found that</w:t>
      </w:r>
      <w:r w:rsidR="00154A8E" w:rsidRPr="00154A8E">
        <w:t xml:space="preserve"> </w:t>
      </w:r>
      <w:r w:rsidR="00154A8E">
        <w:t>higher parental and household socioeconomic status was generally associated with better child mental health outcomes. There was also evidence of a positive social gradient, with a higher risk of</w:t>
      </w:r>
      <w:r w:rsidR="00342C45">
        <w:t xml:space="preserve"> </w:t>
      </w:r>
      <w:r w:rsidR="00154A8E">
        <w:lastRenderedPageBreak/>
        <w:t xml:space="preserve">‘clinically significant emotional or behavioural difficulties’ in those </w:t>
      </w:r>
      <w:r w:rsidR="0046481A">
        <w:t xml:space="preserve">experiencing more disadvantage, especially in the areas of </w:t>
      </w:r>
      <w:r w:rsidR="0046481A" w:rsidRPr="0046481A">
        <w:t>housing quality and tenure</w:t>
      </w:r>
      <w:r w:rsidR="0046481A">
        <w:t>.</w:t>
      </w:r>
    </w:p>
    <w:p w:rsidR="00CE65B1" w:rsidRDefault="00334A33" w:rsidP="00154A8E">
      <w:pPr>
        <w:pStyle w:val="BodyText"/>
      </w:pPr>
      <w:r>
        <w:t xml:space="preserve">Both the work of </w:t>
      </w:r>
      <w:proofErr w:type="spellStart"/>
      <w:r>
        <w:t>CAEPR</w:t>
      </w:r>
      <w:proofErr w:type="spellEnd"/>
      <w:r>
        <w:t xml:space="preserve"> and </w:t>
      </w:r>
      <w:r w:rsidR="000874A4">
        <w:t xml:space="preserve">the </w:t>
      </w:r>
      <w:r w:rsidR="000874A4" w:rsidRPr="000874A4">
        <w:t>Telethon Kids Institute</w:t>
      </w:r>
      <w:r w:rsidR="00CE65B1">
        <w:t xml:space="preserve"> advocate an understanding of the different impacts of</w:t>
      </w:r>
      <w:r w:rsidR="00342C45">
        <w:t xml:space="preserve"> </w:t>
      </w:r>
      <w:r w:rsidR="00CE65B1" w:rsidRPr="00CE65B1">
        <w:t>socioeconomic status</w:t>
      </w:r>
      <w:r w:rsidR="00CE65B1">
        <w:t xml:space="preserve"> across Aboriginal and Torres Strait Islander and non</w:t>
      </w:r>
      <w:r w:rsidR="00D24C33">
        <w:noBreakHyphen/>
      </w:r>
      <w:r w:rsidR="00CE65B1">
        <w:t xml:space="preserve">Indigenous populations, and note that the understanding of concepts such as </w:t>
      </w:r>
      <w:r w:rsidR="00CE65B1" w:rsidRPr="00CE65B1">
        <w:t>participation</w:t>
      </w:r>
      <w:r w:rsidR="00CE65B1">
        <w:t xml:space="preserve"> in the labour market, income, and </w:t>
      </w:r>
      <w:r w:rsidR="00CE65B1" w:rsidRPr="00CE65B1">
        <w:t>educational attainment</w:t>
      </w:r>
      <w:r w:rsidR="00CE65B1">
        <w:t xml:space="preserve"> may differ between these populations</w:t>
      </w:r>
      <w:r w:rsidR="00EE0497">
        <w:t xml:space="preserve">. As such, </w:t>
      </w:r>
      <w:r w:rsidR="00D803B4">
        <w:t>the extent to which</w:t>
      </w:r>
      <w:r w:rsidR="00EE0497">
        <w:t xml:space="preserve"> multiple disadvantage</w:t>
      </w:r>
      <w:r w:rsidR="00CE65B1">
        <w:t xml:space="preserve"> </w:t>
      </w:r>
      <w:r w:rsidR="00EE0497">
        <w:t xml:space="preserve">can be </w:t>
      </w:r>
      <w:r w:rsidR="00D803B4">
        <w:t xml:space="preserve">lessened as a result of </w:t>
      </w:r>
      <w:r w:rsidR="00EE0497">
        <w:t xml:space="preserve">improvements in these areas may also be different </w:t>
      </w:r>
      <w:r w:rsidR="00882FAD">
        <w:t>to how these gains would be made in the non</w:t>
      </w:r>
      <w:r w:rsidR="00D24C33">
        <w:noBreakHyphen/>
      </w:r>
      <w:r w:rsidR="00882FAD">
        <w:t xml:space="preserve">Indigenous population </w:t>
      </w:r>
      <w:r w:rsidR="00D24C33" w:rsidRPr="00D24C33">
        <w:rPr>
          <w:szCs w:val="24"/>
        </w:rPr>
        <w:t xml:space="preserve">(Biddle 2009; Shepherd, Li and </w:t>
      </w:r>
      <w:proofErr w:type="spellStart"/>
      <w:r w:rsidR="00D24C33" w:rsidRPr="00D24C33">
        <w:rPr>
          <w:szCs w:val="24"/>
        </w:rPr>
        <w:t>Zubrick</w:t>
      </w:r>
      <w:proofErr w:type="spellEnd"/>
      <w:r w:rsidR="00D24C33" w:rsidRPr="00D24C33">
        <w:rPr>
          <w:szCs w:val="24"/>
        </w:rPr>
        <w:t> </w:t>
      </w:r>
      <w:proofErr w:type="spellStart"/>
      <w:r w:rsidR="00D24C33" w:rsidRPr="00D24C33">
        <w:rPr>
          <w:szCs w:val="24"/>
        </w:rPr>
        <w:t>2012a</w:t>
      </w:r>
      <w:proofErr w:type="spellEnd"/>
      <w:r w:rsidR="00D24C33" w:rsidRPr="00D24C33">
        <w:rPr>
          <w:szCs w:val="24"/>
        </w:rPr>
        <w:t xml:space="preserve">, </w:t>
      </w:r>
      <w:proofErr w:type="spellStart"/>
      <w:r w:rsidR="00D24C33" w:rsidRPr="00D24C33">
        <w:rPr>
          <w:szCs w:val="24"/>
        </w:rPr>
        <w:t>2012b</w:t>
      </w:r>
      <w:proofErr w:type="spellEnd"/>
      <w:r w:rsidR="00D24C33" w:rsidRPr="00D24C33">
        <w:rPr>
          <w:szCs w:val="24"/>
        </w:rPr>
        <w:t>)</w:t>
      </w:r>
      <w:r w:rsidR="00D24C33">
        <w:t>.</w:t>
      </w:r>
      <w:r w:rsidR="00EE0497">
        <w:t xml:space="preserve"> </w:t>
      </w:r>
    </w:p>
    <w:p w:rsidR="00EE48C4" w:rsidRDefault="00A6748E" w:rsidP="00A6748E">
      <w:pPr>
        <w:pStyle w:val="Heading2"/>
      </w:pPr>
      <w:r>
        <w:t xml:space="preserve">13.3 </w:t>
      </w:r>
      <w:r w:rsidR="00337CEC">
        <w:t>References</w:t>
      </w:r>
    </w:p>
    <w:p w:rsidR="00AC4004" w:rsidRPr="00AC4004" w:rsidRDefault="00AC4004" w:rsidP="00AC4004">
      <w:pPr>
        <w:pStyle w:val="Reference"/>
      </w:pPr>
      <w:r w:rsidRPr="00AC4004">
        <w:t xml:space="preserve">Bath, J. and Biddle, N. 2011, ‘Measures of Wellbeing for Indigenous Children’, </w:t>
      </w:r>
      <w:r w:rsidRPr="00AC4004">
        <w:rPr>
          <w:i/>
          <w:iCs/>
        </w:rPr>
        <w:t xml:space="preserve">Measures of Indigenous Wellbeing and Their Determinants Across the </w:t>
      </w:r>
      <w:proofErr w:type="spellStart"/>
      <w:r w:rsidRPr="00AC4004">
        <w:rPr>
          <w:i/>
          <w:iCs/>
        </w:rPr>
        <w:t>Lifecourse</w:t>
      </w:r>
      <w:proofErr w:type="spellEnd"/>
      <w:r w:rsidRPr="00AC4004">
        <w:t xml:space="preserve">, 2011 </w:t>
      </w:r>
      <w:proofErr w:type="spellStart"/>
      <w:r w:rsidRPr="00AC4004">
        <w:t>CAEPR</w:t>
      </w:r>
      <w:proofErr w:type="spellEnd"/>
      <w:r w:rsidRPr="00AC4004">
        <w:t xml:space="preserve"> Lecture Series, Centre for Aboriginal Economic Policy Research, </w:t>
      </w:r>
      <w:proofErr w:type="spellStart"/>
      <w:r w:rsidRPr="00AC4004">
        <w:t>ANU</w:t>
      </w:r>
      <w:proofErr w:type="spellEnd"/>
      <w:r w:rsidRPr="00AC4004">
        <w:t>, Canberra.</w:t>
      </w:r>
    </w:p>
    <w:p w:rsidR="00AC4004" w:rsidRPr="00AC4004" w:rsidRDefault="00AC4004" w:rsidP="00AC4004">
      <w:pPr>
        <w:pStyle w:val="Reference"/>
      </w:pPr>
      <w:r w:rsidRPr="00AC4004">
        <w:t xml:space="preserve">—— and —— 2013, ‘Education Part 1: Early Childhood Education’, Indigenous Population Project: 2011 Census Papers, Centre for Aboriginal Economic Policy Research, </w:t>
      </w:r>
      <w:proofErr w:type="spellStart"/>
      <w:r w:rsidRPr="00AC4004">
        <w:t>ANU</w:t>
      </w:r>
      <w:proofErr w:type="spellEnd"/>
      <w:r w:rsidRPr="00AC4004">
        <w:t>, Canberra.</w:t>
      </w:r>
    </w:p>
    <w:p w:rsidR="00AC4004" w:rsidRPr="00AC4004" w:rsidRDefault="00AC4004" w:rsidP="00AC4004">
      <w:pPr>
        <w:pStyle w:val="Reference"/>
      </w:pPr>
      <w:r w:rsidRPr="00AC4004">
        <w:t xml:space="preserve">Biddle, N. 2009, </w:t>
      </w:r>
      <w:r w:rsidRPr="00AC4004">
        <w:rPr>
          <w:i/>
          <w:iCs/>
        </w:rPr>
        <w:t>Ranking regions revisiting an index of relative Indigenous socioeconomic outcomes</w:t>
      </w:r>
      <w:r w:rsidRPr="00AC4004">
        <w:t xml:space="preserve">, Centre for Aboriginal Economic Policy Research, </w:t>
      </w:r>
      <w:proofErr w:type="spellStart"/>
      <w:r w:rsidRPr="00AC4004">
        <w:t>ANU</w:t>
      </w:r>
      <w:proofErr w:type="spellEnd"/>
      <w:r w:rsidRPr="00AC4004">
        <w:t>, [Canberra].</w:t>
      </w:r>
    </w:p>
    <w:p w:rsidR="00AC4004" w:rsidRPr="00AC4004" w:rsidRDefault="00AC4004" w:rsidP="00AC4004">
      <w:pPr>
        <w:pStyle w:val="Reference"/>
      </w:pPr>
      <w:r w:rsidRPr="00AC4004">
        <w:t xml:space="preserve">—— 2011, ‘Measures of Indigenous wellbeing and their determinants across the </w:t>
      </w:r>
      <w:proofErr w:type="spellStart"/>
      <w:r w:rsidRPr="00AC4004">
        <w:t>lifecourse</w:t>
      </w:r>
      <w:proofErr w:type="spellEnd"/>
      <w:r w:rsidRPr="00AC4004">
        <w:t>: Summary and conclusions’, vol. 13, http://caepr.anu.edu.au/sites/default/files/page/2011/01/Lec12_Paper.pdf (accessed 21 July 2014).</w:t>
      </w:r>
    </w:p>
    <w:p w:rsidR="00AC4004" w:rsidRPr="00AC4004" w:rsidRDefault="00AC4004" w:rsidP="00AC4004">
      <w:pPr>
        <w:pStyle w:val="Reference"/>
      </w:pPr>
      <w:r w:rsidRPr="00AC4004">
        <w:t xml:space="preserve">—— </w:t>
      </w:r>
      <w:proofErr w:type="spellStart"/>
      <w:r w:rsidRPr="00AC4004">
        <w:t>2013a</w:t>
      </w:r>
      <w:proofErr w:type="spellEnd"/>
      <w:r w:rsidRPr="00AC4004">
        <w:t xml:space="preserve">, ‘Income’, Indigenous Population Project: 2011 Census Papers, Centre for Aboriginal Economic Policy Research, </w:t>
      </w:r>
      <w:proofErr w:type="spellStart"/>
      <w:r w:rsidRPr="00AC4004">
        <w:t>ANU</w:t>
      </w:r>
      <w:proofErr w:type="spellEnd"/>
      <w:r w:rsidRPr="00AC4004">
        <w:t>, Canberra.</w:t>
      </w:r>
    </w:p>
    <w:p w:rsidR="00AC4004" w:rsidRPr="00AC4004" w:rsidRDefault="00AC4004" w:rsidP="00AC4004">
      <w:pPr>
        <w:pStyle w:val="Reference"/>
      </w:pPr>
      <w:r w:rsidRPr="00AC4004">
        <w:t xml:space="preserve">—— </w:t>
      </w:r>
      <w:proofErr w:type="spellStart"/>
      <w:r w:rsidRPr="00AC4004">
        <w:t>2013b</w:t>
      </w:r>
      <w:proofErr w:type="spellEnd"/>
      <w:r w:rsidRPr="00AC4004">
        <w:t xml:space="preserve">, ‘Residential Segregation: Income and Housing Dimensions’, Indigenous Population Project: 2011 Census Papers, Centre for Aboriginal Economic Policy Research, </w:t>
      </w:r>
      <w:proofErr w:type="spellStart"/>
      <w:r w:rsidRPr="00AC4004">
        <w:t>ANU</w:t>
      </w:r>
      <w:proofErr w:type="spellEnd"/>
      <w:r w:rsidRPr="00AC4004">
        <w:t>, Canberra.</w:t>
      </w:r>
    </w:p>
    <w:p w:rsidR="00AC4004" w:rsidRPr="00AC4004" w:rsidRDefault="00AC4004" w:rsidP="00AC4004">
      <w:pPr>
        <w:pStyle w:val="Reference"/>
      </w:pPr>
      <w:r w:rsidRPr="00AC4004">
        <w:t xml:space="preserve">Biddle, N. </w:t>
      </w:r>
      <w:proofErr w:type="spellStart"/>
      <w:r w:rsidRPr="00AC4004">
        <w:t>2014a</w:t>
      </w:r>
      <w:proofErr w:type="spellEnd"/>
      <w:r w:rsidRPr="00AC4004">
        <w:t xml:space="preserve">, </w:t>
      </w:r>
      <w:r w:rsidRPr="00AC4004">
        <w:rPr>
          <w:i/>
          <w:iCs/>
        </w:rPr>
        <w:t>Data about and for Aboriginal and Torres Strait Islander Australians</w:t>
      </w:r>
      <w:r w:rsidRPr="00AC4004">
        <w:t>, Issue paper no. 10, Produced for the Closing the Gap Clearinghouse, Canberra: Australian Institute of Health and Welfare &amp; Melbourne: Australian Institute of Family Studies.</w:t>
      </w:r>
      <w:bookmarkStart w:id="3" w:name="_GoBack"/>
      <w:bookmarkEnd w:id="3"/>
    </w:p>
    <w:p w:rsidR="00AC4004" w:rsidRPr="00AC4004" w:rsidRDefault="00AC4004" w:rsidP="00AC4004">
      <w:pPr>
        <w:pStyle w:val="Reference"/>
      </w:pPr>
      <w:r w:rsidRPr="00AC4004">
        <w:t xml:space="preserve">Biddle, N. </w:t>
      </w:r>
      <w:proofErr w:type="spellStart"/>
      <w:r w:rsidRPr="00AC4004">
        <w:t>2014b</w:t>
      </w:r>
      <w:proofErr w:type="spellEnd"/>
      <w:r w:rsidRPr="00AC4004">
        <w:t>, ‘Developing a behavioural model of school attendance: policy implications for Indigenous children and youth’, http://</w:t>
      </w:r>
      <w:proofErr w:type="spellStart"/>
      <w:r w:rsidRPr="00AC4004">
        <w:t>caepr.anu.edu.au</w:t>
      </w:r>
      <w:proofErr w:type="spellEnd"/>
      <w:r w:rsidRPr="00AC4004">
        <w:t>/Publications/WP/</w:t>
      </w:r>
      <w:proofErr w:type="spellStart"/>
      <w:r w:rsidRPr="00AC4004">
        <w:t>2014WP94.php</w:t>
      </w:r>
      <w:proofErr w:type="spellEnd"/>
      <w:r w:rsidRPr="00AC4004">
        <w:t xml:space="preserve"> (accessed 20 August 2014).</w:t>
      </w:r>
    </w:p>
    <w:p w:rsidR="00AC4004" w:rsidRPr="00AC4004" w:rsidRDefault="00AC4004" w:rsidP="00AC4004">
      <w:pPr>
        <w:pStyle w:val="Reference"/>
      </w:pPr>
      <w:r w:rsidRPr="00AC4004">
        <w:t xml:space="preserve">Productivity Commission 2013, ‘Better Indigenous Policies: The Role of Evaluation’, </w:t>
      </w:r>
      <w:r w:rsidRPr="00AC4004">
        <w:rPr>
          <w:i/>
          <w:iCs/>
        </w:rPr>
        <w:t>Better Indigenous Policies: The Role of Evaluation - Roundtable proceedings</w:t>
      </w:r>
      <w:r w:rsidRPr="00AC4004">
        <w:t xml:space="preserve">, </w:t>
      </w:r>
      <w:r w:rsidRPr="00AC4004">
        <w:lastRenderedPageBreak/>
        <w:t>http://www.pc.gov.au/research/conference-proceedings/better-indigenous-policies (accessed 20 August 2014).</w:t>
      </w:r>
    </w:p>
    <w:p w:rsidR="00AC4004" w:rsidRPr="00AC4004" w:rsidRDefault="00AC4004" w:rsidP="00AC4004">
      <w:pPr>
        <w:pStyle w:val="Reference"/>
      </w:pPr>
      <w:r w:rsidRPr="00AC4004">
        <w:t xml:space="preserve">Shepherd, C.C., Li, J., </w:t>
      </w:r>
      <w:proofErr w:type="spellStart"/>
      <w:r w:rsidRPr="00AC4004">
        <w:t>Mitrou</w:t>
      </w:r>
      <w:proofErr w:type="spellEnd"/>
      <w:r w:rsidRPr="00AC4004">
        <w:t xml:space="preserve">, F. and </w:t>
      </w:r>
      <w:proofErr w:type="spellStart"/>
      <w:r w:rsidRPr="00AC4004">
        <w:t>Zubrick</w:t>
      </w:r>
      <w:proofErr w:type="spellEnd"/>
      <w:r w:rsidRPr="00AC4004">
        <w:t xml:space="preserve">, S.R. 2012, ‘Socioeconomic disparities in the mental health of Indigenous children in Western Australia’, </w:t>
      </w:r>
      <w:r w:rsidRPr="00AC4004">
        <w:rPr>
          <w:i/>
          <w:iCs/>
        </w:rPr>
        <w:t>BMC public health</w:t>
      </w:r>
      <w:r w:rsidRPr="00AC4004">
        <w:t>, vol. 12, no. 1, p. 756.</w:t>
      </w:r>
    </w:p>
    <w:p w:rsidR="00AC4004" w:rsidRPr="00AC4004" w:rsidRDefault="00AC4004" w:rsidP="00AC4004">
      <w:pPr>
        <w:pStyle w:val="Reference"/>
      </w:pPr>
      <w:r w:rsidRPr="00AC4004">
        <w:t xml:space="preserve">——, —— and </w:t>
      </w:r>
      <w:proofErr w:type="spellStart"/>
      <w:r w:rsidRPr="00AC4004">
        <w:t>Zubrick</w:t>
      </w:r>
      <w:proofErr w:type="spellEnd"/>
      <w:r w:rsidRPr="00AC4004">
        <w:t xml:space="preserve">, S.R. </w:t>
      </w:r>
      <w:proofErr w:type="spellStart"/>
      <w:r w:rsidRPr="00AC4004">
        <w:t>2012a</w:t>
      </w:r>
      <w:proofErr w:type="spellEnd"/>
      <w:r w:rsidRPr="00AC4004">
        <w:t xml:space="preserve">, ‘Social gradients in the health of indigenous </w:t>
      </w:r>
      <w:proofErr w:type="spellStart"/>
      <w:r w:rsidRPr="00AC4004">
        <w:t>australians</w:t>
      </w:r>
      <w:proofErr w:type="spellEnd"/>
      <w:r w:rsidRPr="00AC4004">
        <w:t xml:space="preserve">’, </w:t>
      </w:r>
      <w:r w:rsidRPr="00AC4004">
        <w:rPr>
          <w:i/>
          <w:iCs/>
        </w:rPr>
        <w:t>American journal of public health</w:t>
      </w:r>
      <w:r w:rsidRPr="00AC4004">
        <w:t>, vol. 102, no. 1, pp. 107–117.</w:t>
      </w:r>
    </w:p>
    <w:p w:rsidR="00AC4004" w:rsidRPr="00AC4004" w:rsidRDefault="00AC4004" w:rsidP="00AC4004">
      <w:pPr>
        <w:pStyle w:val="Reference"/>
      </w:pPr>
      <w:r w:rsidRPr="00AC4004">
        <w:t xml:space="preserve">Shepherd, C.C., Li, J. and </w:t>
      </w:r>
      <w:proofErr w:type="spellStart"/>
      <w:r w:rsidRPr="00AC4004">
        <w:t>Zubrick</w:t>
      </w:r>
      <w:proofErr w:type="spellEnd"/>
      <w:r w:rsidRPr="00AC4004">
        <w:t xml:space="preserve">, S.R. </w:t>
      </w:r>
      <w:proofErr w:type="spellStart"/>
      <w:r w:rsidRPr="00AC4004">
        <w:t>2012b</w:t>
      </w:r>
      <w:proofErr w:type="spellEnd"/>
      <w:r w:rsidRPr="00AC4004">
        <w:t xml:space="preserve">, ‘Socioeconomic disparities in physical health among Aboriginal and Torres Strait Islander children in Western Australia’, </w:t>
      </w:r>
      <w:r w:rsidRPr="00AC4004">
        <w:rPr>
          <w:i/>
          <w:iCs/>
        </w:rPr>
        <w:t>Ethnicity &amp; health</w:t>
      </w:r>
      <w:r w:rsidRPr="00AC4004">
        <w:t>, vol. 17, no. 5, pp. 439–461.</w:t>
      </w:r>
    </w:p>
    <w:p w:rsidR="00AC4004" w:rsidRPr="00AC4004" w:rsidRDefault="00AC4004" w:rsidP="00AC4004">
      <w:pPr>
        <w:pStyle w:val="Reference"/>
      </w:pPr>
      <w:r w:rsidRPr="00AC4004">
        <w:t xml:space="preserve">Steering Committee for the Review of Government Service Provision 2009, </w:t>
      </w:r>
      <w:r w:rsidRPr="00AC4004">
        <w:rPr>
          <w:i/>
          <w:iCs/>
        </w:rPr>
        <w:t>Overcoming Indigenous Disadvantage: Key Indicators 2009</w:t>
      </w:r>
      <w:r w:rsidRPr="00AC4004">
        <w:t>, Productivity Commission, Canberra.</w:t>
      </w:r>
    </w:p>
    <w:p w:rsidR="00AC4004" w:rsidRPr="00AC4004" w:rsidRDefault="00AC4004" w:rsidP="00AC4004">
      <w:pPr>
        <w:pStyle w:val="Reference"/>
      </w:pPr>
      <w:r w:rsidRPr="00AC4004">
        <w:t xml:space="preserve">—— 2011, </w:t>
      </w:r>
      <w:r w:rsidRPr="00AC4004">
        <w:rPr>
          <w:i/>
          <w:iCs/>
        </w:rPr>
        <w:t>Overcoming Indigenous Disadvantage: Key Indicators 2011</w:t>
      </w:r>
      <w:r w:rsidRPr="00AC4004">
        <w:t>, Productivity Commission, Canberra.</w:t>
      </w:r>
    </w:p>
    <w:p w:rsidR="00AC4004" w:rsidRPr="00AC4004" w:rsidRDefault="00AC4004" w:rsidP="00AC4004">
      <w:pPr>
        <w:pStyle w:val="Reference"/>
      </w:pPr>
      <w:proofErr w:type="spellStart"/>
      <w:r w:rsidRPr="00AC4004">
        <w:t>Zubrick</w:t>
      </w:r>
      <w:proofErr w:type="spellEnd"/>
      <w:r w:rsidRPr="00AC4004">
        <w:t xml:space="preserve">, S.R., Shepherd, C.C., Dudgeon, P., Gee, G., </w:t>
      </w:r>
      <w:proofErr w:type="spellStart"/>
      <w:r w:rsidRPr="00AC4004">
        <w:t>Paradies</w:t>
      </w:r>
      <w:proofErr w:type="spellEnd"/>
      <w:r w:rsidRPr="00AC4004">
        <w:t xml:space="preserve">, Y., </w:t>
      </w:r>
      <w:proofErr w:type="spellStart"/>
      <w:r w:rsidRPr="00AC4004">
        <w:t>Scrine</w:t>
      </w:r>
      <w:proofErr w:type="spellEnd"/>
      <w:r w:rsidRPr="00AC4004">
        <w:t xml:space="preserve">, C. and Walker, R. 2014, ‘Social Determinants of Social and Emotional Wellbeing’, </w:t>
      </w:r>
      <w:r w:rsidRPr="00AC4004">
        <w:rPr>
          <w:i/>
          <w:iCs/>
        </w:rPr>
        <w:t>Working together: Aboriginal and Torres Strait Islander mental health and wellbeing principles and practice - 2nd edition</w:t>
      </w:r>
      <w:r w:rsidRPr="00AC4004">
        <w:t>, http://</w:t>
      </w:r>
      <w:proofErr w:type="spellStart"/>
      <w:r w:rsidRPr="00AC4004">
        <w:t>apo.org.au</w:t>
      </w:r>
      <w:proofErr w:type="spellEnd"/>
      <w:r w:rsidRPr="00AC4004">
        <w:t>/node/39689 (accessed 30 July 2014).</w:t>
      </w:r>
    </w:p>
    <w:p w:rsidR="001A47F8" w:rsidRPr="00AC4004" w:rsidRDefault="001A47F8" w:rsidP="00AC4004">
      <w:pPr>
        <w:pStyle w:val="Reference"/>
      </w:pPr>
    </w:p>
    <w:sectPr w:rsidR="001A47F8" w:rsidRPr="00AC4004" w:rsidSect="0090536B">
      <w:headerReference w:type="even" r:id="rId20"/>
      <w:headerReference w:type="default" r:id="rId21"/>
      <w:footerReference w:type="even" r:id="rId22"/>
      <w:footerReference w:type="default" r:id="rId23"/>
      <w:pgSz w:w="11907" w:h="16840" w:code="9"/>
      <w:pgMar w:top="1984" w:right="1304" w:bottom="1134"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3E3" w:rsidRDefault="001A63E3">
      <w:r>
        <w:separator/>
      </w:r>
    </w:p>
  </w:endnote>
  <w:endnote w:type="continuationSeparator" w:id="0">
    <w:p w:rsidR="001A63E3" w:rsidRDefault="001A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16F" w:rsidRDefault="0093116F">
    <w:pPr>
      <w:pStyle w:val="FooterEnd"/>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93116F" w:rsidTr="005F48ED">
      <w:trPr>
        <w:trHeight w:hRule="exact" w:val="567"/>
      </w:trPr>
      <w:tc>
        <w:tcPr>
          <w:tcW w:w="510" w:type="dxa"/>
        </w:tcPr>
        <w:p w:rsidR="0093116F" w:rsidRPr="00A24443" w:rsidRDefault="0093116F" w:rsidP="0019293B">
          <w:pPr>
            <w:pStyle w:val="Footer"/>
            <w:tabs>
              <w:tab w:val="left" w:pos="0"/>
            </w:tabs>
            <w:ind w:right="0"/>
            <w:rPr>
              <w:rStyle w:val="PageNumber"/>
              <w:caps w:val="0"/>
            </w:rPr>
          </w:pPr>
          <w:r>
            <w:rPr>
              <w:rStyle w:val="PageNumber"/>
              <w:caps w:val="0"/>
            </w:rPr>
            <w:t>13.</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6748E">
            <w:rPr>
              <w:rStyle w:val="PageNumber"/>
              <w:caps w:val="0"/>
              <w:noProof/>
            </w:rPr>
            <w:t>16</w:t>
          </w:r>
          <w:r w:rsidRPr="00A24443">
            <w:rPr>
              <w:rStyle w:val="PageNumber"/>
              <w:caps w:val="0"/>
            </w:rPr>
            <w:fldChar w:fldCharType="end"/>
          </w:r>
        </w:p>
      </w:tc>
      <w:tc>
        <w:tcPr>
          <w:tcW w:w="7767" w:type="dxa"/>
        </w:tcPr>
        <w:p w:rsidR="0093116F" w:rsidRPr="0013739A" w:rsidRDefault="0062055F" w:rsidP="0013739A">
          <w:pPr>
            <w:pStyle w:val="Footer"/>
            <w:rPr>
              <w:rFonts w:cs="Arial"/>
            </w:rPr>
          </w:pPr>
          <w:r>
            <w:rPr>
              <w:rFonts w:cs="Arial"/>
            </w:rPr>
            <w:t>Overcoming Indigenous disadvantage 2014</w:t>
          </w:r>
          <w:bookmarkStart w:id="4" w:name="DraftReportEven"/>
          <w:bookmarkEnd w:id="4"/>
        </w:p>
      </w:tc>
      <w:tc>
        <w:tcPr>
          <w:tcW w:w="510" w:type="dxa"/>
        </w:tcPr>
        <w:p w:rsidR="0093116F" w:rsidRDefault="0093116F" w:rsidP="0019293B">
          <w:pPr>
            <w:pStyle w:val="Footer"/>
          </w:pPr>
        </w:p>
      </w:tc>
    </w:tr>
  </w:tbl>
  <w:p w:rsidR="0093116F" w:rsidRDefault="0093116F"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8"/>
      <w:gridCol w:w="510"/>
    </w:tblGrid>
    <w:tr w:rsidR="0093116F" w:rsidTr="0093116F">
      <w:trPr>
        <w:trHeight w:hRule="exact" w:val="567"/>
      </w:trPr>
      <w:tc>
        <w:tcPr>
          <w:tcW w:w="510" w:type="dxa"/>
        </w:tcPr>
        <w:p w:rsidR="0093116F" w:rsidRDefault="0093116F" w:rsidP="005D0984">
          <w:pPr>
            <w:pStyle w:val="Footer"/>
            <w:ind w:right="360" w:firstLine="360"/>
          </w:pPr>
        </w:p>
      </w:tc>
      <w:tc>
        <w:tcPr>
          <w:tcW w:w="7768" w:type="dxa"/>
        </w:tcPr>
        <w:p w:rsidR="0093116F" w:rsidRPr="00BA5B14" w:rsidRDefault="0062055F" w:rsidP="005D0984">
          <w:pPr>
            <w:pStyle w:val="Footer"/>
            <w:jc w:val="right"/>
            <w:rPr>
              <w:rFonts w:cs="Arial"/>
            </w:rPr>
          </w:pPr>
          <w:r>
            <w:rPr>
              <w:rFonts w:cs="Arial"/>
            </w:rPr>
            <w:t>MEASURING MULTIPLE DISADVANTAGE</w:t>
          </w:r>
        </w:p>
      </w:tc>
      <w:tc>
        <w:tcPr>
          <w:tcW w:w="510" w:type="dxa"/>
        </w:tcPr>
        <w:p w:rsidR="0093116F" w:rsidRPr="00A24443" w:rsidRDefault="0093116F" w:rsidP="005D0984">
          <w:pPr>
            <w:pStyle w:val="Footer"/>
            <w:jc w:val="right"/>
            <w:rPr>
              <w:caps w:val="0"/>
            </w:rPr>
          </w:pPr>
          <w:r>
            <w:rPr>
              <w:rStyle w:val="PageNumber"/>
              <w:caps w:val="0"/>
            </w:rPr>
            <w:t>13.</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6748E">
            <w:rPr>
              <w:rStyle w:val="PageNumber"/>
              <w:caps w:val="0"/>
              <w:noProof/>
            </w:rPr>
            <w:t>15</w:t>
          </w:r>
          <w:r w:rsidRPr="00A24443">
            <w:rPr>
              <w:rStyle w:val="PageNumber"/>
              <w:caps w:val="0"/>
            </w:rPr>
            <w:fldChar w:fldCharType="end"/>
          </w:r>
        </w:p>
      </w:tc>
    </w:tr>
  </w:tbl>
  <w:p w:rsidR="001A63E3" w:rsidRDefault="001A63E3">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3E3" w:rsidRDefault="001A63E3">
      <w:r>
        <w:separator/>
      </w:r>
    </w:p>
  </w:footnote>
  <w:footnote w:type="continuationSeparator" w:id="0">
    <w:p w:rsidR="001A63E3" w:rsidRDefault="001A63E3">
      <w:r>
        <w:continuationSeparator/>
      </w:r>
    </w:p>
  </w:footnote>
  <w:footnote w:id="1">
    <w:p w:rsidR="001F1A42" w:rsidRDefault="001F1A42">
      <w:pPr>
        <w:pStyle w:val="FootnoteText"/>
      </w:pPr>
      <w:r>
        <w:rPr>
          <w:rStyle w:val="FootnoteReference"/>
        </w:rPr>
        <w:footnoteRef/>
      </w:r>
      <w:r>
        <w:tab/>
        <w:t xml:space="preserve">The Steering Committee notes its appreciation to Dr Nicholas Biddle, Centre for Aboriginal </w:t>
      </w:r>
      <w:r w:rsidR="00072424">
        <w:t>Economic Policy</w:t>
      </w:r>
      <w:r>
        <w:t xml:space="preserve"> Research, who reviewed a draft of this section of the report. </w:t>
      </w:r>
    </w:p>
  </w:footnote>
  <w:footnote w:id="2">
    <w:p w:rsidR="001A63E3" w:rsidRDefault="001A63E3">
      <w:pPr>
        <w:pStyle w:val="FootnoteText"/>
      </w:pPr>
      <w:r w:rsidRPr="009B40B0">
        <w:rPr>
          <w:rStyle w:val="FootnoteReference"/>
        </w:rPr>
        <w:footnoteRef/>
      </w:r>
      <w:r>
        <w:t xml:space="preserve"> Defined as </w:t>
      </w:r>
      <w:r w:rsidRPr="00B47162">
        <w:t>the lowest quintile of equivalised gross weekly household income</w:t>
      </w:r>
      <w:r>
        <w:t>. For more</w:t>
      </w:r>
      <w:r w:rsidR="00D30B6D">
        <w:t xml:space="preserve"> </w:t>
      </w:r>
      <w:r>
        <w:t xml:space="preserve">on information on </w:t>
      </w:r>
      <w:r w:rsidRPr="00B47162">
        <w:t>equivalised gross weekly household income</w:t>
      </w:r>
      <w:r>
        <w:t>, see section 4.9.</w:t>
      </w:r>
    </w:p>
  </w:footnote>
  <w:footnote w:id="3">
    <w:p w:rsidR="001A63E3" w:rsidRDefault="001A63E3" w:rsidP="0078392E">
      <w:pPr>
        <w:pStyle w:val="FootnoteText"/>
      </w:pPr>
      <w:r w:rsidRPr="009B40B0">
        <w:rPr>
          <w:rStyle w:val="FootnoteReference"/>
        </w:rPr>
        <w:footnoteRef/>
      </w:r>
      <w:r>
        <w:t xml:space="preserve"> </w:t>
      </w:r>
      <w:r w:rsidRPr="00A86D23">
        <w:t xml:space="preserve">Because health and disability are age-related, the proportions not in the labour force with these characteristics are higher than the proportions of </w:t>
      </w:r>
      <w:r>
        <w:t xml:space="preserve">the </w:t>
      </w:r>
      <w:r w:rsidRPr="00A86D23">
        <w:t>unemployed</w:t>
      </w:r>
      <w:r>
        <w:t>,</w:t>
      </w:r>
      <w:r w:rsidRPr="00A86D23">
        <w:t xml:space="preserve"> as people not in the labour force are likely to have an older age profile than the unemployed population (ABS unpublished).</w:t>
      </w:r>
    </w:p>
  </w:footnote>
  <w:footnote w:id="4">
    <w:p w:rsidR="001A63E3" w:rsidRDefault="001A63E3" w:rsidP="00A66081">
      <w:pPr>
        <w:pStyle w:val="FootnoteText"/>
      </w:pPr>
      <w:r w:rsidRPr="009B40B0">
        <w:rPr>
          <w:rStyle w:val="FootnoteReference"/>
        </w:rPr>
        <w:footnoteRef/>
      </w:r>
      <w:r>
        <w:t xml:space="preserve"> The Western Australian Aboriginal Child Health Survey (</w:t>
      </w:r>
      <w:proofErr w:type="spellStart"/>
      <w:r>
        <w:t>WAACHS</w:t>
      </w:r>
      <w:proofErr w:type="spellEnd"/>
      <w:r>
        <w:t xml:space="preserve">) was undertaken between 2000 and 2001 by the (then) Telethon Institute for Child Health Research and is a project of the </w:t>
      </w:r>
      <w:proofErr w:type="spellStart"/>
      <w:r>
        <w:t>Kulunga</w:t>
      </w:r>
      <w:proofErr w:type="spellEnd"/>
      <w:r>
        <w:t xml:space="preserve"> Research Network. The survey </w:t>
      </w:r>
      <w:r w:rsidRPr="002E3510">
        <w:t xml:space="preserve">was designed to </w:t>
      </w:r>
      <w:r>
        <w:t>investigate</w:t>
      </w:r>
      <w:r w:rsidRPr="00E13E31">
        <w:t xml:space="preserve"> the health, wellbeing and development of Western Australian Aboriginal and </w:t>
      </w:r>
      <w:r>
        <w:t>Torres Strait Islander children.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1A63E3">
      <w:tc>
        <w:tcPr>
          <w:tcW w:w="2155" w:type="dxa"/>
          <w:tcBorders>
            <w:top w:val="single" w:sz="24" w:space="0" w:color="auto"/>
          </w:tcBorders>
        </w:tcPr>
        <w:p w:rsidR="001A63E3" w:rsidRDefault="001A63E3" w:rsidP="0019293B">
          <w:pPr>
            <w:pStyle w:val="HeaderEven"/>
          </w:pPr>
        </w:p>
      </w:tc>
      <w:tc>
        <w:tcPr>
          <w:tcW w:w="6634" w:type="dxa"/>
          <w:tcBorders>
            <w:top w:val="single" w:sz="6" w:space="0" w:color="auto"/>
          </w:tcBorders>
        </w:tcPr>
        <w:p w:rsidR="001A63E3" w:rsidRDefault="001A63E3" w:rsidP="00F01EE4">
          <w:pPr>
            <w:pStyle w:val="HeaderEven"/>
          </w:pPr>
        </w:p>
      </w:tc>
    </w:tr>
  </w:tbl>
  <w:p w:rsidR="001A63E3" w:rsidRDefault="001A63E3"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A63E3">
      <w:tc>
        <w:tcPr>
          <w:tcW w:w="6634" w:type="dxa"/>
          <w:tcBorders>
            <w:top w:val="single" w:sz="6" w:space="0" w:color="auto"/>
          </w:tcBorders>
        </w:tcPr>
        <w:p w:rsidR="001A63E3" w:rsidRDefault="001A63E3" w:rsidP="00F01EE4">
          <w:pPr>
            <w:pStyle w:val="HeaderOdd"/>
          </w:pPr>
        </w:p>
      </w:tc>
      <w:tc>
        <w:tcPr>
          <w:tcW w:w="2155" w:type="dxa"/>
          <w:tcBorders>
            <w:top w:val="single" w:sz="24" w:space="0" w:color="auto"/>
          </w:tcBorders>
        </w:tcPr>
        <w:p w:rsidR="001A63E3" w:rsidRDefault="001A63E3" w:rsidP="00E669E2">
          <w:pPr>
            <w:pStyle w:val="HeaderOdd"/>
          </w:pPr>
        </w:p>
      </w:tc>
    </w:tr>
  </w:tbl>
  <w:p w:rsidR="001A63E3" w:rsidRDefault="001A63E3"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4"/>
  </w:num>
  <w:num w:numId="3">
    <w:abstractNumId w:val="19"/>
  </w:num>
  <w:num w:numId="4">
    <w:abstractNumId w:val="2"/>
  </w:num>
  <w:num w:numId="5">
    <w:abstractNumId w:val="13"/>
  </w:num>
  <w:num w:numId="6">
    <w:abstractNumId w:val="3"/>
  </w:num>
  <w:num w:numId="7">
    <w:abstractNumId w:val="18"/>
  </w:num>
  <w:num w:numId="8">
    <w:abstractNumId w:val="15"/>
  </w:num>
  <w:num w:numId="9">
    <w:abstractNumId w:val="20"/>
  </w:num>
  <w:num w:numId="10">
    <w:abstractNumId w:val="9"/>
  </w:num>
  <w:num w:numId="11">
    <w:abstractNumId w:val="7"/>
  </w:num>
  <w:num w:numId="12">
    <w:abstractNumId w:val="14"/>
  </w:num>
  <w:num w:numId="13">
    <w:abstractNumId w:val="6"/>
  </w:num>
  <w:num w:numId="14">
    <w:abstractNumId w:val="5"/>
  </w:num>
  <w:num w:numId="15">
    <w:abstractNumId w:val="10"/>
  </w:num>
  <w:num w:numId="16">
    <w:abstractNumId w:val="12"/>
  </w:num>
  <w:num w:numId="17">
    <w:abstractNumId w:val="16"/>
  </w:num>
  <w:num w:numId="18">
    <w:abstractNumId w:val="17"/>
  </w:num>
  <w:num w:numId="19">
    <w:abstractNumId w:val="8"/>
  </w:num>
  <w:num w:numId="20">
    <w:abstractNumId w:val="1"/>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21">
    <w:abstractNumId w:val="0"/>
  </w:num>
  <w:num w:numId="22">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MEASURING MULTIPLE DISADVANTAGE"/>
    <w:docVar w:name="ShortReportTitle" w:val="Overcoming Indigenous disadvantage 2014"/>
  </w:docVars>
  <w:rsids>
    <w:rsidRoot w:val="001911A3"/>
    <w:rsid w:val="00003F04"/>
    <w:rsid w:val="000117B1"/>
    <w:rsid w:val="0001742F"/>
    <w:rsid w:val="000227D5"/>
    <w:rsid w:val="000245AA"/>
    <w:rsid w:val="00025B13"/>
    <w:rsid w:val="000331D6"/>
    <w:rsid w:val="0003664B"/>
    <w:rsid w:val="0004111F"/>
    <w:rsid w:val="000439FA"/>
    <w:rsid w:val="0005034A"/>
    <w:rsid w:val="00054148"/>
    <w:rsid w:val="00056143"/>
    <w:rsid w:val="00056154"/>
    <w:rsid w:val="000565B3"/>
    <w:rsid w:val="00056B14"/>
    <w:rsid w:val="0007150B"/>
    <w:rsid w:val="00072424"/>
    <w:rsid w:val="00077F12"/>
    <w:rsid w:val="00081DF7"/>
    <w:rsid w:val="000854E4"/>
    <w:rsid w:val="000874A4"/>
    <w:rsid w:val="00087C50"/>
    <w:rsid w:val="000938F5"/>
    <w:rsid w:val="00096E55"/>
    <w:rsid w:val="000A12DD"/>
    <w:rsid w:val="000A380C"/>
    <w:rsid w:val="000B145A"/>
    <w:rsid w:val="000B1753"/>
    <w:rsid w:val="000B3DFB"/>
    <w:rsid w:val="000B5E5D"/>
    <w:rsid w:val="000B601B"/>
    <w:rsid w:val="000B6E1C"/>
    <w:rsid w:val="000C207E"/>
    <w:rsid w:val="000C60FB"/>
    <w:rsid w:val="000D71C0"/>
    <w:rsid w:val="000E280B"/>
    <w:rsid w:val="000E30A4"/>
    <w:rsid w:val="000E53F8"/>
    <w:rsid w:val="000F0035"/>
    <w:rsid w:val="000F3433"/>
    <w:rsid w:val="000F420B"/>
    <w:rsid w:val="00110116"/>
    <w:rsid w:val="00120072"/>
    <w:rsid w:val="00126EB8"/>
    <w:rsid w:val="001274D4"/>
    <w:rsid w:val="00127C7E"/>
    <w:rsid w:val="001363AA"/>
    <w:rsid w:val="0014189D"/>
    <w:rsid w:val="00145EBF"/>
    <w:rsid w:val="00154A8E"/>
    <w:rsid w:val="00155CD3"/>
    <w:rsid w:val="001600CF"/>
    <w:rsid w:val="00167C3B"/>
    <w:rsid w:val="001834FE"/>
    <w:rsid w:val="00183E82"/>
    <w:rsid w:val="00183EED"/>
    <w:rsid w:val="00184554"/>
    <w:rsid w:val="001878BB"/>
    <w:rsid w:val="00190839"/>
    <w:rsid w:val="001911A3"/>
    <w:rsid w:val="001911D7"/>
    <w:rsid w:val="001919E7"/>
    <w:rsid w:val="00191AE0"/>
    <w:rsid w:val="0019293B"/>
    <w:rsid w:val="0019426B"/>
    <w:rsid w:val="001A47F8"/>
    <w:rsid w:val="001A4FE4"/>
    <w:rsid w:val="001A63E3"/>
    <w:rsid w:val="001B2554"/>
    <w:rsid w:val="001B5BD0"/>
    <w:rsid w:val="001C025F"/>
    <w:rsid w:val="001C0865"/>
    <w:rsid w:val="001C3ABA"/>
    <w:rsid w:val="001D0E96"/>
    <w:rsid w:val="001D20CC"/>
    <w:rsid w:val="001D5309"/>
    <w:rsid w:val="001D729C"/>
    <w:rsid w:val="001D7EC6"/>
    <w:rsid w:val="001E7BE8"/>
    <w:rsid w:val="001F0248"/>
    <w:rsid w:val="001F0772"/>
    <w:rsid w:val="001F1A42"/>
    <w:rsid w:val="001F3EB3"/>
    <w:rsid w:val="001F4826"/>
    <w:rsid w:val="001F4F86"/>
    <w:rsid w:val="0020133C"/>
    <w:rsid w:val="00202C2C"/>
    <w:rsid w:val="00203F18"/>
    <w:rsid w:val="0020754B"/>
    <w:rsid w:val="00207EAC"/>
    <w:rsid w:val="00212C9B"/>
    <w:rsid w:val="002135AB"/>
    <w:rsid w:val="0021363F"/>
    <w:rsid w:val="002144BE"/>
    <w:rsid w:val="00230E86"/>
    <w:rsid w:val="00231476"/>
    <w:rsid w:val="00240D4E"/>
    <w:rsid w:val="00242279"/>
    <w:rsid w:val="00245C82"/>
    <w:rsid w:val="00245E89"/>
    <w:rsid w:val="002500FA"/>
    <w:rsid w:val="002502FD"/>
    <w:rsid w:val="00256787"/>
    <w:rsid w:val="00277EF9"/>
    <w:rsid w:val="0028405F"/>
    <w:rsid w:val="00291B40"/>
    <w:rsid w:val="00294A2A"/>
    <w:rsid w:val="002A4213"/>
    <w:rsid w:val="002A7234"/>
    <w:rsid w:val="002B1834"/>
    <w:rsid w:val="002B4008"/>
    <w:rsid w:val="002C0436"/>
    <w:rsid w:val="002D0E8E"/>
    <w:rsid w:val="002D25BF"/>
    <w:rsid w:val="002D3B8C"/>
    <w:rsid w:val="002E2ED3"/>
    <w:rsid w:val="002E3510"/>
    <w:rsid w:val="002F3640"/>
    <w:rsid w:val="002F7B9D"/>
    <w:rsid w:val="00301189"/>
    <w:rsid w:val="003024FF"/>
    <w:rsid w:val="0030343A"/>
    <w:rsid w:val="003103BF"/>
    <w:rsid w:val="00312989"/>
    <w:rsid w:val="00313947"/>
    <w:rsid w:val="0031791E"/>
    <w:rsid w:val="00322779"/>
    <w:rsid w:val="00323E09"/>
    <w:rsid w:val="00333932"/>
    <w:rsid w:val="00334A33"/>
    <w:rsid w:val="00337CEC"/>
    <w:rsid w:val="00342C45"/>
    <w:rsid w:val="00344F48"/>
    <w:rsid w:val="00351699"/>
    <w:rsid w:val="003518AA"/>
    <w:rsid w:val="00352165"/>
    <w:rsid w:val="00353182"/>
    <w:rsid w:val="00353CF7"/>
    <w:rsid w:val="003565D9"/>
    <w:rsid w:val="003576F9"/>
    <w:rsid w:val="003602E1"/>
    <w:rsid w:val="003616DF"/>
    <w:rsid w:val="0037026F"/>
    <w:rsid w:val="00371240"/>
    <w:rsid w:val="00373D77"/>
    <w:rsid w:val="00374731"/>
    <w:rsid w:val="00376E59"/>
    <w:rsid w:val="00384687"/>
    <w:rsid w:val="003879BE"/>
    <w:rsid w:val="003919F9"/>
    <w:rsid w:val="003930EB"/>
    <w:rsid w:val="003934BB"/>
    <w:rsid w:val="003A233B"/>
    <w:rsid w:val="003B23D4"/>
    <w:rsid w:val="003B6301"/>
    <w:rsid w:val="003C149B"/>
    <w:rsid w:val="003C38B5"/>
    <w:rsid w:val="003C5D99"/>
    <w:rsid w:val="003D0883"/>
    <w:rsid w:val="003E2F59"/>
    <w:rsid w:val="003F0789"/>
    <w:rsid w:val="00401882"/>
    <w:rsid w:val="004100C8"/>
    <w:rsid w:val="00411DBD"/>
    <w:rsid w:val="004127A1"/>
    <w:rsid w:val="00412ACE"/>
    <w:rsid w:val="004145DC"/>
    <w:rsid w:val="00417F29"/>
    <w:rsid w:val="004279B9"/>
    <w:rsid w:val="00431249"/>
    <w:rsid w:val="00431F87"/>
    <w:rsid w:val="00433A13"/>
    <w:rsid w:val="00434C19"/>
    <w:rsid w:val="004373B6"/>
    <w:rsid w:val="00441BBE"/>
    <w:rsid w:val="004448D1"/>
    <w:rsid w:val="004475EB"/>
    <w:rsid w:val="00450810"/>
    <w:rsid w:val="00451051"/>
    <w:rsid w:val="0045219D"/>
    <w:rsid w:val="00452C76"/>
    <w:rsid w:val="00457AAD"/>
    <w:rsid w:val="004641C7"/>
    <w:rsid w:val="0046481A"/>
    <w:rsid w:val="004754E1"/>
    <w:rsid w:val="00477144"/>
    <w:rsid w:val="004839C4"/>
    <w:rsid w:val="0048649A"/>
    <w:rsid w:val="00491380"/>
    <w:rsid w:val="00492FE7"/>
    <w:rsid w:val="0049459F"/>
    <w:rsid w:val="004946D3"/>
    <w:rsid w:val="004A38DD"/>
    <w:rsid w:val="004B2246"/>
    <w:rsid w:val="004B43AE"/>
    <w:rsid w:val="004C30ED"/>
    <w:rsid w:val="004C3A63"/>
    <w:rsid w:val="004C6989"/>
    <w:rsid w:val="004D5675"/>
    <w:rsid w:val="004E502C"/>
    <w:rsid w:val="004F0E9F"/>
    <w:rsid w:val="004F6ABF"/>
    <w:rsid w:val="005017F6"/>
    <w:rsid w:val="00503998"/>
    <w:rsid w:val="00506702"/>
    <w:rsid w:val="00511589"/>
    <w:rsid w:val="00523639"/>
    <w:rsid w:val="00531FE5"/>
    <w:rsid w:val="005330D8"/>
    <w:rsid w:val="005402FA"/>
    <w:rsid w:val="00541A00"/>
    <w:rsid w:val="005614ED"/>
    <w:rsid w:val="005654D7"/>
    <w:rsid w:val="00566979"/>
    <w:rsid w:val="00566E8C"/>
    <w:rsid w:val="005673C3"/>
    <w:rsid w:val="005705CB"/>
    <w:rsid w:val="00571BAA"/>
    <w:rsid w:val="00583C39"/>
    <w:rsid w:val="00587F28"/>
    <w:rsid w:val="005909CF"/>
    <w:rsid w:val="00591E71"/>
    <w:rsid w:val="005A0D41"/>
    <w:rsid w:val="005A1E5F"/>
    <w:rsid w:val="005A395F"/>
    <w:rsid w:val="005A62F3"/>
    <w:rsid w:val="005B6CD8"/>
    <w:rsid w:val="005C1164"/>
    <w:rsid w:val="005D0A76"/>
    <w:rsid w:val="005E06B8"/>
    <w:rsid w:val="005E2755"/>
    <w:rsid w:val="005E2ABC"/>
    <w:rsid w:val="005E7CE9"/>
    <w:rsid w:val="005F23FB"/>
    <w:rsid w:val="005F2531"/>
    <w:rsid w:val="00607BF1"/>
    <w:rsid w:val="00616BF4"/>
    <w:rsid w:val="00617E27"/>
    <w:rsid w:val="0062055F"/>
    <w:rsid w:val="0062469D"/>
    <w:rsid w:val="00630D4D"/>
    <w:rsid w:val="00632A74"/>
    <w:rsid w:val="006374DE"/>
    <w:rsid w:val="00643C7F"/>
    <w:rsid w:val="00652319"/>
    <w:rsid w:val="00652DAC"/>
    <w:rsid w:val="0065370B"/>
    <w:rsid w:val="00653C11"/>
    <w:rsid w:val="00656BED"/>
    <w:rsid w:val="00664B70"/>
    <w:rsid w:val="00671B1F"/>
    <w:rsid w:val="00676597"/>
    <w:rsid w:val="00676AA5"/>
    <w:rsid w:val="00677FA0"/>
    <w:rsid w:val="006833E8"/>
    <w:rsid w:val="00695D19"/>
    <w:rsid w:val="006962C1"/>
    <w:rsid w:val="006A2343"/>
    <w:rsid w:val="006A4655"/>
    <w:rsid w:val="006B1C37"/>
    <w:rsid w:val="006B2142"/>
    <w:rsid w:val="006B2B3C"/>
    <w:rsid w:val="006B2D80"/>
    <w:rsid w:val="006C1D81"/>
    <w:rsid w:val="006C2566"/>
    <w:rsid w:val="006C3D23"/>
    <w:rsid w:val="006C58B2"/>
    <w:rsid w:val="006C7038"/>
    <w:rsid w:val="006E0471"/>
    <w:rsid w:val="006E151C"/>
    <w:rsid w:val="006E73EF"/>
    <w:rsid w:val="006F0408"/>
    <w:rsid w:val="006F6E91"/>
    <w:rsid w:val="00704190"/>
    <w:rsid w:val="00710FE4"/>
    <w:rsid w:val="00714D4D"/>
    <w:rsid w:val="007505AF"/>
    <w:rsid w:val="007532A0"/>
    <w:rsid w:val="00754B68"/>
    <w:rsid w:val="007604BB"/>
    <w:rsid w:val="00766E76"/>
    <w:rsid w:val="0077344C"/>
    <w:rsid w:val="0077356E"/>
    <w:rsid w:val="00776FF5"/>
    <w:rsid w:val="0078392E"/>
    <w:rsid w:val="00785232"/>
    <w:rsid w:val="0079030A"/>
    <w:rsid w:val="00791048"/>
    <w:rsid w:val="007A21EB"/>
    <w:rsid w:val="007B1A93"/>
    <w:rsid w:val="007B4663"/>
    <w:rsid w:val="007C0D19"/>
    <w:rsid w:val="007C36C9"/>
    <w:rsid w:val="007C47D8"/>
    <w:rsid w:val="007C564E"/>
    <w:rsid w:val="007D6401"/>
    <w:rsid w:val="007D7D29"/>
    <w:rsid w:val="007E01E4"/>
    <w:rsid w:val="007E3E57"/>
    <w:rsid w:val="007F1B70"/>
    <w:rsid w:val="007F7107"/>
    <w:rsid w:val="007F7626"/>
    <w:rsid w:val="007F7C56"/>
    <w:rsid w:val="00800D4C"/>
    <w:rsid w:val="0081030F"/>
    <w:rsid w:val="008119D3"/>
    <w:rsid w:val="00816C8E"/>
    <w:rsid w:val="0082087D"/>
    <w:rsid w:val="00820F85"/>
    <w:rsid w:val="00822C7D"/>
    <w:rsid w:val="00823B4A"/>
    <w:rsid w:val="00835771"/>
    <w:rsid w:val="0083693F"/>
    <w:rsid w:val="00842933"/>
    <w:rsid w:val="008435A6"/>
    <w:rsid w:val="008454D0"/>
    <w:rsid w:val="0086082C"/>
    <w:rsid w:val="0086097F"/>
    <w:rsid w:val="00862DEC"/>
    <w:rsid w:val="00864ADC"/>
    <w:rsid w:val="00877859"/>
    <w:rsid w:val="00880153"/>
    <w:rsid w:val="00880F97"/>
    <w:rsid w:val="0088133A"/>
    <w:rsid w:val="00882FAD"/>
    <w:rsid w:val="0088311C"/>
    <w:rsid w:val="0089285E"/>
    <w:rsid w:val="0089384C"/>
    <w:rsid w:val="0089436C"/>
    <w:rsid w:val="00896031"/>
    <w:rsid w:val="008A05B5"/>
    <w:rsid w:val="008A5C55"/>
    <w:rsid w:val="008A5D23"/>
    <w:rsid w:val="008A6CD5"/>
    <w:rsid w:val="008B44DD"/>
    <w:rsid w:val="008D1AED"/>
    <w:rsid w:val="008D3356"/>
    <w:rsid w:val="008D365C"/>
    <w:rsid w:val="008D4419"/>
    <w:rsid w:val="008D5488"/>
    <w:rsid w:val="008D5598"/>
    <w:rsid w:val="008D5FAC"/>
    <w:rsid w:val="008E2842"/>
    <w:rsid w:val="008E7728"/>
    <w:rsid w:val="008F18B8"/>
    <w:rsid w:val="008F1B43"/>
    <w:rsid w:val="008F73A5"/>
    <w:rsid w:val="009004D3"/>
    <w:rsid w:val="009030BF"/>
    <w:rsid w:val="009032B3"/>
    <w:rsid w:val="0090536B"/>
    <w:rsid w:val="00906011"/>
    <w:rsid w:val="0091032F"/>
    <w:rsid w:val="00914368"/>
    <w:rsid w:val="009301A7"/>
    <w:rsid w:val="00931076"/>
    <w:rsid w:val="0093116F"/>
    <w:rsid w:val="009345D9"/>
    <w:rsid w:val="00934B15"/>
    <w:rsid w:val="00935FE2"/>
    <w:rsid w:val="00940C87"/>
    <w:rsid w:val="00942B62"/>
    <w:rsid w:val="0094415C"/>
    <w:rsid w:val="00944396"/>
    <w:rsid w:val="009445C6"/>
    <w:rsid w:val="009461FC"/>
    <w:rsid w:val="009527D3"/>
    <w:rsid w:val="0095323B"/>
    <w:rsid w:val="00953FEB"/>
    <w:rsid w:val="00956873"/>
    <w:rsid w:val="00956A0C"/>
    <w:rsid w:val="00956BD9"/>
    <w:rsid w:val="00962489"/>
    <w:rsid w:val="0096488A"/>
    <w:rsid w:val="00967CDA"/>
    <w:rsid w:val="00980147"/>
    <w:rsid w:val="00982A5E"/>
    <w:rsid w:val="00990C2C"/>
    <w:rsid w:val="009951E3"/>
    <w:rsid w:val="00996B8A"/>
    <w:rsid w:val="009972A4"/>
    <w:rsid w:val="009A6ACF"/>
    <w:rsid w:val="009B40B0"/>
    <w:rsid w:val="009C39A0"/>
    <w:rsid w:val="009D5A14"/>
    <w:rsid w:val="009D64AA"/>
    <w:rsid w:val="009E1844"/>
    <w:rsid w:val="009E3500"/>
    <w:rsid w:val="009F0D1B"/>
    <w:rsid w:val="009F0E91"/>
    <w:rsid w:val="009F4ADD"/>
    <w:rsid w:val="009F4F57"/>
    <w:rsid w:val="009F696D"/>
    <w:rsid w:val="009F6BC6"/>
    <w:rsid w:val="009F7985"/>
    <w:rsid w:val="00A0519A"/>
    <w:rsid w:val="00A11D70"/>
    <w:rsid w:val="00A13B5C"/>
    <w:rsid w:val="00A16634"/>
    <w:rsid w:val="00A17328"/>
    <w:rsid w:val="00A22433"/>
    <w:rsid w:val="00A2310C"/>
    <w:rsid w:val="00A23A20"/>
    <w:rsid w:val="00A25EC6"/>
    <w:rsid w:val="00A268B9"/>
    <w:rsid w:val="00A26D7B"/>
    <w:rsid w:val="00A2703A"/>
    <w:rsid w:val="00A33DFF"/>
    <w:rsid w:val="00A35115"/>
    <w:rsid w:val="00A36D9A"/>
    <w:rsid w:val="00A40D63"/>
    <w:rsid w:val="00A4694C"/>
    <w:rsid w:val="00A52328"/>
    <w:rsid w:val="00A536CC"/>
    <w:rsid w:val="00A554AB"/>
    <w:rsid w:val="00A57062"/>
    <w:rsid w:val="00A65DBB"/>
    <w:rsid w:val="00A66081"/>
    <w:rsid w:val="00A6748E"/>
    <w:rsid w:val="00A6783C"/>
    <w:rsid w:val="00A73384"/>
    <w:rsid w:val="00A85FDC"/>
    <w:rsid w:val="00A86D23"/>
    <w:rsid w:val="00A92B53"/>
    <w:rsid w:val="00A93E6F"/>
    <w:rsid w:val="00A94DA9"/>
    <w:rsid w:val="00A94FA6"/>
    <w:rsid w:val="00A964FD"/>
    <w:rsid w:val="00AA1448"/>
    <w:rsid w:val="00AA49A0"/>
    <w:rsid w:val="00AA6710"/>
    <w:rsid w:val="00AB0681"/>
    <w:rsid w:val="00AB74A9"/>
    <w:rsid w:val="00AC4004"/>
    <w:rsid w:val="00AC496A"/>
    <w:rsid w:val="00AD520B"/>
    <w:rsid w:val="00AE54E1"/>
    <w:rsid w:val="00AE6E16"/>
    <w:rsid w:val="00AF1D57"/>
    <w:rsid w:val="00B01333"/>
    <w:rsid w:val="00B0787D"/>
    <w:rsid w:val="00B13B13"/>
    <w:rsid w:val="00B331ED"/>
    <w:rsid w:val="00B350BB"/>
    <w:rsid w:val="00B425C3"/>
    <w:rsid w:val="00B427BF"/>
    <w:rsid w:val="00B43CFB"/>
    <w:rsid w:val="00B440AD"/>
    <w:rsid w:val="00B47162"/>
    <w:rsid w:val="00B479BB"/>
    <w:rsid w:val="00B53E7E"/>
    <w:rsid w:val="00B6342E"/>
    <w:rsid w:val="00B70627"/>
    <w:rsid w:val="00B7113F"/>
    <w:rsid w:val="00B77D14"/>
    <w:rsid w:val="00B84C6B"/>
    <w:rsid w:val="00B93824"/>
    <w:rsid w:val="00B95B40"/>
    <w:rsid w:val="00B9631F"/>
    <w:rsid w:val="00B96D7A"/>
    <w:rsid w:val="00B97A2E"/>
    <w:rsid w:val="00BA36C6"/>
    <w:rsid w:val="00BA73B6"/>
    <w:rsid w:val="00BA7430"/>
    <w:rsid w:val="00BA7E27"/>
    <w:rsid w:val="00BB1D85"/>
    <w:rsid w:val="00BB2603"/>
    <w:rsid w:val="00BB4FCD"/>
    <w:rsid w:val="00BC04E9"/>
    <w:rsid w:val="00BC4DDC"/>
    <w:rsid w:val="00BC5A61"/>
    <w:rsid w:val="00BC675B"/>
    <w:rsid w:val="00BD13EA"/>
    <w:rsid w:val="00BD63F5"/>
    <w:rsid w:val="00BE37F1"/>
    <w:rsid w:val="00BE3808"/>
    <w:rsid w:val="00BE466B"/>
    <w:rsid w:val="00BE473C"/>
    <w:rsid w:val="00BE4B6D"/>
    <w:rsid w:val="00BF4FC9"/>
    <w:rsid w:val="00BF6E65"/>
    <w:rsid w:val="00C011FF"/>
    <w:rsid w:val="00C062E9"/>
    <w:rsid w:val="00C06B9C"/>
    <w:rsid w:val="00C07B64"/>
    <w:rsid w:val="00C13721"/>
    <w:rsid w:val="00C1447E"/>
    <w:rsid w:val="00C14FE4"/>
    <w:rsid w:val="00C15DCE"/>
    <w:rsid w:val="00C3066D"/>
    <w:rsid w:val="00C317CA"/>
    <w:rsid w:val="00C34222"/>
    <w:rsid w:val="00C344DD"/>
    <w:rsid w:val="00C349BE"/>
    <w:rsid w:val="00C4149A"/>
    <w:rsid w:val="00C4428F"/>
    <w:rsid w:val="00C51843"/>
    <w:rsid w:val="00C52416"/>
    <w:rsid w:val="00C543F4"/>
    <w:rsid w:val="00C6291C"/>
    <w:rsid w:val="00C633CB"/>
    <w:rsid w:val="00C736B7"/>
    <w:rsid w:val="00C74059"/>
    <w:rsid w:val="00C748DA"/>
    <w:rsid w:val="00C81D4A"/>
    <w:rsid w:val="00C8762C"/>
    <w:rsid w:val="00C91692"/>
    <w:rsid w:val="00C949AB"/>
    <w:rsid w:val="00C96B6E"/>
    <w:rsid w:val="00CA00F9"/>
    <w:rsid w:val="00CA06BA"/>
    <w:rsid w:val="00CA2961"/>
    <w:rsid w:val="00CA4D8E"/>
    <w:rsid w:val="00CB1CBF"/>
    <w:rsid w:val="00CB408F"/>
    <w:rsid w:val="00CB50D7"/>
    <w:rsid w:val="00CB6F3F"/>
    <w:rsid w:val="00CB7177"/>
    <w:rsid w:val="00CC1998"/>
    <w:rsid w:val="00CC4946"/>
    <w:rsid w:val="00CC7DAB"/>
    <w:rsid w:val="00CD099C"/>
    <w:rsid w:val="00CE0A1F"/>
    <w:rsid w:val="00CE65B1"/>
    <w:rsid w:val="00CF0BFB"/>
    <w:rsid w:val="00CF4360"/>
    <w:rsid w:val="00D03D97"/>
    <w:rsid w:val="00D11703"/>
    <w:rsid w:val="00D12B4E"/>
    <w:rsid w:val="00D24289"/>
    <w:rsid w:val="00D24C33"/>
    <w:rsid w:val="00D2615B"/>
    <w:rsid w:val="00D270A4"/>
    <w:rsid w:val="00D2741D"/>
    <w:rsid w:val="00D30B6D"/>
    <w:rsid w:val="00D30BB4"/>
    <w:rsid w:val="00D31FE9"/>
    <w:rsid w:val="00D327C0"/>
    <w:rsid w:val="00D33797"/>
    <w:rsid w:val="00D34236"/>
    <w:rsid w:val="00D34E1B"/>
    <w:rsid w:val="00D376BA"/>
    <w:rsid w:val="00D45634"/>
    <w:rsid w:val="00D4667F"/>
    <w:rsid w:val="00D52700"/>
    <w:rsid w:val="00D53E79"/>
    <w:rsid w:val="00D54421"/>
    <w:rsid w:val="00D5568A"/>
    <w:rsid w:val="00D61BD7"/>
    <w:rsid w:val="00D63D73"/>
    <w:rsid w:val="00D64452"/>
    <w:rsid w:val="00D652BA"/>
    <w:rsid w:val="00D66491"/>
    <w:rsid w:val="00D66E1E"/>
    <w:rsid w:val="00D75722"/>
    <w:rsid w:val="00D75A2F"/>
    <w:rsid w:val="00D803B4"/>
    <w:rsid w:val="00D80CF5"/>
    <w:rsid w:val="00D82F06"/>
    <w:rsid w:val="00D96E1E"/>
    <w:rsid w:val="00DA5BBA"/>
    <w:rsid w:val="00DB26D2"/>
    <w:rsid w:val="00DB67C9"/>
    <w:rsid w:val="00DC0C95"/>
    <w:rsid w:val="00DC2EC3"/>
    <w:rsid w:val="00DC365B"/>
    <w:rsid w:val="00DC470E"/>
    <w:rsid w:val="00DD292B"/>
    <w:rsid w:val="00DD4A13"/>
    <w:rsid w:val="00DD6580"/>
    <w:rsid w:val="00DE2BE2"/>
    <w:rsid w:val="00DE50A2"/>
    <w:rsid w:val="00DE53B4"/>
    <w:rsid w:val="00DE73F1"/>
    <w:rsid w:val="00DF26E2"/>
    <w:rsid w:val="00E007AF"/>
    <w:rsid w:val="00E0119B"/>
    <w:rsid w:val="00E10150"/>
    <w:rsid w:val="00E1225C"/>
    <w:rsid w:val="00E13162"/>
    <w:rsid w:val="00E13E31"/>
    <w:rsid w:val="00E15BC0"/>
    <w:rsid w:val="00E17C72"/>
    <w:rsid w:val="00E21FC6"/>
    <w:rsid w:val="00E232E6"/>
    <w:rsid w:val="00E24476"/>
    <w:rsid w:val="00E276DD"/>
    <w:rsid w:val="00E3041F"/>
    <w:rsid w:val="00E31BEA"/>
    <w:rsid w:val="00E431A9"/>
    <w:rsid w:val="00E44DBE"/>
    <w:rsid w:val="00E50E90"/>
    <w:rsid w:val="00E5293B"/>
    <w:rsid w:val="00E54A5E"/>
    <w:rsid w:val="00E54D7F"/>
    <w:rsid w:val="00E64612"/>
    <w:rsid w:val="00E669E2"/>
    <w:rsid w:val="00E703D0"/>
    <w:rsid w:val="00E72F0E"/>
    <w:rsid w:val="00E742F4"/>
    <w:rsid w:val="00E76135"/>
    <w:rsid w:val="00E80CA9"/>
    <w:rsid w:val="00E82F4F"/>
    <w:rsid w:val="00E85241"/>
    <w:rsid w:val="00E85350"/>
    <w:rsid w:val="00E87CB5"/>
    <w:rsid w:val="00E94E3E"/>
    <w:rsid w:val="00E966C5"/>
    <w:rsid w:val="00EA0D9F"/>
    <w:rsid w:val="00EA2BAF"/>
    <w:rsid w:val="00EC2844"/>
    <w:rsid w:val="00EC2F27"/>
    <w:rsid w:val="00EC4111"/>
    <w:rsid w:val="00EC5500"/>
    <w:rsid w:val="00ED18F8"/>
    <w:rsid w:val="00ED4751"/>
    <w:rsid w:val="00EE0497"/>
    <w:rsid w:val="00EE48C4"/>
    <w:rsid w:val="00EE74D7"/>
    <w:rsid w:val="00EF6C6C"/>
    <w:rsid w:val="00EF74F7"/>
    <w:rsid w:val="00F01EE4"/>
    <w:rsid w:val="00F02134"/>
    <w:rsid w:val="00F056FC"/>
    <w:rsid w:val="00F060BA"/>
    <w:rsid w:val="00F10476"/>
    <w:rsid w:val="00F119B1"/>
    <w:rsid w:val="00F135D8"/>
    <w:rsid w:val="00F22FD5"/>
    <w:rsid w:val="00F31299"/>
    <w:rsid w:val="00F331A6"/>
    <w:rsid w:val="00F3534A"/>
    <w:rsid w:val="00F369BC"/>
    <w:rsid w:val="00F40AD8"/>
    <w:rsid w:val="00F43EAF"/>
    <w:rsid w:val="00F456E5"/>
    <w:rsid w:val="00F47F2D"/>
    <w:rsid w:val="00F51609"/>
    <w:rsid w:val="00F5744C"/>
    <w:rsid w:val="00F57AE6"/>
    <w:rsid w:val="00F60607"/>
    <w:rsid w:val="00F745FE"/>
    <w:rsid w:val="00F81006"/>
    <w:rsid w:val="00F82A31"/>
    <w:rsid w:val="00F85325"/>
    <w:rsid w:val="00F86CBC"/>
    <w:rsid w:val="00F90CEB"/>
    <w:rsid w:val="00FA2CDA"/>
    <w:rsid w:val="00FA322A"/>
    <w:rsid w:val="00FA3D74"/>
    <w:rsid w:val="00FA45C5"/>
    <w:rsid w:val="00FA5683"/>
    <w:rsid w:val="00FA678C"/>
    <w:rsid w:val="00FA7FE5"/>
    <w:rsid w:val="00FB11FE"/>
    <w:rsid w:val="00FB34CA"/>
    <w:rsid w:val="00FB4734"/>
    <w:rsid w:val="00FB50EE"/>
    <w:rsid w:val="00FC460C"/>
    <w:rsid w:val="00FC4B9F"/>
    <w:rsid w:val="00FD22B1"/>
    <w:rsid w:val="00FD5F2E"/>
    <w:rsid w:val="00FD6A7E"/>
    <w:rsid w:val="00FE5397"/>
    <w:rsid w:val="00FF08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6748E"/>
    <w:rPr>
      <w:sz w:val="24"/>
      <w:szCs w:val="24"/>
    </w:rPr>
  </w:style>
  <w:style w:type="paragraph" w:styleId="Heading1">
    <w:name w:val="heading 1"/>
    <w:basedOn w:val="BodyText"/>
    <w:next w:val="BodyText"/>
    <w:rsid w:val="00A6748E"/>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6748E"/>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6748E"/>
    <w:pPr>
      <w:spacing w:before="560" w:line="320" w:lineRule="exact"/>
      <w:ind w:left="0" w:firstLine="0"/>
      <w:outlineLvl w:val="2"/>
    </w:pPr>
    <w:rPr>
      <w:sz w:val="26"/>
    </w:rPr>
  </w:style>
  <w:style w:type="paragraph" w:styleId="Heading4">
    <w:name w:val="heading 4"/>
    <w:basedOn w:val="Heading3"/>
    <w:next w:val="BodyText"/>
    <w:qFormat/>
    <w:rsid w:val="00A6748E"/>
    <w:pPr>
      <w:spacing w:before="480"/>
      <w:outlineLvl w:val="3"/>
    </w:pPr>
    <w:rPr>
      <w:b w:val="0"/>
      <w:sz w:val="24"/>
    </w:rPr>
  </w:style>
  <w:style w:type="paragraph" w:styleId="Heading5">
    <w:name w:val="heading 5"/>
    <w:basedOn w:val="Heading4"/>
    <w:next w:val="BodyText"/>
    <w:link w:val="Heading5Char"/>
    <w:qFormat/>
    <w:rsid w:val="00A6748E"/>
    <w:pPr>
      <w:outlineLvl w:val="4"/>
    </w:pPr>
    <w:rPr>
      <w:i/>
      <w:sz w:val="22"/>
    </w:rPr>
  </w:style>
  <w:style w:type="paragraph" w:styleId="Heading6">
    <w:name w:val="heading 6"/>
    <w:basedOn w:val="BodyText"/>
    <w:next w:val="BodyText"/>
    <w:rsid w:val="00A6748E"/>
    <w:pPr>
      <w:spacing w:after="60"/>
      <w:jc w:val="left"/>
      <w:outlineLvl w:val="5"/>
    </w:pPr>
    <w:rPr>
      <w:i/>
      <w:sz w:val="22"/>
    </w:rPr>
  </w:style>
  <w:style w:type="paragraph" w:styleId="Heading7">
    <w:name w:val="heading 7"/>
    <w:basedOn w:val="BodyText"/>
    <w:next w:val="BodyText"/>
    <w:rsid w:val="00A6748E"/>
    <w:pPr>
      <w:spacing w:after="60" w:line="240" w:lineRule="auto"/>
      <w:jc w:val="left"/>
      <w:outlineLvl w:val="6"/>
    </w:pPr>
    <w:rPr>
      <w:rFonts w:ascii="Arial" w:hAnsi="Arial"/>
      <w:sz w:val="20"/>
    </w:rPr>
  </w:style>
  <w:style w:type="paragraph" w:styleId="Heading8">
    <w:name w:val="heading 8"/>
    <w:basedOn w:val="BodyText"/>
    <w:next w:val="BodyText"/>
    <w:rsid w:val="00A6748E"/>
    <w:pPr>
      <w:spacing w:after="60" w:line="240" w:lineRule="auto"/>
      <w:jc w:val="left"/>
      <w:outlineLvl w:val="7"/>
    </w:pPr>
    <w:rPr>
      <w:rFonts w:ascii="Arial" w:hAnsi="Arial"/>
      <w:i/>
      <w:sz w:val="20"/>
    </w:rPr>
  </w:style>
  <w:style w:type="paragraph" w:styleId="Heading9">
    <w:name w:val="heading 9"/>
    <w:basedOn w:val="BodyText"/>
    <w:next w:val="BodyText"/>
    <w:rsid w:val="00A6748E"/>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A674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748E"/>
  </w:style>
  <w:style w:type="paragraph" w:styleId="BodyText">
    <w:name w:val="Body Text"/>
    <w:link w:val="BodyTextChar"/>
    <w:qFormat/>
    <w:rsid w:val="00A6748E"/>
    <w:pPr>
      <w:spacing w:before="240" w:line="300" w:lineRule="atLeast"/>
      <w:jc w:val="both"/>
    </w:pPr>
    <w:rPr>
      <w:sz w:val="24"/>
    </w:rPr>
  </w:style>
  <w:style w:type="paragraph" w:styleId="Footer">
    <w:name w:val="footer"/>
    <w:basedOn w:val="BodyText"/>
    <w:link w:val="FooterChar"/>
    <w:rsid w:val="00A6748E"/>
    <w:pPr>
      <w:spacing w:before="80" w:line="200" w:lineRule="exact"/>
      <w:ind w:right="6"/>
      <w:jc w:val="left"/>
    </w:pPr>
    <w:rPr>
      <w:rFonts w:ascii="Arial" w:hAnsi="Arial"/>
      <w:caps/>
      <w:spacing w:val="-4"/>
      <w:sz w:val="16"/>
    </w:rPr>
  </w:style>
  <w:style w:type="paragraph" w:customStyle="1" w:styleId="FooterEnd">
    <w:name w:val="Footer End"/>
    <w:basedOn w:val="Footer"/>
    <w:rsid w:val="00A6748E"/>
    <w:pPr>
      <w:spacing w:before="0" w:line="20" w:lineRule="exact"/>
    </w:pPr>
  </w:style>
  <w:style w:type="paragraph" w:styleId="Header">
    <w:name w:val="header"/>
    <w:basedOn w:val="BodyText"/>
    <w:rsid w:val="00A6748E"/>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A6748E"/>
    <w:pPr>
      <w:spacing w:line="20" w:lineRule="exact"/>
    </w:pPr>
    <w:rPr>
      <w:sz w:val="16"/>
    </w:rPr>
  </w:style>
  <w:style w:type="paragraph" w:customStyle="1" w:styleId="HeaderEven">
    <w:name w:val="Header Even"/>
    <w:basedOn w:val="Header"/>
    <w:semiHidden/>
    <w:rsid w:val="00A6748E"/>
  </w:style>
  <w:style w:type="paragraph" w:customStyle="1" w:styleId="HeaderOdd">
    <w:name w:val="Header Odd"/>
    <w:basedOn w:val="Header"/>
    <w:semiHidden/>
    <w:rsid w:val="00A6748E"/>
  </w:style>
  <w:style w:type="character" w:styleId="PageNumber">
    <w:name w:val="page number"/>
    <w:basedOn w:val="DefaultParagraphFont"/>
    <w:rsid w:val="00A6748E"/>
    <w:rPr>
      <w:rFonts w:ascii="Arial" w:hAnsi="Arial"/>
      <w:b/>
      <w:sz w:val="16"/>
    </w:rPr>
  </w:style>
  <w:style w:type="paragraph" w:customStyle="1" w:styleId="Abbreviation">
    <w:name w:val="Abbreviation"/>
    <w:basedOn w:val="BodyText"/>
    <w:rsid w:val="00A6748E"/>
    <w:pPr>
      <w:spacing w:before="120"/>
      <w:ind w:left="2381" w:hanging="2381"/>
      <w:jc w:val="left"/>
    </w:pPr>
  </w:style>
  <w:style w:type="paragraph" w:customStyle="1" w:styleId="Box">
    <w:name w:val="Box"/>
    <w:basedOn w:val="BodyText"/>
    <w:qFormat/>
    <w:rsid w:val="00A6748E"/>
    <w:pPr>
      <w:keepNext/>
      <w:spacing w:before="120" w:line="260" w:lineRule="atLeast"/>
    </w:pPr>
    <w:rPr>
      <w:rFonts w:ascii="Arial" w:hAnsi="Arial"/>
      <w:sz w:val="20"/>
    </w:rPr>
  </w:style>
  <w:style w:type="paragraph" w:customStyle="1" w:styleId="BoxContinued">
    <w:name w:val="Box Continued"/>
    <w:basedOn w:val="BodyText"/>
    <w:next w:val="BodyText"/>
    <w:semiHidden/>
    <w:rsid w:val="00A6748E"/>
    <w:pPr>
      <w:spacing w:before="180" w:line="220" w:lineRule="exact"/>
      <w:jc w:val="right"/>
    </w:pPr>
    <w:rPr>
      <w:rFonts w:ascii="Arial" w:hAnsi="Arial"/>
      <w:sz w:val="18"/>
    </w:rPr>
  </w:style>
  <w:style w:type="paragraph" w:customStyle="1" w:styleId="BoxHeading1">
    <w:name w:val="Box Heading 1"/>
    <w:basedOn w:val="BodyText"/>
    <w:next w:val="Box"/>
    <w:rsid w:val="00A6748E"/>
    <w:pPr>
      <w:keepNext/>
      <w:spacing w:before="200" w:line="280" w:lineRule="atLeast"/>
    </w:pPr>
    <w:rPr>
      <w:rFonts w:ascii="Arial" w:hAnsi="Arial"/>
      <w:b/>
      <w:sz w:val="22"/>
    </w:rPr>
  </w:style>
  <w:style w:type="paragraph" w:customStyle="1" w:styleId="BoxHeading2">
    <w:name w:val="Box Heading 2"/>
    <w:basedOn w:val="BoxHeading1"/>
    <w:next w:val="Normal"/>
    <w:rsid w:val="00A6748E"/>
    <w:rPr>
      <w:b w:val="0"/>
      <w:i/>
    </w:rPr>
  </w:style>
  <w:style w:type="paragraph" w:customStyle="1" w:styleId="BoxListBullet">
    <w:name w:val="Box List Bullet"/>
    <w:basedOn w:val="BodyText"/>
    <w:rsid w:val="00A6748E"/>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A6748E"/>
    <w:pPr>
      <w:numPr>
        <w:numId w:val="2"/>
      </w:numPr>
      <w:ind w:left="568" w:hanging="284"/>
    </w:pPr>
  </w:style>
  <w:style w:type="paragraph" w:customStyle="1" w:styleId="BoxListNumber">
    <w:name w:val="Box List Number"/>
    <w:basedOn w:val="BodyText"/>
    <w:rsid w:val="00A6748E"/>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A6748E"/>
    <w:pPr>
      <w:numPr>
        <w:ilvl w:val="1"/>
      </w:numPr>
      <w:ind w:left="681" w:hanging="397"/>
    </w:pPr>
  </w:style>
  <w:style w:type="paragraph" w:customStyle="1" w:styleId="BoxQuote">
    <w:name w:val="Box Quote"/>
    <w:basedOn w:val="BodyText"/>
    <w:next w:val="Box"/>
    <w:qFormat/>
    <w:rsid w:val="00A6748E"/>
    <w:pPr>
      <w:keepNext/>
      <w:spacing w:before="60" w:line="240" w:lineRule="exact"/>
      <w:ind w:left="284"/>
    </w:pPr>
    <w:rPr>
      <w:rFonts w:ascii="Arial" w:hAnsi="Arial"/>
      <w:sz w:val="18"/>
    </w:rPr>
  </w:style>
  <w:style w:type="paragraph" w:customStyle="1" w:styleId="Note">
    <w:name w:val="Note"/>
    <w:basedOn w:val="BodyText"/>
    <w:next w:val="BodyText"/>
    <w:rsid w:val="00A6748E"/>
    <w:pPr>
      <w:keepLines/>
      <w:spacing w:before="80" w:line="220" w:lineRule="exact"/>
    </w:pPr>
    <w:rPr>
      <w:rFonts w:ascii="Arial" w:hAnsi="Arial"/>
      <w:sz w:val="18"/>
    </w:rPr>
  </w:style>
  <w:style w:type="paragraph" w:customStyle="1" w:styleId="Source">
    <w:name w:val="Source"/>
    <w:basedOn w:val="Normal"/>
    <w:next w:val="BodyText"/>
    <w:rsid w:val="00A6748E"/>
    <w:pPr>
      <w:keepLines/>
      <w:spacing w:before="80" w:line="220" w:lineRule="exact"/>
      <w:jc w:val="both"/>
    </w:pPr>
    <w:rPr>
      <w:rFonts w:ascii="Arial" w:hAnsi="Arial"/>
      <w:sz w:val="18"/>
      <w:szCs w:val="20"/>
    </w:rPr>
  </w:style>
  <w:style w:type="paragraph" w:customStyle="1" w:styleId="BoxSource">
    <w:name w:val="Box Source"/>
    <w:basedOn w:val="Source"/>
    <w:next w:val="BodyText"/>
    <w:rsid w:val="00A6748E"/>
    <w:pPr>
      <w:spacing w:before="120"/>
    </w:pPr>
  </w:style>
  <w:style w:type="paragraph" w:customStyle="1" w:styleId="BoxSpaceAbove">
    <w:name w:val="Box Space Above"/>
    <w:basedOn w:val="BodyText"/>
    <w:rsid w:val="00A6748E"/>
    <w:pPr>
      <w:keepNext/>
      <w:spacing w:before="360" w:line="80" w:lineRule="exact"/>
      <w:jc w:val="left"/>
    </w:pPr>
  </w:style>
  <w:style w:type="paragraph" w:styleId="Caption">
    <w:name w:val="caption"/>
    <w:basedOn w:val="Normal"/>
    <w:next w:val="BodyText"/>
    <w:rsid w:val="00A6748E"/>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A6748E"/>
    <w:pPr>
      <w:spacing w:before="120" w:after="0"/>
    </w:pPr>
  </w:style>
  <w:style w:type="paragraph" w:customStyle="1" w:styleId="BoxSubtitle">
    <w:name w:val="Box Subtitle"/>
    <w:basedOn w:val="BoxTitle"/>
    <w:next w:val="Normal"/>
    <w:rsid w:val="00A6748E"/>
    <w:pPr>
      <w:spacing w:after="80" w:line="200" w:lineRule="exact"/>
      <w:ind w:firstLine="0"/>
    </w:pPr>
    <w:rPr>
      <w:b w:val="0"/>
      <w:sz w:val="20"/>
    </w:rPr>
  </w:style>
  <w:style w:type="paragraph" w:customStyle="1" w:styleId="Chapter">
    <w:name w:val="Chapter"/>
    <w:basedOn w:val="Heading1"/>
    <w:next w:val="BodyText"/>
    <w:semiHidden/>
    <w:rsid w:val="00A6748E"/>
    <w:pPr>
      <w:ind w:left="0" w:firstLine="0"/>
      <w:outlineLvl w:val="9"/>
    </w:pPr>
  </w:style>
  <w:style w:type="paragraph" w:customStyle="1" w:styleId="ChapterSummary">
    <w:name w:val="Chapter Summary"/>
    <w:basedOn w:val="BodyText"/>
    <w:rsid w:val="00A6748E"/>
    <w:pPr>
      <w:spacing w:line="280" w:lineRule="atLeast"/>
      <w:ind w:left="907"/>
    </w:pPr>
    <w:rPr>
      <w:rFonts w:ascii="Arial" w:hAnsi="Arial"/>
      <w:b/>
      <w:sz w:val="20"/>
    </w:rPr>
  </w:style>
  <w:style w:type="character" w:styleId="CommentReference">
    <w:name w:val="annotation reference"/>
    <w:basedOn w:val="DefaultParagraphFont"/>
    <w:semiHidden/>
    <w:rsid w:val="00A6748E"/>
    <w:rPr>
      <w:b/>
      <w:vanish/>
      <w:color w:val="FF00FF"/>
      <w:sz w:val="20"/>
    </w:rPr>
  </w:style>
  <w:style w:type="paragraph" w:styleId="CommentText">
    <w:name w:val="annotation text"/>
    <w:basedOn w:val="Normal"/>
    <w:link w:val="CommentTextChar"/>
    <w:semiHidden/>
    <w:rsid w:val="00A6748E"/>
    <w:pPr>
      <w:spacing w:before="120" w:line="240" w:lineRule="atLeast"/>
      <w:ind w:left="567" w:hanging="567"/>
    </w:pPr>
    <w:rPr>
      <w:sz w:val="20"/>
    </w:rPr>
  </w:style>
  <w:style w:type="paragraph" w:customStyle="1" w:styleId="Continued">
    <w:name w:val="Continued"/>
    <w:basedOn w:val="BoxContinued"/>
    <w:next w:val="BodyText"/>
    <w:rsid w:val="00A6748E"/>
  </w:style>
  <w:style w:type="character" w:customStyle="1" w:styleId="DocumentInfo">
    <w:name w:val="Document Info"/>
    <w:basedOn w:val="DefaultParagraphFont"/>
    <w:semiHidden/>
    <w:rsid w:val="00A6748E"/>
    <w:rPr>
      <w:rFonts w:ascii="Arial" w:hAnsi="Arial"/>
      <w:sz w:val="14"/>
    </w:rPr>
  </w:style>
  <w:style w:type="character" w:customStyle="1" w:styleId="DraftingNote">
    <w:name w:val="Drafting Note"/>
    <w:basedOn w:val="DefaultParagraphFont"/>
    <w:rsid w:val="00A6748E"/>
    <w:rPr>
      <w:b/>
      <w:color w:val="FF0000"/>
      <w:sz w:val="24"/>
      <w:u w:val="dotted"/>
    </w:rPr>
  </w:style>
  <w:style w:type="paragraph" w:customStyle="1" w:styleId="Figure">
    <w:name w:val="Figure"/>
    <w:basedOn w:val="BodyText"/>
    <w:rsid w:val="00A6748E"/>
    <w:pPr>
      <w:keepNext/>
      <w:spacing w:before="120" w:after="120" w:line="240" w:lineRule="atLeast"/>
      <w:jc w:val="center"/>
    </w:pPr>
  </w:style>
  <w:style w:type="paragraph" w:customStyle="1" w:styleId="FigureTitle">
    <w:name w:val="Figure Title"/>
    <w:basedOn w:val="Caption"/>
    <w:next w:val="Subtitle"/>
    <w:rsid w:val="00A6748E"/>
    <w:pPr>
      <w:spacing w:before="120"/>
    </w:pPr>
  </w:style>
  <w:style w:type="paragraph" w:styleId="Subtitle">
    <w:name w:val="Subtitle"/>
    <w:basedOn w:val="Caption"/>
    <w:link w:val="SubtitleChar"/>
    <w:qFormat/>
    <w:rsid w:val="00A6748E"/>
    <w:pPr>
      <w:spacing w:before="0" w:line="200" w:lineRule="exact"/>
      <w:ind w:firstLine="0"/>
    </w:pPr>
    <w:rPr>
      <w:b w:val="0"/>
      <w:sz w:val="20"/>
    </w:rPr>
  </w:style>
  <w:style w:type="paragraph" w:customStyle="1" w:styleId="Finding">
    <w:name w:val="Finding"/>
    <w:basedOn w:val="BodyText"/>
    <w:rsid w:val="00A6748E"/>
    <w:pPr>
      <w:keepLines/>
      <w:spacing w:before="120" w:line="280" w:lineRule="atLeast"/>
    </w:pPr>
    <w:rPr>
      <w:rFonts w:ascii="Arial" w:hAnsi="Arial"/>
      <w:sz w:val="22"/>
    </w:rPr>
  </w:style>
  <w:style w:type="paragraph" w:customStyle="1" w:styleId="FindingBullet">
    <w:name w:val="Finding Bullet"/>
    <w:basedOn w:val="Finding"/>
    <w:rsid w:val="00A6748E"/>
    <w:pPr>
      <w:numPr>
        <w:numId w:val="3"/>
      </w:numPr>
      <w:spacing w:before="80"/>
    </w:pPr>
  </w:style>
  <w:style w:type="paragraph" w:customStyle="1" w:styleId="FindingNoTitle">
    <w:name w:val="Finding NoTitle"/>
    <w:basedOn w:val="Finding"/>
    <w:semiHidden/>
    <w:rsid w:val="00A6748E"/>
    <w:pPr>
      <w:spacing w:before="240"/>
    </w:pPr>
  </w:style>
  <w:style w:type="paragraph" w:customStyle="1" w:styleId="RecTitle">
    <w:name w:val="Rec Title"/>
    <w:basedOn w:val="BodyText"/>
    <w:next w:val="Rec"/>
    <w:qFormat/>
    <w:rsid w:val="00A6748E"/>
    <w:pPr>
      <w:keepNext/>
      <w:keepLines/>
      <w:spacing w:line="280" w:lineRule="atLeast"/>
    </w:pPr>
    <w:rPr>
      <w:rFonts w:ascii="Arial" w:hAnsi="Arial"/>
      <w:caps/>
      <w:sz w:val="18"/>
    </w:rPr>
  </w:style>
  <w:style w:type="paragraph" w:customStyle="1" w:styleId="FindingTitle">
    <w:name w:val="Finding Title"/>
    <w:basedOn w:val="RecTitle"/>
    <w:next w:val="Finding"/>
    <w:rsid w:val="00A6748E"/>
  </w:style>
  <w:style w:type="character" w:styleId="FootnoteReference">
    <w:name w:val="footnote reference"/>
    <w:basedOn w:val="DefaultParagraphFont"/>
    <w:semiHidden/>
    <w:rsid w:val="00A6748E"/>
    <w:rPr>
      <w:rFonts w:ascii="Times New Roman" w:hAnsi="Times New Roman"/>
      <w:position w:val="6"/>
      <w:sz w:val="20"/>
      <w:vertAlign w:val="baseline"/>
    </w:rPr>
  </w:style>
  <w:style w:type="paragraph" w:styleId="FootnoteText">
    <w:name w:val="footnote text"/>
    <w:basedOn w:val="BodyText"/>
    <w:rsid w:val="00A6748E"/>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A6748E"/>
    <w:rPr>
      <w:i/>
    </w:rPr>
  </w:style>
  <w:style w:type="paragraph" w:customStyle="1" w:styleId="Jurisdictioncommentsbodytext">
    <w:name w:val="Jurisdiction comments body text"/>
    <w:rsid w:val="00A6748E"/>
    <w:pPr>
      <w:spacing w:after="140"/>
      <w:jc w:val="both"/>
    </w:pPr>
    <w:rPr>
      <w:rFonts w:ascii="Arial" w:hAnsi="Arial"/>
      <w:sz w:val="24"/>
      <w:lang w:eastAsia="en-US"/>
    </w:rPr>
  </w:style>
  <w:style w:type="paragraph" w:customStyle="1" w:styleId="Jurisdictioncommentsheading">
    <w:name w:val="Jurisdiction comments heading"/>
    <w:rsid w:val="00A6748E"/>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6748E"/>
    <w:pPr>
      <w:numPr>
        <w:numId w:val="4"/>
      </w:numPr>
      <w:spacing w:after="140"/>
      <w:jc w:val="both"/>
    </w:pPr>
    <w:rPr>
      <w:rFonts w:ascii="Arial" w:hAnsi="Arial"/>
      <w:sz w:val="24"/>
      <w:lang w:eastAsia="en-US"/>
    </w:rPr>
  </w:style>
  <w:style w:type="paragraph" w:styleId="ListBullet">
    <w:name w:val="List Bullet"/>
    <w:basedOn w:val="BodyText"/>
    <w:rsid w:val="00A6748E"/>
    <w:pPr>
      <w:numPr>
        <w:numId w:val="5"/>
      </w:numPr>
      <w:spacing w:before="120"/>
    </w:pPr>
  </w:style>
  <w:style w:type="paragraph" w:styleId="ListBullet2">
    <w:name w:val="List Bullet 2"/>
    <w:basedOn w:val="BodyText"/>
    <w:rsid w:val="00A6748E"/>
    <w:pPr>
      <w:numPr>
        <w:numId w:val="6"/>
      </w:numPr>
      <w:spacing w:before="120"/>
    </w:pPr>
  </w:style>
  <w:style w:type="paragraph" w:styleId="ListBullet3">
    <w:name w:val="List Bullet 3"/>
    <w:basedOn w:val="BodyText"/>
    <w:rsid w:val="00A6748E"/>
    <w:pPr>
      <w:numPr>
        <w:numId w:val="7"/>
      </w:numPr>
      <w:spacing w:before="120"/>
      <w:ind w:left="1020" w:hanging="340"/>
    </w:pPr>
  </w:style>
  <w:style w:type="paragraph" w:styleId="ListNumber">
    <w:name w:val="List Number"/>
    <w:basedOn w:val="BodyText"/>
    <w:rsid w:val="00A6748E"/>
    <w:pPr>
      <w:numPr>
        <w:numId w:val="13"/>
      </w:numPr>
      <w:spacing w:before="120"/>
    </w:pPr>
  </w:style>
  <w:style w:type="paragraph" w:styleId="ListNumber2">
    <w:name w:val="List Number 2"/>
    <w:basedOn w:val="ListNumber"/>
    <w:rsid w:val="00A6748E"/>
    <w:pPr>
      <w:numPr>
        <w:ilvl w:val="1"/>
      </w:numPr>
    </w:pPr>
  </w:style>
  <w:style w:type="paragraph" w:styleId="ListNumber3">
    <w:name w:val="List Number 3"/>
    <w:basedOn w:val="ListNumber2"/>
    <w:rsid w:val="00A6748E"/>
    <w:pPr>
      <w:numPr>
        <w:ilvl w:val="2"/>
      </w:numPr>
    </w:pPr>
  </w:style>
  <w:style w:type="character" w:customStyle="1" w:styleId="NoteLabel">
    <w:name w:val="Note Label"/>
    <w:basedOn w:val="DefaultParagraphFont"/>
    <w:rsid w:val="00A6748E"/>
    <w:rPr>
      <w:rFonts w:ascii="Arial" w:hAnsi="Arial"/>
      <w:b/>
      <w:position w:val="6"/>
      <w:sz w:val="18"/>
    </w:rPr>
  </w:style>
  <w:style w:type="paragraph" w:customStyle="1" w:styleId="PartDivider">
    <w:name w:val="Part Divider"/>
    <w:basedOn w:val="BodyText"/>
    <w:next w:val="BodyText"/>
    <w:semiHidden/>
    <w:rsid w:val="00A6748E"/>
    <w:pPr>
      <w:spacing w:before="0" w:line="40" w:lineRule="exact"/>
      <w:jc w:val="right"/>
    </w:pPr>
    <w:rPr>
      <w:smallCaps/>
      <w:sz w:val="16"/>
    </w:rPr>
  </w:style>
  <w:style w:type="paragraph" w:customStyle="1" w:styleId="PartNumber">
    <w:name w:val="Part Number"/>
    <w:basedOn w:val="BodyText"/>
    <w:next w:val="BodyText"/>
    <w:semiHidden/>
    <w:rsid w:val="00A6748E"/>
    <w:pPr>
      <w:spacing w:before="4000" w:line="320" w:lineRule="exact"/>
      <w:ind w:left="6634"/>
      <w:jc w:val="right"/>
    </w:pPr>
    <w:rPr>
      <w:smallCaps/>
      <w:spacing w:val="60"/>
      <w:sz w:val="32"/>
    </w:rPr>
  </w:style>
  <w:style w:type="paragraph" w:customStyle="1" w:styleId="PartTitle">
    <w:name w:val="Part Title"/>
    <w:basedOn w:val="BodyText"/>
    <w:semiHidden/>
    <w:rsid w:val="00A6748E"/>
    <w:pPr>
      <w:spacing w:before="160" w:after="1360" w:line="520" w:lineRule="exact"/>
      <w:ind w:right="2381"/>
      <w:jc w:val="right"/>
    </w:pPr>
    <w:rPr>
      <w:smallCaps/>
      <w:sz w:val="52"/>
    </w:rPr>
  </w:style>
  <w:style w:type="paragraph" w:styleId="Quote">
    <w:name w:val="Quote"/>
    <w:basedOn w:val="BodyText"/>
    <w:next w:val="BodyText"/>
    <w:qFormat/>
    <w:rsid w:val="00A6748E"/>
    <w:pPr>
      <w:spacing w:before="120" w:line="280" w:lineRule="exact"/>
      <w:ind w:left="340"/>
    </w:pPr>
    <w:rPr>
      <w:sz w:val="22"/>
    </w:rPr>
  </w:style>
  <w:style w:type="paragraph" w:customStyle="1" w:styleId="QuoteBullet">
    <w:name w:val="Quote Bullet"/>
    <w:basedOn w:val="Quote"/>
    <w:rsid w:val="00A6748E"/>
    <w:pPr>
      <w:numPr>
        <w:numId w:val="8"/>
      </w:numPr>
    </w:pPr>
  </w:style>
  <w:style w:type="paragraph" w:customStyle="1" w:styleId="Rec">
    <w:name w:val="Rec"/>
    <w:basedOn w:val="BodyText"/>
    <w:qFormat/>
    <w:rsid w:val="00A6748E"/>
    <w:pPr>
      <w:keepLines/>
      <w:spacing w:before="120" w:line="280" w:lineRule="atLeast"/>
    </w:pPr>
    <w:rPr>
      <w:rFonts w:ascii="Arial" w:hAnsi="Arial"/>
      <w:sz w:val="22"/>
    </w:rPr>
  </w:style>
  <w:style w:type="paragraph" w:customStyle="1" w:styleId="RecBullet">
    <w:name w:val="Rec Bullet"/>
    <w:basedOn w:val="Rec"/>
    <w:rsid w:val="00A6748E"/>
    <w:pPr>
      <w:numPr>
        <w:numId w:val="9"/>
      </w:numPr>
      <w:spacing w:before="80"/>
    </w:pPr>
  </w:style>
  <w:style w:type="paragraph" w:customStyle="1" w:styleId="RecB">
    <w:name w:val="RecB"/>
    <w:basedOn w:val="Normal"/>
    <w:semiHidden/>
    <w:rsid w:val="00A6748E"/>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A6748E"/>
    <w:pPr>
      <w:numPr>
        <w:numId w:val="10"/>
      </w:numPr>
      <w:spacing w:before="80"/>
    </w:pPr>
  </w:style>
  <w:style w:type="paragraph" w:customStyle="1" w:styleId="RecBNoTitle">
    <w:name w:val="RecB NoTitle"/>
    <w:basedOn w:val="RecB"/>
    <w:semiHidden/>
    <w:rsid w:val="00A6748E"/>
    <w:pPr>
      <w:spacing w:before="240"/>
    </w:pPr>
  </w:style>
  <w:style w:type="paragraph" w:customStyle="1" w:styleId="Reference">
    <w:name w:val="Reference"/>
    <w:basedOn w:val="BodyText"/>
    <w:rsid w:val="00A6748E"/>
    <w:pPr>
      <w:spacing w:before="120"/>
      <w:ind w:left="340" w:hanging="340"/>
    </w:pPr>
  </w:style>
  <w:style w:type="paragraph" w:customStyle="1" w:styleId="SequenceInfo">
    <w:name w:val="Sequence Info"/>
    <w:basedOn w:val="BodyText"/>
    <w:semiHidden/>
    <w:rsid w:val="00A6748E"/>
    <w:rPr>
      <w:vanish/>
      <w:sz w:val="16"/>
    </w:rPr>
  </w:style>
  <w:style w:type="paragraph" w:customStyle="1" w:styleId="SideNote">
    <w:name w:val="Side Note"/>
    <w:basedOn w:val="BodyText"/>
    <w:next w:val="BodyText"/>
    <w:semiHidden/>
    <w:rsid w:val="00A6748E"/>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6748E"/>
    <w:pPr>
      <w:framePr w:wrap="around"/>
      <w:numPr>
        <w:numId w:val="11"/>
      </w:numPr>
      <w:tabs>
        <w:tab w:val="left" w:pos="227"/>
      </w:tabs>
    </w:pPr>
  </w:style>
  <w:style w:type="paragraph" w:customStyle="1" w:styleId="SideNoteGraphic">
    <w:name w:val="Side Note Graphic"/>
    <w:basedOn w:val="SideNote"/>
    <w:next w:val="BodyText"/>
    <w:semiHidden/>
    <w:rsid w:val="00A6748E"/>
    <w:pPr>
      <w:framePr w:wrap="around"/>
    </w:pPr>
  </w:style>
  <w:style w:type="paragraph" w:customStyle="1" w:styleId="TableBodyText">
    <w:name w:val="Table Body Text"/>
    <w:basedOn w:val="BodyText"/>
    <w:rsid w:val="00A6748E"/>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A6748E"/>
    <w:pPr>
      <w:numPr>
        <w:numId w:val="12"/>
      </w:numPr>
      <w:jc w:val="left"/>
    </w:pPr>
  </w:style>
  <w:style w:type="paragraph" w:customStyle="1" w:styleId="TableColumnHeading">
    <w:name w:val="Table Column Heading"/>
    <w:basedOn w:val="TableBodyText"/>
    <w:rsid w:val="00A6748E"/>
    <w:pPr>
      <w:spacing w:before="80" w:after="80"/>
    </w:pPr>
    <w:rPr>
      <w:i/>
    </w:rPr>
  </w:style>
  <w:style w:type="paragraph" w:styleId="TOC2">
    <w:name w:val="toc 2"/>
    <w:basedOn w:val="TOC1"/>
    <w:rsid w:val="00A6748E"/>
    <w:pPr>
      <w:ind w:left="1134" w:hanging="624"/>
    </w:pPr>
    <w:rPr>
      <w:b w:val="0"/>
    </w:rPr>
  </w:style>
  <w:style w:type="paragraph" w:styleId="TOC3">
    <w:name w:val="toc 3"/>
    <w:basedOn w:val="TOC2"/>
    <w:rsid w:val="00A6748E"/>
    <w:pPr>
      <w:spacing w:before="60"/>
      <w:ind w:left="1190" w:hanging="680"/>
    </w:pPr>
  </w:style>
  <w:style w:type="paragraph" w:styleId="TableofFigures">
    <w:name w:val="table of figures"/>
    <w:basedOn w:val="TOC3"/>
    <w:next w:val="BodyText"/>
    <w:semiHidden/>
    <w:rsid w:val="00A6748E"/>
    <w:pPr>
      <w:ind w:left="737" w:hanging="737"/>
    </w:pPr>
  </w:style>
  <w:style w:type="paragraph" w:customStyle="1" w:styleId="TableTitle">
    <w:name w:val="Table Title"/>
    <w:basedOn w:val="Caption"/>
    <w:next w:val="Subtitle"/>
    <w:qFormat/>
    <w:rsid w:val="00A6748E"/>
    <w:pPr>
      <w:spacing w:before="120"/>
    </w:pPr>
  </w:style>
  <w:style w:type="paragraph" w:customStyle="1" w:styleId="TableUnitsRow">
    <w:name w:val="Table Units Row"/>
    <w:basedOn w:val="TableBodyText"/>
    <w:rsid w:val="00A6748E"/>
    <w:pPr>
      <w:spacing w:before="40"/>
    </w:pPr>
  </w:style>
  <w:style w:type="paragraph" w:styleId="TOC1">
    <w:name w:val="toc 1"/>
    <w:basedOn w:val="Normal"/>
    <w:next w:val="TOC2"/>
    <w:link w:val="TOC1Char"/>
    <w:rsid w:val="00A6748E"/>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6748E"/>
    <w:pPr>
      <w:ind w:left="1191" w:firstLine="0"/>
    </w:pPr>
  </w:style>
  <w:style w:type="paragraph" w:customStyle="1" w:styleId="RecBBullet2">
    <w:name w:val="RecB Bullet 2"/>
    <w:basedOn w:val="ListBullet2"/>
    <w:semiHidden/>
    <w:rsid w:val="00A6748E"/>
    <w:pPr>
      <w:pBdr>
        <w:left w:val="single" w:sz="24" w:space="29" w:color="C0C0C0"/>
      </w:pBdr>
    </w:pPr>
    <w:rPr>
      <w:b/>
      <w:i/>
    </w:rPr>
  </w:style>
  <w:style w:type="paragraph" w:styleId="BalloonText">
    <w:name w:val="Balloon Text"/>
    <w:basedOn w:val="Normal"/>
    <w:link w:val="BalloonTextChar"/>
    <w:rsid w:val="00A6748E"/>
    <w:rPr>
      <w:rFonts w:ascii="Tahoma" w:hAnsi="Tahoma" w:cs="Tahoma"/>
      <w:sz w:val="16"/>
      <w:szCs w:val="16"/>
    </w:rPr>
  </w:style>
  <w:style w:type="character" w:customStyle="1" w:styleId="BalloonTextChar">
    <w:name w:val="Balloon Text Char"/>
    <w:basedOn w:val="DefaultParagraphFont"/>
    <w:link w:val="BalloonText"/>
    <w:rsid w:val="00A6748E"/>
    <w:rPr>
      <w:rFonts w:ascii="Tahoma" w:hAnsi="Tahoma" w:cs="Tahoma"/>
      <w:sz w:val="16"/>
      <w:szCs w:val="16"/>
    </w:rPr>
  </w:style>
  <w:style w:type="character" w:customStyle="1" w:styleId="SubtitleChar">
    <w:name w:val="Subtitle Char"/>
    <w:basedOn w:val="DefaultParagraphFont"/>
    <w:link w:val="Subtitle"/>
    <w:rsid w:val="00A6748E"/>
    <w:rPr>
      <w:rFonts w:ascii="Arial" w:hAnsi="Arial"/>
      <w:szCs w:val="24"/>
    </w:rPr>
  </w:style>
  <w:style w:type="paragraph" w:customStyle="1" w:styleId="BoxListBullet3">
    <w:name w:val="Box List Bullet 3"/>
    <w:basedOn w:val="ListBullet3"/>
    <w:rsid w:val="00A6748E"/>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A6748E"/>
    <w:rPr>
      <w:i/>
      <w:iCs/>
    </w:rPr>
  </w:style>
  <w:style w:type="paragraph" w:customStyle="1" w:styleId="BoxQuoteBullet">
    <w:name w:val="Box Quote Bullet"/>
    <w:basedOn w:val="BoxQuote"/>
    <w:next w:val="Box"/>
    <w:rsid w:val="00A6748E"/>
    <w:pPr>
      <w:numPr>
        <w:numId w:val="15"/>
      </w:numPr>
      <w:ind w:left="568" w:hanging="284"/>
    </w:pPr>
  </w:style>
  <w:style w:type="paragraph" w:customStyle="1" w:styleId="InformationRequestBullet">
    <w:name w:val="Information Request Bullet"/>
    <w:basedOn w:val="ListBullet"/>
    <w:next w:val="BodyText"/>
    <w:rsid w:val="00A6748E"/>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A6748E"/>
    <w:pPr>
      <w:keepNext w:val="0"/>
      <w:spacing w:before="60" w:after="60" w:line="80" w:lineRule="exact"/>
    </w:pPr>
    <w:rPr>
      <w:sz w:val="14"/>
    </w:rPr>
  </w:style>
  <w:style w:type="paragraph" w:styleId="CommentSubject">
    <w:name w:val="annotation subject"/>
    <w:basedOn w:val="CommentText"/>
    <w:next w:val="CommentText"/>
    <w:link w:val="CommentSubjectChar"/>
    <w:rsid w:val="00E15BC0"/>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E15BC0"/>
    <w:rPr>
      <w:szCs w:val="24"/>
    </w:rPr>
  </w:style>
  <w:style w:type="character" w:customStyle="1" w:styleId="CommentSubjectChar">
    <w:name w:val="Comment Subject Char"/>
    <w:basedOn w:val="CommentTextChar"/>
    <w:link w:val="CommentSubject"/>
    <w:rsid w:val="00E15BC0"/>
    <w:rPr>
      <w:b/>
      <w:bCs/>
      <w:szCs w:val="24"/>
    </w:rPr>
  </w:style>
  <w:style w:type="table" w:styleId="TableGrid">
    <w:name w:val="Table Grid"/>
    <w:basedOn w:val="TableNormal"/>
    <w:rsid w:val="00A67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A6748E"/>
    <w:rPr>
      <w:sz w:val="24"/>
    </w:rPr>
  </w:style>
  <w:style w:type="paragraph" w:styleId="Bibliography">
    <w:name w:val="Bibliography"/>
    <w:basedOn w:val="Normal"/>
    <w:next w:val="Normal"/>
    <w:uiPriority w:val="37"/>
    <w:unhideWhenUsed/>
    <w:rsid w:val="00B350BB"/>
    <w:pPr>
      <w:spacing w:after="240"/>
      <w:ind w:left="720" w:hanging="720"/>
    </w:pPr>
  </w:style>
  <w:style w:type="paragraph" w:styleId="Revision">
    <w:name w:val="Revision"/>
    <w:hidden/>
    <w:uiPriority w:val="99"/>
    <w:semiHidden/>
    <w:rsid w:val="004127A1"/>
    <w:rPr>
      <w:sz w:val="26"/>
      <w:szCs w:val="24"/>
    </w:rPr>
  </w:style>
  <w:style w:type="character" w:styleId="EndnoteReference">
    <w:name w:val="endnote reference"/>
    <w:basedOn w:val="DefaultParagraphFont"/>
    <w:rsid w:val="008A5D23"/>
    <w:rPr>
      <w:vertAlign w:val="superscript"/>
    </w:rPr>
  </w:style>
  <w:style w:type="paragraph" w:customStyle="1" w:styleId="KeyPointsListBullet">
    <w:name w:val="Key Points List Bullet"/>
    <w:basedOn w:val="Normal"/>
    <w:qFormat/>
    <w:rsid w:val="00A6748E"/>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A6748E"/>
    <w:pPr>
      <w:numPr>
        <w:numId w:val="19"/>
      </w:numPr>
      <w:ind w:left="568" w:hanging="284"/>
    </w:pPr>
  </w:style>
  <w:style w:type="paragraph" w:customStyle="1" w:styleId="InformationRequestTitle">
    <w:name w:val="Information Request Title"/>
    <w:basedOn w:val="FindingTitle"/>
    <w:next w:val="InformationRequest"/>
    <w:rsid w:val="00A6748E"/>
    <w:rPr>
      <w:i/>
    </w:rPr>
  </w:style>
  <w:style w:type="paragraph" w:customStyle="1" w:styleId="Space">
    <w:name w:val="Space"/>
    <w:basedOn w:val="Normal"/>
    <w:rsid w:val="00A6748E"/>
    <w:pPr>
      <w:keepNext/>
      <w:spacing w:line="120" w:lineRule="exact"/>
      <w:jc w:val="both"/>
    </w:pPr>
    <w:rPr>
      <w:rFonts w:ascii="Arial" w:hAnsi="Arial"/>
      <w:sz w:val="20"/>
      <w:szCs w:val="20"/>
    </w:rPr>
  </w:style>
  <w:style w:type="paragraph" w:customStyle="1" w:styleId="Heading1nochapterno">
    <w:name w:val="Heading 1 (no chapter no.)"/>
    <w:basedOn w:val="Heading1"/>
    <w:rsid w:val="00A6748E"/>
    <w:pPr>
      <w:spacing w:before="0"/>
      <w:ind w:left="0" w:firstLine="0"/>
    </w:pPr>
  </w:style>
  <w:style w:type="paragraph" w:customStyle="1" w:styleId="Heading2nosectionno">
    <w:name w:val="Heading 2 (no section no.)"/>
    <w:basedOn w:val="Heading2"/>
    <w:rsid w:val="00A6748E"/>
    <w:pPr>
      <w:ind w:left="0" w:firstLine="0"/>
    </w:pPr>
  </w:style>
  <w:style w:type="character" w:customStyle="1" w:styleId="Heading5Char">
    <w:name w:val="Heading 5 Char"/>
    <w:basedOn w:val="DefaultParagraphFont"/>
    <w:link w:val="Heading5"/>
    <w:rsid w:val="00A6748E"/>
    <w:rPr>
      <w:rFonts w:ascii="Arial" w:hAnsi="Arial"/>
      <w:i/>
      <w:sz w:val="22"/>
    </w:rPr>
  </w:style>
  <w:style w:type="paragraph" w:customStyle="1" w:styleId="Figurespace">
    <w:name w:val="Figure space"/>
    <w:basedOn w:val="Box"/>
    <w:rsid w:val="00A6748E"/>
    <w:pPr>
      <w:spacing w:before="0" w:line="120" w:lineRule="exact"/>
    </w:pPr>
  </w:style>
  <w:style w:type="paragraph" w:customStyle="1" w:styleId="FooterDraftReport">
    <w:name w:val="FooterDraftReport"/>
    <w:basedOn w:val="Footer"/>
    <w:link w:val="FooterDraftReportChar"/>
    <w:rsid w:val="00A6748E"/>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A6748E"/>
    <w:rPr>
      <w:rFonts w:ascii="Arial" w:hAnsi="Arial"/>
      <w:caps/>
      <w:spacing w:val="-4"/>
      <w:sz w:val="16"/>
    </w:rPr>
  </w:style>
  <w:style w:type="character" w:customStyle="1" w:styleId="FooterDraftReportChar">
    <w:name w:val="FooterDraftReport Char"/>
    <w:basedOn w:val="FooterChar"/>
    <w:link w:val="FooterDraftReport"/>
    <w:rsid w:val="00A6748E"/>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A6748E"/>
    <w:rPr>
      <w:rFonts w:ascii="Arial" w:hAnsi="Arial"/>
      <w:b/>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6748E"/>
    <w:rPr>
      <w:sz w:val="24"/>
      <w:szCs w:val="24"/>
    </w:rPr>
  </w:style>
  <w:style w:type="paragraph" w:styleId="Heading1">
    <w:name w:val="heading 1"/>
    <w:basedOn w:val="BodyText"/>
    <w:next w:val="BodyText"/>
    <w:rsid w:val="00A6748E"/>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6748E"/>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6748E"/>
    <w:pPr>
      <w:spacing w:before="560" w:line="320" w:lineRule="exact"/>
      <w:ind w:left="0" w:firstLine="0"/>
      <w:outlineLvl w:val="2"/>
    </w:pPr>
    <w:rPr>
      <w:sz w:val="26"/>
    </w:rPr>
  </w:style>
  <w:style w:type="paragraph" w:styleId="Heading4">
    <w:name w:val="heading 4"/>
    <w:basedOn w:val="Heading3"/>
    <w:next w:val="BodyText"/>
    <w:qFormat/>
    <w:rsid w:val="00A6748E"/>
    <w:pPr>
      <w:spacing w:before="480"/>
      <w:outlineLvl w:val="3"/>
    </w:pPr>
    <w:rPr>
      <w:b w:val="0"/>
      <w:sz w:val="24"/>
    </w:rPr>
  </w:style>
  <w:style w:type="paragraph" w:styleId="Heading5">
    <w:name w:val="heading 5"/>
    <w:basedOn w:val="Heading4"/>
    <w:next w:val="BodyText"/>
    <w:link w:val="Heading5Char"/>
    <w:qFormat/>
    <w:rsid w:val="00A6748E"/>
    <w:pPr>
      <w:outlineLvl w:val="4"/>
    </w:pPr>
    <w:rPr>
      <w:i/>
      <w:sz w:val="22"/>
    </w:rPr>
  </w:style>
  <w:style w:type="paragraph" w:styleId="Heading6">
    <w:name w:val="heading 6"/>
    <w:basedOn w:val="BodyText"/>
    <w:next w:val="BodyText"/>
    <w:rsid w:val="00A6748E"/>
    <w:pPr>
      <w:spacing w:after="60"/>
      <w:jc w:val="left"/>
      <w:outlineLvl w:val="5"/>
    </w:pPr>
    <w:rPr>
      <w:i/>
      <w:sz w:val="22"/>
    </w:rPr>
  </w:style>
  <w:style w:type="paragraph" w:styleId="Heading7">
    <w:name w:val="heading 7"/>
    <w:basedOn w:val="BodyText"/>
    <w:next w:val="BodyText"/>
    <w:rsid w:val="00A6748E"/>
    <w:pPr>
      <w:spacing w:after="60" w:line="240" w:lineRule="auto"/>
      <w:jc w:val="left"/>
      <w:outlineLvl w:val="6"/>
    </w:pPr>
    <w:rPr>
      <w:rFonts w:ascii="Arial" w:hAnsi="Arial"/>
      <w:sz w:val="20"/>
    </w:rPr>
  </w:style>
  <w:style w:type="paragraph" w:styleId="Heading8">
    <w:name w:val="heading 8"/>
    <w:basedOn w:val="BodyText"/>
    <w:next w:val="BodyText"/>
    <w:rsid w:val="00A6748E"/>
    <w:pPr>
      <w:spacing w:after="60" w:line="240" w:lineRule="auto"/>
      <w:jc w:val="left"/>
      <w:outlineLvl w:val="7"/>
    </w:pPr>
    <w:rPr>
      <w:rFonts w:ascii="Arial" w:hAnsi="Arial"/>
      <w:i/>
      <w:sz w:val="20"/>
    </w:rPr>
  </w:style>
  <w:style w:type="paragraph" w:styleId="Heading9">
    <w:name w:val="heading 9"/>
    <w:basedOn w:val="BodyText"/>
    <w:next w:val="BodyText"/>
    <w:rsid w:val="00A6748E"/>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A674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748E"/>
  </w:style>
  <w:style w:type="paragraph" w:styleId="BodyText">
    <w:name w:val="Body Text"/>
    <w:link w:val="BodyTextChar"/>
    <w:qFormat/>
    <w:rsid w:val="00A6748E"/>
    <w:pPr>
      <w:spacing w:before="240" w:line="300" w:lineRule="atLeast"/>
      <w:jc w:val="both"/>
    </w:pPr>
    <w:rPr>
      <w:sz w:val="24"/>
    </w:rPr>
  </w:style>
  <w:style w:type="paragraph" w:styleId="Footer">
    <w:name w:val="footer"/>
    <w:basedOn w:val="BodyText"/>
    <w:link w:val="FooterChar"/>
    <w:rsid w:val="00A6748E"/>
    <w:pPr>
      <w:spacing w:before="80" w:line="200" w:lineRule="exact"/>
      <w:ind w:right="6"/>
      <w:jc w:val="left"/>
    </w:pPr>
    <w:rPr>
      <w:rFonts w:ascii="Arial" w:hAnsi="Arial"/>
      <w:caps/>
      <w:spacing w:val="-4"/>
      <w:sz w:val="16"/>
    </w:rPr>
  </w:style>
  <w:style w:type="paragraph" w:customStyle="1" w:styleId="FooterEnd">
    <w:name w:val="Footer End"/>
    <w:basedOn w:val="Footer"/>
    <w:rsid w:val="00A6748E"/>
    <w:pPr>
      <w:spacing w:before="0" w:line="20" w:lineRule="exact"/>
    </w:pPr>
  </w:style>
  <w:style w:type="paragraph" w:styleId="Header">
    <w:name w:val="header"/>
    <w:basedOn w:val="BodyText"/>
    <w:rsid w:val="00A6748E"/>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A6748E"/>
    <w:pPr>
      <w:spacing w:line="20" w:lineRule="exact"/>
    </w:pPr>
    <w:rPr>
      <w:sz w:val="16"/>
    </w:rPr>
  </w:style>
  <w:style w:type="paragraph" w:customStyle="1" w:styleId="HeaderEven">
    <w:name w:val="Header Even"/>
    <w:basedOn w:val="Header"/>
    <w:semiHidden/>
    <w:rsid w:val="00A6748E"/>
  </w:style>
  <w:style w:type="paragraph" w:customStyle="1" w:styleId="HeaderOdd">
    <w:name w:val="Header Odd"/>
    <w:basedOn w:val="Header"/>
    <w:semiHidden/>
    <w:rsid w:val="00A6748E"/>
  </w:style>
  <w:style w:type="character" w:styleId="PageNumber">
    <w:name w:val="page number"/>
    <w:basedOn w:val="DefaultParagraphFont"/>
    <w:rsid w:val="00A6748E"/>
    <w:rPr>
      <w:rFonts w:ascii="Arial" w:hAnsi="Arial"/>
      <w:b/>
      <w:sz w:val="16"/>
    </w:rPr>
  </w:style>
  <w:style w:type="paragraph" w:customStyle="1" w:styleId="Abbreviation">
    <w:name w:val="Abbreviation"/>
    <w:basedOn w:val="BodyText"/>
    <w:rsid w:val="00A6748E"/>
    <w:pPr>
      <w:spacing w:before="120"/>
      <w:ind w:left="2381" w:hanging="2381"/>
      <w:jc w:val="left"/>
    </w:pPr>
  </w:style>
  <w:style w:type="paragraph" w:customStyle="1" w:styleId="Box">
    <w:name w:val="Box"/>
    <w:basedOn w:val="BodyText"/>
    <w:qFormat/>
    <w:rsid w:val="00A6748E"/>
    <w:pPr>
      <w:keepNext/>
      <w:spacing w:before="120" w:line="260" w:lineRule="atLeast"/>
    </w:pPr>
    <w:rPr>
      <w:rFonts w:ascii="Arial" w:hAnsi="Arial"/>
      <w:sz w:val="20"/>
    </w:rPr>
  </w:style>
  <w:style w:type="paragraph" w:customStyle="1" w:styleId="BoxContinued">
    <w:name w:val="Box Continued"/>
    <w:basedOn w:val="BodyText"/>
    <w:next w:val="BodyText"/>
    <w:semiHidden/>
    <w:rsid w:val="00A6748E"/>
    <w:pPr>
      <w:spacing w:before="180" w:line="220" w:lineRule="exact"/>
      <w:jc w:val="right"/>
    </w:pPr>
    <w:rPr>
      <w:rFonts w:ascii="Arial" w:hAnsi="Arial"/>
      <w:sz w:val="18"/>
    </w:rPr>
  </w:style>
  <w:style w:type="paragraph" w:customStyle="1" w:styleId="BoxHeading1">
    <w:name w:val="Box Heading 1"/>
    <w:basedOn w:val="BodyText"/>
    <w:next w:val="Box"/>
    <w:rsid w:val="00A6748E"/>
    <w:pPr>
      <w:keepNext/>
      <w:spacing w:before="200" w:line="280" w:lineRule="atLeast"/>
    </w:pPr>
    <w:rPr>
      <w:rFonts w:ascii="Arial" w:hAnsi="Arial"/>
      <w:b/>
      <w:sz w:val="22"/>
    </w:rPr>
  </w:style>
  <w:style w:type="paragraph" w:customStyle="1" w:styleId="BoxHeading2">
    <w:name w:val="Box Heading 2"/>
    <w:basedOn w:val="BoxHeading1"/>
    <w:next w:val="Normal"/>
    <w:rsid w:val="00A6748E"/>
    <w:rPr>
      <w:b w:val="0"/>
      <w:i/>
    </w:rPr>
  </w:style>
  <w:style w:type="paragraph" w:customStyle="1" w:styleId="BoxListBullet">
    <w:name w:val="Box List Bullet"/>
    <w:basedOn w:val="BodyText"/>
    <w:rsid w:val="00A6748E"/>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A6748E"/>
    <w:pPr>
      <w:numPr>
        <w:numId w:val="2"/>
      </w:numPr>
      <w:ind w:left="568" w:hanging="284"/>
    </w:pPr>
  </w:style>
  <w:style w:type="paragraph" w:customStyle="1" w:styleId="BoxListNumber">
    <w:name w:val="Box List Number"/>
    <w:basedOn w:val="BodyText"/>
    <w:rsid w:val="00A6748E"/>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A6748E"/>
    <w:pPr>
      <w:numPr>
        <w:ilvl w:val="1"/>
      </w:numPr>
      <w:ind w:left="681" w:hanging="397"/>
    </w:pPr>
  </w:style>
  <w:style w:type="paragraph" w:customStyle="1" w:styleId="BoxQuote">
    <w:name w:val="Box Quote"/>
    <w:basedOn w:val="BodyText"/>
    <w:next w:val="Box"/>
    <w:qFormat/>
    <w:rsid w:val="00A6748E"/>
    <w:pPr>
      <w:keepNext/>
      <w:spacing w:before="60" w:line="240" w:lineRule="exact"/>
      <w:ind w:left="284"/>
    </w:pPr>
    <w:rPr>
      <w:rFonts w:ascii="Arial" w:hAnsi="Arial"/>
      <w:sz w:val="18"/>
    </w:rPr>
  </w:style>
  <w:style w:type="paragraph" w:customStyle="1" w:styleId="Note">
    <w:name w:val="Note"/>
    <w:basedOn w:val="BodyText"/>
    <w:next w:val="BodyText"/>
    <w:rsid w:val="00A6748E"/>
    <w:pPr>
      <w:keepLines/>
      <w:spacing w:before="80" w:line="220" w:lineRule="exact"/>
    </w:pPr>
    <w:rPr>
      <w:rFonts w:ascii="Arial" w:hAnsi="Arial"/>
      <w:sz w:val="18"/>
    </w:rPr>
  </w:style>
  <w:style w:type="paragraph" w:customStyle="1" w:styleId="Source">
    <w:name w:val="Source"/>
    <w:basedOn w:val="Normal"/>
    <w:next w:val="BodyText"/>
    <w:rsid w:val="00A6748E"/>
    <w:pPr>
      <w:keepLines/>
      <w:spacing w:before="80" w:line="220" w:lineRule="exact"/>
      <w:jc w:val="both"/>
    </w:pPr>
    <w:rPr>
      <w:rFonts w:ascii="Arial" w:hAnsi="Arial"/>
      <w:sz w:val="18"/>
      <w:szCs w:val="20"/>
    </w:rPr>
  </w:style>
  <w:style w:type="paragraph" w:customStyle="1" w:styleId="BoxSource">
    <w:name w:val="Box Source"/>
    <w:basedOn w:val="Source"/>
    <w:next w:val="BodyText"/>
    <w:rsid w:val="00A6748E"/>
    <w:pPr>
      <w:spacing w:before="120"/>
    </w:pPr>
  </w:style>
  <w:style w:type="paragraph" w:customStyle="1" w:styleId="BoxSpaceAbove">
    <w:name w:val="Box Space Above"/>
    <w:basedOn w:val="BodyText"/>
    <w:rsid w:val="00A6748E"/>
    <w:pPr>
      <w:keepNext/>
      <w:spacing w:before="360" w:line="80" w:lineRule="exact"/>
      <w:jc w:val="left"/>
    </w:pPr>
  </w:style>
  <w:style w:type="paragraph" w:styleId="Caption">
    <w:name w:val="caption"/>
    <w:basedOn w:val="Normal"/>
    <w:next w:val="BodyText"/>
    <w:rsid w:val="00A6748E"/>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A6748E"/>
    <w:pPr>
      <w:spacing w:before="120" w:after="0"/>
    </w:pPr>
  </w:style>
  <w:style w:type="paragraph" w:customStyle="1" w:styleId="BoxSubtitle">
    <w:name w:val="Box Subtitle"/>
    <w:basedOn w:val="BoxTitle"/>
    <w:next w:val="Normal"/>
    <w:rsid w:val="00A6748E"/>
    <w:pPr>
      <w:spacing w:after="80" w:line="200" w:lineRule="exact"/>
      <w:ind w:firstLine="0"/>
    </w:pPr>
    <w:rPr>
      <w:b w:val="0"/>
      <w:sz w:val="20"/>
    </w:rPr>
  </w:style>
  <w:style w:type="paragraph" w:customStyle="1" w:styleId="Chapter">
    <w:name w:val="Chapter"/>
    <w:basedOn w:val="Heading1"/>
    <w:next w:val="BodyText"/>
    <w:semiHidden/>
    <w:rsid w:val="00A6748E"/>
    <w:pPr>
      <w:ind w:left="0" w:firstLine="0"/>
      <w:outlineLvl w:val="9"/>
    </w:pPr>
  </w:style>
  <w:style w:type="paragraph" w:customStyle="1" w:styleId="ChapterSummary">
    <w:name w:val="Chapter Summary"/>
    <w:basedOn w:val="BodyText"/>
    <w:rsid w:val="00A6748E"/>
    <w:pPr>
      <w:spacing w:line="280" w:lineRule="atLeast"/>
      <w:ind w:left="907"/>
    </w:pPr>
    <w:rPr>
      <w:rFonts w:ascii="Arial" w:hAnsi="Arial"/>
      <w:b/>
      <w:sz w:val="20"/>
    </w:rPr>
  </w:style>
  <w:style w:type="character" w:styleId="CommentReference">
    <w:name w:val="annotation reference"/>
    <w:basedOn w:val="DefaultParagraphFont"/>
    <w:semiHidden/>
    <w:rsid w:val="00A6748E"/>
    <w:rPr>
      <w:b/>
      <w:vanish/>
      <w:color w:val="FF00FF"/>
      <w:sz w:val="20"/>
    </w:rPr>
  </w:style>
  <w:style w:type="paragraph" w:styleId="CommentText">
    <w:name w:val="annotation text"/>
    <w:basedOn w:val="Normal"/>
    <w:link w:val="CommentTextChar"/>
    <w:semiHidden/>
    <w:rsid w:val="00A6748E"/>
    <w:pPr>
      <w:spacing w:before="120" w:line="240" w:lineRule="atLeast"/>
      <w:ind w:left="567" w:hanging="567"/>
    </w:pPr>
    <w:rPr>
      <w:sz w:val="20"/>
    </w:rPr>
  </w:style>
  <w:style w:type="paragraph" w:customStyle="1" w:styleId="Continued">
    <w:name w:val="Continued"/>
    <w:basedOn w:val="BoxContinued"/>
    <w:next w:val="BodyText"/>
    <w:rsid w:val="00A6748E"/>
  </w:style>
  <w:style w:type="character" w:customStyle="1" w:styleId="DocumentInfo">
    <w:name w:val="Document Info"/>
    <w:basedOn w:val="DefaultParagraphFont"/>
    <w:semiHidden/>
    <w:rsid w:val="00A6748E"/>
    <w:rPr>
      <w:rFonts w:ascii="Arial" w:hAnsi="Arial"/>
      <w:sz w:val="14"/>
    </w:rPr>
  </w:style>
  <w:style w:type="character" w:customStyle="1" w:styleId="DraftingNote">
    <w:name w:val="Drafting Note"/>
    <w:basedOn w:val="DefaultParagraphFont"/>
    <w:rsid w:val="00A6748E"/>
    <w:rPr>
      <w:b/>
      <w:color w:val="FF0000"/>
      <w:sz w:val="24"/>
      <w:u w:val="dotted"/>
    </w:rPr>
  </w:style>
  <w:style w:type="paragraph" w:customStyle="1" w:styleId="Figure">
    <w:name w:val="Figure"/>
    <w:basedOn w:val="BodyText"/>
    <w:rsid w:val="00A6748E"/>
    <w:pPr>
      <w:keepNext/>
      <w:spacing w:before="120" w:after="120" w:line="240" w:lineRule="atLeast"/>
      <w:jc w:val="center"/>
    </w:pPr>
  </w:style>
  <w:style w:type="paragraph" w:customStyle="1" w:styleId="FigureTitle">
    <w:name w:val="Figure Title"/>
    <w:basedOn w:val="Caption"/>
    <w:next w:val="Subtitle"/>
    <w:rsid w:val="00A6748E"/>
    <w:pPr>
      <w:spacing w:before="120"/>
    </w:pPr>
  </w:style>
  <w:style w:type="paragraph" w:styleId="Subtitle">
    <w:name w:val="Subtitle"/>
    <w:basedOn w:val="Caption"/>
    <w:link w:val="SubtitleChar"/>
    <w:qFormat/>
    <w:rsid w:val="00A6748E"/>
    <w:pPr>
      <w:spacing w:before="0" w:line="200" w:lineRule="exact"/>
      <w:ind w:firstLine="0"/>
    </w:pPr>
    <w:rPr>
      <w:b w:val="0"/>
      <w:sz w:val="20"/>
    </w:rPr>
  </w:style>
  <w:style w:type="paragraph" w:customStyle="1" w:styleId="Finding">
    <w:name w:val="Finding"/>
    <w:basedOn w:val="BodyText"/>
    <w:rsid w:val="00A6748E"/>
    <w:pPr>
      <w:keepLines/>
      <w:spacing w:before="120" w:line="280" w:lineRule="atLeast"/>
    </w:pPr>
    <w:rPr>
      <w:rFonts w:ascii="Arial" w:hAnsi="Arial"/>
      <w:sz w:val="22"/>
    </w:rPr>
  </w:style>
  <w:style w:type="paragraph" w:customStyle="1" w:styleId="FindingBullet">
    <w:name w:val="Finding Bullet"/>
    <w:basedOn w:val="Finding"/>
    <w:rsid w:val="00A6748E"/>
    <w:pPr>
      <w:numPr>
        <w:numId w:val="3"/>
      </w:numPr>
      <w:spacing w:before="80"/>
    </w:pPr>
  </w:style>
  <w:style w:type="paragraph" w:customStyle="1" w:styleId="FindingNoTitle">
    <w:name w:val="Finding NoTitle"/>
    <w:basedOn w:val="Finding"/>
    <w:semiHidden/>
    <w:rsid w:val="00A6748E"/>
    <w:pPr>
      <w:spacing w:before="240"/>
    </w:pPr>
  </w:style>
  <w:style w:type="paragraph" w:customStyle="1" w:styleId="RecTitle">
    <w:name w:val="Rec Title"/>
    <w:basedOn w:val="BodyText"/>
    <w:next w:val="Rec"/>
    <w:qFormat/>
    <w:rsid w:val="00A6748E"/>
    <w:pPr>
      <w:keepNext/>
      <w:keepLines/>
      <w:spacing w:line="280" w:lineRule="atLeast"/>
    </w:pPr>
    <w:rPr>
      <w:rFonts w:ascii="Arial" w:hAnsi="Arial"/>
      <w:caps/>
      <w:sz w:val="18"/>
    </w:rPr>
  </w:style>
  <w:style w:type="paragraph" w:customStyle="1" w:styleId="FindingTitle">
    <w:name w:val="Finding Title"/>
    <w:basedOn w:val="RecTitle"/>
    <w:next w:val="Finding"/>
    <w:rsid w:val="00A6748E"/>
  </w:style>
  <w:style w:type="character" w:styleId="FootnoteReference">
    <w:name w:val="footnote reference"/>
    <w:basedOn w:val="DefaultParagraphFont"/>
    <w:semiHidden/>
    <w:rsid w:val="00A6748E"/>
    <w:rPr>
      <w:rFonts w:ascii="Times New Roman" w:hAnsi="Times New Roman"/>
      <w:position w:val="6"/>
      <w:sz w:val="20"/>
      <w:vertAlign w:val="baseline"/>
    </w:rPr>
  </w:style>
  <w:style w:type="paragraph" w:styleId="FootnoteText">
    <w:name w:val="footnote text"/>
    <w:basedOn w:val="BodyText"/>
    <w:rsid w:val="00A6748E"/>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A6748E"/>
    <w:rPr>
      <w:i/>
    </w:rPr>
  </w:style>
  <w:style w:type="paragraph" w:customStyle="1" w:styleId="Jurisdictioncommentsbodytext">
    <w:name w:val="Jurisdiction comments body text"/>
    <w:rsid w:val="00A6748E"/>
    <w:pPr>
      <w:spacing w:after="140"/>
      <w:jc w:val="both"/>
    </w:pPr>
    <w:rPr>
      <w:rFonts w:ascii="Arial" w:hAnsi="Arial"/>
      <w:sz w:val="24"/>
      <w:lang w:eastAsia="en-US"/>
    </w:rPr>
  </w:style>
  <w:style w:type="paragraph" w:customStyle="1" w:styleId="Jurisdictioncommentsheading">
    <w:name w:val="Jurisdiction comments heading"/>
    <w:rsid w:val="00A6748E"/>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6748E"/>
    <w:pPr>
      <w:numPr>
        <w:numId w:val="4"/>
      </w:numPr>
      <w:spacing w:after="140"/>
      <w:jc w:val="both"/>
    </w:pPr>
    <w:rPr>
      <w:rFonts w:ascii="Arial" w:hAnsi="Arial"/>
      <w:sz w:val="24"/>
      <w:lang w:eastAsia="en-US"/>
    </w:rPr>
  </w:style>
  <w:style w:type="paragraph" w:styleId="ListBullet">
    <w:name w:val="List Bullet"/>
    <w:basedOn w:val="BodyText"/>
    <w:rsid w:val="00A6748E"/>
    <w:pPr>
      <w:numPr>
        <w:numId w:val="5"/>
      </w:numPr>
      <w:spacing w:before="120"/>
    </w:pPr>
  </w:style>
  <w:style w:type="paragraph" w:styleId="ListBullet2">
    <w:name w:val="List Bullet 2"/>
    <w:basedOn w:val="BodyText"/>
    <w:rsid w:val="00A6748E"/>
    <w:pPr>
      <w:numPr>
        <w:numId w:val="6"/>
      </w:numPr>
      <w:spacing w:before="120"/>
    </w:pPr>
  </w:style>
  <w:style w:type="paragraph" w:styleId="ListBullet3">
    <w:name w:val="List Bullet 3"/>
    <w:basedOn w:val="BodyText"/>
    <w:rsid w:val="00A6748E"/>
    <w:pPr>
      <w:numPr>
        <w:numId w:val="7"/>
      </w:numPr>
      <w:spacing w:before="120"/>
      <w:ind w:left="1020" w:hanging="340"/>
    </w:pPr>
  </w:style>
  <w:style w:type="paragraph" w:styleId="ListNumber">
    <w:name w:val="List Number"/>
    <w:basedOn w:val="BodyText"/>
    <w:rsid w:val="00A6748E"/>
    <w:pPr>
      <w:numPr>
        <w:numId w:val="13"/>
      </w:numPr>
      <w:spacing w:before="120"/>
    </w:pPr>
  </w:style>
  <w:style w:type="paragraph" w:styleId="ListNumber2">
    <w:name w:val="List Number 2"/>
    <w:basedOn w:val="ListNumber"/>
    <w:rsid w:val="00A6748E"/>
    <w:pPr>
      <w:numPr>
        <w:ilvl w:val="1"/>
      </w:numPr>
    </w:pPr>
  </w:style>
  <w:style w:type="paragraph" w:styleId="ListNumber3">
    <w:name w:val="List Number 3"/>
    <w:basedOn w:val="ListNumber2"/>
    <w:rsid w:val="00A6748E"/>
    <w:pPr>
      <w:numPr>
        <w:ilvl w:val="2"/>
      </w:numPr>
    </w:pPr>
  </w:style>
  <w:style w:type="character" w:customStyle="1" w:styleId="NoteLabel">
    <w:name w:val="Note Label"/>
    <w:basedOn w:val="DefaultParagraphFont"/>
    <w:rsid w:val="00A6748E"/>
    <w:rPr>
      <w:rFonts w:ascii="Arial" w:hAnsi="Arial"/>
      <w:b/>
      <w:position w:val="6"/>
      <w:sz w:val="18"/>
    </w:rPr>
  </w:style>
  <w:style w:type="paragraph" w:customStyle="1" w:styleId="PartDivider">
    <w:name w:val="Part Divider"/>
    <w:basedOn w:val="BodyText"/>
    <w:next w:val="BodyText"/>
    <w:semiHidden/>
    <w:rsid w:val="00A6748E"/>
    <w:pPr>
      <w:spacing w:before="0" w:line="40" w:lineRule="exact"/>
      <w:jc w:val="right"/>
    </w:pPr>
    <w:rPr>
      <w:smallCaps/>
      <w:sz w:val="16"/>
    </w:rPr>
  </w:style>
  <w:style w:type="paragraph" w:customStyle="1" w:styleId="PartNumber">
    <w:name w:val="Part Number"/>
    <w:basedOn w:val="BodyText"/>
    <w:next w:val="BodyText"/>
    <w:semiHidden/>
    <w:rsid w:val="00A6748E"/>
    <w:pPr>
      <w:spacing w:before="4000" w:line="320" w:lineRule="exact"/>
      <w:ind w:left="6634"/>
      <w:jc w:val="right"/>
    </w:pPr>
    <w:rPr>
      <w:smallCaps/>
      <w:spacing w:val="60"/>
      <w:sz w:val="32"/>
    </w:rPr>
  </w:style>
  <w:style w:type="paragraph" w:customStyle="1" w:styleId="PartTitle">
    <w:name w:val="Part Title"/>
    <w:basedOn w:val="BodyText"/>
    <w:semiHidden/>
    <w:rsid w:val="00A6748E"/>
    <w:pPr>
      <w:spacing w:before="160" w:after="1360" w:line="520" w:lineRule="exact"/>
      <w:ind w:right="2381"/>
      <w:jc w:val="right"/>
    </w:pPr>
    <w:rPr>
      <w:smallCaps/>
      <w:sz w:val="52"/>
    </w:rPr>
  </w:style>
  <w:style w:type="paragraph" w:styleId="Quote">
    <w:name w:val="Quote"/>
    <w:basedOn w:val="BodyText"/>
    <w:next w:val="BodyText"/>
    <w:qFormat/>
    <w:rsid w:val="00A6748E"/>
    <w:pPr>
      <w:spacing w:before="120" w:line="280" w:lineRule="exact"/>
      <w:ind w:left="340"/>
    </w:pPr>
    <w:rPr>
      <w:sz w:val="22"/>
    </w:rPr>
  </w:style>
  <w:style w:type="paragraph" w:customStyle="1" w:styleId="QuoteBullet">
    <w:name w:val="Quote Bullet"/>
    <w:basedOn w:val="Quote"/>
    <w:rsid w:val="00A6748E"/>
    <w:pPr>
      <w:numPr>
        <w:numId w:val="8"/>
      </w:numPr>
    </w:pPr>
  </w:style>
  <w:style w:type="paragraph" w:customStyle="1" w:styleId="Rec">
    <w:name w:val="Rec"/>
    <w:basedOn w:val="BodyText"/>
    <w:qFormat/>
    <w:rsid w:val="00A6748E"/>
    <w:pPr>
      <w:keepLines/>
      <w:spacing w:before="120" w:line="280" w:lineRule="atLeast"/>
    </w:pPr>
    <w:rPr>
      <w:rFonts w:ascii="Arial" w:hAnsi="Arial"/>
      <w:sz w:val="22"/>
    </w:rPr>
  </w:style>
  <w:style w:type="paragraph" w:customStyle="1" w:styleId="RecBullet">
    <w:name w:val="Rec Bullet"/>
    <w:basedOn w:val="Rec"/>
    <w:rsid w:val="00A6748E"/>
    <w:pPr>
      <w:numPr>
        <w:numId w:val="9"/>
      </w:numPr>
      <w:spacing w:before="80"/>
    </w:pPr>
  </w:style>
  <w:style w:type="paragraph" w:customStyle="1" w:styleId="RecB">
    <w:name w:val="RecB"/>
    <w:basedOn w:val="Normal"/>
    <w:semiHidden/>
    <w:rsid w:val="00A6748E"/>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A6748E"/>
    <w:pPr>
      <w:numPr>
        <w:numId w:val="10"/>
      </w:numPr>
      <w:spacing w:before="80"/>
    </w:pPr>
  </w:style>
  <w:style w:type="paragraph" w:customStyle="1" w:styleId="RecBNoTitle">
    <w:name w:val="RecB NoTitle"/>
    <w:basedOn w:val="RecB"/>
    <w:semiHidden/>
    <w:rsid w:val="00A6748E"/>
    <w:pPr>
      <w:spacing w:before="240"/>
    </w:pPr>
  </w:style>
  <w:style w:type="paragraph" w:customStyle="1" w:styleId="Reference">
    <w:name w:val="Reference"/>
    <w:basedOn w:val="BodyText"/>
    <w:rsid w:val="00A6748E"/>
    <w:pPr>
      <w:spacing w:before="120"/>
      <w:ind w:left="340" w:hanging="340"/>
    </w:pPr>
  </w:style>
  <w:style w:type="paragraph" w:customStyle="1" w:styleId="SequenceInfo">
    <w:name w:val="Sequence Info"/>
    <w:basedOn w:val="BodyText"/>
    <w:semiHidden/>
    <w:rsid w:val="00A6748E"/>
    <w:rPr>
      <w:vanish/>
      <w:sz w:val="16"/>
    </w:rPr>
  </w:style>
  <w:style w:type="paragraph" w:customStyle="1" w:styleId="SideNote">
    <w:name w:val="Side Note"/>
    <w:basedOn w:val="BodyText"/>
    <w:next w:val="BodyText"/>
    <w:semiHidden/>
    <w:rsid w:val="00A6748E"/>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6748E"/>
    <w:pPr>
      <w:framePr w:wrap="around"/>
      <w:numPr>
        <w:numId w:val="11"/>
      </w:numPr>
      <w:tabs>
        <w:tab w:val="left" w:pos="227"/>
      </w:tabs>
    </w:pPr>
  </w:style>
  <w:style w:type="paragraph" w:customStyle="1" w:styleId="SideNoteGraphic">
    <w:name w:val="Side Note Graphic"/>
    <w:basedOn w:val="SideNote"/>
    <w:next w:val="BodyText"/>
    <w:semiHidden/>
    <w:rsid w:val="00A6748E"/>
    <w:pPr>
      <w:framePr w:wrap="around"/>
    </w:pPr>
  </w:style>
  <w:style w:type="paragraph" w:customStyle="1" w:styleId="TableBodyText">
    <w:name w:val="Table Body Text"/>
    <w:basedOn w:val="BodyText"/>
    <w:rsid w:val="00A6748E"/>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A6748E"/>
    <w:pPr>
      <w:numPr>
        <w:numId w:val="12"/>
      </w:numPr>
      <w:jc w:val="left"/>
    </w:pPr>
  </w:style>
  <w:style w:type="paragraph" w:customStyle="1" w:styleId="TableColumnHeading">
    <w:name w:val="Table Column Heading"/>
    <w:basedOn w:val="TableBodyText"/>
    <w:rsid w:val="00A6748E"/>
    <w:pPr>
      <w:spacing w:before="80" w:after="80"/>
    </w:pPr>
    <w:rPr>
      <w:i/>
    </w:rPr>
  </w:style>
  <w:style w:type="paragraph" w:styleId="TOC2">
    <w:name w:val="toc 2"/>
    <w:basedOn w:val="TOC1"/>
    <w:rsid w:val="00A6748E"/>
    <w:pPr>
      <w:ind w:left="1134" w:hanging="624"/>
    </w:pPr>
    <w:rPr>
      <w:b w:val="0"/>
    </w:rPr>
  </w:style>
  <w:style w:type="paragraph" w:styleId="TOC3">
    <w:name w:val="toc 3"/>
    <w:basedOn w:val="TOC2"/>
    <w:rsid w:val="00A6748E"/>
    <w:pPr>
      <w:spacing w:before="60"/>
      <w:ind w:left="1190" w:hanging="680"/>
    </w:pPr>
  </w:style>
  <w:style w:type="paragraph" w:styleId="TableofFigures">
    <w:name w:val="table of figures"/>
    <w:basedOn w:val="TOC3"/>
    <w:next w:val="BodyText"/>
    <w:semiHidden/>
    <w:rsid w:val="00A6748E"/>
    <w:pPr>
      <w:ind w:left="737" w:hanging="737"/>
    </w:pPr>
  </w:style>
  <w:style w:type="paragraph" w:customStyle="1" w:styleId="TableTitle">
    <w:name w:val="Table Title"/>
    <w:basedOn w:val="Caption"/>
    <w:next w:val="Subtitle"/>
    <w:qFormat/>
    <w:rsid w:val="00A6748E"/>
    <w:pPr>
      <w:spacing w:before="120"/>
    </w:pPr>
  </w:style>
  <w:style w:type="paragraph" w:customStyle="1" w:styleId="TableUnitsRow">
    <w:name w:val="Table Units Row"/>
    <w:basedOn w:val="TableBodyText"/>
    <w:rsid w:val="00A6748E"/>
    <w:pPr>
      <w:spacing w:before="40"/>
    </w:pPr>
  </w:style>
  <w:style w:type="paragraph" w:styleId="TOC1">
    <w:name w:val="toc 1"/>
    <w:basedOn w:val="Normal"/>
    <w:next w:val="TOC2"/>
    <w:link w:val="TOC1Char"/>
    <w:rsid w:val="00A6748E"/>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6748E"/>
    <w:pPr>
      <w:ind w:left="1191" w:firstLine="0"/>
    </w:pPr>
  </w:style>
  <w:style w:type="paragraph" w:customStyle="1" w:styleId="RecBBullet2">
    <w:name w:val="RecB Bullet 2"/>
    <w:basedOn w:val="ListBullet2"/>
    <w:semiHidden/>
    <w:rsid w:val="00A6748E"/>
    <w:pPr>
      <w:pBdr>
        <w:left w:val="single" w:sz="24" w:space="29" w:color="C0C0C0"/>
      </w:pBdr>
    </w:pPr>
    <w:rPr>
      <w:b/>
      <w:i/>
    </w:rPr>
  </w:style>
  <w:style w:type="paragraph" w:styleId="BalloonText">
    <w:name w:val="Balloon Text"/>
    <w:basedOn w:val="Normal"/>
    <w:link w:val="BalloonTextChar"/>
    <w:rsid w:val="00A6748E"/>
    <w:rPr>
      <w:rFonts w:ascii="Tahoma" w:hAnsi="Tahoma" w:cs="Tahoma"/>
      <w:sz w:val="16"/>
      <w:szCs w:val="16"/>
    </w:rPr>
  </w:style>
  <w:style w:type="character" w:customStyle="1" w:styleId="BalloonTextChar">
    <w:name w:val="Balloon Text Char"/>
    <w:basedOn w:val="DefaultParagraphFont"/>
    <w:link w:val="BalloonText"/>
    <w:rsid w:val="00A6748E"/>
    <w:rPr>
      <w:rFonts w:ascii="Tahoma" w:hAnsi="Tahoma" w:cs="Tahoma"/>
      <w:sz w:val="16"/>
      <w:szCs w:val="16"/>
    </w:rPr>
  </w:style>
  <w:style w:type="character" w:customStyle="1" w:styleId="SubtitleChar">
    <w:name w:val="Subtitle Char"/>
    <w:basedOn w:val="DefaultParagraphFont"/>
    <w:link w:val="Subtitle"/>
    <w:rsid w:val="00A6748E"/>
    <w:rPr>
      <w:rFonts w:ascii="Arial" w:hAnsi="Arial"/>
      <w:szCs w:val="24"/>
    </w:rPr>
  </w:style>
  <w:style w:type="paragraph" w:customStyle="1" w:styleId="BoxListBullet3">
    <w:name w:val="Box List Bullet 3"/>
    <w:basedOn w:val="ListBullet3"/>
    <w:rsid w:val="00A6748E"/>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A6748E"/>
    <w:rPr>
      <w:i/>
      <w:iCs/>
    </w:rPr>
  </w:style>
  <w:style w:type="paragraph" w:customStyle="1" w:styleId="BoxQuoteBullet">
    <w:name w:val="Box Quote Bullet"/>
    <w:basedOn w:val="BoxQuote"/>
    <w:next w:val="Box"/>
    <w:rsid w:val="00A6748E"/>
    <w:pPr>
      <w:numPr>
        <w:numId w:val="15"/>
      </w:numPr>
      <w:ind w:left="568" w:hanging="284"/>
    </w:pPr>
  </w:style>
  <w:style w:type="paragraph" w:customStyle="1" w:styleId="InformationRequestBullet">
    <w:name w:val="Information Request Bullet"/>
    <w:basedOn w:val="ListBullet"/>
    <w:next w:val="BodyText"/>
    <w:rsid w:val="00A6748E"/>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A6748E"/>
    <w:pPr>
      <w:keepNext w:val="0"/>
      <w:spacing w:before="60" w:after="60" w:line="80" w:lineRule="exact"/>
    </w:pPr>
    <w:rPr>
      <w:sz w:val="14"/>
    </w:rPr>
  </w:style>
  <w:style w:type="paragraph" w:styleId="CommentSubject">
    <w:name w:val="annotation subject"/>
    <w:basedOn w:val="CommentText"/>
    <w:next w:val="CommentText"/>
    <w:link w:val="CommentSubjectChar"/>
    <w:rsid w:val="00E15BC0"/>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E15BC0"/>
    <w:rPr>
      <w:szCs w:val="24"/>
    </w:rPr>
  </w:style>
  <w:style w:type="character" w:customStyle="1" w:styleId="CommentSubjectChar">
    <w:name w:val="Comment Subject Char"/>
    <w:basedOn w:val="CommentTextChar"/>
    <w:link w:val="CommentSubject"/>
    <w:rsid w:val="00E15BC0"/>
    <w:rPr>
      <w:b/>
      <w:bCs/>
      <w:szCs w:val="24"/>
    </w:rPr>
  </w:style>
  <w:style w:type="table" w:styleId="TableGrid">
    <w:name w:val="Table Grid"/>
    <w:basedOn w:val="TableNormal"/>
    <w:rsid w:val="00A67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A6748E"/>
    <w:rPr>
      <w:sz w:val="24"/>
    </w:rPr>
  </w:style>
  <w:style w:type="paragraph" w:styleId="Bibliography">
    <w:name w:val="Bibliography"/>
    <w:basedOn w:val="Normal"/>
    <w:next w:val="Normal"/>
    <w:uiPriority w:val="37"/>
    <w:unhideWhenUsed/>
    <w:rsid w:val="00B350BB"/>
    <w:pPr>
      <w:spacing w:after="240"/>
      <w:ind w:left="720" w:hanging="720"/>
    </w:pPr>
  </w:style>
  <w:style w:type="paragraph" w:styleId="Revision">
    <w:name w:val="Revision"/>
    <w:hidden/>
    <w:uiPriority w:val="99"/>
    <w:semiHidden/>
    <w:rsid w:val="004127A1"/>
    <w:rPr>
      <w:sz w:val="26"/>
      <w:szCs w:val="24"/>
    </w:rPr>
  </w:style>
  <w:style w:type="character" w:styleId="EndnoteReference">
    <w:name w:val="endnote reference"/>
    <w:basedOn w:val="DefaultParagraphFont"/>
    <w:rsid w:val="008A5D23"/>
    <w:rPr>
      <w:vertAlign w:val="superscript"/>
    </w:rPr>
  </w:style>
  <w:style w:type="paragraph" w:customStyle="1" w:styleId="KeyPointsListBullet">
    <w:name w:val="Key Points List Bullet"/>
    <w:basedOn w:val="Normal"/>
    <w:qFormat/>
    <w:rsid w:val="00A6748E"/>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A6748E"/>
    <w:pPr>
      <w:numPr>
        <w:numId w:val="19"/>
      </w:numPr>
      <w:ind w:left="568" w:hanging="284"/>
    </w:pPr>
  </w:style>
  <w:style w:type="paragraph" w:customStyle="1" w:styleId="InformationRequestTitle">
    <w:name w:val="Information Request Title"/>
    <w:basedOn w:val="FindingTitle"/>
    <w:next w:val="InformationRequest"/>
    <w:rsid w:val="00A6748E"/>
    <w:rPr>
      <w:i/>
    </w:rPr>
  </w:style>
  <w:style w:type="paragraph" w:customStyle="1" w:styleId="Space">
    <w:name w:val="Space"/>
    <w:basedOn w:val="Normal"/>
    <w:rsid w:val="00A6748E"/>
    <w:pPr>
      <w:keepNext/>
      <w:spacing w:line="120" w:lineRule="exact"/>
      <w:jc w:val="both"/>
    </w:pPr>
    <w:rPr>
      <w:rFonts w:ascii="Arial" w:hAnsi="Arial"/>
      <w:sz w:val="20"/>
      <w:szCs w:val="20"/>
    </w:rPr>
  </w:style>
  <w:style w:type="paragraph" w:customStyle="1" w:styleId="Heading1nochapterno">
    <w:name w:val="Heading 1 (no chapter no.)"/>
    <w:basedOn w:val="Heading1"/>
    <w:rsid w:val="00A6748E"/>
    <w:pPr>
      <w:spacing w:before="0"/>
      <w:ind w:left="0" w:firstLine="0"/>
    </w:pPr>
  </w:style>
  <w:style w:type="paragraph" w:customStyle="1" w:styleId="Heading2nosectionno">
    <w:name w:val="Heading 2 (no section no.)"/>
    <w:basedOn w:val="Heading2"/>
    <w:rsid w:val="00A6748E"/>
    <w:pPr>
      <w:ind w:left="0" w:firstLine="0"/>
    </w:pPr>
  </w:style>
  <w:style w:type="character" w:customStyle="1" w:styleId="Heading5Char">
    <w:name w:val="Heading 5 Char"/>
    <w:basedOn w:val="DefaultParagraphFont"/>
    <w:link w:val="Heading5"/>
    <w:rsid w:val="00A6748E"/>
    <w:rPr>
      <w:rFonts w:ascii="Arial" w:hAnsi="Arial"/>
      <w:i/>
      <w:sz w:val="22"/>
    </w:rPr>
  </w:style>
  <w:style w:type="paragraph" w:customStyle="1" w:styleId="Figurespace">
    <w:name w:val="Figure space"/>
    <w:basedOn w:val="Box"/>
    <w:rsid w:val="00A6748E"/>
    <w:pPr>
      <w:spacing w:before="0" w:line="120" w:lineRule="exact"/>
    </w:pPr>
  </w:style>
  <w:style w:type="paragraph" w:customStyle="1" w:styleId="FooterDraftReport">
    <w:name w:val="FooterDraftReport"/>
    <w:basedOn w:val="Footer"/>
    <w:link w:val="FooterDraftReportChar"/>
    <w:rsid w:val="00A6748E"/>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A6748E"/>
    <w:rPr>
      <w:rFonts w:ascii="Arial" w:hAnsi="Arial"/>
      <w:caps/>
      <w:spacing w:val="-4"/>
      <w:sz w:val="16"/>
    </w:rPr>
  </w:style>
  <w:style w:type="character" w:customStyle="1" w:styleId="FooterDraftReportChar">
    <w:name w:val="FooterDraftReport Char"/>
    <w:basedOn w:val="FooterChar"/>
    <w:link w:val="FooterDraftReport"/>
    <w:rsid w:val="00A6748E"/>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A6748E"/>
    <w:rPr>
      <w:rFonts w:ascii="Arial" w:hAnsi="Arial"/>
      <w:b/>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89872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i\chap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D6D5A-A2E2-4B68-B5EF-D56A20D9D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15</TotalTime>
  <Pages>16</Pages>
  <Words>4499</Words>
  <Characters>26770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Chapter 13 Measuring multiple disadvantage - Overcoming Indigenous Disadvantage - Key Indicators 2014 Report</vt:lpstr>
    </vt:vector>
  </TitlesOfParts>
  <Company>Productivity Commission</Company>
  <LinksUpToDate>false</LinksUpToDate>
  <CharactersWithSpaces>31207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13 Measuring multiple disadvantage - Overcoming Indigenous Disadvantage - Key Indicators 2014 Report</dc:title>
  <dc:subject/>
  <dc:creator>Steering Committee for the Review of Government Service Provision</dc:creator>
  <dc:description/>
  <cp:lastModifiedBy>Andersson, Catherine</cp:lastModifiedBy>
  <cp:revision>6</cp:revision>
  <cp:lastPrinted>2014-09-01T06:00:00Z</cp:lastPrinted>
  <dcterms:created xsi:type="dcterms:W3CDTF">2014-10-27T03:19:00Z</dcterms:created>
  <dcterms:modified xsi:type="dcterms:W3CDTF">2014-11-02T23:15:00Z</dcterms:modified>
</cp:coreProperties>
</file>