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192E97" w:rsidP="00192E97">
      <w:pPr>
        <w:pStyle w:val="Heading1"/>
        <w:spacing w:before="0"/>
      </w:pPr>
      <w:bookmarkStart w:id="0" w:name="ChapterNumber"/>
      <w:r>
        <w:t>12</w:t>
      </w:r>
      <w:bookmarkEnd w:id="0"/>
      <w:r>
        <w:tab/>
      </w:r>
      <w:bookmarkStart w:id="1" w:name="ChapterTitle"/>
      <w:r>
        <w:t>Outcomes for Torres Strait Islander people</w:t>
      </w:r>
      <w:bookmarkEnd w:id="1"/>
      <w:r w:rsidR="00C466D2" w:rsidRPr="002563BF">
        <w:rPr>
          <w:rStyle w:val="NoteLabel"/>
        </w:rPr>
        <w:footnoteReference w:id="1"/>
      </w:r>
      <w:bookmarkStart w:id="2" w:name="_GoBack"/>
      <w:bookmarkEnd w:id="2"/>
    </w:p>
    <w:p w:rsidR="00192E97" w:rsidRDefault="00192E97">
      <w:pPr>
        <w:pStyle w:val="BoxSpaceAbove"/>
      </w:pPr>
      <w:bookmarkStart w:id="3" w:name="begin"/>
      <w:bookmarkEnd w:id="3"/>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192E97" w:rsidTr="00681852">
        <w:trPr>
          <w:tblHeader/>
        </w:trPr>
        <w:tc>
          <w:tcPr>
            <w:tcW w:w="8793" w:type="dxa"/>
            <w:tcBorders>
              <w:top w:val="single" w:sz="6" w:space="0" w:color="78A22F"/>
              <w:left w:val="nil"/>
              <w:bottom w:val="nil"/>
              <w:right w:val="nil"/>
            </w:tcBorders>
            <w:shd w:val="clear" w:color="auto" w:fill="F2F2F2"/>
          </w:tcPr>
          <w:p w:rsidR="00192E97" w:rsidRDefault="00192E97">
            <w:pPr>
              <w:pStyle w:val="BoxTitle"/>
            </w:pPr>
            <w:r>
              <w:rPr>
                <w:b w:val="0"/>
              </w:rPr>
              <w:t>Box 12.</w:t>
            </w:r>
            <w:r w:rsidR="00CA227C">
              <w:rPr>
                <w:b w:val="0"/>
                <w:noProof/>
              </w:rPr>
              <w:t>1</w:t>
            </w:r>
            <w:r w:rsidR="00DC4582">
              <w:tab/>
              <w:t>Key messages</w:t>
            </w:r>
          </w:p>
        </w:tc>
      </w:tr>
      <w:tr w:rsidR="00192E97" w:rsidTr="00681852">
        <w:tc>
          <w:tcPr>
            <w:tcW w:w="8793" w:type="dxa"/>
            <w:tcBorders>
              <w:top w:val="nil"/>
              <w:left w:val="nil"/>
              <w:bottom w:val="nil"/>
              <w:right w:val="nil"/>
            </w:tcBorders>
            <w:shd w:val="clear" w:color="auto" w:fill="F2F2F2"/>
          </w:tcPr>
          <w:p w:rsidR="00EA5A0D" w:rsidRDefault="00256975" w:rsidP="00072B7A">
            <w:pPr>
              <w:pStyle w:val="BoxListBullet"/>
            </w:pPr>
            <w:r>
              <w:t xml:space="preserve">The most recent available data are from the ABS </w:t>
            </w:r>
            <w:r w:rsidR="00FA66B4">
              <w:t xml:space="preserve">2014-15 </w:t>
            </w:r>
            <w:r>
              <w:t>N</w:t>
            </w:r>
            <w:r w:rsidR="00EA5A0D">
              <w:t>ational Aboriginal and Torres Strait Islander Social Survey (NATSISS)</w:t>
            </w:r>
            <w:r>
              <w:t>.</w:t>
            </w:r>
            <w:r w:rsidR="00EA5A0D">
              <w:t xml:space="preserve"> As a sample survey, it is subject to sampling error, which m</w:t>
            </w:r>
            <w:r w:rsidR="00FA66B4">
              <w:t>akes it difficult to detect differences between results if the size of the standard errors are large compared to the size of the differen</w:t>
            </w:r>
            <w:r w:rsidR="006920D6">
              <w:t>ce</w:t>
            </w:r>
            <w:r w:rsidR="00FA66B4">
              <w:t xml:space="preserve"> between the results. For this reason, although not as recent, supplementary data from the 2011 ABS Census are also reported in this section.</w:t>
            </w:r>
          </w:p>
          <w:p w:rsidR="00432966" w:rsidRDefault="009B34F8" w:rsidP="00DC2998">
            <w:pPr>
              <w:pStyle w:val="BoxListBullet"/>
            </w:pPr>
            <w:r>
              <w:t>In 2014</w:t>
            </w:r>
            <w:r w:rsidR="000D1571">
              <w:noBreakHyphen/>
            </w:r>
            <w:r>
              <w:t>15,</w:t>
            </w:r>
            <w:r w:rsidR="00072B7A" w:rsidRPr="00072B7A">
              <w:t xml:space="preserve"> for many indicators, </w:t>
            </w:r>
            <w:r w:rsidR="00C466D2">
              <w:t xml:space="preserve">national </w:t>
            </w:r>
            <w:r w:rsidR="00072B7A" w:rsidRPr="00072B7A">
              <w:t xml:space="preserve">outcomes for Torres Strait Islander </w:t>
            </w:r>
            <w:r w:rsidR="001D33FC">
              <w:t>people</w:t>
            </w:r>
            <w:r w:rsidR="00432966" w:rsidRPr="001B1E68">
              <w:rPr>
                <w:rStyle w:val="FootnoteReference"/>
              </w:rPr>
              <w:footnoteReference w:id="2"/>
            </w:r>
            <w:r w:rsidR="00072B7A" w:rsidRPr="00072B7A">
              <w:t xml:space="preserve"> </w:t>
            </w:r>
            <w:r w:rsidR="00456F64">
              <w:t>were</w:t>
            </w:r>
            <w:r w:rsidR="00456F64" w:rsidRPr="00072B7A">
              <w:t xml:space="preserve"> </w:t>
            </w:r>
            <w:r w:rsidR="00072B7A" w:rsidRPr="00072B7A">
              <w:t>similar to those for Aboriginal Australians, including for: post</w:t>
            </w:r>
            <w:r w:rsidR="000D1571">
              <w:noBreakHyphen/>
            </w:r>
            <w:r w:rsidR="00072B7A" w:rsidRPr="00072B7A">
              <w:t>secondary education attainment (table</w:t>
            </w:r>
            <w:r w:rsidR="000D1571">
              <w:t> </w:t>
            </w:r>
            <w:r w:rsidR="00072B7A" w:rsidRPr="00072B7A">
              <w:t>12A.1.</w:t>
            </w:r>
            <w:r w:rsidR="00432966">
              <w:t>2</w:t>
            </w:r>
            <w:r w:rsidR="00072B7A" w:rsidRPr="00072B7A">
              <w:t xml:space="preserve">); </w:t>
            </w:r>
            <w:r w:rsidR="00650813" w:rsidRPr="00072B7A">
              <w:t>personal income (table</w:t>
            </w:r>
            <w:r w:rsidR="00650813">
              <w:t> 12A.1.6</w:t>
            </w:r>
            <w:r w:rsidR="00650813" w:rsidRPr="00072B7A">
              <w:t xml:space="preserve">); </w:t>
            </w:r>
            <w:r w:rsidR="00072B7A" w:rsidRPr="00072B7A">
              <w:t>home ownership (table</w:t>
            </w:r>
            <w:r>
              <w:t> </w:t>
            </w:r>
            <w:r w:rsidR="00C466D2">
              <w:t>12A.1.7</w:t>
            </w:r>
            <w:r w:rsidR="00072B7A" w:rsidRPr="00072B7A">
              <w:t xml:space="preserve">); and </w:t>
            </w:r>
            <w:r w:rsidR="005B4F1D" w:rsidRPr="00A026B9">
              <w:t>psychological distress</w:t>
            </w:r>
            <w:r w:rsidR="00072B7A" w:rsidRPr="00072B7A">
              <w:t xml:space="preserve"> (table</w:t>
            </w:r>
            <w:r>
              <w:t> </w:t>
            </w:r>
            <w:r w:rsidR="00C466D2">
              <w:t>12A.1.8</w:t>
            </w:r>
            <w:r w:rsidR="00072B7A" w:rsidRPr="00072B7A">
              <w:t>)</w:t>
            </w:r>
            <w:r w:rsidR="00432966">
              <w:t>.</w:t>
            </w:r>
          </w:p>
          <w:p w:rsidR="00072B7A" w:rsidRDefault="00FA66B4" w:rsidP="00DC2998">
            <w:pPr>
              <w:pStyle w:val="BoxListBullet"/>
            </w:pPr>
            <w:r>
              <w:t>However,</w:t>
            </w:r>
            <w:r w:rsidR="00326F50">
              <w:t xml:space="preserve"> </w:t>
            </w:r>
            <w:r w:rsidR="00432966">
              <w:t>the</w:t>
            </w:r>
            <w:r w:rsidR="00326F50">
              <w:t xml:space="preserve"> proportion of </w:t>
            </w:r>
            <w:r w:rsidR="007934C5">
              <w:t xml:space="preserve">Torres Strait Islander </w:t>
            </w:r>
            <w:r w:rsidR="001D33FC">
              <w:t xml:space="preserve">people </w:t>
            </w:r>
            <w:r w:rsidR="00326F50">
              <w:t>aged 20–24 years</w:t>
            </w:r>
            <w:r>
              <w:t xml:space="preserve"> with year</w:t>
            </w:r>
            <w:r w:rsidR="00C9772F">
              <w:t> </w:t>
            </w:r>
            <w:r>
              <w:t>12 or above</w:t>
            </w:r>
            <w:r w:rsidR="00326F50">
              <w:t xml:space="preserve"> (79.7</w:t>
            </w:r>
            <w:r w:rsidR="006920D6">
              <w:t> </w:t>
            </w:r>
            <w:r w:rsidR="00326F50">
              <w:t>per</w:t>
            </w:r>
            <w:r w:rsidR="006920D6">
              <w:t> </w:t>
            </w:r>
            <w:r w:rsidR="00326F50">
              <w:t xml:space="preserve">cent) </w:t>
            </w:r>
            <w:r w:rsidR="007934C5">
              <w:t>was significantly higher than for A</w:t>
            </w:r>
            <w:r w:rsidR="00326F50">
              <w:t>boriginal Australians</w:t>
            </w:r>
            <w:r w:rsidR="00D8741A">
              <w:t xml:space="preserve"> (59.8</w:t>
            </w:r>
            <w:r w:rsidR="006920D6">
              <w:t> </w:t>
            </w:r>
            <w:r w:rsidR="00D8741A">
              <w:t>per</w:t>
            </w:r>
            <w:r w:rsidR="006920D6">
              <w:t> </w:t>
            </w:r>
            <w:r w:rsidR="00D8741A">
              <w:t>cent)</w:t>
            </w:r>
            <w:r>
              <w:t>,</w:t>
            </w:r>
            <w:r w:rsidR="00326F50">
              <w:t xml:space="preserve"> </w:t>
            </w:r>
            <w:r w:rsidR="00D8741A">
              <w:t xml:space="preserve">and </w:t>
            </w:r>
            <w:r w:rsidR="007934C5">
              <w:t xml:space="preserve">was </w:t>
            </w:r>
            <w:r w:rsidR="00D8741A">
              <w:t>similar</w:t>
            </w:r>
            <w:r w:rsidR="007934C5">
              <w:t xml:space="preserve"> to </w:t>
            </w:r>
            <w:r>
              <w:t>that</w:t>
            </w:r>
            <w:r w:rsidR="00D8741A">
              <w:t xml:space="preserve"> </w:t>
            </w:r>
            <w:r w:rsidR="007934C5">
              <w:t>for</w:t>
            </w:r>
            <w:r w:rsidR="00D8741A">
              <w:t xml:space="preserve"> non</w:t>
            </w:r>
            <w:r w:rsidR="008F0368">
              <w:noBreakHyphen/>
            </w:r>
            <w:r w:rsidR="00D8741A">
              <w:t xml:space="preserve">Indigenous </w:t>
            </w:r>
            <w:r w:rsidR="007934C5">
              <w:t xml:space="preserve">Australians </w:t>
            </w:r>
            <w:r w:rsidR="00D8741A">
              <w:t>(</w:t>
            </w:r>
            <w:r w:rsidR="00D8741A" w:rsidRPr="00A026B9">
              <w:t>8</w:t>
            </w:r>
            <w:r w:rsidR="00D76666" w:rsidRPr="00A026B9">
              <w:t>7</w:t>
            </w:r>
            <w:r w:rsidR="00D8741A" w:rsidRPr="00A026B9">
              <w:t>.</w:t>
            </w:r>
            <w:r w:rsidR="00D76666" w:rsidRPr="00A026B9">
              <w:t>9</w:t>
            </w:r>
            <w:r w:rsidR="006920D6" w:rsidRPr="00A026B9">
              <w:t> </w:t>
            </w:r>
            <w:r w:rsidR="00D8741A" w:rsidRPr="00A026B9">
              <w:t>per</w:t>
            </w:r>
            <w:r w:rsidR="006920D6" w:rsidRPr="00A026B9">
              <w:t> </w:t>
            </w:r>
            <w:r w:rsidR="00D8741A" w:rsidRPr="00A026B9">
              <w:t>cent</w:t>
            </w:r>
            <w:r w:rsidR="00D8741A">
              <w:t xml:space="preserve">) </w:t>
            </w:r>
            <w:r w:rsidR="00326F50" w:rsidRPr="00072B7A">
              <w:t>(table</w:t>
            </w:r>
            <w:r w:rsidR="00456F64">
              <w:t>s</w:t>
            </w:r>
            <w:r w:rsidR="00326F50">
              <w:t> </w:t>
            </w:r>
            <w:r w:rsidR="00326F50" w:rsidRPr="00072B7A">
              <w:t>12A.1.1</w:t>
            </w:r>
            <w:r w:rsidR="00456F64">
              <w:t xml:space="preserve"> and 4A.6.1</w:t>
            </w:r>
            <w:r w:rsidR="00326F50" w:rsidRPr="00072B7A">
              <w:t>)</w:t>
            </w:r>
            <w:r w:rsidR="00D8741A">
              <w:t>.</w:t>
            </w:r>
          </w:p>
          <w:p w:rsidR="00B5529F" w:rsidRPr="002F14BE" w:rsidRDefault="00430712" w:rsidP="00CF4567">
            <w:pPr>
              <w:pStyle w:val="BoxListBullet"/>
            </w:pPr>
            <w:r w:rsidRPr="00CF4567">
              <w:t>Analysis of 2</w:t>
            </w:r>
            <w:r w:rsidR="00072B7A" w:rsidRPr="00CF4567">
              <w:t>011</w:t>
            </w:r>
            <w:r w:rsidRPr="00CF4567">
              <w:t xml:space="preserve"> Census data</w:t>
            </w:r>
            <w:r w:rsidR="00256975" w:rsidRPr="00CF4567">
              <w:t xml:space="preserve"> </w:t>
            </w:r>
            <w:r w:rsidR="00066262">
              <w:t>compared outcomes for Torres Strait Islander</w:t>
            </w:r>
            <w:r w:rsidR="000D1824">
              <w:t xml:space="preserve"> and </w:t>
            </w:r>
            <w:r w:rsidR="00066262">
              <w:t xml:space="preserve">Aboriginal </w:t>
            </w:r>
            <w:r w:rsidR="000D1824">
              <w:t>Australians</w:t>
            </w:r>
            <w:r w:rsidR="00066262">
              <w:t>, nationally and across remoteness areas.</w:t>
            </w:r>
          </w:p>
          <w:p w:rsidR="00B5529F" w:rsidRDefault="00066262" w:rsidP="005A3368">
            <w:pPr>
              <w:pStyle w:val="BoxListBullet2"/>
            </w:pPr>
            <w:r>
              <w:t>T</w:t>
            </w:r>
            <w:r w:rsidR="00B5529F" w:rsidRPr="005A3368">
              <w:t xml:space="preserve">he proportion of </w:t>
            </w:r>
            <w:r w:rsidR="00072B7A" w:rsidRPr="00CF4567">
              <w:t xml:space="preserve">Torres Strait Islander </w:t>
            </w:r>
            <w:r w:rsidR="001D33FC">
              <w:t>people</w:t>
            </w:r>
            <w:r w:rsidR="001D33FC" w:rsidRPr="00CF4567">
              <w:t xml:space="preserve"> </w:t>
            </w:r>
            <w:r w:rsidR="00B5529F" w:rsidRPr="005A3368">
              <w:t>in the Torres Strait Region</w:t>
            </w:r>
            <w:r w:rsidR="00FA66B4" w:rsidRPr="001B1E68">
              <w:rPr>
                <w:rStyle w:val="FootnoteReference"/>
              </w:rPr>
              <w:footnoteReference w:id="3"/>
            </w:r>
            <w:r w:rsidR="00B5529F" w:rsidRPr="005A3368">
              <w:t xml:space="preserve"> with year</w:t>
            </w:r>
            <w:r w:rsidR="00C466D2">
              <w:t> </w:t>
            </w:r>
            <w:r w:rsidR="00B5529F" w:rsidRPr="005A3368">
              <w:t xml:space="preserve">12 or above, was similar to </w:t>
            </w:r>
            <w:r>
              <w:t>that</w:t>
            </w:r>
            <w:r w:rsidR="00B5529F" w:rsidRPr="005A3368">
              <w:t xml:space="preserve"> for non</w:t>
            </w:r>
            <w:r w:rsidR="008F0368">
              <w:noBreakHyphen/>
            </w:r>
            <w:r w:rsidR="00B5529F" w:rsidRPr="005A3368">
              <w:t>Indigenous Australians nationally</w:t>
            </w:r>
            <w:r w:rsidR="00CE582F">
              <w:t xml:space="preserve"> (8</w:t>
            </w:r>
            <w:r w:rsidR="005A3368">
              <w:t>6</w:t>
            </w:r>
            <w:r w:rsidR="00506E40">
              <w:t> </w:t>
            </w:r>
            <w:r w:rsidR="00CE582F">
              <w:t>per</w:t>
            </w:r>
            <w:r w:rsidR="006920D6">
              <w:t> </w:t>
            </w:r>
            <w:r w:rsidR="00CE582F">
              <w:t>cent and 87 per cent respectively)</w:t>
            </w:r>
            <w:r>
              <w:t xml:space="preserve"> and well above that for Aboriginal Australians across all remoteness areas </w:t>
            </w:r>
            <w:r w:rsidR="00650813">
              <w:t>(table</w:t>
            </w:r>
            <w:r w:rsidR="008F0368">
              <w:t> </w:t>
            </w:r>
            <w:r w:rsidR="00650813">
              <w:t>12A.1.9</w:t>
            </w:r>
            <w:r w:rsidR="00163F1E">
              <w:t xml:space="preserve"> an</w:t>
            </w:r>
            <w:r w:rsidR="00CA227C">
              <w:t>d figure </w:t>
            </w:r>
            <w:r w:rsidR="00163F1E">
              <w:t>12.1</w:t>
            </w:r>
            <w:r w:rsidR="00B5529F" w:rsidRPr="005A3368">
              <w:t>)</w:t>
            </w:r>
          </w:p>
          <w:p w:rsidR="00192E97" w:rsidRDefault="00066262" w:rsidP="00066262">
            <w:pPr>
              <w:pStyle w:val="BoxListBullet2"/>
            </w:pPr>
            <w:r>
              <w:t>A</w:t>
            </w:r>
            <w:r w:rsidR="002F14BE">
              <w:t xml:space="preserve">s remoteness increased, </w:t>
            </w:r>
            <w:r w:rsidR="00456F64">
              <w:t xml:space="preserve">outcomes </w:t>
            </w:r>
            <w:r w:rsidR="002F14BE">
              <w:t xml:space="preserve">for Aboriginal people decreased (as reflected </w:t>
            </w:r>
            <w:r>
              <w:t>in reporting across</w:t>
            </w:r>
            <w:r w:rsidR="00FA66B4">
              <w:t xml:space="preserve"> many indicators </w:t>
            </w:r>
            <w:r>
              <w:t xml:space="preserve">in </w:t>
            </w:r>
            <w:r w:rsidR="002F14BE">
              <w:t>th</w:t>
            </w:r>
            <w:r w:rsidR="00FA66B4">
              <w:t>is</w:t>
            </w:r>
            <w:r w:rsidR="002F14BE">
              <w:t xml:space="preserve"> report). However, this is not the situation for Torres Strait Islander people, </w:t>
            </w:r>
            <w:r w:rsidR="002F14BE" w:rsidRPr="006920D6">
              <w:t xml:space="preserve">where </w:t>
            </w:r>
            <w:r w:rsidR="00FA66B4" w:rsidRPr="006920D6">
              <w:t xml:space="preserve">for </w:t>
            </w:r>
            <w:r w:rsidR="00E9217F" w:rsidRPr="006920D6">
              <w:t>employment and post-school education</w:t>
            </w:r>
            <w:r w:rsidR="002F14BE" w:rsidRPr="006920D6">
              <w:t xml:space="preserve"> </w:t>
            </w:r>
            <w:r w:rsidR="002F14BE">
              <w:t>(</w:t>
            </w:r>
            <w:r w:rsidR="00E9217F">
              <w:t xml:space="preserve">and </w:t>
            </w:r>
            <w:r w:rsidR="00CA227C">
              <w:t>particularly for year </w:t>
            </w:r>
            <w:r w:rsidR="002F14BE">
              <w:t xml:space="preserve">12 or above), outcomes are </w:t>
            </w:r>
            <w:r w:rsidR="00E9217F">
              <w:t xml:space="preserve">similar or </w:t>
            </w:r>
            <w:r w:rsidR="002F14BE">
              <w:t>better in very remote areas</w:t>
            </w:r>
            <w:r w:rsidR="00E9217F">
              <w:t xml:space="preserve"> compared to non-remote areas</w:t>
            </w:r>
            <w:r w:rsidR="00650813">
              <w:t xml:space="preserve"> (tables</w:t>
            </w:r>
            <w:r w:rsidR="008F0368">
              <w:t> </w:t>
            </w:r>
            <w:r w:rsidR="00650813">
              <w:t>12A.1.9–11)</w:t>
            </w:r>
            <w:r w:rsidR="002F14BE">
              <w:t>.</w:t>
            </w:r>
          </w:p>
        </w:tc>
      </w:tr>
      <w:tr w:rsidR="00192E97" w:rsidTr="00681852">
        <w:tc>
          <w:tcPr>
            <w:tcW w:w="8793" w:type="dxa"/>
            <w:tcBorders>
              <w:top w:val="nil"/>
              <w:left w:val="nil"/>
              <w:bottom w:val="single" w:sz="6" w:space="0" w:color="78A22F"/>
              <w:right w:val="nil"/>
            </w:tcBorders>
            <w:shd w:val="clear" w:color="auto" w:fill="F2F2F2"/>
          </w:tcPr>
          <w:p w:rsidR="00192E97" w:rsidRDefault="00192E97">
            <w:pPr>
              <w:pStyle w:val="Box"/>
              <w:spacing w:before="0" w:line="120" w:lineRule="exact"/>
            </w:pPr>
          </w:p>
        </w:tc>
      </w:tr>
      <w:tr w:rsidR="00192E97" w:rsidRPr="000863A5" w:rsidTr="00681852">
        <w:tc>
          <w:tcPr>
            <w:tcW w:w="8793" w:type="dxa"/>
            <w:tcBorders>
              <w:top w:val="single" w:sz="6" w:space="0" w:color="78A22F"/>
              <w:left w:val="nil"/>
              <w:bottom w:val="nil"/>
              <w:right w:val="nil"/>
            </w:tcBorders>
          </w:tcPr>
          <w:p w:rsidR="00192E97" w:rsidRPr="00626D32" w:rsidRDefault="00192E97" w:rsidP="00C52878">
            <w:pPr>
              <w:pStyle w:val="BoxSpaceBelow"/>
            </w:pPr>
          </w:p>
        </w:tc>
      </w:tr>
    </w:tbl>
    <w:p w:rsidR="00EB2C6D" w:rsidRDefault="00EB2C6D" w:rsidP="00EB2C6D">
      <w:pPr>
        <w:pStyle w:val="BodyText"/>
      </w:pPr>
      <w:r w:rsidRPr="00657782">
        <w:t>Torres Strait Islander</w:t>
      </w:r>
      <w:r w:rsidR="00F43207">
        <w:t xml:space="preserve"> people</w:t>
      </w:r>
      <w:r w:rsidRPr="00657782">
        <w:t xml:space="preserve"> continue to maintain a unique cultural identity. They are a separate people in origin, history and way of life, with many cultural connections to New </w:t>
      </w:r>
      <w:r w:rsidRPr="00657782">
        <w:lastRenderedPageBreak/>
        <w:t>Guinea and nearby islands</w:t>
      </w:r>
      <w:r w:rsidR="00DC4582">
        <w:t xml:space="preserve"> </w:t>
      </w:r>
      <w:r w:rsidR="00DC4582" w:rsidRPr="00DC4582">
        <w:rPr>
          <w:szCs w:val="24"/>
        </w:rPr>
        <w:t>(</w:t>
      </w:r>
      <w:proofErr w:type="spellStart"/>
      <w:r w:rsidR="00DC4582" w:rsidRPr="00DC4582">
        <w:rPr>
          <w:szCs w:val="24"/>
        </w:rPr>
        <w:t>AIATSIS</w:t>
      </w:r>
      <w:proofErr w:type="spellEnd"/>
      <w:r w:rsidR="00DC4582" w:rsidRPr="00DC4582">
        <w:rPr>
          <w:szCs w:val="24"/>
        </w:rPr>
        <w:t xml:space="preserve"> 2008; </w:t>
      </w:r>
      <w:proofErr w:type="spellStart"/>
      <w:r w:rsidR="00DC4582" w:rsidRPr="00DC4582">
        <w:rPr>
          <w:szCs w:val="24"/>
        </w:rPr>
        <w:t>Shnukel</w:t>
      </w:r>
      <w:proofErr w:type="spellEnd"/>
      <w:r w:rsidR="00DC4582" w:rsidRPr="00DC4582">
        <w:rPr>
          <w:szCs w:val="24"/>
        </w:rPr>
        <w:t> 2001)</w:t>
      </w:r>
      <w:r>
        <w:t>.</w:t>
      </w:r>
      <w:r w:rsidR="00F50F33">
        <w:t xml:space="preserve"> </w:t>
      </w:r>
      <w:r w:rsidR="00F50F33" w:rsidRPr="00F50F33">
        <w:t xml:space="preserve">There is great diversity in Torres Strait Islander communities, their languages and traditions. There is also regional variability across Torres Strait Islander communities, including differences between those living on the </w:t>
      </w:r>
      <w:r w:rsidR="00833869" w:rsidRPr="00F50F33">
        <w:t xml:space="preserve">Torres Strait </w:t>
      </w:r>
      <w:r w:rsidR="00833869">
        <w:t xml:space="preserve">islands, </w:t>
      </w:r>
      <w:r w:rsidR="00F50F33" w:rsidRPr="00F50F33">
        <w:t>in</w:t>
      </w:r>
      <w:r w:rsidR="00833869">
        <w:t xml:space="preserve"> mainland</w:t>
      </w:r>
      <w:r w:rsidR="00F50F33" w:rsidRPr="00F50F33">
        <w:t xml:space="preserve"> Australia and in remote versus urban communities.</w:t>
      </w:r>
    </w:p>
    <w:p w:rsidR="009B34F8" w:rsidRDefault="00AA16A5" w:rsidP="004C0BA6">
      <w:pPr>
        <w:pStyle w:val="BodyText"/>
      </w:pPr>
      <w:r>
        <w:t>In the</w:t>
      </w:r>
      <w:r w:rsidR="002D1197" w:rsidRPr="002D1197">
        <w:t xml:space="preserve"> 2011 Census, </w:t>
      </w:r>
      <w:r w:rsidR="005C35E0">
        <w:t>there were 548</w:t>
      </w:r>
      <w:r w:rsidR="000D1571">
        <w:t> </w:t>
      </w:r>
      <w:r w:rsidR="005C35E0">
        <w:t xml:space="preserve">370 people </w:t>
      </w:r>
      <w:r w:rsidR="002D1197" w:rsidRPr="002D1197">
        <w:t>identified as being of Aboriginal and/or</w:t>
      </w:r>
      <w:r w:rsidR="002D1197">
        <w:t xml:space="preserve"> Torres Strait Islander origin</w:t>
      </w:r>
      <w:r w:rsidR="005C35E0">
        <w:t>. Of these people</w:t>
      </w:r>
      <w:r w:rsidR="002D1197">
        <w:t>,</w:t>
      </w:r>
      <w:r w:rsidR="005C35E0">
        <w:t xml:space="preserve"> 90</w:t>
      </w:r>
      <w:r w:rsidR="009C7ACB">
        <w:t> </w:t>
      </w:r>
      <w:r w:rsidR="005C35E0">
        <w:t>per</w:t>
      </w:r>
      <w:r w:rsidR="009C7ACB">
        <w:t> </w:t>
      </w:r>
      <w:r w:rsidR="005C35E0">
        <w:t>cent were of Aboriginal origin only, 6 per</w:t>
      </w:r>
      <w:r w:rsidR="009C7ACB">
        <w:t> </w:t>
      </w:r>
      <w:r w:rsidR="005C35E0">
        <w:t>cent were of Torres Strait Islander origin only and 4</w:t>
      </w:r>
      <w:r w:rsidR="009C7ACB">
        <w:t> </w:t>
      </w:r>
      <w:r w:rsidR="005C35E0">
        <w:t>per</w:t>
      </w:r>
      <w:r w:rsidR="009C7ACB">
        <w:t> </w:t>
      </w:r>
      <w:r w:rsidR="005C35E0">
        <w:t xml:space="preserve">cent identified as being of both </w:t>
      </w:r>
      <w:r w:rsidR="001E40A7">
        <w:t>A</w:t>
      </w:r>
      <w:r w:rsidR="005C35E0">
        <w:t>boriginal and Torres Strait Islander origin. P</w:t>
      </w:r>
      <w:r w:rsidR="005C35E0" w:rsidRPr="004058F7">
        <w:t xml:space="preserve">eople who identified as being of Torres Strait Islander origin </w:t>
      </w:r>
      <w:r w:rsidR="005C35E0">
        <w:t xml:space="preserve">only and </w:t>
      </w:r>
      <w:r w:rsidR="005C35E0" w:rsidRPr="004058F7">
        <w:t xml:space="preserve">as being both Aboriginal and Torres Strait Islander </w:t>
      </w:r>
      <w:r w:rsidR="005C35E0">
        <w:t xml:space="preserve">account for </w:t>
      </w:r>
      <w:r w:rsidR="004058F7" w:rsidRPr="004058F7">
        <w:t>9.5</w:t>
      </w:r>
      <w:r w:rsidR="009C7ACB">
        <w:t> </w:t>
      </w:r>
      <w:r w:rsidR="009C7ACB" w:rsidRPr="009C7ACB">
        <w:t>per</w:t>
      </w:r>
      <w:r w:rsidR="009C7ACB">
        <w:t> </w:t>
      </w:r>
      <w:r w:rsidR="004058F7" w:rsidRPr="009C7ACB">
        <w:t>cent</w:t>
      </w:r>
      <w:r w:rsidR="004058F7" w:rsidRPr="004058F7">
        <w:t xml:space="preserve"> of the Indigenous population</w:t>
      </w:r>
      <w:r w:rsidR="005C35E0">
        <w:t xml:space="preserve"> (52 616 people, hereafter referred to as Torres Strait Islander people</w:t>
      </w:r>
      <w:r w:rsidR="004058F7" w:rsidRPr="004058F7">
        <w:t>)</w:t>
      </w:r>
      <w:r w:rsidR="002D1197">
        <w:t xml:space="preserve">. </w:t>
      </w:r>
      <w:r w:rsidR="005C35E0">
        <w:t>T</w:t>
      </w:r>
      <w:r w:rsidR="005C35E0" w:rsidRPr="002D1197">
        <w:t>he majority</w:t>
      </w:r>
      <w:r w:rsidR="0093151A">
        <w:t xml:space="preserve"> of Torres Strait Islander people</w:t>
      </w:r>
      <w:r w:rsidR="005C35E0" w:rsidRPr="002D1197">
        <w:t xml:space="preserve"> lived in Queensland</w:t>
      </w:r>
      <w:r w:rsidR="005C35E0">
        <w:t xml:space="preserve"> </w:t>
      </w:r>
      <w:r w:rsidR="005C35E0" w:rsidRPr="002D1197">
        <w:t>(62.6</w:t>
      </w:r>
      <w:r w:rsidR="009C7ACB">
        <w:t> </w:t>
      </w:r>
      <w:r w:rsidR="005C35E0" w:rsidRPr="002D1197">
        <w:t>per</w:t>
      </w:r>
      <w:r w:rsidR="009C7ACB">
        <w:t> </w:t>
      </w:r>
      <w:r w:rsidR="005C35E0" w:rsidRPr="002D1197">
        <w:t>cent)</w:t>
      </w:r>
      <w:r w:rsidR="002313FF">
        <w:t xml:space="preserve"> and </w:t>
      </w:r>
      <w:r w:rsidR="003B0682">
        <w:t>85 per cent</w:t>
      </w:r>
      <w:r w:rsidR="002313FF">
        <w:t xml:space="preserve"> </w:t>
      </w:r>
      <w:r w:rsidR="009C7ACB">
        <w:t xml:space="preserve">live outside of the Torres Strait. </w:t>
      </w:r>
      <w:r w:rsidR="00833869">
        <w:t>T</w:t>
      </w:r>
      <w:r w:rsidR="005C35E0">
        <w:t xml:space="preserve">he Indigenous regions with the largest count of Torres Strait Islander people were </w:t>
      </w:r>
      <w:r w:rsidR="0093151A">
        <w:t>Cairns</w:t>
      </w:r>
      <w:r w:rsidR="000D1571">
        <w:noBreakHyphen/>
      </w:r>
      <w:r w:rsidR="0093151A">
        <w:t>Atherton (15</w:t>
      </w:r>
      <w:r w:rsidR="009C7ACB">
        <w:t> </w:t>
      </w:r>
      <w:r w:rsidR="0093151A">
        <w:t>per</w:t>
      </w:r>
      <w:r w:rsidR="009C7ACB">
        <w:t> </w:t>
      </w:r>
      <w:r w:rsidR="0093151A">
        <w:t>cent), Brisbane (12</w:t>
      </w:r>
      <w:r w:rsidR="009C7ACB">
        <w:t> </w:t>
      </w:r>
      <w:r w:rsidR="0093151A">
        <w:t>per</w:t>
      </w:r>
      <w:r w:rsidR="009C7ACB">
        <w:t> </w:t>
      </w:r>
      <w:r w:rsidR="0093151A">
        <w:t xml:space="preserve">cent) and </w:t>
      </w:r>
      <w:r w:rsidR="009C7ACB">
        <w:t>Townsville</w:t>
      </w:r>
      <w:r w:rsidR="009C7ACB">
        <w:noBreakHyphen/>
        <w:t>Mackay (12 per </w:t>
      </w:r>
      <w:r w:rsidR="001E40A7">
        <w:t>cent)</w:t>
      </w:r>
      <w:r w:rsidR="0093151A">
        <w:t xml:space="preserve"> </w:t>
      </w:r>
      <w:r w:rsidR="002D1197" w:rsidRPr="002D1197">
        <w:rPr>
          <w:szCs w:val="24"/>
        </w:rPr>
        <w:t>(ABS 2012)</w:t>
      </w:r>
      <w:r w:rsidR="002D1197">
        <w:t>.</w:t>
      </w:r>
      <w:r w:rsidR="00F43207">
        <w:t xml:space="preserve"> </w:t>
      </w:r>
      <w:r w:rsidR="009B34F8">
        <w:t>Torres Strait Islander</w:t>
      </w:r>
      <w:r w:rsidR="00F43207">
        <w:t xml:space="preserve"> people</w:t>
      </w:r>
      <w:r w:rsidR="009B34F8">
        <w:t xml:space="preserve"> living </w:t>
      </w:r>
      <w:r w:rsidR="000B2D79">
        <w:t xml:space="preserve">on the mainland retain close ties with families and communities in the Torres Strait </w:t>
      </w:r>
      <w:r w:rsidR="004259F7" w:rsidRPr="004259F7">
        <w:rPr>
          <w:szCs w:val="24"/>
        </w:rPr>
        <w:t>(</w:t>
      </w:r>
      <w:proofErr w:type="spellStart"/>
      <w:r w:rsidR="004259F7" w:rsidRPr="004259F7">
        <w:rPr>
          <w:szCs w:val="24"/>
        </w:rPr>
        <w:t>Lui</w:t>
      </w:r>
      <w:proofErr w:type="spellEnd"/>
      <w:r w:rsidR="004259F7" w:rsidRPr="004259F7">
        <w:rPr>
          <w:szCs w:val="24"/>
        </w:rPr>
        <w:t xml:space="preserve"> 2012; </w:t>
      </w:r>
      <w:proofErr w:type="spellStart"/>
      <w:r w:rsidR="004259F7" w:rsidRPr="004259F7">
        <w:rPr>
          <w:szCs w:val="24"/>
        </w:rPr>
        <w:t>Lui</w:t>
      </w:r>
      <w:proofErr w:type="spellEnd"/>
      <w:r w:rsidR="004259F7" w:rsidRPr="004259F7">
        <w:rPr>
          <w:szCs w:val="24"/>
        </w:rPr>
        <w:t xml:space="preserve"> et al. 2016)</w:t>
      </w:r>
      <w:r w:rsidR="00276402">
        <w:t>.</w:t>
      </w:r>
    </w:p>
    <w:p w:rsidR="005508F1" w:rsidRDefault="005508F1" w:rsidP="004C0BA6">
      <w:pPr>
        <w:pStyle w:val="BodyText"/>
      </w:pPr>
      <w:r>
        <w:t>In 2014</w:t>
      </w:r>
      <w:r w:rsidR="000D1571">
        <w:noBreakHyphen/>
      </w:r>
      <w:r>
        <w:t xml:space="preserve">15, a greater proportion of the Torres Strait Islander </w:t>
      </w:r>
      <w:r w:rsidR="008635B7">
        <w:t xml:space="preserve">only </w:t>
      </w:r>
      <w:r w:rsidR="009C7ACB">
        <w:t>population aged 15 </w:t>
      </w:r>
      <w:r>
        <w:t>years and over spoke an Australian Indigenous language (34.8</w:t>
      </w:r>
      <w:r w:rsidR="009C7ACB">
        <w:t> per c</w:t>
      </w:r>
      <w:r>
        <w:t>ent) and spoke an Australian Indigenous language as their main language at home (23.6</w:t>
      </w:r>
      <w:r w:rsidR="009C7ACB">
        <w:t> </w:t>
      </w:r>
      <w:r>
        <w:t>per</w:t>
      </w:r>
      <w:r w:rsidR="009C7ACB">
        <w:t> </w:t>
      </w:r>
      <w:r>
        <w:t>cent) compared with 16.3 per</w:t>
      </w:r>
      <w:r w:rsidR="009C7ACB">
        <w:t> </w:t>
      </w:r>
      <w:r>
        <w:t xml:space="preserve">cent </w:t>
      </w:r>
      <w:r w:rsidR="008635B7">
        <w:t xml:space="preserve">and </w:t>
      </w:r>
      <w:r>
        <w:t>9.0 per</w:t>
      </w:r>
      <w:r w:rsidR="009C7ACB">
        <w:t> </w:t>
      </w:r>
      <w:r>
        <w:t xml:space="preserve">cent of Aboriginal </w:t>
      </w:r>
      <w:r w:rsidR="008635B7">
        <w:t xml:space="preserve">only </w:t>
      </w:r>
      <w:r>
        <w:t xml:space="preserve">Australians respectively </w:t>
      </w:r>
      <w:r w:rsidRPr="005508F1">
        <w:rPr>
          <w:szCs w:val="24"/>
        </w:rPr>
        <w:t>(ABS 2016)</w:t>
      </w:r>
      <w:r>
        <w:t>.</w:t>
      </w:r>
    </w:p>
    <w:p w:rsidR="00946B44" w:rsidRDefault="00946B44" w:rsidP="00946B44">
      <w:pPr>
        <w:pStyle w:val="Heading2"/>
      </w:pPr>
      <w:r w:rsidRPr="004C0BA6">
        <w:t>12.1 Selected outcomes for Torres Strait Islander people</w:t>
      </w:r>
    </w:p>
    <w:p w:rsidR="009B34F8" w:rsidRDefault="009B34F8" w:rsidP="009B34F8">
      <w:pPr>
        <w:pStyle w:val="BodyText"/>
      </w:pPr>
      <w:r w:rsidRPr="00F50F33">
        <w:t>Torres Strait Islander</w:t>
      </w:r>
      <w:r w:rsidR="00F43207">
        <w:t xml:space="preserve"> people</w:t>
      </w:r>
      <w:r w:rsidRPr="00F50F33">
        <w:t xml:space="preserve"> make up a very small proportion of</w:t>
      </w:r>
      <w:r w:rsidR="00C47CE5">
        <w:t xml:space="preserve"> the Australian population (0.3</w:t>
      </w:r>
      <w:r w:rsidR="005B4F1D">
        <w:t> </w:t>
      </w:r>
      <w:r w:rsidRPr="00F50F33">
        <w:t>per</w:t>
      </w:r>
      <w:r w:rsidR="005B4F1D">
        <w:t> </w:t>
      </w:r>
      <w:r w:rsidRPr="00F50F33">
        <w:t xml:space="preserve">cent), making it difficult to report reliable data from sample surveys at a disaggregated level. In this chapter, data </w:t>
      </w:r>
      <w:r w:rsidR="00F43207">
        <w:t xml:space="preserve">reported </w:t>
      </w:r>
      <w:r w:rsidRPr="00F50F33">
        <w:t xml:space="preserve">for ‘Torres Strait Islander’ </w:t>
      </w:r>
      <w:r w:rsidR="00F43207">
        <w:t>people</w:t>
      </w:r>
      <w:r w:rsidR="00877553" w:rsidRPr="00F50F33">
        <w:t xml:space="preserve"> </w:t>
      </w:r>
      <w:r w:rsidRPr="00F50F33">
        <w:t>include both people who identified as ‘Torres Strait Islander only’ and people who identified as ‘Both Aboriginal and Torres Strait Islander’. For comparison purposes, data for ‘Aboriginal’ Australians in this chapter have been limited to people who identified as ‘Aboriginal only’.</w:t>
      </w:r>
    </w:p>
    <w:p w:rsidR="00F50F33" w:rsidRDefault="00355994" w:rsidP="004C0BA6">
      <w:pPr>
        <w:pStyle w:val="BodyText"/>
      </w:pPr>
      <w:r>
        <w:t xml:space="preserve">This chapter </w:t>
      </w:r>
      <w:r w:rsidRPr="00355994">
        <w:t xml:space="preserve">presents a selection of results for Torres Strait Islander </w:t>
      </w:r>
      <w:r w:rsidR="00430712">
        <w:t xml:space="preserve">and </w:t>
      </w:r>
      <w:r w:rsidR="00430712" w:rsidRPr="00355994">
        <w:t xml:space="preserve">Aboriginal </w:t>
      </w:r>
      <w:r w:rsidR="00430712">
        <w:t xml:space="preserve">only </w:t>
      </w:r>
      <w:r w:rsidR="00430712" w:rsidRPr="00355994">
        <w:t xml:space="preserve">Australians </w:t>
      </w:r>
      <w:r w:rsidRPr="00355994">
        <w:t xml:space="preserve">from the ABS </w:t>
      </w:r>
      <w:r>
        <w:t xml:space="preserve">National </w:t>
      </w:r>
      <w:r w:rsidRPr="00355994">
        <w:t>Aboriginal and Torres Strait Islander Social Survey</w:t>
      </w:r>
      <w:r>
        <w:t xml:space="preserve"> </w:t>
      </w:r>
      <w:r w:rsidR="001F15CD">
        <w:t xml:space="preserve">(NATSISS) </w:t>
      </w:r>
      <w:r>
        <w:t>2014</w:t>
      </w:r>
      <w:r w:rsidR="000D1571">
        <w:noBreakHyphen/>
      </w:r>
      <w:r>
        <w:t>15</w:t>
      </w:r>
      <w:r w:rsidRPr="00355994">
        <w:t>, with non</w:t>
      </w:r>
      <w:r w:rsidR="000D1571">
        <w:noBreakHyphen/>
      </w:r>
      <w:r w:rsidRPr="00355994">
        <w:t xml:space="preserve">Indigenous comparators from the ABS </w:t>
      </w:r>
      <w:r>
        <w:t>General Social Survey (GSS) 2014</w:t>
      </w:r>
      <w:r w:rsidR="002854E0">
        <w:t xml:space="preserve"> and the ABS Survey of Education and Work (SEW) 2014</w:t>
      </w:r>
      <w:r w:rsidR="00430712">
        <w:t>.</w:t>
      </w:r>
      <w:r w:rsidR="00F50F33" w:rsidRPr="00F50F33">
        <w:t xml:space="preserve"> </w:t>
      </w:r>
      <w:r w:rsidR="00B236A1">
        <w:t xml:space="preserve">NATSISS </w:t>
      </w:r>
      <w:r w:rsidR="00F50F33" w:rsidRPr="00F50F33">
        <w:t>data disaggregated into t</w:t>
      </w:r>
      <w:r w:rsidR="00430712">
        <w:t>hree</w:t>
      </w:r>
      <w:r w:rsidR="00F50F33" w:rsidRPr="00F50F33">
        <w:t xml:space="preserve"> geographical areas</w:t>
      </w:r>
      <w:r w:rsidR="002615CA">
        <w:t xml:space="preserve"> (</w:t>
      </w:r>
      <w:r w:rsidR="00430712" w:rsidRPr="00F50F33">
        <w:t>Torres Strait Indigenous region</w:t>
      </w:r>
      <w:r w:rsidR="00066262">
        <w:t>,</w:t>
      </w:r>
      <w:r w:rsidR="00430712">
        <w:t xml:space="preserve"> </w:t>
      </w:r>
      <w:r w:rsidR="00F50F33" w:rsidRPr="00F50F33">
        <w:t xml:space="preserve">Queensland </w:t>
      </w:r>
      <w:r w:rsidR="00702218">
        <w:t>[</w:t>
      </w:r>
      <w:r w:rsidR="00F50F33" w:rsidRPr="00F50F33">
        <w:t>including the Torres Strait Indigenous region</w:t>
      </w:r>
      <w:r w:rsidR="00702218">
        <w:t>]</w:t>
      </w:r>
      <w:r w:rsidR="00F50F33" w:rsidRPr="00F50F33">
        <w:t xml:space="preserve"> and the Balance of Australia </w:t>
      </w:r>
      <w:r w:rsidR="00702218">
        <w:t>[</w:t>
      </w:r>
      <w:r w:rsidR="00F50F33" w:rsidRPr="00F50F33">
        <w:t>which comprises the remainder of Australia</w:t>
      </w:r>
      <w:r w:rsidR="00702218">
        <w:t>]</w:t>
      </w:r>
      <w:r w:rsidR="002615CA">
        <w:t>)</w:t>
      </w:r>
      <w:r w:rsidR="00321865">
        <w:t xml:space="preserve"> are available in the attachment tables</w:t>
      </w:r>
      <w:r w:rsidR="00C466D2">
        <w:t xml:space="preserve"> (tables 12A.1.4–7)</w:t>
      </w:r>
      <w:r w:rsidR="00F50F33" w:rsidRPr="00F50F33">
        <w:t>.</w:t>
      </w:r>
    </w:p>
    <w:p w:rsidR="001F15CD" w:rsidRDefault="001F15CD" w:rsidP="004C0BA6">
      <w:pPr>
        <w:pStyle w:val="BodyText"/>
      </w:pPr>
      <w:r>
        <w:lastRenderedPageBreak/>
        <w:t>This chapter also presents outcomes for the Torres Strait Islander population in the Torres Strait Region using Census data</w:t>
      </w:r>
      <w:r w:rsidR="00EF3C27">
        <w:t xml:space="preserve"> (which measures the total population and therefore does not have sampling error)</w:t>
      </w:r>
      <w:r w:rsidR="00F43207">
        <w:t xml:space="preserve">. Census data are reported under </w:t>
      </w:r>
      <w:r w:rsidR="00E21C08">
        <w:t>Torres Strait Region outcomes below</w:t>
      </w:r>
      <w:r>
        <w:t>.</w:t>
      </w:r>
      <w:r w:rsidR="00B236A1">
        <w:t xml:space="preserve"> </w:t>
      </w:r>
    </w:p>
    <w:p w:rsidR="00072B7A" w:rsidRDefault="00072B7A" w:rsidP="00072B7A">
      <w:pPr>
        <w:pStyle w:val="Heading3"/>
      </w:pPr>
      <w:r w:rsidRPr="00EB2C6D">
        <w:t>Year 12 or post</w:t>
      </w:r>
      <w:r w:rsidR="000D1571">
        <w:noBreakHyphen/>
      </w:r>
      <w:r w:rsidRPr="00EB2C6D">
        <w:t>secondary education</w:t>
      </w:r>
    </w:p>
    <w:p w:rsidR="00C47CE5" w:rsidRDefault="00131373" w:rsidP="00DC2998">
      <w:pPr>
        <w:pStyle w:val="BodyText"/>
      </w:pPr>
      <w:r>
        <w:t>‘</w:t>
      </w:r>
      <w:r w:rsidR="005B250F" w:rsidRPr="005B250F">
        <w:t>Halving the gap in year</w:t>
      </w:r>
      <w:r w:rsidR="00947664">
        <w:t> </w:t>
      </w:r>
      <w:r w:rsidR="005B250F" w:rsidRPr="005B250F">
        <w:t>12 or equivalent attainment rates for Aboriginal and Torres Strait Islander Australians aged</w:t>
      </w:r>
      <w:r w:rsidR="00EE16B4">
        <w:t> </w:t>
      </w:r>
      <w:r w:rsidR="005B250F" w:rsidRPr="005B250F">
        <w:t>20–24 years by 2020</w:t>
      </w:r>
      <w:r>
        <w:t>’</w:t>
      </w:r>
      <w:r w:rsidR="005B250F" w:rsidRPr="005B250F">
        <w:t xml:space="preserve"> is </w:t>
      </w:r>
      <w:r>
        <w:t xml:space="preserve">one of the COAG targets (see section 4.6 for </w:t>
      </w:r>
      <w:r w:rsidR="00770AEB">
        <w:t>further</w:t>
      </w:r>
      <w:r>
        <w:t xml:space="preserve"> information</w:t>
      </w:r>
      <w:r w:rsidR="00F43207">
        <w:t xml:space="preserve"> on year 12 attainment</w:t>
      </w:r>
      <w:r>
        <w:t>)</w:t>
      </w:r>
      <w:r w:rsidR="005B250F" w:rsidRPr="005B250F">
        <w:t>.</w:t>
      </w:r>
      <w:r w:rsidR="00A45F75">
        <w:t xml:space="preserve"> </w:t>
      </w:r>
      <w:r w:rsidR="005B250F">
        <w:t>Nationally i</w:t>
      </w:r>
      <w:r w:rsidR="00C47CE5">
        <w:t>n 2014</w:t>
      </w:r>
      <w:r w:rsidR="000D1571">
        <w:noBreakHyphen/>
      </w:r>
      <w:r w:rsidR="00C47CE5">
        <w:t xml:space="preserve">15: </w:t>
      </w:r>
    </w:p>
    <w:p w:rsidR="001F0B86" w:rsidRDefault="002615CA" w:rsidP="00DC2998">
      <w:pPr>
        <w:pStyle w:val="ListBullet"/>
      </w:pPr>
      <w:r>
        <w:t>o</w:t>
      </w:r>
      <w:r w:rsidR="00881BDC">
        <w:t>ver</w:t>
      </w:r>
      <w:r w:rsidR="002854E0">
        <w:t xml:space="preserve"> three</w:t>
      </w:r>
      <w:r>
        <w:t>-</w:t>
      </w:r>
      <w:r w:rsidR="002854E0">
        <w:t xml:space="preserve">quarters </w:t>
      </w:r>
      <w:r w:rsidR="001F0B86">
        <w:t>of the Torres Strait Islander population aged</w:t>
      </w:r>
      <w:r w:rsidR="00947664">
        <w:t> </w:t>
      </w:r>
      <w:r w:rsidR="00397B60">
        <w:t>20–</w:t>
      </w:r>
      <w:r w:rsidR="001F0B86">
        <w:t xml:space="preserve">24 years </w:t>
      </w:r>
      <w:r w:rsidR="00A26D3B">
        <w:t xml:space="preserve">(79.7 per cent) </w:t>
      </w:r>
      <w:r w:rsidR="001F0B86">
        <w:t>had attained at least a year</w:t>
      </w:r>
      <w:r w:rsidR="00EE16B4">
        <w:t> </w:t>
      </w:r>
      <w:r w:rsidR="001F0B86">
        <w:t>12 or equivalent</w:t>
      </w:r>
      <w:r w:rsidR="00397B60">
        <w:t xml:space="preserve"> or Certificate </w:t>
      </w:r>
      <w:r w:rsidR="004D1BCC">
        <w:t xml:space="preserve">level </w:t>
      </w:r>
      <w:r w:rsidR="00397B60">
        <w:t>II or above</w:t>
      </w:r>
      <w:r w:rsidR="001F0B86">
        <w:t>, similar to the non</w:t>
      </w:r>
      <w:r w:rsidR="008F0368">
        <w:noBreakHyphen/>
      </w:r>
      <w:r w:rsidR="001F0B86">
        <w:t>Indigenous population</w:t>
      </w:r>
      <w:r w:rsidR="00947664">
        <w:t xml:space="preserve"> </w:t>
      </w:r>
      <w:r w:rsidR="00397B60">
        <w:t>(</w:t>
      </w:r>
      <w:r w:rsidR="00D76666" w:rsidRPr="00A026B9">
        <w:t>87.9</w:t>
      </w:r>
      <w:r w:rsidR="00947664" w:rsidRPr="00A026B9">
        <w:t> </w:t>
      </w:r>
      <w:r w:rsidR="00397B60" w:rsidRPr="00A026B9">
        <w:t>per</w:t>
      </w:r>
      <w:r w:rsidR="00947664" w:rsidRPr="00A026B9">
        <w:t> </w:t>
      </w:r>
      <w:r w:rsidR="00397B60" w:rsidRPr="00A026B9">
        <w:t>cent</w:t>
      </w:r>
      <w:r w:rsidR="008100B1" w:rsidRPr="001B1E68">
        <w:rPr>
          <w:rStyle w:val="FootnoteReference"/>
        </w:rPr>
        <w:footnoteReference w:id="4"/>
      </w:r>
      <w:r w:rsidR="00397B60" w:rsidRPr="00A026B9">
        <w:t>)</w:t>
      </w:r>
      <w:r w:rsidR="00397B60">
        <w:t xml:space="preserve"> and significantly higher than the</w:t>
      </w:r>
      <w:r w:rsidR="001F0B86">
        <w:t xml:space="preserve"> </w:t>
      </w:r>
      <w:r w:rsidR="00397B60">
        <w:t>Aboriginal population (</w:t>
      </w:r>
      <w:r w:rsidR="00650813">
        <w:t>59</w:t>
      </w:r>
      <w:r w:rsidR="00495719">
        <w:t>.8</w:t>
      </w:r>
      <w:r w:rsidR="00947664">
        <w:t> </w:t>
      </w:r>
      <w:r w:rsidR="00397B60">
        <w:t>per</w:t>
      </w:r>
      <w:r w:rsidR="00947664">
        <w:t> </w:t>
      </w:r>
      <w:r w:rsidR="00397B60">
        <w:t>cent)</w:t>
      </w:r>
      <w:r w:rsidR="001F0B86">
        <w:t xml:space="preserve"> (tables</w:t>
      </w:r>
      <w:r w:rsidR="008F0368">
        <w:t> </w:t>
      </w:r>
      <w:r w:rsidR="001F0B86">
        <w:t>12A.1.</w:t>
      </w:r>
      <w:r w:rsidR="00495719">
        <w:t>1</w:t>
      </w:r>
      <w:r w:rsidR="001F0B86">
        <w:t xml:space="preserve"> and 4A.6.1).</w:t>
      </w:r>
    </w:p>
    <w:p w:rsidR="001F0B86" w:rsidRPr="00432966" w:rsidRDefault="002615CA" w:rsidP="00DC2998">
      <w:pPr>
        <w:pStyle w:val="ListBullet"/>
      </w:pPr>
      <w:r>
        <w:t>a</w:t>
      </w:r>
      <w:r w:rsidR="00881BDC">
        <w:t>round</w:t>
      </w:r>
      <w:r w:rsidR="002854E0" w:rsidRPr="002854E0">
        <w:t xml:space="preserve"> half </w:t>
      </w:r>
      <w:r w:rsidR="00397B60" w:rsidRPr="002854E0">
        <w:t>of</w:t>
      </w:r>
      <w:r w:rsidR="00397B60" w:rsidRPr="009608B9">
        <w:t xml:space="preserve"> the Torres Strait Islander population aged 20–64 years </w:t>
      </w:r>
      <w:r w:rsidR="00A26D3B" w:rsidRPr="002854E0">
        <w:t>(51.2</w:t>
      </w:r>
      <w:r w:rsidR="00947664">
        <w:t> </w:t>
      </w:r>
      <w:r w:rsidR="00A26D3B" w:rsidRPr="002854E0">
        <w:t>per</w:t>
      </w:r>
      <w:r w:rsidR="00947664">
        <w:t> </w:t>
      </w:r>
      <w:r w:rsidR="00A26D3B" w:rsidRPr="002854E0">
        <w:t xml:space="preserve">cent) </w:t>
      </w:r>
      <w:r w:rsidR="00397B60" w:rsidRPr="009608B9">
        <w:t>had a non</w:t>
      </w:r>
      <w:r w:rsidR="00397B60" w:rsidRPr="004D1BCC">
        <w:noBreakHyphen/>
        <w:t xml:space="preserve">school qualification at Certificate </w:t>
      </w:r>
      <w:r w:rsidR="004D1BCC" w:rsidRPr="006E2F56">
        <w:t xml:space="preserve">level </w:t>
      </w:r>
      <w:r w:rsidR="00397B60" w:rsidRPr="004D1BCC">
        <w:t xml:space="preserve">III or above or </w:t>
      </w:r>
      <w:r w:rsidR="001A06AD">
        <w:t xml:space="preserve">were </w:t>
      </w:r>
      <w:r w:rsidR="00397B60" w:rsidRPr="004D1BCC">
        <w:t>currently studying</w:t>
      </w:r>
      <w:r w:rsidR="002854E0" w:rsidRPr="004D1BCC">
        <w:t xml:space="preserve">, similar to </w:t>
      </w:r>
      <w:r w:rsidR="00881BDC">
        <w:t>the Aboriginal population (45.5 </w:t>
      </w:r>
      <w:r w:rsidR="002854E0" w:rsidRPr="004D1BCC">
        <w:t>per</w:t>
      </w:r>
      <w:r w:rsidR="00947664">
        <w:t> </w:t>
      </w:r>
      <w:r w:rsidR="00A45F75">
        <w:t xml:space="preserve">cent), </w:t>
      </w:r>
      <w:r w:rsidR="00456F64">
        <w:t xml:space="preserve">and </w:t>
      </w:r>
      <w:r w:rsidR="002854E0" w:rsidRPr="004D1BCC">
        <w:t>both significantly lower than the non</w:t>
      </w:r>
      <w:r w:rsidR="002854E0" w:rsidRPr="004D1BCC">
        <w:noBreakHyphen/>
      </w:r>
      <w:r w:rsidR="00321865" w:rsidRPr="004D1BCC">
        <w:t>Indigenous</w:t>
      </w:r>
      <w:r w:rsidR="002854E0" w:rsidRPr="00432966">
        <w:t xml:space="preserve"> population (</w:t>
      </w:r>
      <w:r w:rsidR="00A91213" w:rsidRPr="00A026B9">
        <w:t>70.0</w:t>
      </w:r>
      <w:r w:rsidR="00947664" w:rsidRPr="00A026B9">
        <w:t> </w:t>
      </w:r>
      <w:r w:rsidR="002854E0" w:rsidRPr="00A026B9">
        <w:t>per</w:t>
      </w:r>
      <w:r w:rsidR="00947664" w:rsidRPr="00A026B9">
        <w:t> </w:t>
      </w:r>
      <w:r w:rsidR="002854E0" w:rsidRPr="00A026B9">
        <w:t>cent</w:t>
      </w:r>
      <w:r w:rsidR="008100B1" w:rsidRPr="001B1E68">
        <w:rPr>
          <w:rStyle w:val="FootnoteReference"/>
        </w:rPr>
        <w:footnoteReference w:id="5"/>
      </w:r>
      <w:r w:rsidR="002854E0" w:rsidRPr="00432966">
        <w:t>)</w:t>
      </w:r>
      <w:r w:rsidR="00A91213">
        <w:t xml:space="preserve"> (</w:t>
      </w:r>
      <w:r w:rsidR="00A91213" w:rsidRPr="00540652">
        <w:rPr>
          <w:szCs w:val="24"/>
        </w:rPr>
        <w:t>table</w:t>
      </w:r>
      <w:r w:rsidR="00A91213">
        <w:rPr>
          <w:szCs w:val="24"/>
        </w:rPr>
        <w:t>s</w:t>
      </w:r>
      <w:r w:rsidR="00947664">
        <w:rPr>
          <w:szCs w:val="24"/>
        </w:rPr>
        <w:t> </w:t>
      </w:r>
      <w:r w:rsidR="00A91213" w:rsidRPr="00540652">
        <w:rPr>
          <w:szCs w:val="24"/>
        </w:rPr>
        <w:t>12A.1.2</w:t>
      </w:r>
      <w:r w:rsidR="00A91213">
        <w:rPr>
          <w:szCs w:val="24"/>
        </w:rPr>
        <w:t xml:space="preserve"> and </w:t>
      </w:r>
      <w:r w:rsidR="00A91213" w:rsidRPr="00A026B9">
        <w:rPr>
          <w:szCs w:val="24"/>
        </w:rPr>
        <w:t>4A.8.7</w:t>
      </w:r>
      <w:r w:rsidR="00A91213">
        <w:rPr>
          <w:szCs w:val="24"/>
        </w:rPr>
        <w:t>).</w:t>
      </w:r>
      <w:r w:rsidR="008F0368">
        <w:t xml:space="preserve"> </w:t>
      </w:r>
    </w:p>
    <w:p w:rsidR="001F0B86" w:rsidRDefault="004D1BCC" w:rsidP="00702218">
      <w:pPr>
        <w:pStyle w:val="BodyText"/>
      </w:pPr>
      <w:r>
        <w:t>Further information on the population aged</w:t>
      </w:r>
      <w:r w:rsidR="00947664">
        <w:t> </w:t>
      </w:r>
      <w:r>
        <w:t>18</w:t>
      </w:r>
      <w:r>
        <w:softHyphen/>
      </w:r>
      <w:r w:rsidR="00CB69D8">
        <w:t xml:space="preserve"> </w:t>
      </w:r>
      <w:r>
        <w:t>years</w:t>
      </w:r>
      <w:r w:rsidR="00CB69D8">
        <w:t xml:space="preserve"> and over</w:t>
      </w:r>
      <w:r>
        <w:t xml:space="preserve"> who had completed year</w:t>
      </w:r>
      <w:r w:rsidR="00947664">
        <w:t> </w:t>
      </w:r>
      <w:r>
        <w:t>12 or a post</w:t>
      </w:r>
      <w:r w:rsidR="008F0368">
        <w:noBreakHyphen/>
      </w:r>
      <w:r>
        <w:t xml:space="preserve">secondary qualification at Certificate level III or above </w:t>
      </w:r>
      <w:r w:rsidR="00A26D3B">
        <w:t xml:space="preserve">as their highest level of education </w:t>
      </w:r>
      <w:r w:rsidR="00A45F75">
        <w:t>are available in table</w:t>
      </w:r>
      <w:r w:rsidR="00881BDC">
        <w:t> </w:t>
      </w:r>
      <w:r w:rsidR="00A45F75">
        <w:t>12</w:t>
      </w:r>
      <w:r w:rsidR="00881BDC">
        <w:t>A</w:t>
      </w:r>
      <w:r w:rsidR="00A45F75">
        <w:t>.1.4</w:t>
      </w:r>
      <w:r>
        <w:t>,</w:t>
      </w:r>
      <w:r w:rsidR="008F0368">
        <w:t xml:space="preserve"> </w:t>
      </w:r>
      <w:r w:rsidR="002615CA">
        <w:t xml:space="preserve">with </w:t>
      </w:r>
      <w:r>
        <w:t xml:space="preserve">results </w:t>
      </w:r>
      <w:r w:rsidR="00B23B41">
        <w:t>not significantly different between</w:t>
      </w:r>
      <w:r>
        <w:t xml:space="preserve"> Torres Strait Islander adults</w:t>
      </w:r>
      <w:r w:rsidR="00B23B41">
        <w:t xml:space="preserve"> across </w:t>
      </w:r>
      <w:r w:rsidR="00650813">
        <w:t>the three</w:t>
      </w:r>
      <w:r w:rsidR="00B23B41">
        <w:t xml:space="preserve"> geographic </w:t>
      </w:r>
      <w:r w:rsidR="00A45F75">
        <w:t>areas</w:t>
      </w:r>
      <w:r>
        <w:t xml:space="preserve"> </w:t>
      </w:r>
      <w:r w:rsidR="00650813">
        <w:t>or with</w:t>
      </w:r>
      <w:r>
        <w:t xml:space="preserve"> Aboriginal </w:t>
      </w:r>
      <w:r w:rsidR="00CB69D8">
        <w:t>adults</w:t>
      </w:r>
      <w:r>
        <w:t>.</w:t>
      </w:r>
    </w:p>
    <w:p w:rsidR="00682BD3" w:rsidRDefault="00881BDC" w:rsidP="00702218">
      <w:pPr>
        <w:pStyle w:val="BodyText"/>
      </w:pPr>
      <w:r>
        <w:t>B</w:t>
      </w:r>
      <w:r w:rsidR="00682BD3">
        <w:t>etween 2004</w:t>
      </w:r>
      <w:r w:rsidR="008F0368">
        <w:noBreakHyphen/>
      </w:r>
      <w:r w:rsidR="00682BD3">
        <w:t>05 and 201</w:t>
      </w:r>
      <w:r>
        <w:t>4</w:t>
      </w:r>
      <w:r w:rsidR="008F0368">
        <w:noBreakHyphen/>
      </w:r>
      <w:r w:rsidR="00682BD3">
        <w:t>1</w:t>
      </w:r>
      <w:r>
        <w:t>5, there w</w:t>
      </w:r>
      <w:r w:rsidR="00C70EA8">
        <w:t>ere</w:t>
      </w:r>
      <w:r>
        <w:t xml:space="preserve"> no </w:t>
      </w:r>
      <w:r w:rsidR="00215F7D">
        <w:t xml:space="preserve">statistically </w:t>
      </w:r>
      <w:r>
        <w:t>significant change</w:t>
      </w:r>
      <w:r w:rsidR="00C70EA8">
        <w:t>s</w:t>
      </w:r>
      <w:r>
        <w:t xml:space="preserve"> </w:t>
      </w:r>
      <w:r w:rsidR="00682BD3">
        <w:t>in the proportion</w:t>
      </w:r>
      <w:r w:rsidR="00CF02E0">
        <w:t>s</w:t>
      </w:r>
      <w:r w:rsidR="00682BD3">
        <w:t xml:space="preserve"> of Torres Strait Islander adults who had completed year</w:t>
      </w:r>
      <w:r w:rsidR="00E932CB">
        <w:t> </w:t>
      </w:r>
      <w:r w:rsidR="00682BD3">
        <w:t>12 as their highest level of education</w:t>
      </w:r>
      <w:r>
        <w:t>.</w:t>
      </w:r>
      <w:r w:rsidR="00CB69D8">
        <w:t xml:space="preserve"> </w:t>
      </w:r>
      <w:r w:rsidR="00215F7D">
        <w:t>Similar to Aboriginal adults and non</w:t>
      </w:r>
      <w:r w:rsidR="008F0368">
        <w:noBreakHyphen/>
      </w:r>
      <w:r w:rsidR="00215F7D">
        <w:t>Indigenous adults, t</w:t>
      </w:r>
      <w:r w:rsidR="00CB69D8">
        <w:t>here was a</w:t>
      </w:r>
      <w:r w:rsidR="00215F7D">
        <w:t>n</w:t>
      </w:r>
      <w:r w:rsidR="00CB69D8">
        <w:t xml:space="preserve"> increase over this time period for Torres Strait Islander adults who had completed post</w:t>
      </w:r>
      <w:r w:rsidR="008F0368">
        <w:noBreakHyphen/>
      </w:r>
      <w:r w:rsidR="00CB69D8">
        <w:t>secondary qualifications at Certificate level III or above (from 24.7 per cent in 2004</w:t>
      </w:r>
      <w:r w:rsidR="008F0368">
        <w:noBreakHyphen/>
      </w:r>
      <w:r w:rsidR="00CB69D8">
        <w:t xml:space="preserve">05 </w:t>
      </w:r>
      <w:r w:rsidR="00A26D3B">
        <w:t>to 41.2 per </w:t>
      </w:r>
      <w:r w:rsidR="00CB69D8">
        <w:t>cent in 2014</w:t>
      </w:r>
      <w:r w:rsidR="008F0368">
        <w:noBreakHyphen/>
      </w:r>
      <w:r w:rsidR="00CB69D8">
        <w:t>15)</w:t>
      </w:r>
      <w:r w:rsidR="00215F7D">
        <w:t xml:space="preserve"> </w:t>
      </w:r>
      <w:r>
        <w:t>(table</w:t>
      </w:r>
      <w:r w:rsidR="008F0368">
        <w:t> </w:t>
      </w:r>
      <w:r>
        <w:t>12A.1.4).</w:t>
      </w:r>
    </w:p>
    <w:p w:rsidR="00072B7A" w:rsidRPr="004C0BA6" w:rsidRDefault="00072B7A" w:rsidP="00072B7A">
      <w:pPr>
        <w:pStyle w:val="Heading3"/>
      </w:pPr>
      <w:r>
        <w:t>Employment to population ratio</w:t>
      </w:r>
    </w:p>
    <w:p w:rsidR="00C47CE5" w:rsidRDefault="00131373" w:rsidP="00702218">
      <w:pPr>
        <w:pStyle w:val="BodyText"/>
      </w:pPr>
      <w:r>
        <w:t>‘</w:t>
      </w:r>
      <w:r w:rsidR="00326F50" w:rsidRPr="00326F50">
        <w:t>Halving the gap in employment outcomes between Aboriginal and Torres Strait Islander Australians and non</w:t>
      </w:r>
      <w:r w:rsidR="008F0368">
        <w:noBreakHyphen/>
      </w:r>
      <w:r w:rsidR="00326F50" w:rsidRPr="00326F50">
        <w:t>Indigenous Australians within a decade</w:t>
      </w:r>
      <w:r w:rsidR="00770AEB">
        <w:t>’</w:t>
      </w:r>
      <w:r w:rsidR="00326F50" w:rsidRPr="00326F50">
        <w:t xml:space="preserve"> [by 2018] is </w:t>
      </w:r>
      <w:r w:rsidR="00F3067C">
        <w:t>one of the</w:t>
      </w:r>
      <w:r w:rsidR="00326F50" w:rsidRPr="00326F50">
        <w:t xml:space="preserve"> COAG target</w:t>
      </w:r>
      <w:r w:rsidR="00F3067C">
        <w:t>s</w:t>
      </w:r>
      <w:r w:rsidR="00770AEB">
        <w:t xml:space="preserve"> (see section 4.7 for further information)</w:t>
      </w:r>
      <w:r w:rsidR="00326F50" w:rsidRPr="00326F50">
        <w:t>.</w:t>
      </w:r>
      <w:r w:rsidR="006869D0">
        <w:t xml:space="preserve"> Nationally i</w:t>
      </w:r>
      <w:r w:rsidR="00C47CE5">
        <w:t>n 2014</w:t>
      </w:r>
      <w:r w:rsidR="000D1571">
        <w:noBreakHyphen/>
      </w:r>
      <w:r w:rsidR="00A26D3B">
        <w:t>15:</w:t>
      </w:r>
    </w:p>
    <w:p w:rsidR="009608B9" w:rsidRPr="005B6256" w:rsidRDefault="002615CA" w:rsidP="00702218">
      <w:pPr>
        <w:pStyle w:val="ListBullet"/>
      </w:pPr>
      <w:r>
        <w:lastRenderedPageBreak/>
        <w:t>a</w:t>
      </w:r>
      <w:r w:rsidR="007C3D42">
        <w:t>round two</w:t>
      </w:r>
      <w:r w:rsidR="008F0368">
        <w:noBreakHyphen/>
      </w:r>
      <w:r w:rsidR="007C3D42">
        <w:t xml:space="preserve">thirds </w:t>
      </w:r>
      <w:r w:rsidR="009608B9">
        <w:t>of the Torres Strait Islander population aged</w:t>
      </w:r>
      <w:r w:rsidR="005D4B01">
        <w:t> </w:t>
      </w:r>
      <w:r w:rsidR="009608B9">
        <w:t xml:space="preserve">15–64 years </w:t>
      </w:r>
      <w:r w:rsidR="00A26D3B">
        <w:t xml:space="preserve">(68.7 per cent) </w:t>
      </w:r>
      <w:r w:rsidR="009608B9">
        <w:t>participated in the labour force</w:t>
      </w:r>
      <w:r w:rsidR="007C3D42">
        <w:t>,</w:t>
      </w:r>
      <w:r w:rsidR="009608B9">
        <w:t xml:space="preserve"> higher than the Aboriginal labour for</w:t>
      </w:r>
      <w:r w:rsidR="007C3D42">
        <w:t xml:space="preserve">ce </w:t>
      </w:r>
      <w:r w:rsidR="007C3D42" w:rsidRPr="005B6256">
        <w:t>participation rate (60.2 per </w:t>
      </w:r>
      <w:r w:rsidR="009608B9" w:rsidRPr="005B6256">
        <w:t>cent) but lower than the non</w:t>
      </w:r>
      <w:r w:rsidR="008F0368" w:rsidRPr="005B6256">
        <w:noBreakHyphen/>
      </w:r>
      <w:r w:rsidR="009608B9" w:rsidRPr="005B6256">
        <w:t xml:space="preserve">Indigenous participation </w:t>
      </w:r>
      <w:r w:rsidR="007C3D42" w:rsidRPr="005B6256">
        <w:t>r</w:t>
      </w:r>
      <w:r w:rsidR="009608B9" w:rsidRPr="005B6256">
        <w:t>ate (79.</w:t>
      </w:r>
      <w:r w:rsidR="001C7B2A" w:rsidRPr="005B6256">
        <w:t>8</w:t>
      </w:r>
      <w:r w:rsidR="00770AEB" w:rsidRPr="005B6256">
        <w:t> </w:t>
      </w:r>
      <w:r w:rsidR="009608B9" w:rsidRPr="005B6256">
        <w:t>per</w:t>
      </w:r>
      <w:r w:rsidR="00770AEB" w:rsidRPr="005B6256">
        <w:t> </w:t>
      </w:r>
      <w:r w:rsidR="009608B9" w:rsidRPr="005B6256">
        <w:t xml:space="preserve">cent) </w:t>
      </w:r>
      <w:r w:rsidR="00326F50" w:rsidRPr="005B6256">
        <w:t>(</w:t>
      </w:r>
      <w:r w:rsidR="00A26D3B" w:rsidRPr="005B6256">
        <w:t xml:space="preserve">table 12A.1.3 and </w:t>
      </w:r>
      <w:r w:rsidR="009608B9" w:rsidRPr="005B6256">
        <w:t>table</w:t>
      </w:r>
      <w:r w:rsidR="008F0368" w:rsidRPr="005B6256">
        <w:t> </w:t>
      </w:r>
      <w:r w:rsidR="009608B9" w:rsidRPr="005B6256">
        <w:t>4A.7.12)</w:t>
      </w:r>
      <w:r w:rsidR="00A26D3B" w:rsidRPr="005B6256">
        <w:t>.</w:t>
      </w:r>
    </w:p>
    <w:p w:rsidR="007C3D42" w:rsidRPr="005B6256" w:rsidRDefault="002615CA" w:rsidP="00702218">
      <w:pPr>
        <w:pStyle w:val="ListBullet"/>
      </w:pPr>
      <w:r w:rsidRPr="005B6256">
        <w:t>a</w:t>
      </w:r>
      <w:r w:rsidR="007C3D42" w:rsidRPr="005B6256">
        <w:t>round half of the Torres Strait Islander population aged</w:t>
      </w:r>
      <w:r w:rsidR="005D4B01" w:rsidRPr="005B6256">
        <w:t> </w:t>
      </w:r>
      <w:r w:rsidR="007C3D42" w:rsidRPr="005B6256">
        <w:t xml:space="preserve">15–64 years </w:t>
      </w:r>
      <w:r w:rsidR="00A26D3B" w:rsidRPr="005B6256">
        <w:t>(53.2</w:t>
      </w:r>
      <w:r w:rsidR="00770AEB" w:rsidRPr="005B6256">
        <w:t> </w:t>
      </w:r>
      <w:r w:rsidR="00A26D3B" w:rsidRPr="005B6256">
        <w:t>per</w:t>
      </w:r>
      <w:r w:rsidR="00770AEB" w:rsidRPr="005B6256">
        <w:t> </w:t>
      </w:r>
      <w:r w:rsidR="00A26D3B" w:rsidRPr="005B6256">
        <w:t xml:space="preserve">cent) </w:t>
      </w:r>
      <w:r w:rsidR="007C3D42" w:rsidRPr="005B6256">
        <w:t>were employed, similar to the Aboriginal employment rate (47.8</w:t>
      </w:r>
      <w:r w:rsidR="00770AEB" w:rsidRPr="005B6256">
        <w:t> </w:t>
      </w:r>
      <w:r w:rsidR="007C3D42" w:rsidRPr="005B6256">
        <w:t>per</w:t>
      </w:r>
      <w:r w:rsidR="00770AEB" w:rsidRPr="005B6256">
        <w:t> </w:t>
      </w:r>
      <w:r w:rsidR="007C3D42" w:rsidRPr="005B6256">
        <w:t>cent)</w:t>
      </w:r>
      <w:r w:rsidR="00650813" w:rsidRPr="005B6256">
        <w:t xml:space="preserve"> but</w:t>
      </w:r>
      <w:r w:rsidR="007C3D42" w:rsidRPr="005B6256">
        <w:t xml:space="preserve"> both significantly lower than the non</w:t>
      </w:r>
      <w:r w:rsidR="008F0368" w:rsidRPr="005B6256">
        <w:noBreakHyphen/>
      </w:r>
      <w:r w:rsidR="007C3D42" w:rsidRPr="005B6256">
        <w:t>Indigenous employment rate (74.</w:t>
      </w:r>
      <w:r w:rsidR="001868FA" w:rsidRPr="005B6256">
        <w:t>8</w:t>
      </w:r>
      <w:r w:rsidR="00A26D3B" w:rsidRPr="005B6256">
        <w:t> </w:t>
      </w:r>
      <w:r w:rsidR="007C3D42" w:rsidRPr="005B6256">
        <w:t>per</w:t>
      </w:r>
      <w:r w:rsidR="00A26D3B" w:rsidRPr="005B6256">
        <w:t> </w:t>
      </w:r>
      <w:r w:rsidR="007C3D42" w:rsidRPr="005B6256">
        <w:t xml:space="preserve">cent) </w:t>
      </w:r>
      <w:r w:rsidR="00326F50" w:rsidRPr="005B6256">
        <w:t>(</w:t>
      </w:r>
      <w:r w:rsidR="00A26D3B" w:rsidRPr="005B6256">
        <w:t xml:space="preserve">table 12A.1.3 and </w:t>
      </w:r>
      <w:r w:rsidR="007C3D42" w:rsidRPr="005B6256">
        <w:t>table</w:t>
      </w:r>
      <w:r w:rsidR="008F0368" w:rsidRPr="005B6256">
        <w:t> </w:t>
      </w:r>
      <w:r w:rsidR="007C3D42" w:rsidRPr="005B6256">
        <w:t>4A.7.1)</w:t>
      </w:r>
      <w:r w:rsidR="00A26D3B" w:rsidRPr="005B6256">
        <w:t>.</w:t>
      </w:r>
    </w:p>
    <w:p w:rsidR="00A26D3B" w:rsidRPr="005B6256" w:rsidRDefault="002615CA" w:rsidP="00702218">
      <w:pPr>
        <w:pStyle w:val="ListBullet"/>
      </w:pPr>
      <w:r w:rsidRPr="005B6256">
        <w:t>a</w:t>
      </w:r>
      <w:r w:rsidR="00A26D3B" w:rsidRPr="005B6256">
        <w:t xml:space="preserve">round </w:t>
      </w:r>
      <w:r w:rsidRPr="005B6256">
        <w:t>one-</w:t>
      </w:r>
      <w:r w:rsidR="00F445B4" w:rsidRPr="005B6256">
        <w:t>fifth</w:t>
      </w:r>
      <w:r w:rsidR="00A26D3B" w:rsidRPr="005B6256">
        <w:t xml:space="preserve"> of the Torres Strait Islander </w:t>
      </w:r>
      <w:r w:rsidR="0045466F" w:rsidRPr="005B6256">
        <w:t xml:space="preserve">labour force </w:t>
      </w:r>
      <w:r w:rsidR="00A26D3B" w:rsidRPr="005B6256">
        <w:t>aged</w:t>
      </w:r>
      <w:r w:rsidR="005D4B01" w:rsidRPr="005B6256">
        <w:t> </w:t>
      </w:r>
      <w:r w:rsidR="00A26D3B" w:rsidRPr="005B6256">
        <w:t>15–64 years (</w:t>
      </w:r>
      <w:r w:rsidR="00F445B4" w:rsidRPr="005B6256">
        <w:t>21.9</w:t>
      </w:r>
      <w:r w:rsidR="00A26D3B" w:rsidRPr="005B6256">
        <w:t> per cent) were unemployed, similar to the Aboriginal unemployment rate (</w:t>
      </w:r>
      <w:r w:rsidR="00F445B4" w:rsidRPr="005B6256">
        <w:t>20.6</w:t>
      </w:r>
      <w:r w:rsidR="00A26D3B" w:rsidRPr="005B6256">
        <w:t> per cent), both significantly higher than the non</w:t>
      </w:r>
      <w:r w:rsidR="008F0368" w:rsidRPr="005B6256">
        <w:noBreakHyphen/>
      </w:r>
      <w:r w:rsidR="00A26D3B" w:rsidRPr="005B6256">
        <w:t>Indigenous unemployment rate (</w:t>
      </w:r>
      <w:r w:rsidR="00F445B4" w:rsidRPr="005B6256">
        <w:t>6.</w:t>
      </w:r>
      <w:r w:rsidR="00797EE3" w:rsidRPr="005B6256">
        <w:t>2</w:t>
      </w:r>
      <w:r w:rsidR="00A26D3B" w:rsidRPr="005B6256">
        <w:t> per cent)</w:t>
      </w:r>
      <w:r w:rsidR="00F445B4" w:rsidRPr="005B6256">
        <w:t xml:space="preserve"> (table 12A.1.3 and table</w:t>
      </w:r>
      <w:r w:rsidR="008F0368" w:rsidRPr="005B6256">
        <w:t> </w:t>
      </w:r>
      <w:r w:rsidR="00F445B4" w:rsidRPr="005B6256">
        <w:t>4A.7.8).</w:t>
      </w:r>
    </w:p>
    <w:p w:rsidR="00682BD3" w:rsidRDefault="00682BD3" w:rsidP="00DC2998">
      <w:pPr>
        <w:pStyle w:val="BodyText"/>
      </w:pPr>
      <w:r>
        <w:t>From 2004</w:t>
      </w:r>
      <w:r w:rsidR="008F0368">
        <w:noBreakHyphen/>
      </w:r>
      <w:r>
        <w:t>05 to 201</w:t>
      </w:r>
      <w:r w:rsidR="00F445B4">
        <w:t>4</w:t>
      </w:r>
      <w:r w:rsidR="00650813">
        <w:noBreakHyphen/>
      </w:r>
      <w:r>
        <w:t>1</w:t>
      </w:r>
      <w:r w:rsidR="00F445B4">
        <w:t>5</w:t>
      </w:r>
      <w:r>
        <w:t xml:space="preserve">, there </w:t>
      </w:r>
      <w:r w:rsidR="00797EE3">
        <w:t xml:space="preserve">were </w:t>
      </w:r>
      <w:r>
        <w:t xml:space="preserve">no </w:t>
      </w:r>
      <w:r w:rsidR="000A3684">
        <w:t xml:space="preserve">statistically significant </w:t>
      </w:r>
      <w:r>
        <w:t>change</w:t>
      </w:r>
      <w:r w:rsidR="00797EE3">
        <w:t>s</w:t>
      </w:r>
      <w:r>
        <w:t xml:space="preserve"> in labour force </w:t>
      </w:r>
      <w:r w:rsidR="00E932CB">
        <w:t xml:space="preserve">participation </w:t>
      </w:r>
      <w:r>
        <w:t xml:space="preserve">rates for </w:t>
      </w:r>
      <w:r w:rsidR="00650813">
        <w:t xml:space="preserve">the </w:t>
      </w:r>
      <w:r>
        <w:t xml:space="preserve">Torres Strait Islander </w:t>
      </w:r>
      <w:r w:rsidR="00650813">
        <w:t>population</w:t>
      </w:r>
      <w:r>
        <w:t xml:space="preserve"> </w:t>
      </w:r>
      <w:r w:rsidR="00E932CB">
        <w:t>aged</w:t>
      </w:r>
      <w:r w:rsidR="005B4F1D">
        <w:t> </w:t>
      </w:r>
      <w:r w:rsidR="00E932CB">
        <w:t xml:space="preserve">18–64 years </w:t>
      </w:r>
      <w:r>
        <w:t xml:space="preserve">and </w:t>
      </w:r>
      <w:r w:rsidR="00650813">
        <w:t xml:space="preserve">for the </w:t>
      </w:r>
      <w:r>
        <w:t xml:space="preserve">Aboriginal </w:t>
      </w:r>
      <w:r w:rsidR="00650813">
        <w:t>population</w:t>
      </w:r>
      <w:r w:rsidR="00E932CB">
        <w:t xml:space="preserve"> aged</w:t>
      </w:r>
      <w:r w:rsidR="005B4F1D">
        <w:t> </w:t>
      </w:r>
      <w:r w:rsidR="00E932CB">
        <w:t>18–64 years</w:t>
      </w:r>
      <w:r>
        <w:t xml:space="preserve">. However, there was an increase in unemployment rates for Torres Strait Islander </w:t>
      </w:r>
      <w:r w:rsidR="00797EE3">
        <w:t xml:space="preserve">people </w:t>
      </w:r>
      <w:r>
        <w:t xml:space="preserve">(from </w:t>
      </w:r>
      <w:r w:rsidR="00E932CB">
        <w:t>13.8</w:t>
      </w:r>
      <w:r w:rsidR="005B4F1D">
        <w:t> </w:t>
      </w:r>
      <w:r>
        <w:t>per</w:t>
      </w:r>
      <w:r w:rsidR="005B4F1D">
        <w:t> </w:t>
      </w:r>
      <w:r>
        <w:t xml:space="preserve">cent to </w:t>
      </w:r>
      <w:r w:rsidR="00E932CB">
        <w:t>23.7</w:t>
      </w:r>
      <w:r w:rsidR="005B4F1D">
        <w:t> </w:t>
      </w:r>
      <w:r>
        <w:t>per</w:t>
      </w:r>
      <w:r w:rsidR="005B4F1D">
        <w:t> </w:t>
      </w:r>
      <w:r>
        <w:t>cent)</w:t>
      </w:r>
      <w:r w:rsidR="00E21E08">
        <w:t xml:space="preserve"> and</w:t>
      </w:r>
      <w:r>
        <w:t xml:space="preserve"> Aboriginal Australians (from 12.7</w:t>
      </w:r>
      <w:r w:rsidR="005B4F1D">
        <w:t> </w:t>
      </w:r>
      <w:r>
        <w:t>per</w:t>
      </w:r>
      <w:r w:rsidR="005B4F1D">
        <w:t> </w:t>
      </w:r>
      <w:r>
        <w:t xml:space="preserve">cent to </w:t>
      </w:r>
      <w:r w:rsidR="00E932CB">
        <w:t>18.3</w:t>
      </w:r>
      <w:r w:rsidR="005B4F1D">
        <w:t> </w:t>
      </w:r>
      <w:r>
        <w:t>per</w:t>
      </w:r>
      <w:r w:rsidR="005B4F1D">
        <w:t> </w:t>
      </w:r>
      <w:r>
        <w:t>cent</w:t>
      </w:r>
      <w:r w:rsidR="00650813">
        <w:t>)</w:t>
      </w:r>
      <w:r>
        <w:t xml:space="preserve"> (table</w:t>
      </w:r>
      <w:r w:rsidR="008F0368">
        <w:t> </w:t>
      </w:r>
      <w:r>
        <w:t>12A.1.</w:t>
      </w:r>
      <w:r w:rsidR="007348D5">
        <w:t>5</w:t>
      </w:r>
      <w:r>
        <w:t>).</w:t>
      </w:r>
      <w:r w:rsidR="008F0368">
        <w:t xml:space="preserve"> </w:t>
      </w:r>
    </w:p>
    <w:p w:rsidR="005508F1" w:rsidRPr="004C0BA6" w:rsidRDefault="005508F1" w:rsidP="005508F1">
      <w:pPr>
        <w:pStyle w:val="Heading3"/>
      </w:pPr>
      <w:r>
        <w:t>Income</w:t>
      </w:r>
    </w:p>
    <w:p w:rsidR="00682BD3" w:rsidRDefault="00682BD3" w:rsidP="00702218">
      <w:pPr>
        <w:pStyle w:val="BodyText"/>
      </w:pPr>
      <w:r>
        <w:t>This section reports data based on individual weekly income of people aged</w:t>
      </w:r>
      <w:r w:rsidR="00947664">
        <w:t> </w:t>
      </w:r>
      <w:r>
        <w:t xml:space="preserve">18 years and over. People are ranked from </w:t>
      </w:r>
      <w:r w:rsidR="00650813">
        <w:t xml:space="preserve">lowest to </w:t>
      </w:r>
      <w:r>
        <w:t>highest, with those with the lowest 20</w:t>
      </w:r>
      <w:r w:rsidR="00947664">
        <w:t> </w:t>
      </w:r>
      <w:r>
        <w:t>per</w:t>
      </w:r>
      <w:r w:rsidR="00947664">
        <w:t> </w:t>
      </w:r>
      <w:r>
        <w:t>cent of incomes in quintile 1 (lowest quintile), to those with the highest 20</w:t>
      </w:r>
      <w:r w:rsidR="00947664">
        <w:t> </w:t>
      </w:r>
      <w:r>
        <w:t>per</w:t>
      </w:r>
      <w:r w:rsidR="00947664">
        <w:t> </w:t>
      </w:r>
      <w:r>
        <w:t>cent of incomes in quintile 5 (highest quintile).</w:t>
      </w:r>
    </w:p>
    <w:p w:rsidR="005508F1" w:rsidRDefault="00682BD3" w:rsidP="00702218">
      <w:pPr>
        <w:pStyle w:val="BodyText"/>
      </w:pPr>
      <w:r w:rsidRPr="00A026B9">
        <w:t>In 201</w:t>
      </w:r>
      <w:r w:rsidR="007637A1" w:rsidRPr="00A026B9">
        <w:t>4</w:t>
      </w:r>
      <w:r w:rsidR="00650813" w:rsidRPr="00A026B9">
        <w:noBreakHyphen/>
      </w:r>
      <w:r w:rsidRPr="00A026B9">
        <w:t>1</w:t>
      </w:r>
      <w:r w:rsidR="007637A1" w:rsidRPr="00A026B9">
        <w:t>5</w:t>
      </w:r>
      <w:r w:rsidRPr="00A026B9">
        <w:t xml:space="preserve">, income distributions were similar for Torres Strait Islander adults and Aboriginal adults (lowest quintile — </w:t>
      </w:r>
      <w:r w:rsidR="00B4476E" w:rsidRPr="00A026B9">
        <w:t>27.0</w:t>
      </w:r>
      <w:r w:rsidRPr="00A026B9">
        <w:t xml:space="preserve"> and </w:t>
      </w:r>
      <w:r w:rsidR="00B4476E" w:rsidRPr="00A026B9">
        <w:t>22.2</w:t>
      </w:r>
      <w:r w:rsidR="00D0731B" w:rsidRPr="00A026B9">
        <w:t> </w:t>
      </w:r>
      <w:r w:rsidRPr="00A026B9">
        <w:t>per</w:t>
      </w:r>
      <w:r w:rsidR="00947664" w:rsidRPr="00A026B9">
        <w:t> </w:t>
      </w:r>
      <w:r w:rsidRPr="00A026B9">
        <w:t xml:space="preserve">cent respectively; middle three quintiles — </w:t>
      </w:r>
      <w:r w:rsidR="00B4476E" w:rsidRPr="00A026B9">
        <w:t>65.9</w:t>
      </w:r>
      <w:r w:rsidRPr="00A026B9">
        <w:t xml:space="preserve"> and </w:t>
      </w:r>
      <w:r w:rsidR="00B4476E" w:rsidRPr="00A026B9">
        <w:t>69.9</w:t>
      </w:r>
      <w:r w:rsidR="00947664" w:rsidRPr="00A026B9">
        <w:t> </w:t>
      </w:r>
      <w:r w:rsidRPr="00A026B9">
        <w:t>per</w:t>
      </w:r>
      <w:r w:rsidR="00947664" w:rsidRPr="00A026B9">
        <w:t> </w:t>
      </w:r>
      <w:r w:rsidRPr="00A026B9">
        <w:t xml:space="preserve">cent respectively; and highest quintile — </w:t>
      </w:r>
      <w:r w:rsidR="00B4476E" w:rsidRPr="00A026B9">
        <w:t>6.6</w:t>
      </w:r>
      <w:r w:rsidRPr="00A026B9">
        <w:t xml:space="preserve"> and </w:t>
      </w:r>
      <w:r w:rsidR="00B4476E" w:rsidRPr="00A026B9">
        <w:t>8.0</w:t>
      </w:r>
      <w:r w:rsidR="00132167" w:rsidRPr="00A026B9">
        <w:t> per </w:t>
      </w:r>
      <w:r w:rsidRPr="00A026B9">
        <w:t xml:space="preserve">cent respectively). </w:t>
      </w:r>
      <w:r w:rsidR="00650813" w:rsidRPr="00A026B9">
        <w:t>There was a</w:t>
      </w:r>
      <w:r w:rsidR="007637A1" w:rsidRPr="00A026B9">
        <w:t xml:space="preserve"> greater proportion of</w:t>
      </w:r>
      <w:r w:rsidR="008F0368" w:rsidRPr="00A026B9">
        <w:t xml:space="preserve"> </w:t>
      </w:r>
      <w:r w:rsidRPr="00A026B9">
        <w:t>non</w:t>
      </w:r>
      <w:r w:rsidR="007637A1" w:rsidRPr="00A026B9">
        <w:noBreakHyphen/>
      </w:r>
      <w:r w:rsidRPr="00A026B9">
        <w:t>Indigenous adults</w:t>
      </w:r>
      <w:r w:rsidR="00650813" w:rsidRPr="00A026B9">
        <w:t xml:space="preserve"> (21.</w:t>
      </w:r>
      <w:r w:rsidR="003B40FB" w:rsidRPr="00A026B9">
        <w:t>2</w:t>
      </w:r>
      <w:r w:rsidR="00650813" w:rsidRPr="00A026B9">
        <w:t> </w:t>
      </w:r>
      <w:r w:rsidR="00CA227C">
        <w:t>per </w:t>
      </w:r>
      <w:r w:rsidR="007637A1" w:rsidRPr="00A026B9">
        <w:t>cent)</w:t>
      </w:r>
      <w:r w:rsidRPr="00A026B9">
        <w:t xml:space="preserve"> </w:t>
      </w:r>
      <w:r w:rsidR="007637A1" w:rsidRPr="00A026B9">
        <w:t>at the highest income distribution quintile than for Torres Strait Islander adults</w:t>
      </w:r>
      <w:r w:rsidR="00D0731B" w:rsidRPr="00A026B9">
        <w:t xml:space="preserve"> </w:t>
      </w:r>
      <w:r w:rsidR="007637A1" w:rsidRPr="00A026B9">
        <w:t>and Aboriginal adults (table 12A.1.</w:t>
      </w:r>
      <w:r w:rsidR="00132167" w:rsidRPr="00A026B9">
        <w:t>6</w:t>
      </w:r>
      <w:r w:rsidR="007637A1" w:rsidRPr="00A026B9">
        <w:t>)</w:t>
      </w:r>
      <w:r w:rsidR="00650813" w:rsidRPr="00A026B9">
        <w:t>.</w:t>
      </w:r>
    </w:p>
    <w:p w:rsidR="000A3684" w:rsidRDefault="00180B2B" w:rsidP="00DC2998">
      <w:pPr>
        <w:pStyle w:val="BodyText"/>
      </w:pPr>
      <w:r>
        <w:t>From 2004</w:t>
      </w:r>
      <w:r w:rsidR="008F0368">
        <w:noBreakHyphen/>
      </w:r>
      <w:r>
        <w:t>05 to 2014</w:t>
      </w:r>
      <w:r>
        <w:noBreakHyphen/>
      </w:r>
      <w:r w:rsidR="000A3684" w:rsidRPr="000A3684">
        <w:t>15, there w</w:t>
      </w:r>
      <w:r w:rsidR="00E21E08">
        <w:t>ere</w:t>
      </w:r>
      <w:r w:rsidR="000A3684" w:rsidRPr="000A3684">
        <w:t xml:space="preserve"> no statistically significant change</w:t>
      </w:r>
      <w:r w:rsidR="00E21E08">
        <w:t>s</w:t>
      </w:r>
      <w:r w:rsidR="000A3684" w:rsidRPr="000A3684">
        <w:t xml:space="preserve"> in </w:t>
      </w:r>
      <w:r w:rsidR="000A3684">
        <w:t xml:space="preserve">income distributions </w:t>
      </w:r>
      <w:r w:rsidR="000A3684" w:rsidRPr="000A3684">
        <w:t xml:space="preserve">for Torres Strait Islander </w:t>
      </w:r>
      <w:r w:rsidR="000A3684">
        <w:t>adults</w:t>
      </w:r>
      <w:r w:rsidR="000A3684" w:rsidRPr="000A3684">
        <w:t xml:space="preserve"> and Aboriginal </w:t>
      </w:r>
      <w:r w:rsidR="000A3684">
        <w:t>adults</w:t>
      </w:r>
      <w:r w:rsidR="000A3684" w:rsidRPr="000A3684">
        <w:t xml:space="preserve">. However, there was a </w:t>
      </w:r>
      <w:r w:rsidR="009958A4">
        <w:t>change</w:t>
      </w:r>
      <w:r w:rsidR="009958A4" w:rsidRPr="000A3684">
        <w:t xml:space="preserve"> </w:t>
      </w:r>
      <w:r w:rsidR="000A3684" w:rsidRPr="000A3684">
        <w:t xml:space="preserve">in </w:t>
      </w:r>
      <w:r w:rsidR="005E582F">
        <w:t xml:space="preserve">income distributions </w:t>
      </w:r>
      <w:r w:rsidR="000A3684">
        <w:t xml:space="preserve">for </w:t>
      </w:r>
      <w:r w:rsidR="000A3684" w:rsidRPr="000A3684">
        <w:t>non</w:t>
      </w:r>
      <w:r w:rsidR="008F0368">
        <w:noBreakHyphen/>
      </w:r>
      <w:r w:rsidR="000A3684" w:rsidRPr="000A3684">
        <w:t xml:space="preserve">Indigenous </w:t>
      </w:r>
      <w:r w:rsidR="000A3684">
        <w:t>adults</w:t>
      </w:r>
      <w:r w:rsidR="000A3684" w:rsidRPr="000A3684">
        <w:t xml:space="preserve"> </w:t>
      </w:r>
      <w:r w:rsidR="005E582F">
        <w:t xml:space="preserve">(an increase in the middle three quintiles </w:t>
      </w:r>
      <w:r w:rsidR="00540652">
        <w:t>and</w:t>
      </w:r>
      <w:r w:rsidR="009B350B">
        <w:t xml:space="preserve"> a</w:t>
      </w:r>
      <w:r w:rsidR="000A3684">
        <w:t xml:space="preserve"> decrease in the proportions in the lowest quintile</w:t>
      </w:r>
      <w:r w:rsidR="005E582F">
        <w:t>)</w:t>
      </w:r>
      <w:r w:rsidR="000A3684">
        <w:t xml:space="preserve"> (table</w:t>
      </w:r>
      <w:r w:rsidR="008F0368">
        <w:t> </w:t>
      </w:r>
      <w:r w:rsidR="000A3684">
        <w:t>12A.1.6</w:t>
      </w:r>
      <w:r w:rsidR="000A3684" w:rsidRPr="000A3684">
        <w:t>).</w:t>
      </w:r>
      <w:r w:rsidR="008F0368">
        <w:t xml:space="preserve"> </w:t>
      </w:r>
    </w:p>
    <w:p w:rsidR="005508F1" w:rsidRPr="004C0BA6" w:rsidRDefault="005508F1" w:rsidP="005508F1">
      <w:pPr>
        <w:pStyle w:val="Heading3"/>
      </w:pPr>
      <w:r>
        <w:t>Home ownership</w:t>
      </w:r>
    </w:p>
    <w:p w:rsidR="00B97795" w:rsidRPr="005B6256" w:rsidRDefault="00B97795" w:rsidP="00DC2998">
      <w:pPr>
        <w:pStyle w:val="BodyText"/>
      </w:pPr>
      <w:r>
        <w:t xml:space="preserve">In </w:t>
      </w:r>
      <w:r w:rsidR="004D2259">
        <w:t>2014</w:t>
      </w:r>
      <w:r w:rsidR="004D2259">
        <w:noBreakHyphen/>
        <w:t>15</w:t>
      </w:r>
      <w:r>
        <w:t>, the proportion of Torres Strait Islander adults living in a home owned with or without a mortgage (</w:t>
      </w:r>
      <w:r w:rsidR="004D2259">
        <w:t>28.9 </w:t>
      </w:r>
      <w:r>
        <w:t>per</w:t>
      </w:r>
      <w:r w:rsidR="004D2259">
        <w:t> </w:t>
      </w:r>
      <w:r>
        <w:t>cent) was similar to t</w:t>
      </w:r>
      <w:r w:rsidR="00B84E26">
        <w:t>hat for Aboriginal adults (</w:t>
      </w:r>
      <w:r w:rsidR="00D0731B">
        <w:t>29.0</w:t>
      </w:r>
      <w:r w:rsidR="00B84E26">
        <w:t> per </w:t>
      </w:r>
      <w:r>
        <w:t>cent)</w:t>
      </w:r>
      <w:r w:rsidR="008532AF">
        <w:t xml:space="preserve">, </w:t>
      </w:r>
      <w:r w:rsidR="008532AF" w:rsidRPr="005B6256">
        <w:lastRenderedPageBreak/>
        <w:t>both</w:t>
      </w:r>
      <w:r w:rsidRPr="005B6256">
        <w:t xml:space="preserve"> significantly lower than for non</w:t>
      </w:r>
      <w:r w:rsidR="008F0368" w:rsidRPr="005B6256">
        <w:noBreakHyphen/>
      </w:r>
      <w:r w:rsidRPr="005B6256">
        <w:t>Indigenous adults (</w:t>
      </w:r>
      <w:r w:rsidR="004F403C" w:rsidRPr="005B6256">
        <w:t>69.0</w:t>
      </w:r>
      <w:r w:rsidR="00461966" w:rsidRPr="005B6256">
        <w:t> </w:t>
      </w:r>
      <w:r w:rsidRPr="005B6256">
        <w:t>per</w:t>
      </w:r>
      <w:r w:rsidR="00461966" w:rsidRPr="005B6256">
        <w:t> </w:t>
      </w:r>
      <w:r w:rsidRPr="005B6256">
        <w:t>cent) (table</w:t>
      </w:r>
      <w:r w:rsidR="00461966" w:rsidRPr="005B6256">
        <w:t> </w:t>
      </w:r>
      <w:r w:rsidRPr="005B6256">
        <w:t>12A.1.</w:t>
      </w:r>
      <w:r w:rsidR="008532AF" w:rsidRPr="005B6256">
        <w:t>7</w:t>
      </w:r>
      <w:r w:rsidR="00132167" w:rsidRPr="005B6256">
        <w:t xml:space="preserve"> and table</w:t>
      </w:r>
      <w:r w:rsidR="008F0368" w:rsidRPr="005B6256">
        <w:t> </w:t>
      </w:r>
      <w:r w:rsidR="00132167" w:rsidRPr="005B6256">
        <w:t>9A.3.2).</w:t>
      </w:r>
    </w:p>
    <w:p w:rsidR="00B97795" w:rsidRDefault="00B97795" w:rsidP="00DC2998">
      <w:pPr>
        <w:pStyle w:val="BodyText"/>
      </w:pPr>
      <w:r w:rsidRPr="005B6256">
        <w:t>Between 2004</w:t>
      </w:r>
      <w:r w:rsidR="008F0368" w:rsidRPr="005B6256">
        <w:noBreakHyphen/>
      </w:r>
      <w:r w:rsidRPr="005B6256">
        <w:t>05 and 201</w:t>
      </w:r>
      <w:r w:rsidR="00461966" w:rsidRPr="005B6256">
        <w:t>4</w:t>
      </w:r>
      <w:r w:rsidR="00180B2B" w:rsidRPr="005B6256">
        <w:noBreakHyphen/>
      </w:r>
      <w:r w:rsidRPr="005B6256">
        <w:t>1</w:t>
      </w:r>
      <w:r w:rsidR="00461966" w:rsidRPr="005B6256">
        <w:t>5</w:t>
      </w:r>
      <w:r w:rsidRPr="005B6256">
        <w:t xml:space="preserve">, </w:t>
      </w:r>
      <w:r w:rsidR="008532AF" w:rsidRPr="005B6256">
        <w:t>there w</w:t>
      </w:r>
      <w:r w:rsidR="00C70EA8" w:rsidRPr="005B6256">
        <w:t>ere</w:t>
      </w:r>
      <w:r w:rsidR="008532AF" w:rsidRPr="005B6256">
        <w:t xml:space="preserve"> no statistically significant change</w:t>
      </w:r>
      <w:r w:rsidR="00C70EA8" w:rsidRPr="005B6256">
        <w:t>s</w:t>
      </w:r>
      <w:r w:rsidR="008532AF" w:rsidRPr="005B6256">
        <w:t xml:space="preserve"> </w:t>
      </w:r>
      <w:r w:rsidR="004C20CD" w:rsidRPr="005B6256">
        <w:t xml:space="preserve">in </w:t>
      </w:r>
      <w:r w:rsidRPr="005B6256">
        <w:t xml:space="preserve">home ownership rates for Torres Strait Islander adults </w:t>
      </w:r>
      <w:r w:rsidR="00F3067C" w:rsidRPr="005B6256">
        <w:t>(</w:t>
      </w:r>
      <w:r w:rsidR="0056233E" w:rsidRPr="005B6256">
        <w:t>32.6 per cent in 2004</w:t>
      </w:r>
      <w:r w:rsidR="0056233E" w:rsidRPr="005B6256">
        <w:noBreakHyphen/>
        <w:t xml:space="preserve">05 </w:t>
      </w:r>
      <w:r w:rsidR="00CF02E0" w:rsidRPr="005B6256">
        <w:t xml:space="preserve">and </w:t>
      </w:r>
      <w:r w:rsidR="00461966" w:rsidRPr="005B6256">
        <w:t>28.9</w:t>
      </w:r>
      <w:r w:rsidR="005D4B01" w:rsidRPr="005B6256">
        <w:t> </w:t>
      </w:r>
      <w:r w:rsidR="0056233E" w:rsidRPr="005B6256">
        <w:t>per cent in 2014-15</w:t>
      </w:r>
      <w:r w:rsidR="00F3067C" w:rsidRPr="005B6256">
        <w:t>)</w:t>
      </w:r>
      <w:r w:rsidR="00180B2B" w:rsidRPr="005B6256">
        <w:t>.</w:t>
      </w:r>
      <w:r w:rsidRPr="005B6256">
        <w:t xml:space="preserve"> </w:t>
      </w:r>
      <w:r w:rsidR="00180B2B" w:rsidRPr="005B6256">
        <w:t xml:space="preserve">There was an </w:t>
      </w:r>
      <w:r w:rsidRPr="005B6256">
        <w:t>i</w:t>
      </w:r>
      <w:r w:rsidR="00E931F5" w:rsidRPr="005B6256">
        <w:t xml:space="preserve">ncrease for Aboriginal adults </w:t>
      </w:r>
      <w:r w:rsidRPr="005B6256">
        <w:t>from 24.6</w:t>
      </w:r>
      <w:r w:rsidR="0056233E" w:rsidRPr="005B6256">
        <w:t> </w:t>
      </w:r>
      <w:r w:rsidRPr="005B6256">
        <w:t>per</w:t>
      </w:r>
      <w:r w:rsidR="0056233E" w:rsidRPr="005B6256">
        <w:t> </w:t>
      </w:r>
      <w:r w:rsidRPr="005B6256">
        <w:t xml:space="preserve">cent </w:t>
      </w:r>
      <w:r w:rsidR="00461966" w:rsidRPr="005B6256">
        <w:t>in 2004</w:t>
      </w:r>
      <w:r w:rsidR="008F0368" w:rsidRPr="005B6256">
        <w:noBreakHyphen/>
      </w:r>
      <w:r w:rsidR="00461966" w:rsidRPr="005B6256">
        <w:t xml:space="preserve">05 </w:t>
      </w:r>
      <w:r w:rsidRPr="005B6256">
        <w:t xml:space="preserve">to </w:t>
      </w:r>
      <w:r w:rsidR="00E931F5" w:rsidRPr="005B6256">
        <w:t>2</w:t>
      </w:r>
      <w:r w:rsidR="00140B47" w:rsidRPr="005B6256">
        <w:t>8.8</w:t>
      </w:r>
      <w:r w:rsidR="0056233E" w:rsidRPr="005B6256">
        <w:t> per </w:t>
      </w:r>
      <w:r w:rsidRPr="005B6256">
        <w:t>cent</w:t>
      </w:r>
      <w:r w:rsidR="00E931F5" w:rsidRPr="005B6256">
        <w:t xml:space="preserve"> in 2008</w:t>
      </w:r>
      <w:r w:rsidR="002615CA" w:rsidRPr="005B6256">
        <w:t xml:space="preserve">, </w:t>
      </w:r>
      <w:r w:rsidR="00F3067C" w:rsidRPr="005B6256">
        <w:t xml:space="preserve">with no significant change </w:t>
      </w:r>
      <w:r w:rsidR="002615CA" w:rsidRPr="005B6256">
        <w:t>in</w:t>
      </w:r>
      <w:r w:rsidR="00E931F5" w:rsidRPr="005B6256">
        <w:t xml:space="preserve"> 2014</w:t>
      </w:r>
      <w:r w:rsidR="008F0368" w:rsidRPr="005B6256">
        <w:noBreakHyphen/>
      </w:r>
      <w:r w:rsidR="00E931F5" w:rsidRPr="005B6256">
        <w:t>15</w:t>
      </w:r>
      <w:r w:rsidR="00180B2B" w:rsidRPr="005B6256">
        <w:t>.</w:t>
      </w:r>
      <w:r w:rsidR="00E931F5" w:rsidRPr="005B6256">
        <w:t xml:space="preserve"> </w:t>
      </w:r>
      <w:r w:rsidR="00180B2B" w:rsidRPr="005B6256">
        <w:t>F</w:t>
      </w:r>
      <w:r w:rsidR="004C20CD" w:rsidRPr="005B6256">
        <w:t>or non</w:t>
      </w:r>
      <w:r w:rsidR="004C20CD" w:rsidRPr="005B6256">
        <w:noBreakHyphen/>
      </w:r>
      <w:r w:rsidRPr="005B6256">
        <w:t>Indigenous adults</w:t>
      </w:r>
      <w:r w:rsidR="00C70EA8" w:rsidRPr="005B6256">
        <w:t>,</w:t>
      </w:r>
      <w:r w:rsidRPr="005B6256">
        <w:t xml:space="preserve"> </w:t>
      </w:r>
      <w:r w:rsidR="00180B2B" w:rsidRPr="005B6256">
        <w:t>rates fluctuated</w:t>
      </w:r>
      <w:r w:rsidR="00F3067C" w:rsidRPr="005B6256">
        <w:t xml:space="preserve"> over this period</w:t>
      </w:r>
      <w:r w:rsidR="00180B2B" w:rsidRPr="005B6256">
        <w:t xml:space="preserve"> between </w:t>
      </w:r>
      <w:r w:rsidR="004C20CD" w:rsidRPr="005B6256">
        <w:t>65.</w:t>
      </w:r>
      <w:r w:rsidR="00CF02E0" w:rsidRPr="005B6256">
        <w:t>9</w:t>
      </w:r>
      <w:r w:rsidR="0056233E" w:rsidRPr="005B6256">
        <w:t> </w:t>
      </w:r>
      <w:r w:rsidR="004C20CD" w:rsidRPr="005B6256">
        <w:t>per</w:t>
      </w:r>
      <w:r w:rsidR="0056233E" w:rsidRPr="005B6256">
        <w:t> </w:t>
      </w:r>
      <w:r w:rsidR="004C20CD" w:rsidRPr="005B6256">
        <w:t xml:space="preserve">cent and </w:t>
      </w:r>
      <w:r w:rsidRPr="005B6256">
        <w:t>7</w:t>
      </w:r>
      <w:r w:rsidR="00CF02E0" w:rsidRPr="005B6256">
        <w:t>1.8</w:t>
      </w:r>
      <w:r w:rsidR="0056233E" w:rsidRPr="005B6256">
        <w:t> </w:t>
      </w:r>
      <w:r w:rsidRPr="005B6256">
        <w:t>per</w:t>
      </w:r>
      <w:r w:rsidR="0056233E" w:rsidRPr="005B6256">
        <w:t> cent</w:t>
      </w:r>
      <w:r w:rsidRPr="005B6256">
        <w:t xml:space="preserve"> (</w:t>
      </w:r>
      <w:r w:rsidR="00DE6632" w:rsidRPr="005B6256">
        <w:t>table</w:t>
      </w:r>
      <w:r w:rsidR="001A06AD" w:rsidRPr="005B6256">
        <w:t>s</w:t>
      </w:r>
      <w:r w:rsidR="00DE6632" w:rsidRPr="005B6256">
        <w:t> 12A.1.7</w:t>
      </w:r>
      <w:r w:rsidRPr="005B6256">
        <w:t>).</w:t>
      </w:r>
    </w:p>
    <w:p w:rsidR="005508F1" w:rsidRPr="004C0BA6" w:rsidRDefault="005B4F1D" w:rsidP="00A026B9">
      <w:pPr>
        <w:pStyle w:val="Heading3"/>
      </w:pPr>
      <w:r>
        <w:t>Psychological distress</w:t>
      </w:r>
    </w:p>
    <w:p w:rsidR="00682BD3" w:rsidRDefault="005508F1" w:rsidP="00702218">
      <w:pPr>
        <w:pStyle w:val="BodyText"/>
      </w:pPr>
      <w:r>
        <w:t>In 2014</w:t>
      </w:r>
      <w:r w:rsidR="000D1571">
        <w:noBreakHyphen/>
      </w:r>
      <w:r>
        <w:t>15</w:t>
      </w:r>
      <w:r w:rsidR="00B02AB2">
        <w:t xml:space="preserve">, </w:t>
      </w:r>
      <w:r w:rsidR="00682BD3">
        <w:t>the proportion of Torres Strait Islander adults reporting high/very high levels of psychological distress (</w:t>
      </w:r>
      <w:r w:rsidR="00B02AB2">
        <w:t>34.1 per cent</w:t>
      </w:r>
      <w:r w:rsidR="00682BD3">
        <w:t xml:space="preserve">) was </w:t>
      </w:r>
      <w:r w:rsidR="00B02AB2">
        <w:t>similar to</w:t>
      </w:r>
      <w:r w:rsidR="00682BD3">
        <w:t xml:space="preserve"> that of Aboriginal </w:t>
      </w:r>
      <w:r w:rsidR="00180B2B">
        <w:t>adults</w:t>
      </w:r>
      <w:r w:rsidR="00682BD3">
        <w:t xml:space="preserve"> (</w:t>
      </w:r>
      <w:r w:rsidR="00B02AB2">
        <w:t>32.6 per </w:t>
      </w:r>
      <w:r w:rsidR="00682BD3">
        <w:t xml:space="preserve">cent), </w:t>
      </w:r>
      <w:r w:rsidR="00F3067C">
        <w:t xml:space="preserve">with </w:t>
      </w:r>
      <w:r w:rsidR="00682BD3">
        <w:t>both rates higher than th</w:t>
      </w:r>
      <w:r w:rsidR="00F3067C">
        <w:t>ose</w:t>
      </w:r>
      <w:r w:rsidR="00682BD3">
        <w:t xml:space="preserve"> for non</w:t>
      </w:r>
      <w:r w:rsidR="008F0368">
        <w:noBreakHyphen/>
      </w:r>
      <w:r w:rsidR="00682BD3">
        <w:t xml:space="preserve">Indigenous </w:t>
      </w:r>
      <w:r w:rsidR="00180B2B">
        <w:t>adults</w:t>
      </w:r>
      <w:r w:rsidR="00682BD3">
        <w:t xml:space="preserve"> (</w:t>
      </w:r>
      <w:r w:rsidR="00B02AB2">
        <w:t>12.3 </w:t>
      </w:r>
      <w:r w:rsidR="00682BD3">
        <w:t>per</w:t>
      </w:r>
      <w:r w:rsidR="00B02AB2">
        <w:t> </w:t>
      </w:r>
      <w:r w:rsidR="00682BD3">
        <w:t>cent)</w:t>
      </w:r>
      <w:r w:rsidR="00D3037A">
        <w:t>. This trend was similar to previous survey years</w:t>
      </w:r>
      <w:r w:rsidR="00650813">
        <w:t xml:space="preserve"> (table</w:t>
      </w:r>
      <w:r w:rsidR="008F0368">
        <w:t> </w:t>
      </w:r>
      <w:r w:rsidR="00650813">
        <w:t>12A.1.8</w:t>
      </w:r>
      <w:r w:rsidR="00682BD3">
        <w:t>).</w:t>
      </w:r>
    </w:p>
    <w:p w:rsidR="00F50F33" w:rsidRDefault="00F50F33" w:rsidP="00F50F33">
      <w:pPr>
        <w:pStyle w:val="Heading3"/>
      </w:pPr>
      <w:r>
        <w:t>Torres Strait Region outcomes</w:t>
      </w:r>
    </w:p>
    <w:p w:rsidR="00F50F33" w:rsidRDefault="006B295C" w:rsidP="00F50F33">
      <w:pPr>
        <w:pStyle w:val="BodyText"/>
      </w:pPr>
      <w:r>
        <w:t>In 2011, a</w:t>
      </w:r>
      <w:r w:rsidR="00F50F33">
        <w:t>round 17</w:t>
      </w:r>
      <w:r w:rsidR="005E582F">
        <w:t> </w:t>
      </w:r>
      <w:r w:rsidR="00F50F33">
        <w:t>per</w:t>
      </w:r>
      <w:r w:rsidR="005E582F">
        <w:t> </w:t>
      </w:r>
      <w:r w:rsidR="00F50F33">
        <w:t xml:space="preserve">cent of the Torres Strait Islander </w:t>
      </w:r>
      <w:r w:rsidR="00430712">
        <w:t>population</w:t>
      </w:r>
      <w:r w:rsidR="00F50F33">
        <w:t xml:space="preserve"> in Queensland lived in the Torres Strait Region (5787</w:t>
      </w:r>
      <w:r w:rsidR="005E582F">
        <w:t> </w:t>
      </w:r>
      <w:r w:rsidR="00F50F33">
        <w:t>people), representing 77</w:t>
      </w:r>
      <w:r w:rsidR="005E582F">
        <w:t> </w:t>
      </w:r>
      <w:r w:rsidR="00F50F33">
        <w:t>per</w:t>
      </w:r>
      <w:r w:rsidR="005E582F">
        <w:t> </w:t>
      </w:r>
      <w:r w:rsidR="00F50F33">
        <w:t>cent of the population of the region</w:t>
      </w:r>
      <w:r w:rsidR="00F50F33" w:rsidRPr="001B1E68">
        <w:rPr>
          <w:rStyle w:val="FootnoteReference"/>
        </w:rPr>
        <w:footnoteReference w:id="6"/>
      </w:r>
      <w:r w:rsidR="00F50F33">
        <w:t>. An additional 2</w:t>
      </w:r>
      <w:r w:rsidR="00770AEB">
        <w:t> per </w:t>
      </w:r>
      <w:r w:rsidR="00F50F33">
        <w:t xml:space="preserve">cent of the population </w:t>
      </w:r>
      <w:r w:rsidR="001B5D92">
        <w:t xml:space="preserve">in the </w:t>
      </w:r>
      <w:r w:rsidR="00EF3C27">
        <w:t>Torres Strait</w:t>
      </w:r>
      <w:r w:rsidR="001B5D92">
        <w:t xml:space="preserve"> </w:t>
      </w:r>
      <w:r w:rsidR="002615CA">
        <w:t>R</w:t>
      </w:r>
      <w:r w:rsidR="001B5D92">
        <w:t xml:space="preserve">egion </w:t>
      </w:r>
      <w:r w:rsidR="00F50F33">
        <w:t>is of Aboriginal origin only</w:t>
      </w:r>
      <w:r w:rsidR="000D1571">
        <w:t xml:space="preserve"> </w:t>
      </w:r>
      <w:r>
        <w:t>(ABS unpublished)</w:t>
      </w:r>
      <w:r w:rsidR="00F50F33">
        <w:t>. This section focus</w:t>
      </w:r>
      <w:r w:rsidR="00355994">
        <w:t>es</w:t>
      </w:r>
      <w:r w:rsidR="00F50F33">
        <w:t xml:space="preserve"> on the outcomes for </w:t>
      </w:r>
      <w:r w:rsidR="00430712">
        <w:t xml:space="preserve">Torres Strait Islander </w:t>
      </w:r>
      <w:r w:rsidR="00CF4567">
        <w:t>people by remoteness area (including the very remote area of the Torres Strait region) compared to the</w:t>
      </w:r>
      <w:r w:rsidR="00430712">
        <w:t xml:space="preserve"> </w:t>
      </w:r>
      <w:r w:rsidR="00F50F33">
        <w:t xml:space="preserve">Aboriginal </w:t>
      </w:r>
      <w:r w:rsidR="00430712">
        <w:t>population</w:t>
      </w:r>
      <w:r w:rsidR="00F50F33">
        <w:t>.</w:t>
      </w:r>
    </w:p>
    <w:p w:rsidR="00432966" w:rsidDel="00F94EFA" w:rsidRDefault="00432966" w:rsidP="00F50F33">
      <w:pPr>
        <w:pStyle w:val="BodyText"/>
      </w:pPr>
      <w:r w:rsidRPr="00432966">
        <w:t>Given the small size of the Torres Strait Islander population, results from sample surveys often have high sampling errors which make it difficult to determine real differences between other population groups</w:t>
      </w:r>
      <w:r>
        <w:t xml:space="preserve"> and by </w:t>
      </w:r>
      <w:r w:rsidR="00180B2B">
        <w:t>remoteness area</w:t>
      </w:r>
      <w:r w:rsidRPr="00432966">
        <w:t xml:space="preserve">. </w:t>
      </w:r>
      <w:r w:rsidR="00180B2B">
        <w:t xml:space="preserve">The rest of this section focuses on </w:t>
      </w:r>
      <w:r w:rsidRPr="00432966">
        <w:t>Census data</w:t>
      </w:r>
      <w:r w:rsidR="003403DB">
        <w:t>, with the most recent available for 2011</w:t>
      </w:r>
      <w:r w:rsidR="00300D08">
        <w:t xml:space="preserve"> — data are reported nationally by remoteness area, including separately for the Torres Strait Region (tables 12A.1.9–11). Survey and Census data are not directly comparable</w:t>
      </w:r>
      <w:r w:rsidR="00DE6632">
        <w:t>.</w:t>
      </w:r>
    </w:p>
    <w:p w:rsidR="002C262C" w:rsidRDefault="00430712" w:rsidP="007D1DE1">
      <w:pPr>
        <w:pStyle w:val="BodyText"/>
      </w:pPr>
      <w:r>
        <w:t>Nationally i</w:t>
      </w:r>
      <w:r w:rsidR="00F14DDF">
        <w:t>n 2011</w:t>
      </w:r>
      <w:r w:rsidR="00EF3C27">
        <w:t>,</w:t>
      </w:r>
      <w:r w:rsidRPr="00430712">
        <w:t xml:space="preserve"> </w:t>
      </w:r>
      <w:r>
        <w:t>for people aged 20–24 years</w:t>
      </w:r>
      <w:r w:rsidR="00F14DDF">
        <w:t xml:space="preserve">, </w:t>
      </w:r>
      <w:r>
        <w:t>54</w:t>
      </w:r>
      <w:r w:rsidR="004259F7">
        <w:t> </w:t>
      </w:r>
      <w:r>
        <w:t>per</w:t>
      </w:r>
      <w:r w:rsidR="004259F7">
        <w:t> </w:t>
      </w:r>
      <w:r>
        <w:t xml:space="preserve">cent </w:t>
      </w:r>
      <w:r w:rsidR="00F14DDF">
        <w:t xml:space="preserve">of Aboriginal and Torres Strait Islander Australians </w:t>
      </w:r>
      <w:r>
        <w:t xml:space="preserve">had </w:t>
      </w:r>
      <w:r w:rsidR="00833869">
        <w:t>completed</w:t>
      </w:r>
      <w:r w:rsidR="00F14DDF">
        <w:t xml:space="preserve"> year 12 or above compared with 86</w:t>
      </w:r>
      <w:r w:rsidR="00877553">
        <w:t> </w:t>
      </w:r>
      <w:r w:rsidR="00F14DDF">
        <w:t>per</w:t>
      </w:r>
      <w:r w:rsidR="00877553">
        <w:t> </w:t>
      </w:r>
      <w:r w:rsidR="00F14DDF">
        <w:t>cent for non</w:t>
      </w:r>
      <w:r w:rsidR="00F14DDF">
        <w:noBreakHyphen/>
        <w:t>Indigenous Australians (section</w:t>
      </w:r>
      <w:r w:rsidR="000D1571">
        <w:t> </w:t>
      </w:r>
      <w:r w:rsidR="00F14DDF">
        <w:t xml:space="preserve">4.6). </w:t>
      </w:r>
      <w:r w:rsidR="00F14DDF" w:rsidRPr="00F14DDF">
        <w:t xml:space="preserve">In very remote areas, </w:t>
      </w:r>
      <w:r w:rsidR="00F14DDF">
        <w:t>77</w:t>
      </w:r>
      <w:r w:rsidR="004259F7">
        <w:t> </w:t>
      </w:r>
      <w:r w:rsidR="00F14DDF" w:rsidRPr="00F14DDF">
        <w:t>per</w:t>
      </w:r>
      <w:r w:rsidR="004259F7">
        <w:t> </w:t>
      </w:r>
      <w:r w:rsidR="00F14DDF" w:rsidRPr="00F14DDF">
        <w:t xml:space="preserve">cent of </w:t>
      </w:r>
      <w:r w:rsidR="00033271">
        <w:t xml:space="preserve">the </w:t>
      </w:r>
      <w:r w:rsidR="00F14DDF" w:rsidRPr="00F14DDF">
        <w:t xml:space="preserve">Torres Strait Islander </w:t>
      </w:r>
      <w:r w:rsidR="00877553">
        <w:t>population aged 20–24 years</w:t>
      </w:r>
      <w:r w:rsidR="00877553" w:rsidRPr="00F14DDF">
        <w:t xml:space="preserve"> </w:t>
      </w:r>
      <w:r w:rsidR="00F14DDF" w:rsidRPr="00F14DDF">
        <w:t>had a</w:t>
      </w:r>
      <w:r w:rsidR="00F14DDF">
        <w:t>ttained</w:t>
      </w:r>
      <w:r w:rsidR="00F14DDF" w:rsidRPr="00F14DDF">
        <w:t xml:space="preserve"> </w:t>
      </w:r>
      <w:r w:rsidR="00F14DDF">
        <w:t>year</w:t>
      </w:r>
      <w:r w:rsidR="004259F7">
        <w:t> </w:t>
      </w:r>
      <w:r w:rsidR="00F14DDF">
        <w:t xml:space="preserve">12 or above </w:t>
      </w:r>
      <w:r w:rsidR="00CC0681">
        <w:t>compared with 25 </w:t>
      </w:r>
      <w:r w:rsidR="004259F7">
        <w:t>per </w:t>
      </w:r>
      <w:r w:rsidR="00F14DDF">
        <w:t>cent for Aboriginal</w:t>
      </w:r>
      <w:r>
        <w:t xml:space="preserve"> </w:t>
      </w:r>
      <w:r w:rsidR="00F14DDF">
        <w:t xml:space="preserve">Australians. </w:t>
      </w:r>
      <w:r w:rsidR="00F14DDF" w:rsidRPr="00F14DDF">
        <w:t xml:space="preserve">In the Torres Strait Region, </w:t>
      </w:r>
      <w:r w:rsidR="00F14DDF">
        <w:t>8</w:t>
      </w:r>
      <w:r w:rsidR="00624A7A">
        <w:t>6</w:t>
      </w:r>
      <w:r w:rsidR="004259F7">
        <w:t> </w:t>
      </w:r>
      <w:r w:rsidR="00F14DDF">
        <w:t>per</w:t>
      </w:r>
      <w:r w:rsidR="004259F7">
        <w:t> </w:t>
      </w:r>
      <w:r w:rsidR="00F14DDF">
        <w:t>cent of</w:t>
      </w:r>
      <w:r w:rsidR="00CC0681">
        <w:t xml:space="preserve"> </w:t>
      </w:r>
      <w:r w:rsidR="00F14DDF" w:rsidRPr="00F14DDF">
        <w:t>Torres Strait Islander</w:t>
      </w:r>
      <w:r w:rsidR="003403DB">
        <w:t xml:space="preserve"> people</w:t>
      </w:r>
      <w:r w:rsidR="00F14DDF" w:rsidRPr="00F14DDF">
        <w:t xml:space="preserve"> </w:t>
      </w:r>
      <w:r w:rsidR="00F14DDF">
        <w:t>had a</w:t>
      </w:r>
      <w:r w:rsidR="00CC0681">
        <w:t>ttained</w:t>
      </w:r>
      <w:r w:rsidR="00F14DDF">
        <w:t xml:space="preserve"> year</w:t>
      </w:r>
      <w:r w:rsidR="004259F7">
        <w:t> </w:t>
      </w:r>
      <w:r w:rsidR="00F14DDF">
        <w:t xml:space="preserve">12 or </w:t>
      </w:r>
      <w:r w:rsidR="00CC0681">
        <w:t xml:space="preserve">above, </w:t>
      </w:r>
      <w:r w:rsidR="00AE0C1F">
        <w:t>greater</w:t>
      </w:r>
      <w:r w:rsidR="00CC0681">
        <w:t xml:space="preserve"> than Torres Strait Islander </w:t>
      </w:r>
      <w:r w:rsidR="00C81A52">
        <w:t xml:space="preserve">and </w:t>
      </w:r>
      <w:r w:rsidR="00C81A52">
        <w:lastRenderedPageBreak/>
        <w:t>Aboriginal Australians in all other remoteness areas nationally</w:t>
      </w:r>
      <w:r w:rsidR="00CC0681">
        <w:t xml:space="preserve"> </w:t>
      </w:r>
      <w:r w:rsidR="00C81A52">
        <w:t xml:space="preserve">and similar to the national proportion for </w:t>
      </w:r>
      <w:r w:rsidR="00033271">
        <w:t xml:space="preserve">the </w:t>
      </w:r>
      <w:r w:rsidR="00C81A52">
        <w:t>non</w:t>
      </w:r>
      <w:r w:rsidR="008F0368">
        <w:noBreakHyphen/>
      </w:r>
      <w:r w:rsidR="00C81A52">
        <w:t xml:space="preserve">Indigenous </w:t>
      </w:r>
      <w:r w:rsidR="00033271">
        <w:t>population</w:t>
      </w:r>
      <w:r w:rsidR="00094299">
        <w:t xml:space="preserve"> (table 12A.1.9)</w:t>
      </w:r>
      <w:r w:rsidR="00F14DDF" w:rsidRPr="00F14DDF">
        <w:t>.</w:t>
      </w:r>
      <w:r w:rsidR="00F14DDF">
        <w:t xml:space="preserve"> </w:t>
      </w:r>
    </w:p>
    <w:p w:rsidR="008E6CD5" w:rsidRDefault="00C81A52" w:rsidP="007D1DE1">
      <w:pPr>
        <w:pStyle w:val="BodyText"/>
      </w:pPr>
      <w:r>
        <w:t>In addition</w:t>
      </w:r>
      <w:r w:rsidR="007D1DE1">
        <w:t xml:space="preserve">, the proportion of Torres Strait Islander </w:t>
      </w:r>
      <w:r w:rsidR="00033271">
        <w:t xml:space="preserve">people </w:t>
      </w:r>
      <w:r w:rsidR="007D1DE1">
        <w:t>aged 20–24 years with year</w:t>
      </w:r>
      <w:r w:rsidR="004259F7">
        <w:t> </w:t>
      </w:r>
      <w:r w:rsidR="007D1DE1">
        <w:t xml:space="preserve">12 or above was </w:t>
      </w:r>
      <w:r w:rsidR="00E9534C">
        <w:t>greater</w:t>
      </w:r>
      <w:r w:rsidR="007D1DE1">
        <w:t xml:space="preserve"> across all geographic areas than for Aboriginal </w:t>
      </w:r>
      <w:r w:rsidR="00033271">
        <w:t>people aged 20–24 years</w:t>
      </w:r>
      <w:r w:rsidR="00033271" w:rsidDel="00033271">
        <w:t xml:space="preserve"> </w:t>
      </w:r>
      <w:r w:rsidR="007D1DE1">
        <w:t>(</w:t>
      </w:r>
      <w:r w:rsidR="008A76D8">
        <w:t xml:space="preserve">where </w:t>
      </w:r>
      <w:r w:rsidR="007D1DE1">
        <w:t>year</w:t>
      </w:r>
      <w:r w:rsidR="004259F7">
        <w:t> </w:t>
      </w:r>
      <w:r w:rsidR="007D1DE1">
        <w:t>12 attainment declined as remoteness</w:t>
      </w:r>
      <w:r w:rsidR="007D1DE1" w:rsidRPr="007D1DE1">
        <w:t xml:space="preserve"> </w:t>
      </w:r>
      <w:r w:rsidR="007D1DE1">
        <w:t xml:space="preserve">increased) </w:t>
      </w:r>
      <w:r w:rsidR="00E86F88">
        <w:t>(figure</w:t>
      </w:r>
      <w:r w:rsidR="008F0368">
        <w:t> </w:t>
      </w:r>
      <w:r w:rsidR="00E86F88">
        <w:t>12.1).</w:t>
      </w:r>
    </w:p>
    <w:p w:rsidR="008635B7" w:rsidRDefault="008635B7" w:rsidP="008635B7">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063063" w:rsidTr="00681852">
        <w:trPr>
          <w:tblHeader/>
        </w:trPr>
        <w:tc>
          <w:tcPr>
            <w:tcW w:w="8793" w:type="dxa"/>
            <w:tcBorders>
              <w:top w:val="single" w:sz="6" w:space="0" w:color="78A22F"/>
              <w:left w:val="nil"/>
              <w:bottom w:val="nil"/>
              <w:right w:val="nil"/>
            </w:tcBorders>
            <w:shd w:val="clear" w:color="auto" w:fill="auto"/>
          </w:tcPr>
          <w:p w:rsidR="00063063" w:rsidRPr="00176D3F" w:rsidRDefault="00063063" w:rsidP="0071471B">
            <w:pPr>
              <w:pStyle w:val="FigureTitle"/>
            </w:pPr>
            <w:r w:rsidRPr="00784A05">
              <w:rPr>
                <w:b w:val="0"/>
              </w:rPr>
              <w:t xml:space="preserve">Figure </w:t>
            </w:r>
            <w:r>
              <w:rPr>
                <w:b w:val="0"/>
              </w:rPr>
              <w:t>12.</w:t>
            </w:r>
            <w:r w:rsidR="00CA227C">
              <w:rPr>
                <w:b w:val="0"/>
                <w:noProof/>
              </w:rPr>
              <w:t>1</w:t>
            </w:r>
            <w:r w:rsidR="0071471B">
              <w:tab/>
              <w:t xml:space="preserve">20–24 year olds with year 12 or </w:t>
            </w:r>
            <w:r w:rsidR="006142DF">
              <w:t xml:space="preserve">equivalent or AQF Certificate II or </w:t>
            </w:r>
            <w:r w:rsidR="0071471B">
              <w:t>above, 2011</w:t>
            </w:r>
          </w:p>
        </w:tc>
      </w:tr>
      <w:tr w:rsidR="00063063" w:rsidTr="00681852">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063063" w:rsidTr="00C52878">
              <w:trPr>
                <w:tblHeader/>
                <w:jc w:val="center"/>
              </w:trPr>
              <w:tc>
                <w:tcPr>
                  <w:tcW w:w="5000" w:type="pct"/>
                  <w:tcBorders>
                    <w:top w:val="nil"/>
                    <w:bottom w:val="nil"/>
                  </w:tcBorders>
                </w:tcPr>
                <w:p w:rsidR="00063063" w:rsidRDefault="004F7EDF" w:rsidP="00C52878">
                  <w:pPr>
                    <w:pStyle w:val="Figure"/>
                    <w:spacing w:before="60" w:after="60"/>
                  </w:pPr>
                  <w:r>
                    <w:rPr>
                      <w:noProof/>
                    </w:rPr>
                    <w:drawing>
                      <wp:inline distT="0" distB="0" distL="0" distR="0" wp14:anchorId="765A7EF4" wp14:editId="08C55C3E">
                        <wp:extent cx="5391150" cy="2876550"/>
                        <wp:effectExtent l="0" t="0" r="0" b="0"/>
                        <wp:docPr id="1" name="Picture 1" descr="Figure 12.1 20–24 year olds with year 12 or equivalent or AQF Certificate II or above, 2011&#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2876550"/>
                                </a:xfrm>
                                <a:prstGeom prst="rect">
                                  <a:avLst/>
                                </a:prstGeom>
                                <a:noFill/>
                                <a:ln>
                                  <a:noFill/>
                                </a:ln>
                              </pic:spPr>
                            </pic:pic>
                          </a:graphicData>
                        </a:graphic>
                      </wp:inline>
                    </w:drawing>
                  </w:r>
                </w:p>
              </w:tc>
            </w:tr>
          </w:tbl>
          <w:p w:rsidR="00063063" w:rsidRDefault="00063063" w:rsidP="00C52878">
            <w:pPr>
              <w:pStyle w:val="Figure"/>
            </w:pPr>
          </w:p>
        </w:tc>
      </w:tr>
      <w:tr w:rsidR="00063063" w:rsidRPr="00176D3F" w:rsidTr="00681852">
        <w:tc>
          <w:tcPr>
            <w:tcW w:w="8793" w:type="dxa"/>
            <w:tcBorders>
              <w:top w:val="nil"/>
              <w:left w:val="nil"/>
              <w:bottom w:val="nil"/>
              <w:right w:val="nil"/>
            </w:tcBorders>
            <w:shd w:val="clear" w:color="auto" w:fill="auto"/>
          </w:tcPr>
          <w:p w:rsidR="00063063" w:rsidRPr="00176D3F" w:rsidRDefault="00E3644D" w:rsidP="002C262C">
            <w:pPr>
              <w:pStyle w:val="Source"/>
            </w:pPr>
            <w:r>
              <w:rPr>
                <w:i/>
              </w:rPr>
              <w:t>S</w:t>
            </w:r>
            <w:r w:rsidR="00063063" w:rsidRPr="00784A05">
              <w:rPr>
                <w:i/>
              </w:rPr>
              <w:t>ource</w:t>
            </w:r>
            <w:r w:rsidR="00063063" w:rsidRPr="00176D3F">
              <w:t xml:space="preserve">: </w:t>
            </w:r>
            <w:r>
              <w:t>ABS Census 2011 tablebuilder; table</w:t>
            </w:r>
            <w:r w:rsidR="000D1571">
              <w:t> </w:t>
            </w:r>
            <w:r>
              <w:t>12A.1.</w:t>
            </w:r>
            <w:r w:rsidR="002C262C">
              <w:t>9</w:t>
            </w:r>
            <w:r>
              <w:t>.</w:t>
            </w:r>
          </w:p>
        </w:tc>
      </w:tr>
      <w:tr w:rsidR="00063063" w:rsidTr="00681852">
        <w:tc>
          <w:tcPr>
            <w:tcW w:w="8793" w:type="dxa"/>
            <w:tcBorders>
              <w:top w:val="nil"/>
              <w:left w:val="nil"/>
              <w:bottom w:val="single" w:sz="6" w:space="0" w:color="78A22F"/>
              <w:right w:val="nil"/>
            </w:tcBorders>
            <w:shd w:val="clear" w:color="auto" w:fill="auto"/>
          </w:tcPr>
          <w:p w:rsidR="00063063" w:rsidRDefault="00063063" w:rsidP="00C52878">
            <w:pPr>
              <w:pStyle w:val="Figurespace"/>
            </w:pPr>
          </w:p>
        </w:tc>
      </w:tr>
      <w:tr w:rsidR="00063063" w:rsidRPr="000863A5" w:rsidTr="00681852">
        <w:tc>
          <w:tcPr>
            <w:tcW w:w="8793" w:type="dxa"/>
            <w:tcBorders>
              <w:top w:val="single" w:sz="6" w:space="0" w:color="78A22F"/>
              <w:left w:val="nil"/>
              <w:bottom w:val="nil"/>
              <w:right w:val="nil"/>
            </w:tcBorders>
          </w:tcPr>
          <w:p w:rsidR="00063063" w:rsidRPr="00626D32" w:rsidRDefault="00063063" w:rsidP="00C52878">
            <w:pPr>
              <w:pStyle w:val="BoxSpaceBelow"/>
            </w:pPr>
          </w:p>
        </w:tc>
      </w:tr>
    </w:tbl>
    <w:p w:rsidR="00B200D9" w:rsidRDefault="00B200D9" w:rsidP="00B200D9">
      <w:pPr>
        <w:pStyle w:val="BodyText"/>
      </w:pPr>
      <w:r>
        <w:t>Nationally in 2011, for people aged 20–64 years, 30 per cent of Aboriginal and Torres Strait Islander Australians had a Certificate level III or above compared with 56 per cent of non</w:t>
      </w:r>
      <w:r>
        <w:noBreakHyphen/>
        <w:t xml:space="preserve">Indigenous Australians (section 4.8). For Torres Strait Islander people, the proportion remained fairly constant across remoteness areas, whereas for Aboriginal Australians it decreased as remoteness increased. </w:t>
      </w:r>
    </w:p>
    <w:p w:rsidR="00B200D9" w:rsidRDefault="00B200D9" w:rsidP="00B200D9">
      <w:pPr>
        <w:pStyle w:val="BodyText"/>
      </w:pPr>
      <w:r>
        <w:t>In very remote areas, 29 per cent of Torres Strait Islander people aged 20–64 years had a Certificate level III or above (similar to the proportion in the Torres Strait Region) compared with 12 per cent for Aboriginal people (figure 12.2), but still considerably below the proportion for the non</w:t>
      </w:r>
      <w:r>
        <w:noBreakHyphen/>
        <w:t>Indigenous people in very remote areas (52 per cent) (table </w:t>
      </w:r>
      <w:proofErr w:type="spellStart"/>
      <w:r>
        <w:t>12A.1.10</w:t>
      </w:r>
      <w:proofErr w:type="spellEnd"/>
      <w:r>
        <w:t>).</w:t>
      </w:r>
    </w:p>
    <w:p w:rsidR="008E6CD5" w:rsidRDefault="008E6CD5" w:rsidP="00830FDC">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F50F33" w:rsidTr="00681852">
        <w:trPr>
          <w:tblHeader/>
        </w:trPr>
        <w:tc>
          <w:tcPr>
            <w:tcW w:w="8793" w:type="dxa"/>
            <w:tcBorders>
              <w:top w:val="single" w:sz="6" w:space="0" w:color="78A22F"/>
              <w:left w:val="nil"/>
              <w:bottom w:val="nil"/>
              <w:right w:val="nil"/>
            </w:tcBorders>
            <w:shd w:val="clear" w:color="auto" w:fill="auto"/>
          </w:tcPr>
          <w:p w:rsidR="00F50F33" w:rsidRPr="00176D3F" w:rsidRDefault="00F50F33" w:rsidP="00063063">
            <w:pPr>
              <w:pStyle w:val="FigureTitle"/>
            </w:pPr>
            <w:r w:rsidRPr="00784A05">
              <w:rPr>
                <w:b w:val="0"/>
              </w:rPr>
              <w:t xml:space="preserve">Figure </w:t>
            </w:r>
            <w:r>
              <w:rPr>
                <w:b w:val="0"/>
              </w:rPr>
              <w:t>12.</w:t>
            </w:r>
            <w:r w:rsidR="00CA227C">
              <w:rPr>
                <w:b w:val="0"/>
                <w:noProof/>
              </w:rPr>
              <w:t>2</w:t>
            </w:r>
            <w:r w:rsidR="00B24481">
              <w:tab/>
            </w:r>
            <w:r w:rsidR="00063063">
              <w:t>20–64 year old</w:t>
            </w:r>
            <w:r w:rsidR="00C1014C">
              <w:t>s</w:t>
            </w:r>
            <w:r w:rsidR="00063063">
              <w:t xml:space="preserve"> with non</w:t>
            </w:r>
            <w:r w:rsidR="000D1571">
              <w:noBreakHyphen/>
            </w:r>
            <w:r w:rsidR="00063063">
              <w:t xml:space="preserve">school qualification (AQF Certificate III or above), 2011 </w:t>
            </w:r>
          </w:p>
        </w:tc>
      </w:tr>
      <w:tr w:rsidR="00F50F33" w:rsidTr="00681852">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F50F33" w:rsidTr="00C52878">
              <w:trPr>
                <w:tblHeader/>
                <w:jc w:val="center"/>
              </w:trPr>
              <w:tc>
                <w:tcPr>
                  <w:tcW w:w="5000" w:type="pct"/>
                  <w:tcBorders>
                    <w:top w:val="nil"/>
                    <w:bottom w:val="nil"/>
                  </w:tcBorders>
                </w:tcPr>
                <w:p w:rsidR="00F50F33" w:rsidRDefault="004F7EDF" w:rsidP="00C52878">
                  <w:pPr>
                    <w:pStyle w:val="Figure"/>
                    <w:spacing w:before="60" w:after="60"/>
                  </w:pPr>
                  <w:r>
                    <w:rPr>
                      <w:noProof/>
                    </w:rPr>
                    <w:drawing>
                      <wp:inline distT="0" distB="0" distL="0" distR="0" wp14:anchorId="0CD07303" wp14:editId="33D8E3D3">
                        <wp:extent cx="5397500" cy="2838450"/>
                        <wp:effectExtent l="0" t="0" r="0" b="0"/>
                        <wp:docPr id="2" name="Picture 2" descr="Figure 12.2 20–64 year olds with non school qualification (AQF Certificate III or above), 2011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0" cy="2838450"/>
                                </a:xfrm>
                                <a:prstGeom prst="rect">
                                  <a:avLst/>
                                </a:prstGeom>
                                <a:noFill/>
                                <a:ln>
                                  <a:noFill/>
                                </a:ln>
                              </pic:spPr>
                            </pic:pic>
                          </a:graphicData>
                        </a:graphic>
                      </wp:inline>
                    </w:drawing>
                  </w:r>
                </w:p>
              </w:tc>
            </w:tr>
          </w:tbl>
          <w:p w:rsidR="00F50F33" w:rsidRDefault="00F50F33" w:rsidP="00C52878">
            <w:pPr>
              <w:pStyle w:val="Figure"/>
            </w:pPr>
          </w:p>
        </w:tc>
      </w:tr>
      <w:tr w:rsidR="00F50F33" w:rsidRPr="00176D3F" w:rsidTr="00681852">
        <w:tc>
          <w:tcPr>
            <w:tcW w:w="8793" w:type="dxa"/>
            <w:tcBorders>
              <w:top w:val="nil"/>
              <w:left w:val="nil"/>
              <w:bottom w:val="nil"/>
              <w:right w:val="nil"/>
            </w:tcBorders>
            <w:shd w:val="clear" w:color="auto" w:fill="auto"/>
          </w:tcPr>
          <w:p w:rsidR="00F50F33" w:rsidRPr="00176D3F" w:rsidRDefault="00FF3A99" w:rsidP="002C262C">
            <w:pPr>
              <w:pStyle w:val="Source"/>
            </w:pPr>
            <w:r>
              <w:rPr>
                <w:i/>
              </w:rPr>
              <w:t>S</w:t>
            </w:r>
            <w:r w:rsidR="00F50F33" w:rsidRPr="00784A05">
              <w:rPr>
                <w:i/>
              </w:rPr>
              <w:t>ource</w:t>
            </w:r>
            <w:r w:rsidR="00F50F33" w:rsidRPr="00176D3F">
              <w:t xml:space="preserve">: </w:t>
            </w:r>
            <w:r>
              <w:t>ABS Census 2011 tablebuilder; table</w:t>
            </w:r>
            <w:r w:rsidR="000D1571">
              <w:t> </w:t>
            </w:r>
            <w:r>
              <w:t>12A.1.</w:t>
            </w:r>
            <w:r w:rsidR="002C262C">
              <w:t>10</w:t>
            </w:r>
            <w:r>
              <w:t>.</w:t>
            </w:r>
          </w:p>
        </w:tc>
      </w:tr>
      <w:tr w:rsidR="00F50F33" w:rsidTr="00681852">
        <w:tc>
          <w:tcPr>
            <w:tcW w:w="8793" w:type="dxa"/>
            <w:tcBorders>
              <w:top w:val="nil"/>
              <w:left w:val="nil"/>
              <w:bottom w:val="single" w:sz="6" w:space="0" w:color="78A22F"/>
              <w:right w:val="nil"/>
            </w:tcBorders>
            <w:shd w:val="clear" w:color="auto" w:fill="auto"/>
          </w:tcPr>
          <w:p w:rsidR="00F50F33" w:rsidRDefault="00F50F33" w:rsidP="00C52878">
            <w:pPr>
              <w:pStyle w:val="Figurespace"/>
            </w:pPr>
          </w:p>
        </w:tc>
      </w:tr>
    </w:tbl>
    <w:p w:rsidR="00C47CE5" w:rsidRPr="00C47CE5" w:rsidRDefault="00C47CE5" w:rsidP="00830FDC">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FF3A99" w:rsidTr="00681852">
        <w:trPr>
          <w:tblHeader/>
        </w:trPr>
        <w:tc>
          <w:tcPr>
            <w:tcW w:w="8793" w:type="dxa"/>
            <w:tcBorders>
              <w:top w:val="single" w:sz="6" w:space="0" w:color="78A22F"/>
              <w:left w:val="nil"/>
              <w:bottom w:val="nil"/>
              <w:right w:val="nil"/>
            </w:tcBorders>
            <w:shd w:val="clear" w:color="auto" w:fill="auto"/>
          </w:tcPr>
          <w:p w:rsidR="00FF3A99" w:rsidRPr="00176D3F" w:rsidRDefault="00FF3A99" w:rsidP="00063063">
            <w:pPr>
              <w:pStyle w:val="FigureTitle"/>
            </w:pPr>
            <w:r w:rsidRPr="00784A05">
              <w:rPr>
                <w:b w:val="0"/>
              </w:rPr>
              <w:t xml:space="preserve">Figure </w:t>
            </w:r>
            <w:r>
              <w:rPr>
                <w:b w:val="0"/>
              </w:rPr>
              <w:t>12.</w:t>
            </w:r>
            <w:r w:rsidR="00CA227C">
              <w:rPr>
                <w:b w:val="0"/>
                <w:noProof/>
              </w:rPr>
              <w:t>3</w:t>
            </w:r>
            <w:r w:rsidR="00063063">
              <w:tab/>
              <w:t>Employment</w:t>
            </w:r>
            <w:r w:rsidR="00CF4567">
              <w:t>-</w:t>
            </w:r>
            <w:r w:rsidR="00063063">
              <w:t>to</w:t>
            </w:r>
            <w:r w:rsidR="00CF4567">
              <w:t>-</w:t>
            </w:r>
            <w:r w:rsidR="00063063">
              <w:t>population ratio, 15–64 year olds, 2011</w:t>
            </w:r>
          </w:p>
        </w:tc>
      </w:tr>
      <w:tr w:rsidR="00FF3A99" w:rsidTr="00681852">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FF3A99" w:rsidTr="00C52878">
              <w:trPr>
                <w:tblHeader/>
                <w:jc w:val="center"/>
              </w:trPr>
              <w:tc>
                <w:tcPr>
                  <w:tcW w:w="5000" w:type="pct"/>
                  <w:tcBorders>
                    <w:top w:val="nil"/>
                    <w:bottom w:val="nil"/>
                  </w:tcBorders>
                </w:tcPr>
                <w:p w:rsidR="00FF3A99" w:rsidRDefault="00F4556A" w:rsidP="00C52878">
                  <w:pPr>
                    <w:pStyle w:val="Figure"/>
                    <w:spacing w:before="60" w:after="60"/>
                  </w:pPr>
                  <w:r>
                    <w:rPr>
                      <w:noProof/>
                    </w:rPr>
                    <w:drawing>
                      <wp:inline distT="0" distB="0" distL="0" distR="0" wp14:anchorId="5F09A647" wp14:editId="103CC951">
                        <wp:extent cx="5401310" cy="2881630"/>
                        <wp:effectExtent l="0" t="0" r="8890" b="0"/>
                        <wp:docPr id="6" name="Picture 6" descr="Figure 12.3 Employment-to-population ratio, 15–64 year olds, 2011&#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1310" cy="2881630"/>
                                </a:xfrm>
                                <a:prstGeom prst="rect">
                                  <a:avLst/>
                                </a:prstGeom>
                                <a:noFill/>
                                <a:ln>
                                  <a:noFill/>
                                </a:ln>
                              </pic:spPr>
                            </pic:pic>
                          </a:graphicData>
                        </a:graphic>
                      </wp:inline>
                    </w:drawing>
                  </w:r>
                </w:p>
              </w:tc>
            </w:tr>
          </w:tbl>
          <w:p w:rsidR="00FF3A99" w:rsidRDefault="00FF3A99" w:rsidP="00C52878">
            <w:pPr>
              <w:pStyle w:val="Figure"/>
            </w:pPr>
          </w:p>
        </w:tc>
      </w:tr>
      <w:tr w:rsidR="00FF3A99" w:rsidRPr="00176D3F" w:rsidTr="00681852">
        <w:tc>
          <w:tcPr>
            <w:tcW w:w="8793" w:type="dxa"/>
            <w:tcBorders>
              <w:top w:val="nil"/>
              <w:left w:val="nil"/>
              <w:bottom w:val="nil"/>
              <w:right w:val="nil"/>
            </w:tcBorders>
            <w:shd w:val="clear" w:color="auto" w:fill="auto"/>
          </w:tcPr>
          <w:p w:rsidR="00FF3A99" w:rsidRPr="00176D3F" w:rsidRDefault="00063063" w:rsidP="002C262C">
            <w:pPr>
              <w:pStyle w:val="Source"/>
            </w:pPr>
            <w:r>
              <w:rPr>
                <w:i/>
              </w:rPr>
              <w:t>S</w:t>
            </w:r>
            <w:r w:rsidR="00FF3A99" w:rsidRPr="00784A05">
              <w:rPr>
                <w:i/>
              </w:rPr>
              <w:t>ource</w:t>
            </w:r>
            <w:r w:rsidR="00FF3A99" w:rsidRPr="00176D3F">
              <w:t xml:space="preserve">: </w:t>
            </w:r>
            <w:r>
              <w:t>ABS Census 2011 tablebuilder; table</w:t>
            </w:r>
            <w:r w:rsidR="000D1571">
              <w:t> </w:t>
            </w:r>
            <w:r>
              <w:t>12A.1.</w:t>
            </w:r>
            <w:r w:rsidR="002C262C">
              <w:t>11</w:t>
            </w:r>
            <w:r>
              <w:t>.</w:t>
            </w:r>
          </w:p>
        </w:tc>
      </w:tr>
      <w:tr w:rsidR="00FF3A99" w:rsidTr="00681852">
        <w:tc>
          <w:tcPr>
            <w:tcW w:w="8793" w:type="dxa"/>
            <w:tcBorders>
              <w:top w:val="nil"/>
              <w:left w:val="nil"/>
              <w:bottom w:val="single" w:sz="6" w:space="0" w:color="78A22F"/>
              <w:right w:val="nil"/>
            </w:tcBorders>
            <w:shd w:val="clear" w:color="auto" w:fill="auto"/>
          </w:tcPr>
          <w:p w:rsidR="00FF3A99" w:rsidRDefault="00FF3A99" w:rsidP="00C52878">
            <w:pPr>
              <w:pStyle w:val="Figurespace"/>
            </w:pPr>
          </w:p>
        </w:tc>
      </w:tr>
    </w:tbl>
    <w:p w:rsidR="00063063" w:rsidRDefault="00063063" w:rsidP="00063063">
      <w:pPr>
        <w:pStyle w:val="BodyText"/>
      </w:pPr>
      <w:r>
        <w:t>National</w:t>
      </w:r>
      <w:r w:rsidR="00740B65">
        <w:t>ly in 2011</w:t>
      </w:r>
      <w:r w:rsidR="00B5529F">
        <w:t>,</w:t>
      </w:r>
      <w:r w:rsidR="00E84EFB">
        <w:t xml:space="preserve"> for people</w:t>
      </w:r>
      <w:r w:rsidR="00AE0C1F">
        <w:t xml:space="preserve"> aged</w:t>
      </w:r>
      <w:r w:rsidR="00A633FF">
        <w:t> </w:t>
      </w:r>
      <w:r w:rsidR="00AE0C1F">
        <w:t>15–64 years</w:t>
      </w:r>
      <w:r w:rsidR="00740B65">
        <w:t xml:space="preserve">, </w:t>
      </w:r>
      <w:r w:rsidR="00AE0C1F">
        <w:t xml:space="preserve">the </w:t>
      </w:r>
      <w:r>
        <w:t xml:space="preserve">Aboriginal and Torres Strait Islander </w:t>
      </w:r>
      <w:r w:rsidR="00AE0C1F">
        <w:t>employment</w:t>
      </w:r>
      <w:r w:rsidR="008F0368">
        <w:noBreakHyphen/>
      </w:r>
      <w:r w:rsidR="00AE0C1F">
        <w:t>to</w:t>
      </w:r>
      <w:r w:rsidR="008F0368">
        <w:noBreakHyphen/>
      </w:r>
      <w:r w:rsidR="00AE0C1F">
        <w:t>population ratio wa</w:t>
      </w:r>
      <w:r>
        <w:t>s 46 per</w:t>
      </w:r>
      <w:r w:rsidR="00F94EFA">
        <w:t> </w:t>
      </w:r>
      <w:r>
        <w:t>cent compared with the non</w:t>
      </w:r>
      <w:r w:rsidR="000D1571">
        <w:noBreakHyphen/>
      </w:r>
      <w:r>
        <w:t>Indigenous ratio of 72</w:t>
      </w:r>
      <w:r w:rsidR="00F94EFA">
        <w:t> </w:t>
      </w:r>
      <w:r>
        <w:t>per</w:t>
      </w:r>
      <w:r w:rsidR="00F94EFA">
        <w:t> </w:t>
      </w:r>
      <w:r>
        <w:t>cent (section</w:t>
      </w:r>
      <w:r w:rsidR="000D1571">
        <w:t> </w:t>
      </w:r>
      <w:r>
        <w:t xml:space="preserve">4.7). In very remote areas, the ratio </w:t>
      </w:r>
      <w:r w:rsidR="00AE0C1F">
        <w:t>wa</w:t>
      </w:r>
      <w:r>
        <w:t xml:space="preserve">s higher for Torres Strait Islander </w:t>
      </w:r>
      <w:r w:rsidR="00A633FF">
        <w:t xml:space="preserve">people </w:t>
      </w:r>
      <w:r>
        <w:t>(60</w:t>
      </w:r>
      <w:r w:rsidR="00F94EFA">
        <w:t> </w:t>
      </w:r>
      <w:r>
        <w:t>per</w:t>
      </w:r>
      <w:r w:rsidR="00F94EFA">
        <w:t> </w:t>
      </w:r>
      <w:r>
        <w:t xml:space="preserve">cent) </w:t>
      </w:r>
      <w:r w:rsidR="00AE0C1F">
        <w:t xml:space="preserve">than Aboriginal </w:t>
      </w:r>
      <w:r w:rsidR="00A633FF">
        <w:t xml:space="preserve">people </w:t>
      </w:r>
      <w:r w:rsidR="00AE0C1F">
        <w:t>(37 </w:t>
      </w:r>
      <w:r>
        <w:t>per</w:t>
      </w:r>
      <w:r w:rsidR="00F94EFA">
        <w:t> </w:t>
      </w:r>
      <w:r>
        <w:t xml:space="preserve">cent). In the Torres Strait </w:t>
      </w:r>
      <w:r>
        <w:lastRenderedPageBreak/>
        <w:t>Region, the Torres Strait Islander employment</w:t>
      </w:r>
      <w:r w:rsidR="00E9217F">
        <w:t>-</w:t>
      </w:r>
      <w:r>
        <w:t>to</w:t>
      </w:r>
      <w:r w:rsidR="00E9217F">
        <w:t>-</w:t>
      </w:r>
      <w:r>
        <w:t>population ratio was 63 per</w:t>
      </w:r>
      <w:r w:rsidR="00F94EFA">
        <w:t> </w:t>
      </w:r>
      <w:r>
        <w:t xml:space="preserve">cent, </w:t>
      </w:r>
      <w:r w:rsidR="00AE0C1F">
        <w:t>greater</w:t>
      </w:r>
      <w:r>
        <w:t xml:space="preserve"> than </w:t>
      </w:r>
      <w:r w:rsidR="00E9217F">
        <w:t xml:space="preserve">the ratio for </w:t>
      </w:r>
      <w:r>
        <w:t>Aboriginal and Torres Strait Islander</w:t>
      </w:r>
      <w:r w:rsidR="00C562DD">
        <w:t>s</w:t>
      </w:r>
      <w:r>
        <w:t xml:space="preserve"> </w:t>
      </w:r>
      <w:r w:rsidR="005A3368">
        <w:t xml:space="preserve">in </w:t>
      </w:r>
      <w:r w:rsidR="00CF4567">
        <w:t>all other remoteness</w:t>
      </w:r>
      <w:r w:rsidR="00AE0C1F">
        <w:t xml:space="preserve"> </w:t>
      </w:r>
      <w:r w:rsidR="00CF4567">
        <w:t>a</w:t>
      </w:r>
      <w:r w:rsidR="00AE0C1F">
        <w:t>reas</w:t>
      </w:r>
      <w:r w:rsidR="00CF4567">
        <w:t xml:space="preserve"> </w:t>
      </w:r>
      <w:r w:rsidR="00AE0C1F">
        <w:t>(figure </w:t>
      </w:r>
      <w:r w:rsidR="00C562DD">
        <w:t>12.3</w:t>
      </w:r>
      <w:r>
        <w:t>)</w:t>
      </w:r>
      <w:r w:rsidR="00CF4567">
        <w:t xml:space="preserve">, but </w:t>
      </w:r>
      <w:r w:rsidR="00140BDC">
        <w:t>around</w:t>
      </w:r>
      <w:r w:rsidR="00CF4567">
        <w:t xml:space="preserve"> 20</w:t>
      </w:r>
      <w:r w:rsidR="00A633FF">
        <w:t> </w:t>
      </w:r>
      <w:r w:rsidR="00CF4567">
        <w:t>percentage points below the non</w:t>
      </w:r>
      <w:r w:rsidR="008F0368">
        <w:noBreakHyphen/>
      </w:r>
      <w:r w:rsidR="00CF4567">
        <w:t xml:space="preserve">Indigenous ratios </w:t>
      </w:r>
      <w:r w:rsidR="002F14BE">
        <w:t xml:space="preserve">across </w:t>
      </w:r>
      <w:r w:rsidR="00CF4567">
        <w:t>all</w:t>
      </w:r>
      <w:r w:rsidR="002C262C">
        <w:t xml:space="preserve"> remoteness areas (table</w:t>
      </w:r>
      <w:r w:rsidR="008F0368">
        <w:t> </w:t>
      </w:r>
      <w:r w:rsidR="002C262C">
        <w:t>12A.1.11</w:t>
      </w:r>
      <w:r w:rsidR="00CF4567">
        <w:t>)</w:t>
      </w:r>
      <w:r w:rsidR="005A3368">
        <w:t>.</w:t>
      </w:r>
      <w:r w:rsidR="00BC1948">
        <w:t xml:space="preserve"> </w:t>
      </w:r>
    </w:p>
    <w:p w:rsidR="004471EA" w:rsidRDefault="004471EA" w:rsidP="00BE36B1">
      <w:pPr>
        <w:pStyle w:val="Heading3"/>
      </w:pPr>
      <w:r>
        <w:t>Things that work</w:t>
      </w:r>
    </w:p>
    <w:p w:rsidR="00072B7A" w:rsidRDefault="00C843CC" w:rsidP="00063063">
      <w:pPr>
        <w:pStyle w:val="BodyText"/>
      </w:pPr>
      <w:r>
        <w:t>Whilst t</w:t>
      </w:r>
      <w:r w:rsidR="00E84EFB">
        <w:t xml:space="preserve">here is a lack of </w:t>
      </w:r>
      <w:r w:rsidR="00176818">
        <w:t xml:space="preserve">publicly available </w:t>
      </w:r>
      <w:r w:rsidR="00E84EFB">
        <w:t xml:space="preserve">research </w:t>
      </w:r>
      <w:r w:rsidR="00BE36B1">
        <w:t xml:space="preserve">and evaluation </w:t>
      </w:r>
      <w:r w:rsidR="0076028A">
        <w:t xml:space="preserve">of programs that may be contributing to the </w:t>
      </w:r>
      <w:r w:rsidR="00E9217F">
        <w:t xml:space="preserve">positive </w:t>
      </w:r>
      <w:r w:rsidR="0076028A">
        <w:t>outcomes</w:t>
      </w:r>
      <w:r w:rsidR="00E9217F">
        <w:t xml:space="preserve"> in </w:t>
      </w:r>
      <w:r w:rsidR="00790086">
        <w:t xml:space="preserve">the </w:t>
      </w:r>
      <w:r w:rsidR="0076028A">
        <w:t>Torres Strait R</w:t>
      </w:r>
      <w:r w:rsidR="00790086">
        <w:t>egion</w:t>
      </w:r>
      <w:r w:rsidR="00F94EFA">
        <w:t xml:space="preserve"> (for the year </w:t>
      </w:r>
      <w:r w:rsidR="00E9217F">
        <w:t>12, post school education and employment indicators reported in this section)</w:t>
      </w:r>
      <w:r>
        <w:t>, h</w:t>
      </w:r>
      <w:r w:rsidR="00FB445F">
        <w:t>ig</w:t>
      </w:r>
      <w:r w:rsidR="00BE36B1">
        <w:t>h</w:t>
      </w:r>
      <w:r w:rsidR="00E9217F">
        <w:t>-</w:t>
      </w:r>
      <w:r w:rsidR="00BE36B1">
        <w:t xml:space="preserve">level </w:t>
      </w:r>
      <w:r w:rsidR="0076028A">
        <w:t>p</w:t>
      </w:r>
      <w:r w:rsidR="00BE36B1">
        <w:t xml:space="preserve">rinciples and </w:t>
      </w:r>
      <w:r w:rsidR="0076028A">
        <w:t xml:space="preserve">practices </w:t>
      </w:r>
      <w:r w:rsidR="00FB445F">
        <w:t>that underpin successful outcomes</w:t>
      </w:r>
      <w:r>
        <w:t xml:space="preserve"> for Aboriginal and Torres Strait Islander Australians</w:t>
      </w:r>
      <w:r w:rsidR="005E2AC6">
        <w:t xml:space="preserve"> are outlined in chapter</w:t>
      </w:r>
      <w:r w:rsidR="000D1571">
        <w:t> </w:t>
      </w:r>
      <w:r w:rsidR="005E2AC6">
        <w:t>3</w:t>
      </w:r>
      <w:r w:rsidR="00FB445F">
        <w:t xml:space="preserve">, </w:t>
      </w:r>
      <w:r>
        <w:t xml:space="preserve">case studies in </w:t>
      </w:r>
      <w:r w:rsidR="00FB445F">
        <w:t xml:space="preserve">good governance are </w:t>
      </w:r>
      <w:r w:rsidR="0076028A">
        <w:t xml:space="preserve">outlined in </w:t>
      </w:r>
      <w:r w:rsidR="005E2AC6">
        <w:t>section</w:t>
      </w:r>
      <w:r w:rsidR="000D1571">
        <w:t> </w:t>
      </w:r>
      <w:r w:rsidR="005E2AC6">
        <w:t>5.4</w:t>
      </w:r>
      <w:r>
        <w:t>, and community functioning themes are discussed in section</w:t>
      </w:r>
      <w:r w:rsidR="000D1571">
        <w:t> </w:t>
      </w:r>
      <w:r>
        <w:t>11.5</w:t>
      </w:r>
      <w:r w:rsidR="000D1571">
        <w:t>.</w:t>
      </w:r>
      <w:r w:rsidR="00E9217F">
        <w:t xml:space="preserve"> </w:t>
      </w:r>
    </w:p>
    <w:p w:rsidR="004C0BA6" w:rsidRDefault="004C0BA6" w:rsidP="004C0BA6">
      <w:pPr>
        <w:pStyle w:val="Heading2"/>
      </w:pPr>
      <w:r>
        <w:t>12.2 Attachment tables</w:t>
      </w:r>
    </w:p>
    <w:p w:rsidR="00192E97" w:rsidRDefault="00192E97" w:rsidP="00120072">
      <w:pPr>
        <w:pStyle w:val="BodyText"/>
      </w:pPr>
      <w:r w:rsidRPr="00192E97">
        <w:t>Attachment tables for this chapter are identified in references throughout this chapter by an ‘</w:t>
      </w:r>
      <w:r w:rsidR="00C47CE5">
        <w:t>A’ suffix (for example, table</w:t>
      </w:r>
      <w:r w:rsidR="000D1571">
        <w:t> </w:t>
      </w:r>
      <w:r w:rsidR="00C47CE5">
        <w:t>12</w:t>
      </w:r>
      <w:r w:rsidRPr="00192E97">
        <w:t xml:space="preserve">A.1.1). These tables can be found on the web page </w:t>
      </w:r>
      <w:r>
        <w:t>(</w:t>
      </w:r>
      <w:r w:rsidR="00B4369E" w:rsidRPr="00B4369E">
        <w:t>www.pc.gov.au/oid</w:t>
      </w:r>
      <w:r w:rsidRPr="00B4369E">
        <w:t>2016</w:t>
      </w:r>
      <w:r>
        <w:t>).</w:t>
      </w:r>
    </w:p>
    <w:p w:rsidR="004C0BA6" w:rsidRDefault="004C0BA6" w:rsidP="004C0BA6">
      <w:pPr>
        <w:pStyle w:val="Heading2"/>
      </w:pPr>
      <w:r w:rsidRPr="004C0BA6">
        <w:t>12.3 References</w:t>
      </w:r>
    </w:p>
    <w:p w:rsidR="00281344" w:rsidRPr="00281344" w:rsidRDefault="00281344" w:rsidP="00281344">
      <w:pPr>
        <w:pStyle w:val="Reference"/>
      </w:pPr>
      <w:r w:rsidRPr="00281344">
        <w:t xml:space="preserve">ABS (Australian Bureau of Statistics) 2012, </w:t>
      </w:r>
      <w:r w:rsidRPr="00281344">
        <w:rPr>
          <w:i/>
          <w:iCs/>
        </w:rPr>
        <w:t>Census of Population and Housing - Counts of Aboriginal and Torres Strait Islander Australians, 2011</w:t>
      </w:r>
      <w:r w:rsidR="00681852">
        <w:t>, Cat. </w:t>
      </w:r>
      <w:r w:rsidRPr="00281344">
        <w:t>2075.0, Canberra.</w:t>
      </w:r>
    </w:p>
    <w:p w:rsidR="00281344" w:rsidRPr="00281344" w:rsidRDefault="00281344" w:rsidP="00281344">
      <w:pPr>
        <w:pStyle w:val="Reference"/>
      </w:pPr>
      <w:r w:rsidRPr="00281344">
        <w:t xml:space="preserve">—— (Australian Bureau of Statistics) 2016, </w:t>
      </w:r>
      <w:r w:rsidRPr="00281344">
        <w:rPr>
          <w:i/>
          <w:iCs/>
        </w:rPr>
        <w:t>National Aboriginal and Torres Strait Islander Social Survey, 2014-15</w:t>
      </w:r>
      <w:r w:rsidR="00681852">
        <w:t>, Cat. </w:t>
      </w:r>
      <w:r w:rsidRPr="00281344">
        <w:t>4714.0, Canberra.</w:t>
      </w:r>
    </w:p>
    <w:p w:rsidR="00281344" w:rsidRPr="00281344" w:rsidRDefault="00281344" w:rsidP="00281344">
      <w:pPr>
        <w:pStyle w:val="Reference"/>
      </w:pPr>
      <w:r w:rsidRPr="00281344">
        <w:t xml:space="preserve">AIATSIS (Australian Institute of Aboriginal and Torres Strait Islander Studies) 2008, </w:t>
      </w:r>
      <w:r w:rsidRPr="00281344">
        <w:rPr>
          <w:i/>
          <w:iCs/>
        </w:rPr>
        <w:t>The Little Red Yellow Black Book</w:t>
      </w:r>
      <w:r w:rsidRPr="00281344">
        <w:t>, Aboriginal Studies Press, Canberra, ACT.</w:t>
      </w:r>
    </w:p>
    <w:p w:rsidR="00281344" w:rsidRPr="00281344" w:rsidRDefault="00281344" w:rsidP="00281344">
      <w:pPr>
        <w:pStyle w:val="Reference"/>
      </w:pPr>
      <w:proofErr w:type="spellStart"/>
      <w:r w:rsidRPr="00281344">
        <w:t>Lui</w:t>
      </w:r>
      <w:proofErr w:type="spellEnd"/>
      <w:r w:rsidRPr="00281344">
        <w:t xml:space="preserve">, F. 2012, ‘My island home: re-presenting identities for Torres Strait Islanders living outside the Torres Strait’, </w:t>
      </w:r>
      <w:r w:rsidRPr="00281344">
        <w:rPr>
          <w:i/>
          <w:iCs/>
        </w:rPr>
        <w:t>Journal of Australian Studies</w:t>
      </w:r>
      <w:r w:rsidRPr="00281344">
        <w:t>, vol. 36, no. 2, pp. 141–153.</w:t>
      </w:r>
    </w:p>
    <w:p w:rsidR="00281344" w:rsidRPr="00281344" w:rsidRDefault="00281344" w:rsidP="00281344">
      <w:pPr>
        <w:pStyle w:val="Reference"/>
      </w:pPr>
      <w:r w:rsidRPr="00281344">
        <w:t xml:space="preserve">——, </w:t>
      </w:r>
      <w:proofErr w:type="spellStart"/>
      <w:r w:rsidRPr="00281344">
        <w:t>Kiatkoski</w:t>
      </w:r>
      <w:proofErr w:type="spellEnd"/>
      <w:r w:rsidRPr="00281344">
        <w:t xml:space="preserve">, M., </w:t>
      </w:r>
      <w:proofErr w:type="spellStart"/>
      <w:r w:rsidRPr="00281344">
        <w:t>Delisle</w:t>
      </w:r>
      <w:proofErr w:type="spellEnd"/>
      <w:r w:rsidRPr="00281344">
        <w:t xml:space="preserve">, A., </w:t>
      </w:r>
      <w:proofErr w:type="spellStart"/>
      <w:r w:rsidRPr="00281344">
        <w:t>Stoeckl</w:t>
      </w:r>
      <w:proofErr w:type="spellEnd"/>
      <w:r w:rsidRPr="00281344">
        <w:t xml:space="preserve">, N. and Helene, M. 2016, ‘Setting the Table: Indigenous Engagement on Environmental Issues in a Politicized Context’, </w:t>
      </w:r>
      <w:r w:rsidRPr="00281344">
        <w:rPr>
          <w:i/>
          <w:iCs/>
        </w:rPr>
        <w:t>Society and Natural Resources</w:t>
      </w:r>
      <w:r w:rsidRPr="00281344">
        <w:t>, vol. 29, no. 11, pp. 1263–1279.</w:t>
      </w:r>
    </w:p>
    <w:p w:rsidR="00281344" w:rsidRPr="00281344" w:rsidRDefault="00281344" w:rsidP="00281344">
      <w:pPr>
        <w:pStyle w:val="Reference"/>
      </w:pPr>
      <w:r w:rsidRPr="00281344">
        <w:t xml:space="preserve">SCRGSP (Steering Committee for the Review of Government Service Provision) forthcoming, </w:t>
      </w:r>
      <w:r w:rsidRPr="00281344">
        <w:rPr>
          <w:i/>
          <w:iCs/>
        </w:rPr>
        <w:t>National Agreement Performance Information 2015-16: National Indigenous Reform Agreement</w:t>
      </w:r>
      <w:r w:rsidRPr="00281344">
        <w:t>, Productivity Commission, Canberra.</w:t>
      </w:r>
    </w:p>
    <w:p w:rsidR="001128E9" w:rsidRDefault="00281344" w:rsidP="00281344">
      <w:pPr>
        <w:pStyle w:val="Reference"/>
      </w:pPr>
      <w:proofErr w:type="spellStart"/>
      <w:r w:rsidRPr="00281344">
        <w:t>Shnukel</w:t>
      </w:r>
      <w:proofErr w:type="spellEnd"/>
      <w:r w:rsidRPr="00281344">
        <w:t xml:space="preserve">, A. 2001, ‘Torres Strait Islanders’, </w:t>
      </w:r>
      <w:r w:rsidRPr="00281344">
        <w:rPr>
          <w:i/>
          <w:iCs/>
        </w:rPr>
        <w:t xml:space="preserve">Multicultural Queensland 2001: 100 </w:t>
      </w:r>
      <w:r w:rsidR="00A6410D">
        <w:rPr>
          <w:i/>
          <w:iCs/>
        </w:rPr>
        <w:t>C</w:t>
      </w:r>
      <w:r w:rsidRPr="00281344">
        <w:rPr>
          <w:i/>
          <w:iCs/>
        </w:rPr>
        <w:t xml:space="preserve">ommunities, A </w:t>
      </w:r>
      <w:r w:rsidR="00A6410D">
        <w:rPr>
          <w:i/>
          <w:iCs/>
        </w:rPr>
        <w:t>C</w:t>
      </w:r>
      <w:r w:rsidRPr="00281344">
        <w:rPr>
          <w:i/>
          <w:iCs/>
        </w:rPr>
        <w:t xml:space="preserve">entury of </w:t>
      </w:r>
      <w:r w:rsidR="00A6410D">
        <w:rPr>
          <w:i/>
          <w:iCs/>
        </w:rPr>
        <w:t>C</w:t>
      </w:r>
      <w:r w:rsidRPr="00281344">
        <w:rPr>
          <w:i/>
          <w:iCs/>
        </w:rPr>
        <w:t>ontributions</w:t>
      </w:r>
      <w:r w:rsidRPr="00281344">
        <w:t>, Queensland Department of Premier and Cabinet, Brisbane.</w:t>
      </w:r>
    </w:p>
    <w:sectPr w:rsidR="001128E9" w:rsidSect="00606E78">
      <w:headerReference w:type="even" r:id="rId12"/>
      <w:headerReference w:type="default" r:id="rId13"/>
      <w:footerReference w:type="even" r:id="rId14"/>
      <w:footerReference w:type="default" r:id="rId15"/>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797" w:rsidRDefault="00966797">
      <w:r>
        <w:separator/>
      </w:r>
    </w:p>
  </w:endnote>
  <w:endnote w:type="continuationSeparator" w:id="0">
    <w:p w:rsidR="00966797" w:rsidRDefault="0096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66797" w:rsidTr="005F48ED">
      <w:trPr>
        <w:trHeight w:hRule="exact" w:val="567"/>
      </w:trPr>
      <w:tc>
        <w:tcPr>
          <w:tcW w:w="510" w:type="dxa"/>
        </w:tcPr>
        <w:p w:rsidR="00966797" w:rsidRPr="00A24443" w:rsidRDefault="00966797" w:rsidP="0019293B">
          <w:pPr>
            <w:pStyle w:val="Footer"/>
            <w:tabs>
              <w:tab w:val="left" w:pos="0"/>
            </w:tabs>
            <w:ind w:right="0"/>
            <w:rPr>
              <w:rStyle w:val="PageNumber"/>
              <w:caps w:val="0"/>
            </w:rPr>
          </w:pPr>
          <w:r>
            <w:rPr>
              <w:rStyle w:val="PageNumber"/>
              <w:caps w:val="0"/>
            </w:rPr>
            <w:t>12.</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D43CB">
            <w:rPr>
              <w:rStyle w:val="PageNumber"/>
              <w:caps w:val="0"/>
              <w:noProof/>
            </w:rPr>
            <w:t>2</w:t>
          </w:r>
          <w:r w:rsidRPr="00A24443">
            <w:rPr>
              <w:rStyle w:val="PageNumber"/>
              <w:caps w:val="0"/>
            </w:rPr>
            <w:fldChar w:fldCharType="end"/>
          </w:r>
        </w:p>
      </w:tc>
      <w:tc>
        <w:tcPr>
          <w:tcW w:w="7767" w:type="dxa"/>
        </w:tcPr>
        <w:p w:rsidR="00966797" w:rsidRPr="0013739A" w:rsidRDefault="00CA227C" w:rsidP="0013739A">
          <w:pPr>
            <w:pStyle w:val="Footer"/>
            <w:rPr>
              <w:rFonts w:cs="Arial"/>
            </w:rPr>
          </w:pPr>
          <w:r>
            <w:rPr>
              <w:rFonts w:cs="Arial"/>
            </w:rPr>
            <w:t>OVERCOMING INDIGENOUS DISADVANTAGE 2016</w:t>
          </w:r>
          <w:bookmarkStart w:id="4" w:name="DraftReportEven"/>
          <w:bookmarkEnd w:id="4"/>
        </w:p>
      </w:tc>
      <w:tc>
        <w:tcPr>
          <w:tcW w:w="510" w:type="dxa"/>
        </w:tcPr>
        <w:p w:rsidR="00966797" w:rsidRDefault="00966797" w:rsidP="0019293B">
          <w:pPr>
            <w:pStyle w:val="Footer"/>
          </w:pPr>
        </w:p>
      </w:tc>
    </w:tr>
  </w:tbl>
  <w:p w:rsidR="00966797" w:rsidRDefault="00966797"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66797" w:rsidTr="005F48ED">
      <w:trPr>
        <w:trHeight w:hRule="exact" w:val="567"/>
      </w:trPr>
      <w:tc>
        <w:tcPr>
          <w:tcW w:w="510" w:type="dxa"/>
        </w:tcPr>
        <w:p w:rsidR="00966797" w:rsidRDefault="00966797">
          <w:pPr>
            <w:pStyle w:val="Footer"/>
            <w:ind w:right="360" w:firstLine="360"/>
          </w:pPr>
        </w:p>
      </w:tc>
      <w:tc>
        <w:tcPr>
          <w:tcW w:w="7767" w:type="dxa"/>
        </w:tcPr>
        <w:p w:rsidR="00966797" w:rsidRPr="00BA5B14" w:rsidRDefault="00CA227C" w:rsidP="0013739A">
          <w:pPr>
            <w:pStyle w:val="Footer"/>
            <w:jc w:val="right"/>
            <w:rPr>
              <w:rFonts w:cs="Arial"/>
            </w:rPr>
          </w:pPr>
          <w:r>
            <w:rPr>
              <w:rFonts w:cs="Arial"/>
            </w:rPr>
            <w:t>OUTCOMES FOR TORRES STRAIT ISLANDER PEOPLE</w:t>
          </w:r>
          <w:bookmarkStart w:id="5" w:name="DraftReportOdd"/>
          <w:bookmarkEnd w:id="5"/>
        </w:p>
      </w:tc>
      <w:tc>
        <w:tcPr>
          <w:tcW w:w="510" w:type="dxa"/>
        </w:tcPr>
        <w:p w:rsidR="00966797" w:rsidRPr="00A24443" w:rsidRDefault="00966797">
          <w:pPr>
            <w:pStyle w:val="Footer"/>
            <w:jc w:val="right"/>
            <w:rPr>
              <w:caps w:val="0"/>
            </w:rPr>
          </w:pPr>
          <w:r>
            <w:rPr>
              <w:rStyle w:val="PageNumber"/>
              <w:caps w:val="0"/>
            </w:rPr>
            <w:t>12.</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D43CB">
            <w:rPr>
              <w:rStyle w:val="PageNumber"/>
              <w:caps w:val="0"/>
              <w:noProof/>
            </w:rPr>
            <w:t>1</w:t>
          </w:r>
          <w:r w:rsidRPr="00A24443">
            <w:rPr>
              <w:rStyle w:val="PageNumber"/>
              <w:caps w:val="0"/>
            </w:rPr>
            <w:fldChar w:fldCharType="end"/>
          </w:r>
        </w:p>
      </w:tc>
    </w:tr>
  </w:tbl>
  <w:p w:rsidR="00966797" w:rsidRDefault="00966797">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797" w:rsidRDefault="00966797">
      <w:r>
        <w:separator/>
      </w:r>
    </w:p>
  </w:footnote>
  <w:footnote w:type="continuationSeparator" w:id="0">
    <w:p w:rsidR="00966797" w:rsidRDefault="00966797">
      <w:r>
        <w:continuationSeparator/>
      </w:r>
    </w:p>
  </w:footnote>
  <w:footnote w:id="1">
    <w:p w:rsidR="00966797" w:rsidRDefault="00966797">
      <w:pPr>
        <w:pStyle w:val="FootnoteText"/>
      </w:pPr>
      <w:r w:rsidRPr="001B1E68">
        <w:rPr>
          <w:rStyle w:val="FootnoteReference"/>
        </w:rPr>
        <w:footnoteRef/>
      </w:r>
      <w:r>
        <w:tab/>
      </w:r>
      <w:r w:rsidRPr="00DC4582">
        <w:t xml:space="preserve">The Steering Committee notes its appreciation to </w:t>
      </w:r>
      <w:r w:rsidRPr="002313FF">
        <w:t xml:space="preserve">Dr Felecia Watkin </w:t>
      </w:r>
      <w:proofErr w:type="spellStart"/>
      <w:r w:rsidRPr="002313FF">
        <w:t>Lui</w:t>
      </w:r>
      <w:proofErr w:type="spellEnd"/>
      <w:r w:rsidRPr="002313FF">
        <w:t>, James Cook University</w:t>
      </w:r>
      <w:r w:rsidRPr="00DC4582">
        <w:t>, who reviewed a draft</w:t>
      </w:r>
      <w:r>
        <w:t xml:space="preserve"> of this section of the report.</w:t>
      </w:r>
    </w:p>
  </w:footnote>
  <w:footnote w:id="2">
    <w:p w:rsidR="00966797" w:rsidRPr="005A3368" w:rsidRDefault="00966797" w:rsidP="00432966">
      <w:pPr>
        <w:pStyle w:val="FootnoteText"/>
        <w:rPr>
          <w:lang w:val="en-US"/>
        </w:rPr>
      </w:pPr>
      <w:r w:rsidRPr="001B1E68">
        <w:rPr>
          <w:rStyle w:val="FootnoteReference"/>
        </w:rPr>
        <w:footnoteRef/>
      </w:r>
      <w:r>
        <w:tab/>
        <w:t xml:space="preserve">In this chapter, Torres Strait Islander </w:t>
      </w:r>
      <w:r w:rsidR="00FF50E6">
        <w:t>people</w:t>
      </w:r>
      <w:r>
        <w:t xml:space="preserve"> is used to refer to those people who identify as Torres Strait Islander only or Aboriginal and Torres Strait Islander.</w:t>
      </w:r>
    </w:p>
  </w:footnote>
  <w:footnote w:id="3">
    <w:p w:rsidR="00966797" w:rsidRPr="006920D6" w:rsidRDefault="00966797">
      <w:pPr>
        <w:pStyle w:val="FootnoteText"/>
        <w:rPr>
          <w:lang w:val="en-US"/>
        </w:rPr>
      </w:pPr>
      <w:r w:rsidRPr="001B1E68">
        <w:rPr>
          <w:rStyle w:val="FootnoteReference"/>
        </w:rPr>
        <w:footnoteRef/>
      </w:r>
      <w:r>
        <w:tab/>
        <w:t>The Torres Strait Region is classified as a very remote area, based on the ABS classification for remoteness used in this report.</w:t>
      </w:r>
    </w:p>
  </w:footnote>
  <w:footnote w:id="4">
    <w:p w:rsidR="00966797" w:rsidRDefault="00966797" w:rsidP="00A026B9">
      <w:pPr>
        <w:pStyle w:val="FootnoteText"/>
      </w:pPr>
      <w:r w:rsidRPr="001B1E68">
        <w:rPr>
          <w:rStyle w:val="FootnoteReference"/>
        </w:rPr>
        <w:footnoteRef/>
      </w:r>
      <w:r>
        <w:tab/>
        <w:t>NIRA reporting uses the ABS Survey of Education and Work (SEW) non-Indigenous population data. The 2014 SEW estimates 86.4 per cent for the non-Indigenous population aged 20–24 years</w:t>
      </w:r>
      <w:r w:rsidR="00016085">
        <w:t xml:space="preserve"> </w:t>
      </w:r>
      <w:r w:rsidR="00844FE9">
        <w:fldChar w:fldCharType="begin"/>
      </w:r>
      <w:r w:rsidR="00844FE9">
        <w:instrText xml:space="preserve"> ADDIN ZOTERO_ITEM CSL_CITATION {"citationID":"1kfjt2u31m","properties":{"formattedCitation":"{\\rtf (SCRGSP\\uc0\\u160{}forthcoming)}","plainCitation":"(SCRGSP forthcoming)"},"citationItems":[{"id":2718,"uris":["http://zotero.org/groups/155274/items/8N3CDT4A"],"uri":["http://zotero.org/groups/155274/items/8N3CDT4A"],"itemData":{"id":2718,"type":"report","title":"National Agreement Performance Information 2015-16: National Indigenous Reform Agreement","publisher":"Productivity Commission","publisher-place":"Canberra","event-place":"Canberra","author":[{"literal":"Steering Committee for the Review of Government Service Provision"}],"translator":[{"literal":"SCRGSP"}],"issued":{"literal":"forthcoming"}}}],"schema":"https://github.com/citation-style-language/schema/raw/master/csl-citation.json"} </w:instrText>
      </w:r>
      <w:r w:rsidR="00844FE9">
        <w:fldChar w:fldCharType="separate"/>
      </w:r>
      <w:r w:rsidR="00844FE9" w:rsidRPr="00844FE9">
        <w:rPr>
          <w:szCs w:val="24"/>
        </w:rPr>
        <w:t>(SCRGSP forthcoming)</w:t>
      </w:r>
      <w:r w:rsidR="00844FE9">
        <w:fldChar w:fldCharType="end"/>
      </w:r>
      <w:r w:rsidRPr="006C17CD">
        <w:t xml:space="preserve"> – compared</w:t>
      </w:r>
      <w:r>
        <w:t xml:space="preserve"> to </w:t>
      </w:r>
      <w:r w:rsidRPr="008100B1">
        <w:t>87.9</w:t>
      </w:r>
      <w:r>
        <w:t> </w:t>
      </w:r>
      <w:r w:rsidRPr="008100B1">
        <w:t>per</w:t>
      </w:r>
      <w:r>
        <w:t> </w:t>
      </w:r>
      <w:r w:rsidRPr="008100B1">
        <w:t>cent</w:t>
      </w:r>
      <w:r>
        <w:t xml:space="preserve"> from the </w:t>
      </w:r>
      <w:r w:rsidRPr="00EA0F5C">
        <w:t>GSS (table 4A.6.1)</w:t>
      </w:r>
      <w:r>
        <w:t xml:space="preserve">. </w:t>
      </w:r>
    </w:p>
  </w:footnote>
  <w:footnote w:id="5">
    <w:p w:rsidR="00966797" w:rsidRDefault="00966797" w:rsidP="00A026B9">
      <w:pPr>
        <w:pStyle w:val="FootnoteText"/>
      </w:pPr>
      <w:r w:rsidRPr="001B1E68">
        <w:rPr>
          <w:rStyle w:val="FootnoteReference"/>
        </w:rPr>
        <w:footnoteRef/>
      </w:r>
      <w:r>
        <w:tab/>
        <w:t>NIRA reporting uses the ABS Survey of Education and Work (SEW) non-Indigenous population data. The 2014 SEW estimates 64.3 </w:t>
      </w:r>
      <w:r w:rsidRPr="008100B1">
        <w:t>per</w:t>
      </w:r>
      <w:r>
        <w:t> </w:t>
      </w:r>
      <w:r w:rsidRPr="008100B1">
        <w:t xml:space="preserve">cent for non-Indigenous </w:t>
      </w:r>
      <w:r>
        <w:t>population aged 20–64 years</w:t>
      </w:r>
      <w:r w:rsidR="00844FE9">
        <w:t xml:space="preserve"> </w:t>
      </w:r>
      <w:r w:rsidR="00844FE9">
        <w:fldChar w:fldCharType="begin"/>
      </w:r>
      <w:r w:rsidR="00844FE9">
        <w:instrText xml:space="preserve"> ADDIN ZOTERO_ITEM CSL_CITATION {"citationID":"8jtrm7q0a","properties":{"formattedCitation":"{\\rtf (SCRGSP\\uc0\\u160{}forthcoming)}","plainCitation":"(SCRGSP forthcoming)"},"citationItems":[{"id":2718,"uris":["http://zotero.org/groups/155274/items/8N3CDT4A"],"uri":["http://zotero.org/groups/155274/items/8N3CDT4A"],"itemData":{"id":2718,"type":"report","title":"National Agreement Performance Information 2015-16: National Indigenous Reform Agreement","publisher":"Productivity Commission","publisher-place":"Canberra","event-place":"Canberra","author":[{"literal":"Steering Committee for the Review of Government Service Provision"}],"translator":[{"literal":"SCRGSP"}],"issued":{"literal":"forthcoming"}}}],"schema":"https://github.com/citation-style-language/schema/raw/master/csl-citation.json"} </w:instrText>
      </w:r>
      <w:r w:rsidR="00844FE9">
        <w:fldChar w:fldCharType="separate"/>
      </w:r>
      <w:r w:rsidR="00844FE9" w:rsidRPr="00844FE9">
        <w:rPr>
          <w:szCs w:val="24"/>
        </w:rPr>
        <w:t>(SCRGSP forthcoming)</w:t>
      </w:r>
      <w:r w:rsidR="00844FE9">
        <w:fldChar w:fldCharType="end"/>
      </w:r>
      <w:r w:rsidRPr="008100B1">
        <w:t xml:space="preserve"> – compared to 70.0</w:t>
      </w:r>
      <w:r>
        <w:t> </w:t>
      </w:r>
      <w:r w:rsidRPr="008100B1">
        <w:t>per</w:t>
      </w:r>
      <w:r>
        <w:t> </w:t>
      </w:r>
      <w:r w:rsidRPr="008100B1">
        <w:t>cent from the GSS (table</w:t>
      </w:r>
      <w:r>
        <w:t> </w:t>
      </w:r>
      <w:r w:rsidRPr="008100B1">
        <w:t>4A.8.7).</w:t>
      </w:r>
    </w:p>
  </w:footnote>
  <w:footnote w:id="6">
    <w:p w:rsidR="00966797" w:rsidRDefault="00966797" w:rsidP="00F50F33">
      <w:pPr>
        <w:pStyle w:val="FootnoteText"/>
      </w:pPr>
      <w:r w:rsidRPr="001B1E68">
        <w:rPr>
          <w:rStyle w:val="FootnoteReference"/>
        </w:rPr>
        <w:footnoteRef/>
      </w:r>
      <w:r>
        <w:tab/>
      </w:r>
      <w:r w:rsidRPr="0093151A">
        <w:t>The Torres Strait Region (for Census purposes) includes the Torres Strait Islands, islands between Cape York a</w:t>
      </w:r>
      <w:r>
        <w:t>nd Papua New Guinea, and does not</w:t>
      </w:r>
      <w:r w:rsidRPr="0093151A">
        <w:t xml:space="preserve"> include Bamaga and </w:t>
      </w:r>
      <w:proofErr w:type="spellStart"/>
      <w:r w:rsidRPr="0093151A">
        <w:t>Seisa</w:t>
      </w:r>
      <w:proofErr w:type="spellEnd"/>
      <w:r w:rsidRPr="0093151A">
        <w:t xml:space="preserve"> (mainland </w:t>
      </w:r>
      <w:r>
        <w:t xml:space="preserve">Torres Strait Islander communities </w:t>
      </w:r>
      <w:r w:rsidRPr="0093151A">
        <w:t>at the tip of Cape York)</w:t>
      </w:r>
      <w:r>
        <w:t>,</w:t>
      </w:r>
      <w:r w:rsidRPr="0093151A">
        <w:t xml:space="preserve"> although this area is part of the Torres Strait Regional Authority’s area of responsibility.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66797">
      <w:tc>
        <w:tcPr>
          <w:tcW w:w="2155" w:type="dxa"/>
          <w:tcBorders>
            <w:top w:val="single" w:sz="24" w:space="0" w:color="auto"/>
          </w:tcBorders>
        </w:tcPr>
        <w:p w:rsidR="00966797" w:rsidRDefault="00966797" w:rsidP="0019293B">
          <w:pPr>
            <w:pStyle w:val="HeaderEven"/>
          </w:pPr>
        </w:p>
      </w:tc>
      <w:tc>
        <w:tcPr>
          <w:tcW w:w="6634" w:type="dxa"/>
          <w:tcBorders>
            <w:top w:val="single" w:sz="6" w:space="0" w:color="auto"/>
          </w:tcBorders>
        </w:tcPr>
        <w:p w:rsidR="00966797" w:rsidRDefault="00966797" w:rsidP="0019293B">
          <w:pPr>
            <w:pStyle w:val="HeaderEven"/>
          </w:pPr>
        </w:p>
      </w:tc>
    </w:tr>
  </w:tbl>
  <w:p w:rsidR="00966797" w:rsidRDefault="00966797"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66797">
      <w:tc>
        <w:tcPr>
          <w:tcW w:w="6634" w:type="dxa"/>
          <w:tcBorders>
            <w:top w:val="single" w:sz="6" w:space="0" w:color="auto"/>
          </w:tcBorders>
        </w:tcPr>
        <w:p w:rsidR="00966797" w:rsidRDefault="00966797" w:rsidP="00E669E2">
          <w:pPr>
            <w:pStyle w:val="HeaderOdd"/>
          </w:pPr>
        </w:p>
      </w:tc>
      <w:tc>
        <w:tcPr>
          <w:tcW w:w="2155" w:type="dxa"/>
          <w:tcBorders>
            <w:top w:val="single" w:sz="24" w:space="0" w:color="auto"/>
          </w:tcBorders>
        </w:tcPr>
        <w:p w:rsidR="00966797" w:rsidRDefault="00966797" w:rsidP="00E669E2">
          <w:pPr>
            <w:pStyle w:val="HeaderOdd"/>
          </w:pPr>
        </w:p>
      </w:tc>
    </w:tr>
  </w:tbl>
  <w:p w:rsidR="00966797" w:rsidRDefault="00966797"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OUTCOMES FOR TORRES STRAIT ISLANDER PEOPLE"/>
    <w:docVar w:name="ShortReportTitle" w:val="OVERCOMING INDIGENOUS DISADVANTAGE 2016"/>
  </w:docVars>
  <w:rsids>
    <w:rsidRoot w:val="00192E97"/>
    <w:rsid w:val="0001308F"/>
    <w:rsid w:val="00016085"/>
    <w:rsid w:val="000227D5"/>
    <w:rsid w:val="00023F24"/>
    <w:rsid w:val="000245AA"/>
    <w:rsid w:val="0002751A"/>
    <w:rsid w:val="000328A9"/>
    <w:rsid w:val="00033271"/>
    <w:rsid w:val="0003664B"/>
    <w:rsid w:val="0004111F"/>
    <w:rsid w:val="00053F81"/>
    <w:rsid w:val="00055077"/>
    <w:rsid w:val="000565B3"/>
    <w:rsid w:val="00063063"/>
    <w:rsid w:val="00066262"/>
    <w:rsid w:val="0007150B"/>
    <w:rsid w:val="00072B7A"/>
    <w:rsid w:val="00083D70"/>
    <w:rsid w:val="000919BF"/>
    <w:rsid w:val="000938F5"/>
    <w:rsid w:val="00094299"/>
    <w:rsid w:val="00095663"/>
    <w:rsid w:val="00096E55"/>
    <w:rsid w:val="0009783E"/>
    <w:rsid w:val="000A3684"/>
    <w:rsid w:val="000B1022"/>
    <w:rsid w:val="000B2D79"/>
    <w:rsid w:val="000B601B"/>
    <w:rsid w:val="000B6311"/>
    <w:rsid w:val="000B7D0F"/>
    <w:rsid w:val="000C207E"/>
    <w:rsid w:val="000D0EEA"/>
    <w:rsid w:val="000D1571"/>
    <w:rsid w:val="000D1824"/>
    <w:rsid w:val="000D41E9"/>
    <w:rsid w:val="000E2FB1"/>
    <w:rsid w:val="000F0035"/>
    <w:rsid w:val="000F0186"/>
    <w:rsid w:val="000F04E7"/>
    <w:rsid w:val="000F060A"/>
    <w:rsid w:val="000F2F1D"/>
    <w:rsid w:val="000F420B"/>
    <w:rsid w:val="000F5175"/>
    <w:rsid w:val="00110116"/>
    <w:rsid w:val="001128E9"/>
    <w:rsid w:val="00120072"/>
    <w:rsid w:val="00126EB8"/>
    <w:rsid w:val="001274D4"/>
    <w:rsid w:val="00131373"/>
    <w:rsid w:val="00132167"/>
    <w:rsid w:val="001346B3"/>
    <w:rsid w:val="001363AA"/>
    <w:rsid w:val="0013739A"/>
    <w:rsid w:val="00140B47"/>
    <w:rsid w:val="00140BDC"/>
    <w:rsid w:val="00142165"/>
    <w:rsid w:val="0014367A"/>
    <w:rsid w:val="00162434"/>
    <w:rsid w:val="00163F1E"/>
    <w:rsid w:val="00176818"/>
    <w:rsid w:val="00180B2B"/>
    <w:rsid w:val="00183E82"/>
    <w:rsid w:val="001868FA"/>
    <w:rsid w:val="001878BB"/>
    <w:rsid w:val="00190463"/>
    <w:rsid w:val="00191AE0"/>
    <w:rsid w:val="0019293B"/>
    <w:rsid w:val="00192E97"/>
    <w:rsid w:val="0019426B"/>
    <w:rsid w:val="001A06AD"/>
    <w:rsid w:val="001A6A4B"/>
    <w:rsid w:val="001B1E68"/>
    <w:rsid w:val="001B5D92"/>
    <w:rsid w:val="001C0865"/>
    <w:rsid w:val="001C0AED"/>
    <w:rsid w:val="001C3ABA"/>
    <w:rsid w:val="001C5111"/>
    <w:rsid w:val="001C7B2A"/>
    <w:rsid w:val="001D33FC"/>
    <w:rsid w:val="001E40A7"/>
    <w:rsid w:val="001E7BE8"/>
    <w:rsid w:val="001F0248"/>
    <w:rsid w:val="001F0B86"/>
    <w:rsid w:val="001F15CD"/>
    <w:rsid w:val="001F3EB3"/>
    <w:rsid w:val="001F4F86"/>
    <w:rsid w:val="00202C2C"/>
    <w:rsid w:val="00203050"/>
    <w:rsid w:val="002135AB"/>
    <w:rsid w:val="00213643"/>
    <w:rsid w:val="002144BE"/>
    <w:rsid w:val="00215F7D"/>
    <w:rsid w:val="00220046"/>
    <w:rsid w:val="002313FF"/>
    <w:rsid w:val="00242279"/>
    <w:rsid w:val="00243997"/>
    <w:rsid w:val="0024516C"/>
    <w:rsid w:val="00245C82"/>
    <w:rsid w:val="002563BF"/>
    <w:rsid w:val="00256975"/>
    <w:rsid w:val="002615CA"/>
    <w:rsid w:val="00272337"/>
    <w:rsid w:val="002724BA"/>
    <w:rsid w:val="00276402"/>
    <w:rsid w:val="00281344"/>
    <w:rsid w:val="002820DA"/>
    <w:rsid w:val="002854E0"/>
    <w:rsid w:val="00291B40"/>
    <w:rsid w:val="002A636F"/>
    <w:rsid w:val="002B4008"/>
    <w:rsid w:val="002C262C"/>
    <w:rsid w:val="002C439F"/>
    <w:rsid w:val="002D0C42"/>
    <w:rsid w:val="002D0E8E"/>
    <w:rsid w:val="002D1197"/>
    <w:rsid w:val="002D43CB"/>
    <w:rsid w:val="002F14BE"/>
    <w:rsid w:val="00300D08"/>
    <w:rsid w:val="00301189"/>
    <w:rsid w:val="00301E4A"/>
    <w:rsid w:val="003071D5"/>
    <w:rsid w:val="00315AB4"/>
    <w:rsid w:val="003168B8"/>
    <w:rsid w:val="00321865"/>
    <w:rsid w:val="00322D64"/>
    <w:rsid w:val="00323E09"/>
    <w:rsid w:val="00326353"/>
    <w:rsid w:val="00326F50"/>
    <w:rsid w:val="0033036A"/>
    <w:rsid w:val="00333932"/>
    <w:rsid w:val="003403DB"/>
    <w:rsid w:val="00342C31"/>
    <w:rsid w:val="003518AA"/>
    <w:rsid w:val="00352165"/>
    <w:rsid w:val="00353182"/>
    <w:rsid w:val="00355994"/>
    <w:rsid w:val="00355C6D"/>
    <w:rsid w:val="003565D9"/>
    <w:rsid w:val="003602E1"/>
    <w:rsid w:val="0037026F"/>
    <w:rsid w:val="00371240"/>
    <w:rsid w:val="00374731"/>
    <w:rsid w:val="00376E59"/>
    <w:rsid w:val="00377EC1"/>
    <w:rsid w:val="00380340"/>
    <w:rsid w:val="00382E53"/>
    <w:rsid w:val="0038416F"/>
    <w:rsid w:val="003919F9"/>
    <w:rsid w:val="003920CF"/>
    <w:rsid w:val="00397B60"/>
    <w:rsid w:val="003B0682"/>
    <w:rsid w:val="003B23C2"/>
    <w:rsid w:val="003B40FB"/>
    <w:rsid w:val="003B6F77"/>
    <w:rsid w:val="003C1291"/>
    <w:rsid w:val="003C38B5"/>
    <w:rsid w:val="003C5D99"/>
    <w:rsid w:val="003D1087"/>
    <w:rsid w:val="003E2F59"/>
    <w:rsid w:val="003E746B"/>
    <w:rsid w:val="003F0789"/>
    <w:rsid w:val="003F1012"/>
    <w:rsid w:val="00401882"/>
    <w:rsid w:val="004058F7"/>
    <w:rsid w:val="004100C8"/>
    <w:rsid w:val="00411DBD"/>
    <w:rsid w:val="00412ACE"/>
    <w:rsid w:val="004145D2"/>
    <w:rsid w:val="004148FA"/>
    <w:rsid w:val="004259F7"/>
    <w:rsid w:val="00426CB4"/>
    <w:rsid w:val="00430712"/>
    <w:rsid w:val="00431249"/>
    <w:rsid w:val="00432966"/>
    <w:rsid w:val="00434C19"/>
    <w:rsid w:val="004471EA"/>
    <w:rsid w:val="00450810"/>
    <w:rsid w:val="0045466F"/>
    <w:rsid w:val="00456F64"/>
    <w:rsid w:val="00461966"/>
    <w:rsid w:val="00462C59"/>
    <w:rsid w:val="004640F2"/>
    <w:rsid w:val="00470737"/>
    <w:rsid w:val="00477144"/>
    <w:rsid w:val="004827C0"/>
    <w:rsid w:val="00491380"/>
    <w:rsid w:val="0049459F"/>
    <w:rsid w:val="00495719"/>
    <w:rsid w:val="004A1B92"/>
    <w:rsid w:val="004A2B3E"/>
    <w:rsid w:val="004A38DD"/>
    <w:rsid w:val="004B43AE"/>
    <w:rsid w:val="004B6508"/>
    <w:rsid w:val="004C0BA6"/>
    <w:rsid w:val="004C20CD"/>
    <w:rsid w:val="004C30ED"/>
    <w:rsid w:val="004D1BCC"/>
    <w:rsid w:val="004D2259"/>
    <w:rsid w:val="004D5675"/>
    <w:rsid w:val="004D7600"/>
    <w:rsid w:val="004E7DA8"/>
    <w:rsid w:val="004F403C"/>
    <w:rsid w:val="004F7EDF"/>
    <w:rsid w:val="00506E40"/>
    <w:rsid w:val="00517795"/>
    <w:rsid w:val="00521E7D"/>
    <w:rsid w:val="00523639"/>
    <w:rsid w:val="00531FE5"/>
    <w:rsid w:val="005402FA"/>
    <w:rsid w:val="00540652"/>
    <w:rsid w:val="005508F1"/>
    <w:rsid w:val="005571BD"/>
    <w:rsid w:val="0056233E"/>
    <w:rsid w:val="00563ADD"/>
    <w:rsid w:val="005729BD"/>
    <w:rsid w:val="00580154"/>
    <w:rsid w:val="00583C39"/>
    <w:rsid w:val="00586A90"/>
    <w:rsid w:val="00587F28"/>
    <w:rsid w:val="005909CF"/>
    <w:rsid w:val="00591E71"/>
    <w:rsid w:val="005A04CA"/>
    <w:rsid w:val="005A0D41"/>
    <w:rsid w:val="005A3368"/>
    <w:rsid w:val="005B250F"/>
    <w:rsid w:val="005B4F1D"/>
    <w:rsid w:val="005B6256"/>
    <w:rsid w:val="005C35E0"/>
    <w:rsid w:val="005D329F"/>
    <w:rsid w:val="005D4B01"/>
    <w:rsid w:val="005E2AC6"/>
    <w:rsid w:val="005E582F"/>
    <w:rsid w:val="005F48ED"/>
    <w:rsid w:val="00606E78"/>
    <w:rsid w:val="00607BF1"/>
    <w:rsid w:val="006142DF"/>
    <w:rsid w:val="00624A7A"/>
    <w:rsid w:val="006302F3"/>
    <w:rsid w:val="00630D4D"/>
    <w:rsid w:val="00632A74"/>
    <w:rsid w:val="006361C3"/>
    <w:rsid w:val="00650813"/>
    <w:rsid w:val="00650EA2"/>
    <w:rsid w:val="00654D42"/>
    <w:rsid w:val="00657782"/>
    <w:rsid w:val="00662AC8"/>
    <w:rsid w:val="00666E02"/>
    <w:rsid w:val="0067317F"/>
    <w:rsid w:val="00681852"/>
    <w:rsid w:val="00682BD3"/>
    <w:rsid w:val="00683902"/>
    <w:rsid w:val="006869D0"/>
    <w:rsid w:val="006920D6"/>
    <w:rsid w:val="006A4655"/>
    <w:rsid w:val="006B079B"/>
    <w:rsid w:val="006B295C"/>
    <w:rsid w:val="006B2B3C"/>
    <w:rsid w:val="006B406F"/>
    <w:rsid w:val="006C1D81"/>
    <w:rsid w:val="006C7038"/>
    <w:rsid w:val="006E2DF8"/>
    <w:rsid w:val="006E73EF"/>
    <w:rsid w:val="00702218"/>
    <w:rsid w:val="007079C9"/>
    <w:rsid w:val="0071471B"/>
    <w:rsid w:val="00714D4D"/>
    <w:rsid w:val="007266D3"/>
    <w:rsid w:val="0072697A"/>
    <w:rsid w:val="00732029"/>
    <w:rsid w:val="007348D5"/>
    <w:rsid w:val="00740B65"/>
    <w:rsid w:val="0076028A"/>
    <w:rsid w:val="007604BB"/>
    <w:rsid w:val="007637A1"/>
    <w:rsid w:val="00770AEB"/>
    <w:rsid w:val="00772909"/>
    <w:rsid w:val="00775D0D"/>
    <w:rsid w:val="00776F5B"/>
    <w:rsid w:val="00785232"/>
    <w:rsid w:val="00786BFA"/>
    <w:rsid w:val="00790086"/>
    <w:rsid w:val="007934C5"/>
    <w:rsid w:val="0079701E"/>
    <w:rsid w:val="00797EE3"/>
    <w:rsid w:val="007A21EB"/>
    <w:rsid w:val="007B1A93"/>
    <w:rsid w:val="007C36C9"/>
    <w:rsid w:val="007C3D42"/>
    <w:rsid w:val="007D1DE1"/>
    <w:rsid w:val="007D6401"/>
    <w:rsid w:val="007E01E4"/>
    <w:rsid w:val="007E7A12"/>
    <w:rsid w:val="007F7107"/>
    <w:rsid w:val="00800D4C"/>
    <w:rsid w:val="008100B1"/>
    <w:rsid w:val="0081030F"/>
    <w:rsid w:val="00812609"/>
    <w:rsid w:val="00812F4A"/>
    <w:rsid w:val="0082087D"/>
    <w:rsid w:val="00821C7F"/>
    <w:rsid w:val="00830FDC"/>
    <w:rsid w:val="00833869"/>
    <w:rsid w:val="00835771"/>
    <w:rsid w:val="00842933"/>
    <w:rsid w:val="00844FE9"/>
    <w:rsid w:val="008532AF"/>
    <w:rsid w:val="0086082C"/>
    <w:rsid w:val="008635B7"/>
    <w:rsid w:val="00864ADC"/>
    <w:rsid w:val="00877553"/>
    <w:rsid w:val="00880153"/>
    <w:rsid w:val="00880F97"/>
    <w:rsid w:val="0088133A"/>
    <w:rsid w:val="00881BDC"/>
    <w:rsid w:val="0089285E"/>
    <w:rsid w:val="0089436C"/>
    <w:rsid w:val="008A76D8"/>
    <w:rsid w:val="008D365C"/>
    <w:rsid w:val="008D54D8"/>
    <w:rsid w:val="008D7622"/>
    <w:rsid w:val="008E6CD5"/>
    <w:rsid w:val="008F0368"/>
    <w:rsid w:val="009009DB"/>
    <w:rsid w:val="009021A6"/>
    <w:rsid w:val="009030BF"/>
    <w:rsid w:val="00903B52"/>
    <w:rsid w:val="0091032F"/>
    <w:rsid w:val="00914368"/>
    <w:rsid w:val="00914409"/>
    <w:rsid w:val="00931076"/>
    <w:rsid w:val="0093151A"/>
    <w:rsid w:val="009345D9"/>
    <w:rsid w:val="00934AE9"/>
    <w:rsid w:val="00934B15"/>
    <w:rsid w:val="009401E8"/>
    <w:rsid w:val="00940C87"/>
    <w:rsid w:val="00942B62"/>
    <w:rsid w:val="00945339"/>
    <w:rsid w:val="00946B44"/>
    <w:rsid w:val="00947664"/>
    <w:rsid w:val="00947E35"/>
    <w:rsid w:val="0095323B"/>
    <w:rsid w:val="00956A0C"/>
    <w:rsid w:val="00956BD9"/>
    <w:rsid w:val="009608B9"/>
    <w:rsid w:val="00962489"/>
    <w:rsid w:val="00966797"/>
    <w:rsid w:val="00967CD3"/>
    <w:rsid w:val="00977B25"/>
    <w:rsid w:val="00990C2C"/>
    <w:rsid w:val="009958A4"/>
    <w:rsid w:val="00997F35"/>
    <w:rsid w:val="009A5171"/>
    <w:rsid w:val="009B34F8"/>
    <w:rsid w:val="009B350B"/>
    <w:rsid w:val="009C7ACB"/>
    <w:rsid w:val="009E1844"/>
    <w:rsid w:val="009F0D1B"/>
    <w:rsid w:val="009F5BBD"/>
    <w:rsid w:val="009F696D"/>
    <w:rsid w:val="009F6BC6"/>
    <w:rsid w:val="009F74EF"/>
    <w:rsid w:val="00A026B9"/>
    <w:rsid w:val="00A02826"/>
    <w:rsid w:val="00A10EDF"/>
    <w:rsid w:val="00A15D5A"/>
    <w:rsid w:val="00A17328"/>
    <w:rsid w:val="00A23A20"/>
    <w:rsid w:val="00A24443"/>
    <w:rsid w:val="00A268B9"/>
    <w:rsid w:val="00A26D3B"/>
    <w:rsid w:val="00A2703A"/>
    <w:rsid w:val="00A33DFF"/>
    <w:rsid w:val="00A35115"/>
    <w:rsid w:val="00A36D9A"/>
    <w:rsid w:val="00A451DC"/>
    <w:rsid w:val="00A45F75"/>
    <w:rsid w:val="00A54FAE"/>
    <w:rsid w:val="00A554AB"/>
    <w:rsid w:val="00A56E11"/>
    <w:rsid w:val="00A57062"/>
    <w:rsid w:val="00A633FF"/>
    <w:rsid w:val="00A6410D"/>
    <w:rsid w:val="00A67781"/>
    <w:rsid w:val="00A70883"/>
    <w:rsid w:val="00A761F9"/>
    <w:rsid w:val="00A91213"/>
    <w:rsid w:val="00A91888"/>
    <w:rsid w:val="00A92881"/>
    <w:rsid w:val="00A92B53"/>
    <w:rsid w:val="00A94FA6"/>
    <w:rsid w:val="00AA16A5"/>
    <w:rsid w:val="00AA49A0"/>
    <w:rsid w:val="00AA6710"/>
    <w:rsid w:val="00AB0681"/>
    <w:rsid w:val="00AB6243"/>
    <w:rsid w:val="00AC3A15"/>
    <w:rsid w:val="00AD520B"/>
    <w:rsid w:val="00AE0C1F"/>
    <w:rsid w:val="00AE3BCC"/>
    <w:rsid w:val="00AE5419"/>
    <w:rsid w:val="00B02AB2"/>
    <w:rsid w:val="00B1151C"/>
    <w:rsid w:val="00B11C0C"/>
    <w:rsid w:val="00B14727"/>
    <w:rsid w:val="00B200D9"/>
    <w:rsid w:val="00B236A1"/>
    <w:rsid w:val="00B23B41"/>
    <w:rsid w:val="00B24481"/>
    <w:rsid w:val="00B425C3"/>
    <w:rsid w:val="00B4369E"/>
    <w:rsid w:val="00B440AD"/>
    <w:rsid w:val="00B4476E"/>
    <w:rsid w:val="00B479BB"/>
    <w:rsid w:val="00B53E7E"/>
    <w:rsid w:val="00B5529F"/>
    <w:rsid w:val="00B6342E"/>
    <w:rsid w:val="00B63916"/>
    <w:rsid w:val="00B70BC5"/>
    <w:rsid w:val="00B7113F"/>
    <w:rsid w:val="00B84E26"/>
    <w:rsid w:val="00B86A69"/>
    <w:rsid w:val="00B97795"/>
    <w:rsid w:val="00BA25E0"/>
    <w:rsid w:val="00BA2BCF"/>
    <w:rsid w:val="00BA5B14"/>
    <w:rsid w:val="00BA73B6"/>
    <w:rsid w:val="00BA7CA8"/>
    <w:rsid w:val="00BA7E27"/>
    <w:rsid w:val="00BB2603"/>
    <w:rsid w:val="00BB4DE3"/>
    <w:rsid w:val="00BB4FCD"/>
    <w:rsid w:val="00BC04E9"/>
    <w:rsid w:val="00BC1948"/>
    <w:rsid w:val="00BC3CB4"/>
    <w:rsid w:val="00BD13EA"/>
    <w:rsid w:val="00BE36B1"/>
    <w:rsid w:val="00BE3808"/>
    <w:rsid w:val="00C0222B"/>
    <w:rsid w:val="00C03B88"/>
    <w:rsid w:val="00C043F5"/>
    <w:rsid w:val="00C062E9"/>
    <w:rsid w:val="00C0794E"/>
    <w:rsid w:val="00C07B64"/>
    <w:rsid w:val="00C1014C"/>
    <w:rsid w:val="00C13721"/>
    <w:rsid w:val="00C14FE4"/>
    <w:rsid w:val="00C15BC1"/>
    <w:rsid w:val="00C16B8A"/>
    <w:rsid w:val="00C2036D"/>
    <w:rsid w:val="00C2312F"/>
    <w:rsid w:val="00C3066D"/>
    <w:rsid w:val="00C466D2"/>
    <w:rsid w:val="00C47CE5"/>
    <w:rsid w:val="00C52416"/>
    <w:rsid w:val="00C52878"/>
    <w:rsid w:val="00C543F4"/>
    <w:rsid w:val="00C562DD"/>
    <w:rsid w:val="00C6291C"/>
    <w:rsid w:val="00C633CB"/>
    <w:rsid w:val="00C664CD"/>
    <w:rsid w:val="00C70EA8"/>
    <w:rsid w:val="00C736B7"/>
    <w:rsid w:val="00C74C51"/>
    <w:rsid w:val="00C81A52"/>
    <w:rsid w:val="00C81D4A"/>
    <w:rsid w:val="00C843CC"/>
    <w:rsid w:val="00C8762C"/>
    <w:rsid w:val="00C9772F"/>
    <w:rsid w:val="00CA00F9"/>
    <w:rsid w:val="00CA227C"/>
    <w:rsid w:val="00CA2961"/>
    <w:rsid w:val="00CA2A8C"/>
    <w:rsid w:val="00CB2248"/>
    <w:rsid w:val="00CB50D7"/>
    <w:rsid w:val="00CB69D8"/>
    <w:rsid w:val="00CB7177"/>
    <w:rsid w:val="00CB7CED"/>
    <w:rsid w:val="00CC0681"/>
    <w:rsid w:val="00CC070F"/>
    <w:rsid w:val="00CC1998"/>
    <w:rsid w:val="00CC4946"/>
    <w:rsid w:val="00CC64A1"/>
    <w:rsid w:val="00CE0802"/>
    <w:rsid w:val="00CE582F"/>
    <w:rsid w:val="00CF02E0"/>
    <w:rsid w:val="00CF3B11"/>
    <w:rsid w:val="00CF4567"/>
    <w:rsid w:val="00D0731B"/>
    <w:rsid w:val="00D2120F"/>
    <w:rsid w:val="00D222E3"/>
    <w:rsid w:val="00D270A4"/>
    <w:rsid w:val="00D3037A"/>
    <w:rsid w:val="00D31D4B"/>
    <w:rsid w:val="00D31FE9"/>
    <w:rsid w:val="00D34E1B"/>
    <w:rsid w:val="00D376BA"/>
    <w:rsid w:val="00D434A0"/>
    <w:rsid w:val="00D45634"/>
    <w:rsid w:val="00D5568A"/>
    <w:rsid w:val="00D56180"/>
    <w:rsid w:val="00D63D73"/>
    <w:rsid w:val="00D64452"/>
    <w:rsid w:val="00D66E1E"/>
    <w:rsid w:val="00D70696"/>
    <w:rsid w:val="00D7482C"/>
    <w:rsid w:val="00D75722"/>
    <w:rsid w:val="00D76666"/>
    <w:rsid w:val="00D80CF5"/>
    <w:rsid w:val="00D8741A"/>
    <w:rsid w:val="00DA5BBA"/>
    <w:rsid w:val="00DB26D2"/>
    <w:rsid w:val="00DB67C9"/>
    <w:rsid w:val="00DC0C95"/>
    <w:rsid w:val="00DC2998"/>
    <w:rsid w:val="00DC4582"/>
    <w:rsid w:val="00DC4F0B"/>
    <w:rsid w:val="00DD6580"/>
    <w:rsid w:val="00DE6632"/>
    <w:rsid w:val="00DE74CF"/>
    <w:rsid w:val="00E01D7F"/>
    <w:rsid w:val="00E05C03"/>
    <w:rsid w:val="00E17C72"/>
    <w:rsid w:val="00E21C08"/>
    <w:rsid w:val="00E21E08"/>
    <w:rsid w:val="00E21FC6"/>
    <w:rsid w:val="00E3644D"/>
    <w:rsid w:val="00E37D7A"/>
    <w:rsid w:val="00E431A9"/>
    <w:rsid w:val="00E669E2"/>
    <w:rsid w:val="00E76135"/>
    <w:rsid w:val="00E82F4F"/>
    <w:rsid w:val="00E84EFB"/>
    <w:rsid w:val="00E864DF"/>
    <w:rsid w:val="00E86F88"/>
    <w:rsid w:val="00E9217F"/>
    <w:rsid w:val="00E931F5"/>
    <w:rsid w:val="00E932CB"/>
    <w:rsid w:val="00E9534C"/>
    <w:rsid w:val="00EA5A0D"/>
    <w:rsid w:val="00EA6832"/>
    <w:rsid w:val="00EB2C6D"/>
    <w:rsid w:val="00EB2CC3"/>
    <w:rsid w:val="00EC2844"/>
    <w:rsid w:val="00EC5500"/>
    <w:rsid w:val="00ED18F8"/>
    <w:rsid w:val="00EE16B4"/>
    <w:rsid w:val="00EE6EDA"/>
    <w:rsid w:val="00EE778E"/>
    <w:rsid w:val="00EF3C27"/>
    <w:rsid w:val="00EF6719"/>
    <w:rsid w:val="00EF6C6C"/>
    <w:rsid w:val="00F056FC"/>
    <w:rsid w:val="00F0632F"/>
    <w:rsid w:val="00F069AE"/>
    <w:rsid w:val="00F0767A"/>
    <w:rsid w:val="00F10476"/>
    <w:rsid w:val="00F135D8"/>
    <w:rsid w:val="00F14DDF"/>
    <w:rsid w:val="00F25048"/>
    <w:rsid w:val="00F3067C"/>
    <w:rsid w:val="00F31299"/>
    <w:rsid w:val="00F3534A"/>
    <w:rsid w:val="00F35BFB"/>
    <w:rsid w:val="00F36ACC"/>
    <w:rsid w:val="00F43207"/>
    <w:rsid w:val="00F445B4"/>
    <w:rsid w:val="00F4556A"/>
    <w:rsid w:val="00F50F33"/>
    <w:rsid w:val="00F51609"/>
    <w:rsid w:val="00F55C25"/>
    <w:rsid w:val="00F6064E"/>
    <w:rsid w:val="00F629E1"/>
    <w:rsid w:val="00F73727"/>
    <w:rsid w:val="00F766A7"/>
    <w:rsid w:val="00F77BC5"/>
    <w:rsid w:val="00F81006"/>
    <w:rsid w:val="00F85325"/>
    <w:rsid w:val="00F94EFA"/>
    <w:rsid w:val="00FA66B4"/>
    <w:rsid w:val="00FB445F"/>
    <w:rsid w:val="00FD22B1"/>
    <w:rsid w:val="00FD33F1"/>
    <w:rsid w:val="00FD3566"/>
    <w:rsid w:val="00FE5397"/>
    <w:rsid w:val="00FF3A99"/>
    <w:rsid w:val="00FF50E6"/>
    <w:rsid w:val="00FF6508"/>
    <w:rsid w:val="00FF78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styleId="Hyperlink">
    <w:name w:val="Hyperlink"/>
    <w:basedOn w:val="DefaultParagraphFont"/>
    <w:rsid w:val="00192E97"/>
    <w:rPr>
      <w:color w:val="78A22F" w:themeColor="hyperlink"/>
      <w:u w:val="single"/>
    </w:rPr>
  </w:style>
  <w:style w:type="paragraph" w:styleId="Bibliography">
    <w:name w:val="Bibliography"/>
    <w:basedOn w:val="Normal"/>
    <w:next w:val="Normal"/>
    <w:uiPriority w:val="37"/>
    <w:unhideWhenUsed/>
    <w:rsid w:val="00213643"/>
    <w:pPr>
      <w:spacing w:after="240"/>
      <w:ind w:left="720" w:hanging="720"/>
    </w:pPr>
  </w:style>
  <w:style w:type="character" w:styleId="EndnoteReference">
    <w:name w:val="endnote reference"/>
    <w:basedOn w:val="DefaultParagraphFont"/>
    <w:rsid w:val="005E2AC6"/>
    <w:rPr>
      <w:vertAlign w:val="superscript"/>
    </w:rPr>
  </w:style>
  <w:style w:type="paragraph" w:styleId="CommentSubject">
    <w:name w:val="annotation subject"/>
    <w:basedOn w:val="CommentText"/>
    <w:next w:val="CommentText"/>
    <w:link w:val="CommentSubjectChar"/>
    <w:rsid w:val="001B5D92"/>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1B5D92"/>
    <w:rPr>
      <w:szCs w:val="24"/>
    </w:rPr>
  </w:style>
  <w:style w:type="character" w:customStyle="1" w:styleId="CommentSubjectChar">
    <w:name w:val="Comment Subject Char"/>
    <w:basedOn w:val="CommentTextChar"/>
    <w:link w:val="CommentSubject"/>
    <w:rsid w:val="001B5D92"/>
    <w:rPr>
      <w:b/>
      <w:bCs/>
      <w:szCs w:val="24"/>
    </w:rPr>
  </w:style>
  <w:style w:type="paragraph" w:styleId="Revision">
    <w:name w:val="Revision"/>
    <w:hidden/>
    <w:uiPriority w:val="99"/>
    <w:semiHidden/>
    <w:rsid w:val="00CF45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styleId="Hyperlink">
    <w:name w:val="Hyperlink"/>
    <w:basedOn w:val="DefaultParagraphFont"/>
    <w:rsid w:val="00192E97"/>
    <w:rPr>
      <w:color w:val="78A22F" w:themeColor="hyperlink"/>
      <w:u w:val="single"/>
    </w:rPr>
  </w:style>
  <w:style w:type="paragraph" w:styleId="Bibliography">
    <w:name w:val="Bibliography"/>
    <w:basedOn w:val="Normal"/>
    <w:next w:val="Normal"/>
    <w:uiPriority w:val="37"/>
    <w:unhideWhenUsed/>
    <w:rsid w:val="00213643"/>
    <w:pPr>
      <w:spacing w:after="240"/>
      <w:ind w:left="720" w:hanging="720"/>
    </w:pPr>
  </w:style>
  <w:style w:type="character" w:styleId="EndnoteReference">
    <w:name w:val="endnote reference"/>
    <w:basedOn w:val="DefaultParagraphFont"/>
    <w:rsid w:val="005E2AC6"/>
    <w:rPr>
      <w:vertAlign w:val="superscript"/>
    </w:rPr>
  </w:style>
  <w:style w:type="paragraph" w:styleId="CommentSubject">
    <w:name w:val="annotation subject"/>
    <w:basedOn w:val="CommentText"/>
    <w:next w:val="CommentText"/>
    <w:link w:val="CommentSubjectChar"/>
    <w:rsid w:val="001B5D92"/>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1B5D92"/>
    <w:rPr>
      <w:szCs w:val="24"/>
    </w:rPr>
  </w:style>
  <w:style w:type="character" w:customStyle="1" w:styleId="CommentSubjectChar">
    <w:name w:val="Comment Subject Char"/>
    <w:basedOn w:val="CommentTextChar"/>
    <w:link w:val="CommentSubject"/>
    <w:rsid w:val="001B5D92"/>
    <w:rPr>
      <w:b/>
      <w:bCs/>
      <w:szCs w:val="24"/>
    </w:rPr>
  </w:style>
  <w:style w:type="paragraph" w:styleId="Revision">
    <w:name w:val="Revision"/>
    <w:hidden/>
    <w:uiPriority w:val="99"/>
    <w:semiHidden/>
    <w:rsid w:val="00CF45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348054">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92C21-2F38-41F8-867F-FF48DE25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17</TotalTime>
  <Pages>8</Pages>
  <Words>2577</Words>
  <Characters>14363</Characters>
  <Application>Microsoft Office Word</Application>
  <DocSecurity>0</DocSecurity>
  <Lines>240</Lines>
  <Paragraphs>62</Paragraphs>
  <ScaleCrop>false</ScaleCrop>
  <HeadingPairs>
    <vt:vector size="2" baseType="variant">
      <vt:variant>
        <vt:lpstr>Title</vt:lpstr>
      </vt:variant>
      <vt:variant>
        <vt:i4>1</vt:i4>
      </vt:variant>
    </vt:vector>
  </HeadingPairs>
  <TitlesOfParts>
    <vt:vector size="1" baseType="lpstr">
      <vt:lpstr>Chapter 12 - Outcomes for Torres Strait Islander people - Overcoming Indigenous Disadvantage 2016</vt:lpstr>
    </vt:vector>
  </TitlesOfParts>
  <Company>Productivity Commission</Company>
  <LinksUpToDate>false</LinksUpToDate>
  <CharactersWithSpaces>16877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12 - Outcomes for Torres Strait Islander people - Overcoming Indigenous Disadvantage 2016</dc:title>
  <dc:subject/>
  <dc:creator>Steering Committee for the Review of Government Service Provision</dc:creator>
  <dc:description/>
  <cp:lastModifiedBy>Frech, Tanya</cp:lastModifiedBy>
  <cp:revision>11</cp:revision>
  <cp:lastPrinted>2016-10-14T03:28:00Z</cp:lastPrinted>
  <dcterms:created xsi:type="dcterms:W3CDTF">2016-10-24T03:25:00Z</dcterms:created>
  <dcterms:modified xsi:type="dcterms:W3CDTF">2016-10-26T22:12:00Z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id="WOKtIDA1"/&gt;&lt;style id="http://www.zotero.org/styles/unisa-harvard" hasBibliography="1" bibliographyStyleHasBeenSet="1"/&gt;&lt;prefs&gt;&lt;pref name="fieldType" value="Field"/&gt;&lt;pref name="storeReferences"</vt:lpwstr>
  </property>
  <property fmtid="{D5CDD505-2E9C-101B-9397-08002B2CF9AE}" pid="3" name="ZOTERO_PREF_2">
    <vt:lpwstr> value="true"/&gt;&lt;pref name="automaticJournalAbbreviations" value="true"/&gt;&lt;pref name="noteType" value="0"/&gt;&lt;/prefs&gt;&lt;/data&gt;</vt:lpwstr>
  </property>
</Properties>
</file>