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Pr="000840C2" w:rsidRDefault="00A130CD" w:rsidP="00A130CD">
      <w:pPr>
        <w:pStyle w:val="Heading1"/>
      </w:pPr>
      <w:bookmarkStart w:id="0" w:name="ChapterNumber"/>
      <w:r>
        <w:t>3</w:t>
      </w:r>
      <w:bookmarkEnd w:id="0"/>
      <w:r>
        <w:tab/>
      </w:r>
      <w:bookmarkStart w:id="1" w:name="ChapterTitle"/>
      <w:r>
        <w:t>Key themes and interpretati</w:t>
      </w:r>
      <w:bookmarkStart w:id="2" w:name="_GoBack"/>
      <w:bookmarkEnd w:id="2"/>
      <w:r>
        <w:t>on</w:t>
      </w:r>
      <w:bookmarkEnd w:id="1"/>
    </w:p>
    <w:p w:rsidR="00D714FB" w:rsidRDefault="00D714FB" w:rsidP="00D714FB">
      <w:pPr>
        <w:pStyle w:val="BodyText"/>
      </w:pPr>
      <w:bookmarkStart w:id="3" w:name="begin"/>
      <w:bookmarkEnd w:id="3"/>
      <w:r>
        <w:t>This chapter provides some background to assist readers to interpret the data in this report, and draws together some of the report’s overarching issues and themes.</w:t>
      </w:r>
    </w:p>
    <w:p w:rsidR="00D714FB" w:rsidRDefault="00D714FB" w:rsidP="00D714FB">
      <w:pPr>
        <w:pStyle w:val="ListBullet"/>
      </w:pPr>
      <w:r>
        <w:t>Interpreting the data in this report requires an understanding of the difficulties associated with accurately estimating the number of Aboriginal and Torres Strait Islander Australians</w:t>
      </w:r>
      <w:r w:rsidR="00A130CD">
        <w:t xml:space="preserve"> (section 3.1)</w:t>
      </w:r>
      <w:r>
        <w:t>, and an awareness of other issues that may affect the quality of data used for reporting (section</w:t>
      </w:r>
      <w:r w:rsidR="009E1248">
        <w:t> </w:t>
      </w:r>
      <w:r w:rsidR="00A130CD">
        <w:t>3.2</w:t>
      </w:r>
      <w:r>
        <w:t>)</w:t>
      </w:r>
      <w:r w:rsidR="00A130CD">
        <w:t>.</w:t>
      </w:r>
    </w:p>
    <w:p w:rsidR="00D714FB" w:rsidRDefault="00D714FB" w:rsidP="00D714FB">
      <w:pPr>
        <w:pStyle w:val="ListBullet"/>
      </w:pPr>
      <w:r>
        <w:t>As well as an awareness of the historical context that has influenced current outcomes (</w:t>
      </w:r>
      <w:r w:rsidR="00042280">
        <w:t>chapter 1</w:t>
      </w:r>
      <w:r w:rsidR="00042280" w:rsidRPr="00814316">
        <w:t xml:space="preserve">, </w:t>
      </w:r>
      <w:r w:rsidRPr="00814316">
        <w:t>section</w:t>
      </w:r>
      <w:r w:rsidR="009E1248" w:rsidRPr="00814316">
        <w:t> </w:t>
      </w:r>
      <w:r w:rsidRPr="00814316">
        <w:t>1</w:t>
      </w:r>
      <w:r w:rsidR="00A130CD" w:rsidRPr="00814316">
        <w:t>.4</w:t>
      </w:r>
      <w:r>
        <w:t>), it is also important to be aware of the demographic characteristics of the Aboriginal and Torres Strait Islander population, which differ markedly from those of the non</w:t>
      </w:r>
      <w:r w:rsidR="009E1248">
        <w:noBreakHyphen/>
      </w:r>
      <w:r>
        <w:t>Indigenous population (section</w:t>
      </w:r>
      <w:r w:rsidR="009E1248">
        <w:t> </w:t>
      </w:r>
      <w:r w:rsidR="00A130CD">
        <w:t>3.3</w:t>
      </w:r>
      <w:r>
        <w:t xml:space="preserve">). </w:t>
      </w:r>
    </w:p>
    <w:p w:rsidR="00D714FB" w:rsidRDefault="00D714FB" w:rsidP="00D714FB">
      <w:pPr>
        <w:pStyle w:val="ListBullet"/>
      </w:pPr>
      <w:r>
        <w:t>Although the majority of Aboriginal and Torres Strait Islander Australians live in cities or regional areas, a relatively high proportion live in remote areas, and there is a particular policy focus on improving outcomes for those living in remote areas (section</w:t>
      </w:r>
      <w:r w:rsidR="009E1248">
        <w:t> </w:t>
      </w:r>
      <w:r w:rsidR="00A130CD">
        <w:t>3.4</w:t>
      </w:r>
      <w:r>
        <w:t>).</w:t>
      </w:r>
    </w:p>
    <w:p w:rsidR="00D714FB" w:rsidRDefault="00D714FB" w:rsidP="00D714FB">
      <w:pPr>
        <w:pStyle w:val="ListBullet"/>
      </w:pPr>
      <w:r>
        <w:t>There are significant interactions across many of the outcomes measured in this report. Different aspects of disadvantage are often interrelated, and coordinated action by many areas of government may be needed to address the drivers of disadvantage (section</w:t>
      </w:r>
      <w:r w:rsidR="009E1248">
        <w:t> </w:t>
      </w:r>
      <w:r w:rsidR="00A130CD">
        <w:t>3.5</w:t>
      </w:r>
      <w:r>
        <w:t xml:space="preserve">). </w:t>
      </w:r>
    </w:p>
    <w:p w:rsidR="00D714FB" w:rsidRDefault="00D714FB" w:rsidP="00D714FB">
      <w:pPr>
        <w:pStyle w:val="ListBullet"/>
      </w:pPr>
      <w:r>
        <w:t>Not everything that matters can be captured in</w:t>
      </w:r>
      <w:r w:rsidR="00132029">
        <w:t xml:space="preserve"> indicators</w:t>
      </w:r>
      <w:r>
        <w:t xml:space="preserve">. This report includes numerous case studies of projects and programs that are successfully addressing the disadvantage experienced by many Aboriginal and Torres Strait Islander Australians. These ‘things that work’ have </w:t>
      </w:r>
      <w:r w:rsidR="00FC2638">
        <w:t>some</w:t>
      </w:r>
      <w:r>
        <w:t xml:space="preserve"> common characteristics or ‘success factors’ (section</w:t>
      </w:r>
      <w:r w:rsidR="009E1248">
        <w:t> </w:t>
      </w:r>
      <w:r w:rsidR="00A130CD">
        <w:t>3.6</w:t>
      </w:r>
      <w:r>
        <w:t>).</w:t>
      </w:r>
    </w:p>
    <w:p w:rsidR="00DB26D2" w:rsidRDefault="00D714FB" w:rsidP="00D714FB">
      <w:pPr>
        <w:pStyle w:val="ListBullet"/>
      </w:pPr>
      <w:r>
        <w:t xml:space="preserve">Finally, while this report focuses on Australia, it contains a small </w:t>
      </w:r>
      <w:r w:rsidR="0021148C">
        <w:t>amount</w:t>
      </w:r>
      <w:r>
        <w:t xml:space="preserve"> of </w:t>
      </w:r>
      <w:r w:rsidR="0021148C">
        <w:t>information on comparisons with outcomes for i</w:t>
      </w:r>
      <w:r>
        <w:t>ndigenous peoples in other countries</w:t>
      </w:r>
      <w:r w:rsidR="0021148C">
        <w:t xml:space="preserve"> including the </w:t>
      </w:r>
      <w:r>
        <w:t>many challenges in making international comparisons (section</w:t>
      </w:r>
      <w:r w:rsidR="009E1248">
        <w:t> </w:t>
      </w:r>
      <w:r w:rsidR="00A130CD">
        <w:t>3.7</w:t>
      </w:r>
      <w:r>
        <w:t>).</w:t>
      </w:r>
    </w:p>
    <w:p w:rsidR="009E1844" w:rsidRDefault="00A130CD" w:rsidP="00D714FB">
      <w:pPr>
        <w:pStyle w:val="Heading2"/>
      </w:pPr>
      <w:r>
        <w:lastRenderedPageBreak/>
        <w:t>3.</w:t>
      </w:r>
      <w:r w:rsidR="000722EF">
        <w:rPr>
          <w:noProof/>
        </w:rPr>
        <w:t>1</w:t>
      </w:r>
      <w:r w:rsidR="00D714FB">
        <w:tab/>
      </w:r>
      <w:r w:rsidR="00D714FB" w:rsidRPr="00D714FB">
        <w:t>Estimating the Aboriginal and Tor</w:t>
      </w:r>
      <w:r w:rsidR="007502D4">
        <w:t>res Strait I</w:t>
      </w:r>
      <w:r w:rsidR="00D714FB" w:rsidRPr="00D714FB">
        <w:t>slander populations</w:t>
      </w:r>
    </w:p>
    <w:p w:rsidR="00D714FB" w:rsidRDefault="00D714FB" w:rsidP="00D714FB">
      <w:pPr>
        <w:pStyle w:val="Heading3"/>
      </w:pPr>
      <w:r w:rsidRPr="00D714FB">
        <w:t>How are Aboriginal and Torres Strait Islander Australians identified?</w:t>
      </w:r>
    </w:p>
    <w:p w:rsidR="00D714FB" w:rsidRDefault="00042280" w:rsidP="00D714FB">
      <w:pPr>
        <w:pStyle w:val="BodyText"/>
      </w:pPr>
      <w:r>
        <w:t>A</w:t>
      </w:r>
      <w:r w:rsidR="00D714FB">
        <w:t>ll the information in this report is based on self</w:t>
      </w:r>
      <w:r w:rsidR="009E1248">
        <w:noBreakHyphen/>
      </w:r>
      <w:r w:rsidR="00D714FB">
        <w:t xml:space="preserve">identification by Aboriginal and Torres Strait Islander Australians and, therefore, relies on an individual’s view of their Indigenous status. A small number of administrative data collections require people who identify as Aboriginal and Torres Strait Islander to provide proof of Indigenous descent or acceptance by an Indigenous community, but this is not necessary for most data collections. Therefore, the accuracy </w:t>
      </w:r>
      <w:r w:rsidR="00132029">
        <w:t xml:space="preserve">and reliability </w:t>
      </w:r>
      <w:r w:rsidR="00D714FB">
        <w:t xml:space="preserve">of the data in this report depend on the opportunities provided to identify as Aboriginal and Torres Strait Islander, and people’s willingness to do so. </w:t>
      </w:r>
      <w:r w:rsidR="00D714FB" w:rsidRPr="00107795">
        <w:t xml:space="preserve">In </w:t>
      </w:r>
      <w:r w:rsidR="00F34687" w:rsidRPr="00107795">
        <w:t>some</w:t>
      </w:r>
      <w:r w:rsidR="00D714FB" w:rsidRPr="00107795">
        <w:t xml:space="preserve"> collections, Indigenous status </w:t>
      </w:r>
      <w:r w:rsidR="00F34687" w:rsidRPr="00107795">
        <w:t>for a relatively large proportion of people may be</w:t>
      </w:r>
      <w:r w:rsidR="00D714FB" w:rsidRPr="00107795">
        <w:t xml:space="preserve"> recorded incorrectly — either as </w:t>
      </w:r>
      <w:r w:rsidR="00B96F17" w:rsidRPr="00107795">
        <w:t xml:space="preserve">not stated or as </w:t>
      </w:r>
      <w:r w:rsidR="00D714FB" w:rsidRPr="00107795">
        <w:t>non</w:t>
      </w:r>
      <w:r w:rsidR="009E1248" w:rsidRPr="00107795">
        <w:noBreakHyphen/>
      </w:r>
      <w:r w:rsidR="00D714FB" w:rsidRPr="00107795">
        <w:t xml:space="preserve">Indigenous. </w:t>
      </w:r>
      <w:r w:rsidR="00D714FB">
        <w:t>The ABS and the AIHW are progressing work funded under Schedule F of the</w:t>
      </w:r>
      <w:r w:rsidR="00EC724C">
        <w:t xml:space="preserve"> National Indigenous Reform Agreement</w:t>
      </w:r>
      <w:r w:rsidR="00D714FB">
        <w:t xml:space="preserve"> </w:t>
      </w:r>
      <w:r w:rsidR="00EC724C">
        <w:t>(</w:t>
      </w:r>
      <w:r w:rsidR="00D714FB">
        <w:t>NIRA</w:t>
      </w:r>
      <w:r w:rsidR="00EC724C">
        <w:t>)</w:t>
      </w:r>
      <w:r w:rsidR="00D714FB">
        <w:t xml:space="preserve"> to improve the quality of Indigenous identification in Census and administrative data collections.</w:t>
      </w:r>
    </w:p>
    <w:p w:rsidR="00D714FB" w:rsidRDefault="00D714FB" w:rsidP="00D714FB">
      <w:pPr>
        <w:pStyle w:val="BodyText"/>
      </w:pPr>
      <w:r>
        <w:t xml:space="preserve">The level of Aboriginal and Torres Strait Islander identification can vary over time and across data collections. Improvements over time in data collections (for example, the adoption or correct application of the standard ABS question on Indigenous status) will improve the </w:t>
      </w:r>
      <w:r w:rsidR="00B96F17" w:rsidRPr="00107795">
        <w:t>accuracy</w:t>
      </w:r>
      <w:r w:rsidR="00315621">
        <w:t xml:space="preserve"> </w:t>
      </w:r>
      <w:r>
        <w:t>of identification</w:t>
      </w:r>
      <w:r w:rsidR="00315621">
        <w:t xml:space="preserve"> data</w:t>
      </w:r>
      <w:r>
        <w:t xml:space="preserve"> but, in some cases, will also make trend analysis difficult — for example, it might be difficult to establish whether an increase in the recorded use of a service by Aboriginal and Torres Strait Islander Australians reflects an actual increase in use, or </w:t>
      </w:r>
      <w:r w:rsidR="00B042BC">
        <w:t>improved recording of</w:t>
      </w:r>
      <w:r>
        <w:t xml:space="preserve"> existing Aboriginal and Torres Strait Islander service users.</w:t>
      </w:r>
    </w:p>
    <w:p w:rsidR="0000533F" w:rsidRDefault="0000533F" w:rsidP="0000533F">
      <w:pPr>
        <w:pStyle w:val="Heading3"/>
      </w:pPr>
      <w:r w:rsidRPr="0000533F">
        <w:t>How are Aboriginal and Torres Strait Islander and non</w:t>
      </w:r>
      <w:r w:rsidR="009E1248">
        <w:noBreakHyphen/>
      </w:r>
      <w:r w:rsidRPr="0000533F">
        <w:t>Indigenous populations estimated?</w:t>
      </w:r>
    </w:p>
    <w:p w:rsidR="0000533F" w:rsidRDefault="0000533F" w:rsidP="0000533F">
      <w:pPr>
        <w:pStyle w:val="BodyText"/>
      </w:pPr>
      <w:r w:rsidRPr="0000533F">
        <w:t>Estimates of the Aboriginal and Torres Strait Islander and non</w:t>
      </w:r>
      <w:r w:rsidR="009E1248">
        <w:noBreakHyphen/>
      </w:r>
      <w:r w:rsidRPr="0000533F">
        <w:t>Indigenous populations are used extensively in this report for calculating rates (for exa</w:t>
      </w:r>
      <w:r w:rsidR="00107795">
        <w:t>mple, hospitalisations per 100</w:t>
      </w:r>
      <w:r w:rsidR="0021148C">
        <w:t> </w:t>
      </w:r>
      <w:r w:rsidR="00107795">
        <w:t>0</w:t>
      </w:r>
      <w:r w:rsidR="0021148C">
        <w:t>00</w:t>
      </w:r>
      <w:r w:rsidR="00107795">
        <w:t> </w:t>
      </w:r>
      <w:r w:rsidRPr="0000533F">
        <w:t>people) and percentages (for example, percentage of people aged 18 years and over). Using rates and percentages makes it easier to compare outcomes for Aboriginal and Torres Strait Islander Australians with outcomes for non</w:t>
      </w:r>
      <w:r w:rsidR="009E1248">
        <w:noBreakHyphen/>
      </w:r>
      <w:r w:rsidRPr="0000533F">
        <w:t xml:space="preserve">Indigenous Australians. </w:t>
      </w:r>
    </w:p>
    <w:p w:rsidR="0000533F" w:rsidRDefault="0000533F" w:rsidP="0000533F">
      <w:pPr>
        <w:pStyle w:val="Heading4"/>
      </w:pPr>
      <w:r w:rsidRPr="0000533F">
        <w:t>Estimating the Aboriginal and Torres Strait Islander population</w:t>
      </w:r>
    </w:p>
    <w:p w:rsidR="0000533F" w:rsidRDefault="0000533F" w:rsidP="0000533F">
      <w:pPr>
        <w:pStyle w:val="BodyText"/>
      </w:pPr>
      <w:r>
        <w:t>The five</w:t>
      </w:r>
      <w:r w:rsidR="009E1248">
        <w:noBreakHyphen/>
      </w:r>
      <w:r>
        <w:t xml:space="preserve">yearly Census provides the basis for estimates of the Aboriginal and Torres Strait Islander population. </w:t>
      </w:r>
      <w:r w:rsidR="00212D01">
        <w:t>As a proportion of the population are not counted in the Census, t</w:t>
      </w:r>
      <w:r>
        <w:t>he ABS adjusts the Census count to derive the estimated res</w:t>
      </w:r>
      <w:r w:rsidR="00FD1B11">
        <w:t xml:space="preserve">ident </w:t>
      </w:r>
      <w:r w:rsidR="00695B26">
        <w:t xml:space="preserve">Aboriginal and Torres Strait Islander </w:t>
      </w:r>
      <w:r w:rsidR="00FD1B11">
        <w:t xml:space="preserve">population </w:t>
      </w:r>
      <w:r w:rsidR="00FD1B11" w:rsidRPr="00FD1B11">
        <w:rPr>
          <w:szCs w:val="24"/>
        </w:rPr>
        <w:t>(ABS 2012a)</w:t>
      </w:r>
      <w:r>
        <w:t xml:space="preserve">. As explained in the section ‘Interpreting data in the </w:t>
      </w:r>
      <w:r>
        <w:lastRenderedPageBreak/>
        <w:t>report’, the Census undercount may affect analysis of outcomes measured using the Census.</w:t>
      </w:r>
    </w:p>
    <w:p w:rsidR="0000533F" w:rsidRDefault="0000533F" w:rsidP="0000533F">
      <w:pPr>
        <w:pStyle w:val="BodyText"/>
      </w:pPr>
      <w:r>
        <w:t>For non</w:t>
      </w:r>
      <w:r w:rsidR="009E1248">
        <w:noBreakHyphen/>
      </w:r>
      <w:r>
        <w:t>Census years, the ABS calculates estimates and projections of the Aboriginal and Torres Strait Islander population. The most recent projections were based on adjusted 2011 Census data and a set of assumptions about likely trends in Aboriginal and Torres Strait Islander population growth (box</w:t>
      </w:r>
      <w:r w:rsidR="009E1248">
        <w:t> </w:t>
      </w:r>
      <w:r>
        <w:t>3.1.1).</w:t>
      </w:r>
    </w:p>
    <w:p w:rsidR="003C1CCD" w:rsidRDefault="003C1CC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C1CCD" w:rsidTr="000E2777">
        <w:tc>
          <w:tcPr>
            <w:tcW w:w="8771" w:type="dxa"/>
            <w:tcBorders>
              <w:top w:val="single" w:sz="6" w:space="0" w:color="78A22F"/>
              <w:left w:val="nil"/>
              <w:bottom w:val="nil"/>
              <w:right w:val="nil"/>
            </w:tcBorders>
            <w:shd w:val="clear" w:color="auto" w:fill="F2F2F2" w:themeFill="background1" w:themeFillShade="F2"/>
          </w:tcPr>
          <w:p w:rsidR="003C1CCD" w:rsidRDefault="003C1CCD">
            <w:pPr>
              <w:pStyle w:val="BoxTitle"/>
            </w:pPr>
            <w:r>
              <w:rPr>
                <w:b w:val="0"/>
              </w:rPr>
              <w:t xml:space="preserve">Box </w:t>
            </w:r>
            <w:r w:rsidR="00A130CD">
              <w:rPr>
                <w:b w:val="0"/>
              </w:rPr>
              <w:t>3.</w:t>
            </w:r>
            <w:r>
              <w:rPr>
                <w:b w:val="0"/>
              </w:rPr>
              <w:t>1.</w:t>
            </w:r>
            <w:r w:rsidR="000722EF">
              <w:rPr>
                <w:b w:val="0"/>
                <w:noProof/>
              </w:rPr>
              <w:t>1</w:t>
            </w:r>
            <w:r>
              <w:tab/>
            </w:r>
            <w:r w:rsidRPr="0000533F">
              <w:t>Aboriginal and Torres Strait Islander population estimates and projections</w:t>
            </w:r>
          </w:p>
        </w:tc>
      </w:tr>
      <w:tr w:rsidR="003C1CCD" w:rsidTr="000E2777">
        <w:trPr>
          <w:cantSplit/>
        </w:trPr>
        <w:tc>
          <w:tcPr>
            <w:tcW w:w="8771" w:type="dxa"/>
            <w:tcBorders>
              <w:top w:val="nil"/>
              <w:left w:val="nil"/>
              <w:bottom w:val="nil"/>
              <w:right w:val="nil"/>
            </w:tcBorders>
            <w:shd w:val="clear" w:color="auto" w:fill="F2F2F2" w:themeFill="background1" w:themeFillShade="F2"/>
          </w:tcPr>
          <w:p w:rsidR="003C1CCD" w:rsidRDefault="003C1CCD" w:rsidP="003C1CCD">
            <w:pPr>
              <w:pStyle w:val="Box"/>
            </w:pPr>
            <w:r>
              <w:t xml:space="preserve">On 30 April 2014, the ABS published estimates of the </w:t>
            </w:r>
            <w:r w:rsidR="00256DD4" w:rsidRPr="00107795">
              <w:t>Aboriginal and Torres Strait Islander</w:t>
            </w:r>
            <w:r>
              <w:t xml:space="preserve"> population for 2001 to 2011, and projections for 2012 to 2026, for Australia and each State and Territory</w:t>
            </w:r>
            <w:r w:rsidR="00256DD4">
              <w:t xml:space="preserve"> </w:t>
            </w:r>
            <w:r w:rsidR="00256DD4" w:rsidRPr="00107795">
              <w:t>and by remoteness</w:t>
            </w:r>
            <w:r>
              <w:t xml:space="preserve"> (ABS 2014). </w:t>
            </w:r>
            <w:r w:rsidRPr="00CE2AAB">
              <w:t xml:space="preserve">These estimates are adjusted to account for the undercount of </w:t>
            </w:r>
            <w:r w:rsidR="00695B26">
              <w:t>Aboriginal and Torres Strait Islander</w:t>
            </w:r>
            <w:r w:rsidR="00695B26" w:rsidRPr="00CE2AAB">
              <w:t xml:space="preserve"> </w:t>
            </w:r>
            <w:r w:rsidRPr="00CE2AAB">
              <w:t xml:space="preserve">people in the 2011 Census, but </w:t>
            </w:r>
            <w:r w:rsidR="005C3AC1" w:rsidRPr="00CE2AAB">
              <w:t>are not adjusted</w:t>
            </w:r>
            <w:r w:rsidRPr="00CE2AAB">
              <w:t xml:space="preserve"> for the unexpected rise in Indigenous identification from the 2006 Census </w:t>
            </w:r>
            <w:r w:rsidR="00256DD4" w:rsidRPr="00CE2AAB">
              <w:t>to</w:t>
            </w:r>
            <w:r w:rsidRPr="00CE2AAB">
              <w:t xml:space="preserve"> the 2011 Census.</w:t>
            </w:r>
          </w:p>
          <w:p w:rsidR="003C1CCD" w:rsidRDefault="003C1CCD" w:rsidP="003C1CCD">
            <w:pPr>
              <w:pStyle w:val="Box"/>
            </w:pPr>
            <w:r>
              <w:t>The Aboriginal and Torres Strait Islander population of Australia as at 30 June 2011 is used as the base for the projection series. Using assumptions about future fertility, paternity, life expectancy at birth and migration, the 2014 publication provided three main sets of projections:</w:t>
            </w:r>
          </w:p>
          <w:p w:rsidR="003C1CCD" w:rsidRDefault="003C1CCD" w:rsidP="003C1CCD">
            <w:pPr>
              <w:pStyle w:val="BoxListBullet"/>
            </w:pPr>
            <w:r>
              <w:t xml:space="preserve">series A assumes a higher amount of growth </w:t>
            </w:r>
          </w:p>
          <w:p w:rsidR="003C1CCD" w:rsidRDefault="003C1CCD" w:rsidP="003C1CCD">
            <w:pPr>
              <w:pStyle w:val="BoxListBullet"/>
            </w:pPr>
            <w:r>
              <w:t>series B assumes a moderate amount of growth</w:t>
            </w:r>
          </w:p>
          <w:p w:rsidR="003C1CCD" w:rsidRDefault="003C1CCD" w:rsidP="003C1CCD">
            <w:pPr>
              <w:pStyle w:val="BoxListBullet"/>
            </w:pPr>
            <w:r>
              <w:t xml:space="preserve">series C assumes a smaller amount of growth. </w:t>
            </w:r>
          </w:p>
          <w:p w:rsidR="003C1CCD" w:rsidRDefault="003C1CCD" w:rsidP="003C1CCD">
            <w:pPr>
              <w:pStyle w:val="Box"/>
            </w:pPr>
            <w:r>
              <w:t>The ABS suggests that series B will be the most appropriate choice for most users and, in this report, series B projections have been used.</w:t>
            </w:r>
          </w:p>
        </w:tc>
      </w:tr>
      <w:tr w:rsidR="003C1CCD" w:rsidTr="000E2777">
        <w:trPr>
          <w:cantSplit/>
        </w:trPr>
        <w:tc>
          <w:tcPr>
            <w:tcW w:w="8771" w:type="dxa"/>
            <w:tcBorders>
              <w:top w:val="nil"/>
              <w:left w:val="nil"/>
              <w:bottom w:val="nil"/>
              <w:right w:val="nil"/>
            </w:tcBorders>
            <w:shd w:val="clear" w:color="auto" w:fill="F2F2F2" w:themeFill="background1" w:themeFillShade="F2"/>
          </w:tcPr>
          <w:p w:rsidR="003C1CCD" w:rsidRDefault="003C1CCD" w:rsidP="000E2777">
            <w:pPr>
              <w:pStyle w:val="BoxSource"/>
            </w:pPr>
            <w:r>
              <w:rPr>
                <w:i/>
              </w:rPr>
              <w:t>Source</w:t>
            </w:r>
            <w:r w:rsidRPr="00167F06">
              <w:t xml:space="preserve">: </w:t>
            </w:r>
            <w:r>
              <w:t xml:space="preserve">ABS 2014, </w:t>
            </w:r>
            <w:r w:rsidR="0097501A">
              <w:rPr>
                <w:i/>
              </w:rPr>
              <w:t>Estimates and Projections, Aboriginal a</w:t>
            </w:r>
            <w:r w:rsidRPr="00544F6F">
              <w:rPr>
                <w:i/>
              </w:rPr>
              <w:t>nd Torres Strait Islander Australians, 2001 to 2026</w:t>
            </w:r>
            <w:r w:rsidRPr="00DB1073">
              <w:t>, Cat. no. 3238.0, Canberra</w:t>
            </w:r>
            <w:r>
              <w:t>.</w:t>
            </w:r>
          </w:p>
        </w:tc>
      </w:tr>
      <w:tr w:rsidR="003C1CCD" w:rsidTr="000E2777">
        <w:trPr>
          <w:cantSplit/>
        </w:trPr>
        <w:tc>
          <w:tcPr>
            <w:tcW w:w="8771" w:type="dxa"/>
            <w:tcBorders>
              <w:top w:val="nil"/>
              <w:left w:val="nil"/>
              <w:bottom w:val="single" w:sz="6" w:space="0" w:color="78A22F"/>
              <w:right w:val="nil"/>
            </w:tcBorders>
            <w:shd w:val="clear" w:color="auto" w:fill="F2F2F2" w:themeFill="background1" w:themeFillShade="F2"/>
          </w:tcPr>
          <w:p w:rsidR="003C1CCD" w:rsidRDefault="003C1CCD">
            <w:pPr>
              <w:pStyle w:val="Box"/>
              <w:spacing w:before="0" w:line="120" w:lineRule="exact"/>
            </w:pPr>
          </w:p>
        </w:tc>
      </w:tr>
      <w:tr w:rsidR="003C1CCD" w:rsidRPr="000863A5" w:rsidTr="000E2777">
        <w:tc>
          <w:tcPr>
            <w:tcW w:w="8771" w:type="dxa"/>
            <w:tcBorders>
              <w:top w:val="single" w:sz="6" w:space="0" w:color="78A22F"/>
              <w:left w:val="nil"/>
              <w:bottom w:val="nil"/>
              <w:right w:val="nil"/>
            </w:tcBorders>
          </w:tcPr>
          <w:p w:rsidR="003C1CCD" w:rsidRPr="00626D32" w:rsidRDefault="003C1CCD" w:rsidP="000E2777">
            <w:pPr>
              <w:pStyle w:val="BoxSpaceBelow"/>
            </w:pPr>
          </w:p>
        </w:tc>
      </w:tr>
    </w:tbl>
    <w:p w:rsidR="0000533F" w:rsidRDefault="0000533F" w:rsidP="0000533F">
      <w:pPr>
        <w:pStyle w:val="BodyText"/>
      </w:pPr>
      <w:r w:rsidRPr="0000533F">
        <w:t>Between the 2006 and 2011 Censuses, there was a 21 per cent increase in the number of people identified as being of Aboriginal and Torres Strait Islander origin</w:t>
      </w:r>
      <w:r w:rsidR="00212D01">
        <w:t xml:space="preserve">, with </w:t>
      </w:r>
      <w:r w:rsidR="0097501A" w:rsidRPr="00107795">
        <w:t>almost</w:t>
      </w:r>
      <w:r w:rsidR="00212D01">
        <w:t xml:space="preserve"> one</w:t>
      </w:r>
      <w:r w:rsidR="00212D01">
        <w:noBreakHyphen/>
      </w:r>
      <w:r w:rsidRPr="0000533F">
        <w:t xml:space="preserve">third of the increase </w:t>
      </w:r>
      <w:r w:rsidR="0097501A" w:rsidRPr="00107795">
        <w:t>(30 per cent)</w:t>
      </w:r>
      <w:r w:rsidR="0097501A">
        <w:t xml:space="preserve"> </w:t>
      </w:r>
      <w:r w:rsidRPr="0000533F">
        <w:t xml:space="preserve">not explained by the standard assumptions about the likely </w:t>
      </w:r>
      <w:r w:rsidR="0039595E">
        <w:t xml:space="preserve">population </w:t>
      </w:r>
      <w:r w:rsidRPr="0000533F">
        <w:t xml:space="preserve">trends. </w:t>
      </w:r>
      <w:r w:rsidR="00CE2AAB">
        <w:t xml:space="preserve">After </w:t>
      </w:r>
      <w:r w:rsidR="00A0269E">
        <w:t>each Census, t</w:t>
      </w:r>
      <w:r w:rsidR="00256DD4" w:rsidRPr="00442D23">
        <w:t>he</w:t>
      </w:r>
      <w:r w:rsidR="00256DD4" w:rsidRPr="0021148C">
        <w:t xml:space="preserve"> </w:t>
      </w:r>
      <w:r w:rsidR="00256DD4" w:rsidRPr="00442D23">
        <w:t xml:space="preserve">ABS </w:t>
      </w:r>
      <w:r w:rsidR="00CE2AAB" w:rsidRPr="00442D23">
        <w:t>produces time series</w:t>
      </w:r>
      <w:r w:rsidR="00256DD4" w:rsidRPr="00442D23">
        <w:t xml:space="preserve"> </w:t>
      </w:r>
      <w:r w:rsidR="00CE2AAB" w:rsidRPr="00442D23">
        <w:t xml:space="preserve">estimates of </w:t>
      </w:r>
      <w:r w:rsidR="00256DD4" w:rsidRPr="00442D23">
        <w:t xml:space="preserve">the Aboriginal and Torres Strait Islander population </w:t>
      </w:r>
      <w:r w:rsidR="00CE2AAB" w:rsidRPr="00442D23">
        <w:t>based on that Census count</w:t>
      </w:r>
      <w:r w:rsidR="00256DD4" w:rsidRPr="00442D23">
        <w:t xml:space="preserve">, </w:t>
      </w:r>
      <w:r w:rsidR="00CE2AAB" w:rsidRPr="00442D23">
        <w:t xml:space="preserve">by </w:t>
      </w:r>
      <w:proofErr w:type="spellStart"/>
      <w:r w:rsidR="00CE2AAB" w:rsidRPr="00442D23">
        <w:t>backcasting</w:t>
      </w:r>
      <w:proofErr w:type="spellEnd"/>
      <w:r w:rsidR="00CE2AAB" w:rsidRPr="00442D23">
        <w:t xml:space="preserve"> around this estimate</w:t>
      </w:r>
      <w:r w:rsidRPr="0000533F">
        <w:t>.</w:t>
      </w:r>
      <w:r w:rsidR="00CE2AAB">
        <w:t xml:space="preserve"> The </w:t>
      </w:r>
      <w:proofErr w:type="spellStart"/>
      <w:r w:rsidR="00CE2AAB">
        <w:t>backcast</w:t>
      </w:r>
      <w:proofErr w:type="spellEnd"/>
      <w:r w:rsidR="00CE2AAB">
        <w:t xml:space="preserve"> series shows what the currently identified Aboriginal and Torres Strait Islander population (based on the latest Census) would have been in previous periods, based purely on demographic change.</w:t>
      </w:r>
      <w:r w:rsidRPr="0000533F">
        <w:t xml:space="preserve"> As explained in the section ‘Interpreting data in the report’, the unexplained increase in the Aboriginal and Torres Strait Islander population between the 2006 and 2011 Census affect</w:t>
      </w:r>
      <w:r w:rsidR="00256931">
        <w:t>s</w:t>
      </w:r>
      <w:r w:rsidRPr="0000533F">
        <w:t xml:space="preserve"> analysis of outcomes measured using the Census.</w:t>
      </w:r>
      <w:r w:rsidR="0041392C">
        <w:t xml:space="preserve"> This change is dealt with in this report by</w:t>
      </w:r>
      <w:r w:rsidR="00256931">
        <w:t xml:space="preserve"> using revised 2011 Census based population estimates for historical rates.</w:t>
      </w:r>
    </w:p>
    <w:p w:rsidR="0000533F" w:rsidRDefault="0000533F" w:rsidP="0000533F">
      <w:pPr>
        <w:pStyle w:val="Heading4"/>
      </w:pPr>
      <w:r w:rsidRPr="0000533F">
        <w:lastRenderedPageBreak/>
        <w:t>Estimating the non</w:t>
      </w:r>
      <w:r w:rsidR="009E1248">
        <w:noBreakHyphen/>
      </w:r>
      <w:r w:rsidRPr="0000533F">
        <w:t>Indigenous population</w:t>
      </w:r>
    </w:p>
    <w:p w:rsidR="0000533F" w:rsidRDefault="0000533F" w:rsidP="0000533F">
      <w:pPr>
        <w:pStyle w:val="BodyText"/>
      </w:pPr>
      <w:r w:rsidRPr="0000533F">
        <w:t>The ABS only publishes official non</w:t>
      </w:r>
      <w:r w:rsidR="009E1248">
        <w:noBreakHyphen/>
      </w:r>
      <w:r w:rsidRPr="0000533F">
        <w:t>Indigenous population data for Census years. For other years, non</w:t>
      </w:r>
      <w:r w:rsidR="009E1248">
        <w:noBreakHyphen/>
      </w:r>
      <w:r w:rsidRPr="0000533F">
        <w:t xml:space="preserve">Indigenous population data </w:t>
      </w:r>
      <w:r w:rsidR="00DB1073">
        <w:t>are</w:t>
      </w:r>
      <w:r w:rsidRPr="0000533F">
        <w:t xml:space="preserve"> derived by subtracting Aboriginal and Torres Strait Islander population data from total population data</w:t>
      </w:r>
      <w:r w:rsidR="00132029">
        <w:t>.</w:t>
      </w:r>
      <w:r w:rsidR="00931D91">
        <w:t xml:space="preserve"> (</w:t>
      </w:r>
      <w:r w:rsidR="00132029">
        <w:t>B</w:t>
      </w:r>
      <w:r w:rsidR="00931D91">
        <w:t>ased on ABS advice</w:t>
      </w:r>
      <w:r w:rsidR="00132029">
        <w:t>,</w:t>
      </w:r>
      <w:r w:rsidR="00931D91">
        <w:t xml:space="preserve"> this </w:t>
      </w:r>
      <w:r w:rsidR="00132029">
        <w:t>report derives the non-Indige</w:t>
      </w:r>
      <w:r w:rsidR="00256931">
        <w:t>n</w:t>
      </w:r>
      <w:r w:rsidR="00132029">
        <w:t>ous population</w:t>
      </w:r>
      <w:r w:rsidR="00931D91">
        <w:t xml:space="preserve"> by subtracting Aboriginal and Torres Strait Islander population projections from the total estimated resident population</w:t>
      </w:r>
      <w:r w:rsidR="003F050F">
        <w:t>).</w:t>
      </w:r>
      <w:r w:rsidR="00991F7C">
        <w:rPr>
          <w:rStyle w:val="FootnoteReference"/>
        </w:rPr>
        <w:footnoteReference w:id="1"/>
      </w:r>
      <w:r w:rsidRPr="0000533F">
        <w:t xml:space="preserve"> Such figures have a degree of uncertainty and should be used with caution, particularly as the time from the base year of the projection series increases.</w:t>
      </w:r>
    </w:p>
    <w:p w:rsidR="0000533F" w:rsidRDefault="00A130CD" w:rsidP="0000533F">
      <w:pPr>
        <w:pStyle w:val="Heading2"/>
      </w:pPr>
      <w:r>
        <w:t>3.</w:t>
      </w:r>
      <w:r w:rsidR="000722EF">
        <w:rPr>
          <w:noProof/>
        </w:rPr>
        <w:t>2</w:t>
      </w:r>
      <w:r w:rsidR="0000533F">
        <w:tab/>
      </w:r>
      <w:r w:rsidR="0000533F" w:rsidRPr="0000533F">
        <w:t>Interpreting data in the report</w:t>
      </w:r>
    </w:p>
    <w:p w:rsidR="0000533F" w:rsidRDefault="0000533F" w:rsidP="0000533F">
      <w:pPr>
        <w:pStyle w:val="BodyText"/>
      </w:pPr>
      <w:r w:rsidRPr="0000533F">
        <w:t>The data used in this report, like all data, have limitations. Readers should bear the following issues in mind when interpreting the data. (</w:t>
      </w:r>
      <w:r w:rsidRPr="00A356BA">
        <w:t xml:space="preserve">Appendix </w:t>
      </w:r>
      <w:r w:rsidR="00CE057F">
        <w:t>3</w:t>
      </w:r>
      <w:r w:rsidRPr="00A356BA">
        <w:t xml:space="preserve"> contains</w:t>
      </w:r>
      <w:r w:rsidRPr="0000533F">
        <w:t xml:space="preserve"> more information about data limitations.)</w:t>
      </w:r>
    </w:p>
    <w:p w:rsidR="0000533F" w:rsidRDefault="0000533F" w:rsidP="0000533F">
      <w:pPr>
        <w:pStyle w:val="Heading3"/>
      </w:pPr>
      <w:r>
        <w:t>Timeliness</w:t>
      </w:r>
    </w:p>
    <w:p w:rsidR="0000533F" w:rsidRDefault="0000533F" w:rsidP="0000533F">
      <w:pPr>
        <w:pStyle w:val="BodyText"/>
      </w:pPr>
      <w:r>
        <w:t xml:space="preserve">The data in this report are the most recent available. Many data collections are not updated annually (particularly surveys and the Census), and some administrative data collections require significant time for processing and validation between collection and publication (creating lags in reporting annual data). </w:t>
      </w:r>
    </w:p>
    <w:p w:rsidR="0000533F" w:rsidRDefault="0000533F" w:rsidP="0000533F">
      <w:pPr>
        <w:pStyle w:val="BodyText"/>
      </w:pPr>
      <w:r>
        <w:t>There are often trade</w:t>
      </w:r>
      <w:r w:rsidR="009E1248">
        <w:noBreakHyphen/>
      </w:r>
      <w:r>
        <w:t>offs between timeliness and cost, or timeliness and respondent burden. Where outcomes are not expected to change rapidly, the benefits of more timely reporting may not outweigh the costs. However, timeliness can be crucial for data that relate to quickly moving outcomes.</w:t>
      </w:r>
    </w:p>
    <w:p w:rsidR="0000533F" w:rsidRPr="0000533F" w:rsidRDefault="0000533F" w:rsidP="0000533F">
      <w:pPr>
        <w:pStyle w:val="Heading3"/>
      </w:pPr>
      <w:r>
        <w:t>Census data</w:t>
      </w:r>
    </w:p>
    <w:p w:rsidR="0000533F" w:rsidRDefault="0000533F" w:rsidP="0000533F">
      <w:pPr>
        <w:pStyle w:val="BodyText"/>
      </w:pPr>
      <w:r w:rsidRPr="0000533F">
        <w:t>The 2011 ABS Census of Population and Housing was a major data source for this report. The Census is rich in information and has the potential for extensive disaggregation (for example, by State and Territory, remoteness and age group).</w:t>
      </w:r>
    </w:p>
    <w:p w:rsidR="0000533F" w:rsidRDefault="0000533F" w:rsidP="0000533F">
      <w:pPr>
        <w:pStyle w:val="Heading4"/>
      </w:pPr>
      <w:r>
        <w:t xml:space="preserve">Indigenous undercount </w:t>
      </w:r>
    </w:p>
    <w:p w:rsidR="00604535" w:rsidRDefault="00212D01" w:rsidP="005D20B7">
      <w:pPr>
        <w:pStyle w:val="BodyText"/>
      </w:pPr>
      <w:r>
        <w:t>T</w:t>
      </w:r>
      <w:r w:rsidR="00604535" w:rsidRPr="00604535">
        <w:t>he ABS estimates that the 2011 Census did not count around 17 per cent of Aboriginal and Torres Strai</w:t>
      </w:r>
      <w:r w:rsidR="00FD1B11">
        <w:t xml:space="preserve">t Islander Australians </w:t>
      </w:r>
      <w:r w:rsidR="00FD1B11" w:rsidRPr="00FD1B11">
        <w:rPr>
          <w:szCs w:val="24"/>
        </w:rPr>
        <w:t>(ABS 2012b)</w:t>
      </w:r>
      <w:r w:rsidR="00604535" w:rsidRPr="00604535">
        <w:t xml:space="preserve">. This undercount may affect analysis of outcomes measured using the Census, as it cannot be assumed that those who were not </w:t>
      </w:r>
      <w:r w:rsidR="0008068F" w:rsidRPr="005D20B7">
        <w:lastRenderedPageBreak/>
        <w:t>counted</w:t>
      </w:r>
      <w:r w:rsidR="00604535" w:rsidRPr="00604535">
        <w:t xml:space="preserve"> in the Census share the same characteristics as those who were. This is particularly important where the undercount is concentrated among particular groups of people, such as those in particular geographic or remoteness areas, or in particular age cohorts. </w:t>
      </w:r>
    </w:p>
    <w:p w:rsidR="00604535" w:rsidRDefault="00604535" w:rsidP="00604535">
      <w:pPr>
        <w:pStyle w:val="Heading4"/>
      </w:pPr>
      <w:r w:rsidRPr="00604535">
        <w:t>Unexplained increase in estimated Aboriginal and Torres Strait Islander population</w:t>
      </w:r>
    </w:p>
    <w:p w:rsidR="00604535" w:rsidRDefault="00604535" w:rsidP="005D20B7">
      <w:pPr>
        <w:pStyle w:val="BodyText"/>
      </w:pPr>
      <w:r>
        <w:t xml:space="preserve">Nationally, </w:t>
      </w:r>
      <w:r w:rsidR="0008068F" w:rsidRPr="005D20B7">
        <w:t>almost one third</w:t>
      </w:r>
      <w:r w:rsidR="00212D01">
        <w:t xml:space="preserve"> of the 21 per cent increase</w:t>
      </w:r>
      <w:r w:rsidR="0097501A">
        <w:t xml:space="preserve"> </w:t>
      </w:r>
      <w:r w:rsidR="00212D01">
        <w:t xml:space="preserve">between the 2006 and 2011 Censuses </w:t>
      </w:r>
      <w:r>
        <w:t xml:space="preserve">could not be explained by standard assumptions </w:t>
      </w:r>
      <w:r w:rsidRPr="005D20B7">
        <w:t xml:space="preserve">about </w:t>
      </w:r>
      <w:r w:rsidR="0008068F" w:rsidRPr="005D20B7">
        <w:t>natural increase —</w:t>
      </w:r>
      <w:r w:rsidR="0008068F">
        <w:t xml:space="preserve"> </w:t>
      </w:r>
      <w:r>
        <w:t>births, deaths and net migration. The unexplained increase in the Aboriginal and Torres Strait Islander population may affect analysis of outcomes over</w:t>
      </w:r>
      <w:r w:rsidR="00171C9B">
        <w:t xml:space="preserve"> time measured using Census</w:t>
      </w:r>
      <w:r w:rsidR="00C91688">
        <w:t xml:space="preserve"> data</w:t>
      </w:r>
      <w:r w:rsidR="00132029">
        <w:t>.</w:t>
      </w:r>
    </w:p>
    <w:p w:rsidR="00604535" w:rsidRDefault="00604535" w:rsidP="00171C9B">
      <w:pPr>
        <w:pStyle w:val="ListBullet"/>
      </w:pPr>
      <w:r>
        <w:t>The unexplained increase implies that some</w:t>
      </w:r>
      <w:r w:rsidR="00171C9B">
        <w:t xml:space="preserve"> people who were counted as non</w:t>
      </w:r>
      <w:r w:rsidR="009E1248">
        <w:noBreakHyphen/>
      </w:r>
      <w:r>
        <w:t>Indigenous</w:t>
      </w:r>
      <w:r w:rsidR="00967462">
        <w:t xml:space="preserve"> </w:t>
      </w:r>
      <w:r w:rsidR="00132029">
        <w:t>(</w:t>
      </w:r>
      <w:r w:rsidR="00967462">
        <w:t>or whose Indigenous status was recorded as unknown</w:t>
      </w:r>
      <w:r w:rsidR="00132029">
        <w:t>)</w:t>
      </w:r>
      <w:r>
        <w:t xml:space="preserve"> in the 2006 Census were counted as Aboriginal and Torres Strait Islander in the 2011 Census</w:t>
      </w:r>
      <w:r w:rsidR="00931D91">
        <w:t xml:space="preserve"> (</w:t>
      </w:r>
      <w:r w:rsidR="00132029">
        <w:t>and</w:t>
      </w:r>
      <w:r w:rsidR="00931D91">
        <w:t xml:space="preserve"> ABS analysis indicates </w:t>
      </w:r>
      <w:r w:rsidR="00C91688">
        <w:t xml:space="preserve">this change in identification </w:t>
      </w:r>
      <w:r w:rsidR="00931D91">
        <w:t>moves in both directions)</w:t>
      </w:r>
      <w:r>
        <w:t xml:space="preserve">. It is </w:t>
      </w:r>
      <w:r w:rsidR="00520430" w:rsidRPr="00442D23">
        <w:t>therefore</w:t>
      </w:r>
      <w:r w:rsidR="00520430">
        <w:t xml:space="preserve"> </w:t>
      </w:r>
      <w:r>
        <w:t>not possible to say with certainty whether changes in measured outcomes across the two Censuses are due to changes in the outcome being measured, or whether they are due to a change in the group of people whose outcomes are being measured.</w:t>
      </w:r>
    </w:p>
    <w:p w:rsidR="00604535" w:rsidRDefault="00171C9B" w:rsidP="005D20B7">
      <w:pPr>
        <w:pStyle w:val="ListBullet"/>
      </w:pPr>
      <w:r>
        <w:t>C</w:t>
      </w:r>
      <w:r w:rsidR="00604535">
        <w:t>ensus</w:t>
      </w:r>
      <w:r w:rsidR="00F958DE">
        <w:t>-based population</w:t>
      </w:r>
      <w:r w:rsidR="00604535">
        <w:t xml:space="preserve"> data are often used in combination with administrative data to calculate rates or percentages. It is not known whether the unexplained increase in Indigenous identification in the Census has been matched by a similar increase in </w:t>
      </w:r>
      <w:r w:rsidR="00604535" w:rsidRPr="005D20B7">
        <w:t xml:space="preserve">identification </w:t>
      </w:r>
      <w:r w:rsidR="0008068F" w:rsidRPr="005D20B7">
        <w:t xml:space="preserve">of Aboriginal and Torres Strait Islander Australians </w:t>
      </w:r>
      <w:r w:rsidR="00604535" w:rsidRPr="005D20B7">
        <w:t>in</w:t>
      </w:r>
      <w:r w:rsidR="00604535">
        <w:t xml:space="preserve"> administrative data. </w:t>
      </w:r>
    </w:p>
    <w:p w:rsidR="00DE1E11" w:rsidRDefault="00604535" w:rsidP="005D20B7">
      <w:pPr>
        <w:pStyle w:val="BodyText"/>
      </w:pPr>
      <w:r>
        <w:t xml:space="preserve">The impact of the unexplained increase in Indigenous identification in the Census is particularly important where the </w:t>
      </w:r>
      <w:r w:rsidR="00D86E37">
        <w:t>increase</w:t>
      </w:r>
      <w:r>
        <w:t xml:space="preserve"> is concentrated among particular groups of people, such as those in particular geographic or remoteness areas, or in particular age cohorts.</w:t>
      </w:r>
      <w:r w:rsidR="00967462">
        <w:t xml:space="preserve"> </w:t>
      </w:r>
      <w:r w:rsidR="00D86E37">
        <w:t xml:space="preserve">The unexplained increase in 2011 </w:t>
      </w:r>
      <w:r w:rsidR="00D86E37" w:rsidRPr="005D20B7">
        <w:t xml:space="preserve">was </w:t>
      </w:r>
      <w:r w:rsidR="0008068F" w:rsidRPr="005D20B7">
        <w:t>mainly</w:t>
      </w:r>
      <w:r w:rsidR="00D86E37">
        <w:t xml:space="preserve"> among </w:t>
      </w:r>
      <w:r w:rsidR="005C3AC1">
        <w:t>children</w:t>
      </w:r>
      <w:r w:rsidR="00DE1E11">
        <w:t xml:space="preserve"> and </w:t>
      </w:r>
      <w:r w:rsidR="0008068F" w:rsidRPr="005D20B7">
        <w:t>people living in</w:t>
      </w:r>
      <w:r w:rsidR="0008068F">
        <w:t xml:space="preserve"> </w:t>
      </w:r>
      <w:r w:rsidR="00DE1E11">
        <w:t>the eastern states</w:t>
      </w:r>
      <w:r w:rsidR="005C3AC1">
        <w:t>. Of the 27 800 unexplained increase</w:t>
      </w:r>
      <w:r w:rsidR="00DE1E11">
        <w:t>:</w:t>
      </w:r>
    </w:p>
    <w:p w:rsidR="00616B27" w:rsidRDefault="00F22902" w:rsidP="005D20B7">
      <w:pPr>
        <w:pStyle w:val="ListBullet"/>
      </w:pPr>
      <w:r>
        <w:t>94 per cent (26 100 out of 27 8</w:t>
      </w:r>
      <w:r w:rsidR="00616B27">
        <w:t xml:space="preserve">00) </w:t>
      </w:r>
      <w:r w:rsidR="00616B27" w:rsidRPr="005D20B7">
        <w:t>w</w:t>
      </w:r>
      <w:r w:rsidR="0079462C" w:rsidRPr="005D20B7">
        <w:t>ere</w:t>
      </w:r>
      <w:r w:rsidR="00616B27">
        <w:t xml:space="preserve"> in NSW, Victoria and Queensland</w:t>
      </w:r>
    </w:p>
    <w:p w:rsidR="00171C9B" w:rsidRPr="00F22902" w:rsidRDefault="00616B27" w:rsidP="00F22902">
      <w:pPr>
        <w:pStyle w:val="ListBullet"/>
      </w:pPr>
      <w:r w:rsidRPr="00F22902">
        <w:t>34 per cent (</w:t>
      </w:r>
      <w:r w:rsidR="005C3AC1" w:rsidRPr="00F22902">
        <w:t>9400</w:t>
      </w:r>
      <w:r w:rsidRPr="00F22902">
        <w:t xml:space="preserve"> out of 27 800)</w:t>
      </w:r>
      <w:r w:rsidR="005C3AC1" w:rsidRPr="00F22902">
        <w:t xml:space="preserve"> was attributable to children aged 5–9 years in 2011.</w:t>
      </w:r>
      <w:r w:rsidR="005C3AC1">
        <w:t xml:space="preserve"> About</w:t>
      </w:r>
      <w:r w:rsidR="00D86E37">
        <w:t xml:space="preserve"> 10 500 </w:t>
      </w:r>
      <w:r w:rsidR="005C3AC1">
        <w:t xml:space="preserve">more </w:t>
      </w:r>
      <w:r w:rsidR="00D86E37">
        <w:t>people aged 20–54 years in 2011 identified as being of Aboriginal and/or Torres Strait Islander origin than people aged 15–49 years in 2006. Many of these people would have been parents and completed Census forms on behalf of their children, contributing to the increase in the count of Aboriginal and/or Torres Strait Islander children age</w:t>
      </w:r>
      <w:r w:rsidR="00FD1B11">
        <w:t xml:space="preserve">d less than 15 years </w:t>
      </w:r>
      <w:r w:rsidR="00FD1B11" w:rsidRPr="00FD1B11">
        <w:rPr>
          <w:szCs w:val="24"/>
        </w:rPr>
        <w:t>(ABS 2013b)</w:t>
      </w:r>
      <w:r w:rsidR="00D86E37">
        <w:t>.</w:t>
      </w:r>
      <w:r w:rsidR="00DE1E11">
        <w:rPr>
          <w:rStyle w:val="FootnoteReference"/>
        </w:rPr>
        <w:footnoteReference w:id="2"/>
      </w:r>
    </w:p>
    <w:p w:rsidR="00A3385B" w:rsidRPr="00A3385B" w:rsidRDefault="00A3385B" w:rsidP="00A3385B">
      <w:pPr>
        <w:pStyle w:val="Heading3"/>
      </w:pPr>
      <w:r w:rsidRPr="00A3385B">
        <w:lastRenderedPageBreak/>
        <w:t>Survey data</w:t>
      </w:r>
    </w:p>
    <w:p w:rsidR="00A3385B" w:rsidRDefault="00A3385B" w:rsidP="00A3385B">
      <w:pPr>
        <w:pStyle w:val="BodyText"/>
      </w:pPr>
      <w:r>
        <w:t>Surveys can provide a rich source of data, but are often only reliable at higher levels of aggregation, for example, national and State and Territory data, and sometimes remoteness area disaggregation. (The reliability of survey data at lower levels of disaggregation is limited by sampling error.)</w:t>
      </w:r>
    </w:p>
    <w:p w:rsidR="00A3385B" w:rsidRDefault="00A3385B" w:rsidP="00A3385B">
      <w:pPr>
        <w:pStyle w:val="BodyText"/>
      </w:pPr>
      <w:r>
        <w:t xml:space="preserve">The ABS has </w:t>
      </w:r>
      <w:r w:rsidR="00227F5E">
        <w:t xml:space="preserve">historically operated </w:t>
      </w:r>
      <w:r>
        <w:t>a three</w:t>
      </w:r>
      <w:r w:rsidR="00EE38AF">
        <w:t>-</w:t>
      </w:r>
      <w:r>
        <w:t xml:space="preserve">yearly rolling program of </w:t>
      </w:r>
      <w:r w:rsidR="00695B26">
        <w:t xml:space="preserve">Aboriginal and Torres Strait Islander </w:t>
      </w:r>
      <w:r>
        <w:t>household surveys, t</w:t>
      </w:r>
      <w:r w:rsidR="00A309A1">
        <w:t>he most recent being the 201</w:t>
      </w:r>
      <w:r w:rsidR="00212D01">
        <w:t>4</w:t>
      </w:r>
      <w:r w:rsidR="00C91688">
        <w:t>-</w:t>
      </w:r>
      <w:r>
        <w:t>1</w:t>
      </w:r>
      <w:r w:rsidR="00212D01">
        <w:t>5</w:t>
      </w:r>
      <w:r>
        <w:t xml:space="preserve"> </w:t>
      </w:r>
      <w:r w:rsidR="00212D01">
        <w:t>National</w:t>
      </w:r>
      <w:r>
        <w:t xml:space="preserve"> Aboriginal and Torres Strait Islander </w:t>
      </w:r>
      <w:r w:rsidR="00212D01">
        <w:t>Social Survey (NATSIS</w:t>
      </w:r>
      <w:r>
        <w:t xml:space="preserve">S). Data from this survey were </w:t>
      </w:r>
      <w:r w:rsidR="00A309A1">
        <w:t xml:space="preserve">released </w:t>
      </w:r>
      <w:r w:rsidR="00A309A1" w:rsidRPr="00A356BA">
        <w:t xml:space="preserve">from </w:t>
      </w:r>
      <w:r w:rsidR="00A356BA">
        <w:t xml:space="preserve">28 </w:t>
      </w:r>
      <w:r w:rsidR="00212D01" w:rsidRPr="00A356BA">
        <w:t>April 2016</w:t>
      </w:r>
      <w:r w:rsidRPr="00A356BA">
        <w:t>, and</w:t>
      </w:r>
      <w:r>
        <w:t xml:space="preserve"> form an important component of this report. The next survey in the program </w:t>
      </w:r>
      <w:r w:rsidR="00212D01">
        <w:t>is yet to be determined</w:t>
      </w:r>
      <w:r>
        <w:t>.</w:t>
      </w:r>
      <w:r w:rsidR="00212D01">
        <w:rPr>
          <w:rStyle w:val="FootnoteReference"/>
        </w:rPr>
        <w:footnoteReference w:id="3"/>
      </w:r>
    </w:p>
    <w:p w:rsidR="002A3513" w:rsidRDefault="002A3513" w:rsidP="00442D23">
      <w:pPr>
        <w:pStyle w:val="BodyText"/>
      </w:pPr>
      <w:r>
        <w:t xml:space="preserve">Sample size limits the extent to which data can be disaggregated by different factors such as geography, age and sex, particularly for characteristics that are not widespread across the population. </w:t>
      </w:r>
      <w:r w:rsidR="00436EF1">
        <w:t>The sample</w:t>
      </w:r>
      <w:r w:rsidR="00227F5E">
        <w:t xml:space="preserve"> for the NATSIS</w:t>
      </w:r>
      <w:r w:rsidR="00436EF1">
        <w:t xml:space="preserve">S </w:t>
      </w:r>
      <w:r w:rsidR="00227F5E">
        <w:t>was</w:t>
      </w:r>
      <w:r w:rsidR="00436EF1">
        <w:t xml:space="preserve"> </w:t>
      </w:r>
      <w:r>
        <w:t>designed to provide reliable estimates for remote and non-remote areas</w:t>
      </w:r>
      <w:r w:rsidR="00436EF1">
        <w:t>,</w:t>
      </w:r>
      <w:r>
        <w:t xml:space="preserve"> by </w:t>
      </w:r>
      <w:r w:rsidR="00436EF1">
        <w:t>State and T</w:t>
      </w:r>
      <w:r>
        <w:t xml:space="preserve">erritory and for Torres Strait </w:t>
      </w:r>
      <w:r w:rsidR="00436EF1">
        <w:t>Islander Australians</w:t>
      </w:r>
      <w:r>
        <w:t>.</w:t>
      </w:r>
    </w:p>
    <w:p w:rsidR="00A3385B" w:rsidRDefault="00A3385B" w:rsidP="00A3385B">
      <w:pPr>
        <w:pStyle w:val="BodyText"/>
      </w:pPr>
      <w:r>
        <w:t xml:space="preserve">Data from other ABS surveys </w:t>
      </w:r>
      <w:r w:rsidR="00274FD0">
        <w:t>(</w:t>
      </w:r>
      <w:r w:rsidR="00274FD0" w:rsidRPr="00274FD0">
        <w:t xml:space="preserve">for example, the </w:t>
      </w:r>
      <w:r w:rsidR="00227F5E">
        <w:t>General Social Survey and the National</w:t>
      </w:r>
      <w:r w:rsidR="00274FD0" w:rsidRPr="00274FD0">
        <w:t xml:space="preserve"> Health Survey) </w:t>
      </w:r>
      <w:r>
        <w:t>are included in this report, often to provide non</w:t>
      </w:r>
      <w:r w:rsidR="009E1248">
        <w:noBreakHyphen/>
      </w:r>
      <w:r w:rsidR="00227F5E">
        <w:t>Indigenous comparators for NATSIS</w:t>
      </w:r>
      <w:r>
        <w:t xml:space="preserve">S data. </w:t>
      </w:r>
      <w:r w:rsidR="00227F5E">
        <w:t>Currently, m</w:t>
      </w:r>
      <w:r>
        <w:t xml:space="preserve">ost general population surveys do not contain a large enough </w:t>
      </w:r>
      <w:r w:rsidR="00F958DE">
        <w:t xml:space="preserve">representative </w:t>
      </w:r>
      <w:r w:rsidR="005D2B69">
        <w:t>sample of Aboriginal and Torres Strait Islander Australians</w:t>
      </w:r>
      <w:r>
        <w:t xml:space="preserve"> to allow for disaggregation by Indigenous status.</w:t>
      </w:r>
    </w:p>
    <w:p w:rsidR="00A3385B" w:rsidRDefault="00A81C3E" w:rsidP="00A3385B">
      <w:pPr>
        <w:pStyle w:val="Heading4"/>
      </w:pPr>
      <w:r>
        <w:t>C</w:t>
      </w:r>
      <w:r w:rsidR="00A3385B" w:rsidRPr="00A3385B">
        <w:t>onfidence intervals</w:t>
      </w:r>
      <w:r>
        <w:t xml:space="preserve"> and relative standard errors</w:t>
      </w:r>
    </w:p>
    <w:p w:rsidR="00A3385B" w:rsidRDefault="00AC740D" w:rsidP="00A3385B">
      <w:pPr>
        <w:pStyle w:val="BodyText"/>
      </w:pPr>
      <w:r>
        <w:t>Results from sample surveys</w:t>
      </w:r>
      <w:r w:rsidR="00A3385B">
        <w:t xml:space="preserve"> are subject to sampling error because they are based on samples of the total population, rather than the whole population. (Data collections that seek to include the entire population, including the Census, are not subject to sampling error.) </w:t>
      </w:r>
    </w:p>
    <w:p w:rsidR="00A3385B" w:rsidRDefault="00A3385B" w:rsidP="004F240D">
      <w:pPr>
        <w:pStyle w:val="BodyText"/>
      </w:pPr>
      <w:r>
        <w:t xml:space="preserve">Where </w:t>
      </w:r>
      <w:r w:rsidR="00F958DE">
        <w:t xml:space="preserve">sample </w:t>
      </w:r>
      <w:r>
        <w:t>survey data are shown in charts in this report, error bars are included, showing 95 per cent confidence intervals</w:t>
      </w:r>
      <w:r>
        <w:rPr>
          <w:rStyle w:val="FootnoteReference"/>
        </w:rPr>
        <w:footnoteReference w:id="4"/>
      </w:r>
      <w:r>
        <w:t>. T</w:t>
      </w:r>
      <w:r w:rsidR="007F1CA1">
        <w:t>his means that t</w:t>
      </w:r>
      <w:r>
        <w:t xml:space="preserve">here is a 95 per cent chance that the true value of the measure lies within the interval shown by the error bars. This report </w:t>
      </w:r>
      <w:r w:rsidR="008D268B" w:rsidRPr="004F240D">
        <w:t>uses standard tests of statistical significance and</w:t>
      </w:r>
      <w:r w:rsidR="008D268B">
        <w:t xml:space="preserve"> </w:t>
      </w:r>
      <w:r>
        <w:t xml:space="preserve">only highlights differences if they are statistically significant (although it should be noted that, just because a difference is ‘statistically significant’, that does not mean the difference is necessarily material or important). </w:t>
      </w:r>
    </w:p>
    <w:p w:rsidR="00A81C3E" w:rsidRDefault="00A3385B" w:rsidP="00A3385B">
      <w:pPr>
        <w:pStyle w:val="BodyText"/>
      </w:pPr>
      <w:r>
        <w:lastRenderedPageBreak/>
        <w:t>Relative standard errors (RSEs) are a statistical measure of the precision of a survey statistic. RSEs for all survey data included in the report are shown in the relevant attachment tables, which are available on the website (www.pc.gov.au/</w:t>
      </w:r>
      <w:r w:rsidR="00F7254A">
        <w:t>oid</w:t>
      </w:r>
      <w:r w:rsidR="00AC740D">
        <w:t>2016</w:t>
      </w:r>
      <w:r>
        <w:t xml:space="preserve">). </w:t>
      </w:r>
    </w:p>
    <w:p w:rsidR="00A3385B" w:rsidRDefault="009E619A" w:rsidP="009E619A">
      <w:pPr>
        <w:pStyle w:val="Heading3"/>
      </w:pPr>
      <w:r w:rsidRPr="009E619A">
        <w:t>Administrative data</w:t>
      </w:r>
    </w:p>
    <w:p w:rsidR="009E619A" w:rsidRDefault="002A3513" w:rsidP="009E619A">
      <w:pPr>
        <w:pStyle w:val="BodyText"/>
      </w:pPr>
      <w:r>
        <w:t>A range of administrative data is used across this report. These data are collected for different reasons, including for regulatory purposes or administration of government programs. The resulting administrative records can also be used for statistical purposes.</w:t>
      </w:r>
      <w:r w:rsidR="009E619A">
        <w:t xml:space="preserve"> These data are constantly updated and new data may be available annually or more frequently. However, Australia’s federal system means that there are often differences across states and territories in the types of services provided, or the definitions used within data collections, which make it difficult to compare results across jurisdictions or to estimate national totals. Major differences in definitions or data collections are noted in this report as appropriate.</w:t>
      </w:r>
    </w:p>
    <w:p w:rsidR="002A3513" w:rsidRDefault="002A3513" w:rsidP="002A3513">
      <w:pPr>
        <w:pStyle w:val="BodyText"/>
      </w:pPr>
      <w:r>
        <w:t xml:space="preserve">In some instances, administrative data can offer important advantages over direct collection of data from the population concerned (particularly in reducing respondent burden). However, </w:t>
      </w:r>
      <w:r w:rsidRPr="008C1360">
        <w:t xml:space="preserve">administrative data may not represent all of the population </w:t>
      </w:r>
      <w:r>
        <w:t>of interest (for example, data related to the delivery of a government service will only include people who accessed the service)</w:t>
      </w:r>
      <w:r w:rsidRPr="008C1360">
        <w:t xml:space="preserve">. </w:t>
      </w:r>
    </w:p>
    <w:p w:rsidR="009E619A" w:rsidRDefault="009E619A" w:rsidP="003F27C3">
      <w:pPr>
        <w:pStyle w:val="BodyText"/>
      </w:pPr>
      <w:r>
        <w:t>Although there is general agreement on a ‘standard Indigenous status question’ to ensure consistency in data collections</w:t>
      </w:r>
      <w:r w:rsidR="002300DE">
        <w:t xml:space="preserve"> </w:t>
      </w:r>
      <w:r w:rsidR="00814316" w:rsidRPr="00814316">
        <w:rPr>
          <w:szCs w:val="24"/>
        </w:rPr>
        <w:t>(ABS 2014b)</w:t>
      </w:r>
      <w:r>
        <w:t xml:space="preserve">, there can be issues with the accuracy of Indigenous identification across jurisdictions and over time. Aboriginal and Torres Strait Islander Australians are not always asked the question, there are situations where they may choose not to identify, and there are also some inconsistencies in the recording of Indigenous status across jurisdictions and collections. Governments have committed to </w:t>
      </w:r>
      <w:r w:rsidRPr="003F27C3">
        <w:t xml:space="preserve">improve </w:t>
      </w:r>
      <w:r w:rsidR="00B4031B" w:rsidRPr="003F27C3">
        <w:t xml:space="preserve">the </w:t>
      </w:r>
      <w:r w:rsidRPr="003F27C3">
        <w:t xml:space="preserve">identification </w:t>
      </w:r>
      <w:r w:rsidR="00B4031B" w:rsidRPr="003F27C3">
        <w:t>of Aboriginal and Torres Strait Islander Australians</w:t>
      </w:r>
      <w:r w:rsidR="00B4031B">
        <w:t xml:space="preserve"> in</w:t>
      </w:r>
      <w:r>
        <w:t xml:space="preserve"> data collections as part of the National Indigenous Reform Agreement</w:t>
      </w:r>
      <w:r w:rsidR="008111A7">
        <w:t xml:space="preserve"> (NIRA)</w:t>
      </w:r>
      <w:r>
        <w:t>.</w:t>
      </w:r>
    </w:p>
    <w:p w:rsidR="009E619A" w:rsidRDefault="009E619A" w:rsidP="009E619A">
      <w:pPr>
        <w:pStyle w:val="BodyText"/>
      </w:pPr>
      <w:r>
        <w:t>Administrative data can also be affected by the availability or accessibility of services, and by Aboriginal and Torres Strait Islander Australians</w:t>
      </w:r>
      <w:r w:rsidR="000D7D9B">
        <w:t>’</w:t>
      </w:r>
      <w:r>
        <w:t xml:space="preserve"> willingness (or ‘propensity’) to access those services. For example, different rates of substantiated child abuse and neglect across jurisdictions or over time may be the result of differential access to services or different propensities to report child abuse, rather than differences in its occurrence (see section</w:t>
      </w:r>
      <w:r w:rsidR="009E1248">
        <w:t> </w:t>
      </w:r>
      <w:r>
        <w:t>4.10).</w:t>
      </w:r>
    </w:p>
    <w:p w:rsidR="009E619A" w:rsidRDefault="009E619A" w:rsidP="009E619A">
      <w:pPr>
        <w:pStyle w:val="Heading3"/>
      </w:pPr>
      <w:r w:rsidRPr="009E619A">
        <w:t>Rate ratios and rate differences</w:t>
      </w:r>
    </w:p>
    <w:p w:rsidR="009E619A" w:rsidRDefault="009E619A" w:rsidP="009E619A">
      <w:pPr>
        <w:pStyle w:val="BodyText"/>
      </w:pPr>
      <w:r>
        <w:t>For some indicators, rate differences and rate ratios are calculated to compare rates between different groups, consistent with the approach in NIRA reporting.</w:t>
      </w:r>
      <w:r w:rsidR="00CA3167">
        <w:t xml:space="preserve"> </w:t>
      </w:r>
      <w:r w:rsidR="00CA3167" w:rsidRPr="00442D23">
        <w:t>They are most commonly used when comparing age standardised rates</w:t>
      </w:r>
      <w:r w:rsidR="00CA3167" w:rsidRPr="00CA3167">
        <w:t>.</w:t>
      </w:r>
    </w:p>
    <w:p w:rsidR="009E619A" w:rsidRDefault="009E619A" w:rsidP="009E619A">
      <w:pPr>
        <w:pStyle w:val="ListBullet"/>
      </w:pPr>
      <w:r>
        <w:lastRenderedPageBreak/>
        <w:t xml:space="preserve">A </w:t>
      </w:r>
      <w:r w:rsidRPr="009E619A">
        <w:rPr>
          <w:i/>
        </w:rPr>
        <w:t>rate ratio</w:t>
      </w:r>
      <w:r>
        <w:t xml:space="preserve"> compares rates, to allow statements such as ‘the rate for Aboriginal and Torres Strait Islander Australians is three times the rate for non</w:t>
      </w:r>
      <w:r w:rsidR="009E1248">
        <w:noBreakHyphen/>
      </w:r>
      <w:r>
        <w:t>Indigenous Australians’. For example, if the rate for Aboriginal and Torres Strait Islander Australians is 30 per cent and the rate for non</w:t>
      </w:r>
      <w:r w:rsidR="009E1248">
        <w:noBreakHyphen/>
      </w:r>
      <w:r>
        <w:t>Indigenous Australians is 10 per cent, the rate ratio would be three to one (or 3:1).</w:t>
      </w:r>
    </w:p>
    <w:p w:rsidR="009E619A" w:rsidRDefault="009E619A" w:rsidP="009E619A">
      <w:pPr>
        <w:pStyle w:val="ListBullet"/>
      </w:pPr>
      <w:r>
        <w:t xml:space="preserve">A </w:t>
      </w:r>
      <w:r w:rsidRPr="009E619A">
        <w:rPr>
          <w:i/>
        </w:rPr>
        <w:t>rate difference</w:t>
      </w:r>
      <w:r>
        <w:t xml:space="preserve"> highlights the difference between rates, to allow statements such as ‘the rate for Aboriginal and Torres Strait Islander Australians is 20 percentage points higher than the rate for non</w:t>
      </w:r>
      <w:r w:rsidR="009E1248">
        <w:noBreakHyphen/>
      </w:r>
      <w:r>
        <w:t>Indigenous Australians’. For example, if the rate for Aboriginal and Torres Strait Islander Australians is 30 per cent and the rate for non</w:t>
      </w:r>
      <w:r w:rsidR="009E1248">
        <w:noBreakHyphen/>
      </w:r>
      <w:r>
        <w:t>Indigenous Australians is 10 per cent, the rate difference is 20 percentage points.</w:t>
      </w:r>
    </w:p>
    <w:p w:rsidR="006656F5" w:rsidRDefault="00A130CD" w:rsidP="006656F5">
      <w:pPr>
        <w:pStyle w:val="Heading2"/>
      </w:pPr>
      <w:r>
        <w:t>3.</w:t>
      </w:r>
      <w:r w:rsidR="000722EF">
        <w:rPr>
          <w:noProof/>
        </w:rPr>
        <w:t>3</w:t>
      </w:r>
      <w:r w:rsidR="006656F5">
        <w:tab/>
      </w:r>
      <w:r w:rsidR="006656F5" w:rsidRPr="006656F5">
        <w:t>Demographics of the Aboriginal and Torres Strait Islander population</w:t>
      </w:r>
    </w:p>
    <w:p w:rsidR="006656F5" w:rsidRPr="00733677" w:rsidRDefault="006656F5" w:rsidP="006656F5">
      <w:pPr>
        <w:pStyle w:val="BodyText"/>
      </w:pPr>
      <w:r>
        <w:t xml:space="preserve">This section provides a brief introduction to some of the key Aboriginal and Torres Strait Islander demographics. More information is provided in </w:t>
      </w:r>
      <w:r w:rsidRPr="00733677">
        <w:t xml:space="preserve">appendix </w:t>
      </w:r>
      <w:r w:rsidR="00CE057F">
        <w:t>2</w:t>
      </w:r>
      <w:r w:rsidRPr="00733677">
        <w:t>.</w:t>
      </w:r>
    </w:p>
    <w:p w:rsidR="006656F5" w:rsidRDefault="006656F5" w:rsidP="006656F5">
      <w:pPr>
        <w:pStyle w:val="Heading3"/>
      </w:pPr>
      <w:r>
        <w:t>How many people?</w:t>
      </w:r>
    </w:p>
    <w:p w:rsidR="006656F5" w:rsidRDefault="00EC724C" w:rsidP="006656F5">
      <w:pPr>
        <w:pStyle w:val="BodyText"/>
      </w:pPr>
      <w:r>
        <w:t>At 30 June</w:t>
      </w:r>
      <w:r w:rsidRPr="006656F5">
        <w:t xml:space="preserve"> </w:t>
      </w:r>
      <w:r w:rsidR="006656F5" w:rsidRPr="006656F5">
        <w:t>2011, the estimated resident Aboriginal and Torres Strait Islander population of Australia was 670</w:t>
      </w:r>
      <w:r w:rsidR="009E1248">
        <w:t> </w:t>
      </w:r>
      <w:r w:rsidR="006656F5" w:rsidRPr="006656F5">
        <w:t>000 people, out of a total population of 22.3</w:t>
      </w:r>
      <w:r w:rsidR="008111A7">
        <w:t> </w:t>
      </w:r>
      <w:r w:rsidR="006656F5" w:rsidRPr="006656F5">
        <w:t>million people (approximately 3 per cent of the total Australian population, up from 2.</w:t>
      </w:r>
      <w:r w:rsidR="00DE42FF">
        <w:t>9</w:t>
      </w:r>
      <w:r w:rsidR="006656F5" w:rsidRPr="006656F5">
        <w:t xml:space="preserve"> per cent in 2006</w:t>
      </w:r>
      <w:r w:rsidR="00DE42FF">
        <w:t xml:space="preserve"> using recast 2011 Census-based estimates</w:t>
      </w:r>
      <w:r w:rsidR="006656F5" w:rsidRPr="006656F5">
        <w:t xml:space="preserve">). </w:t>
      </w:r>
      <w:r w:rsidR="00CA3167" w:rsidRPr="00442D23">
        <w:t>Within the Aboriginal and Torres Strait Islander population, a</w:t>
      </w:r>
      <w:r w:rsidR="006656F5" w:rsidRPr="00442D23">
        <w:t>n estimated 606</w:t>
      </w:r>
      <w:r w:rsidR="009E1248" w:rsidRPr="00442D23">
        <w:t> </w:t>
      </w:r>
      <w:r w:rsidR="006656F5" w:rsidRPr="00442D23">
        <w:t xml:space="preserve">000 people </w:t>
      </w:r>
      <w:r w:rsidR="00CA3167" w:rsidRPr="00442D23">
        <w:t>(90 per cent) were of Aboriginal origin</w:t>
      </w:r>
      <w:r w:rsidR="006656F5" w:rsidRPr="00442D23">
        <w:t>, 38</w:t>
      </w:r>
      <w:r w:rsidR="009E1248" w:rsidRPr="00442D23">
        <w:t> </w:t>
      </w:r>
      <w:r w:rsidR="00DE42FF" w:rsidRPr="00442D23">
        <w:t>1</w:t>
      </w:r>
      <w:r w:rsidR="00CA3167" w:rsidRPr="00442D23">
        <w:t>00 people (6 per cent</w:t>
      </w:r>
      <w:r w:rsidR="006656F5" w:rsidRPr="00442D23">
        <w:t>) were of Torres Strait Islander origin and 25</w:t>
      </w:r>
      <w:r w:rsidR="009E1248" w:rsidRPr="00442D23">
        <w:t> </w:t>
      </w:r>
      <w:r w:rsidR="006656F5" w:rsidRPr="00442D23">
        <w:t>600 people (4</w:t>
      </w:r>
      <w:r w:rsidR="008111A7" w:rsidRPr="00442D23">
        <w:t> </w:t>
      </w:r>
      <w:r w:rsidR="00864740" w:rsidRPr="00442D23">
        <w:t xml:space="preserve">per cent) were of both origins </w:t>
      </w:r>
      <w:r w:rsidR="00864740" w:rsidRPr="00864740">
        <w:rPr>
          <w:szCs w:val="24"/>
        </w:rPr>
        <w:t>(ABS 2013c)</w:t>
      </w:r>
      <w:r w:rsidR="006656F5" w:rsidRPr="006656F5">
        <w:t xml:space="preserve">. The projected Aboriginal and Torres Strait Islander population </w:t>
      </w:r>
      <w:r>
        <w:t>at 30</w:t>
      </w:r>
      <w:r w:rsidR="00CF34D2">
        <w:t xml:space="preserve"> June 2016 was 745</w:t>
      </w:r>
      <w:r w:rsidR="009E1248">
        <w:t> </w:t>
      </w:r>
      <w:r w:rsidR="00CF34D2">
        <w:t xml:space="preserve">000 </w:t>
      </w:r>
      <w:r w:rsidR="00814316" w:rsidRPr="00814316">
        <w:rPr>
          <w:szCs w:val="24"/>
        </w:rPr>
        <w:t>(ABS 2014a)</w:t>
      </w:r>
      <w:r w:rsidR="006656F5" w:rsidRPr="006656F5">
        <w:t>, which was 3</w:t>
      </w:r>
      <w:r w:rsidR="00F87691">
        <w:t>.1</w:t>
      </w:r>
      <w:r w:rsidR="006656F5" w:rsidRPr="006656F5">
        <w:t xml:space="preserve"> per cent of the </w:t>
      </w:r>
      <w:r w:rsidR="00CF34D2">
        <w:t>projected</w:t>
      </w:r>
      <w:r w:rsidR="006656F5" w:rsidRPr="006656F5">
        <w:t xml:space="preserve"> total popula</w:t>
      </w:r>
      <w:r w:rsidR="00CF34D2">
        <w:t>tion of 24.4</w:t>
      </w:r>
      <w:r w:rsidR="00864740">
        <w:t xml:space="preserve"> million </w:t>
      </w:r>
      <w:r w:rsidR="00864740" w:rsidRPr="00864740">
        <w:rPr>
          <w:szCs w:val="24"/>
        </w:rPr>
        <w:t>(ABS 2013d)</w:t>
      </w:r>
      <w:r w:rsidR="00467DE0">
        <w:rPr>
          <w:rStyle w:val="FootnoteReference"/>
        </w:rPr>
        <w:footnoteReference w:id="5"/>
      </w:r>
      <w:r w:rsidR="006656F5" w:rsidRPr="006656F5">
        <w:t>.</w:t>
      </w:r>
    </w:p>
    <w:p w:rsidR="00467DE0" w:rsidRDefault="00467DE0" w:rsidP="00467DE0">
      <w:pPr>
        <w:pStyle w:val="Heading3"/>
      </w:pPr>
      <w:r w:rsidRPr="00467DE0">
        <w:t>Population distribution</w:t>
      </w:r>
    </w:p>
    <w:p w:rsidR="00467DE0" w:rsidRDefault="00467DE0" w:rsidP="00EE6B82">
      <w:pPr>
        <w:pStyle w:val="BodyText"/>
      </w:pPr>
      <w:r>
        <w:t xml:space="preserve">Service providers need to consider the geographic and age distribution of the </w:t>
      </w:r>
      <w:r w:rsidR="008111A7">
        <w:t xml:space="preserve">Aboriginal and Torres Strait Islander </w:t>
      </w:r>
      <w:r>
        <w:t xml:space="preserve">population, and the requirements of different groups </w:t>
      </w:r>
      <w:r w:rsidR="008F151E" w:rsidRPr="00EE6B82">
        <w:t>within that population</w:t>
      </w:r>
      <w:r w:rsidR="008F151E">
        <w:t xml:space="preserve"> </w:t>
      </w:r>
      <w:r>
        <w:t xml:space="preserve">if they are to meet people’s needs and address disadvantage. Services must also accommodate </w:t>
      </w:r>
      <w:r w:rsidR="008F2EC6">
        <w:t xml:space="preserve">Aboriginal and Torres Strait Islander </w:t>
      </w:r>
      <w:r w:rsidR="008111A7">
        <w:t xml:space="preserve">Australians’ </w:t>
      </w:r>
      <w:r>
        <w:t>relatively high rates of temporary mobility and anticipate medium to long term demographic trends.</w:t>
      </w:r>
    </w:p>
    <w:p w:rsidR="00467DE0" w:rsidRDefault="00467DE0" w:rsidP="00467DE0">
      <w:pPr>
        <w:pStyle w:val="BodyText"/>
      </w:pPr>
      <w:r>
        <w:t xml:space="preserve">Higher proportions of </w:t>
      </w:r>
      <w:r w:rsidR="00CA3167" w:rsidRPr="00442D23">
        <w:t>the estimated residential populations</w:t>
      </w:r>
      <w:r w:rsidR="00CA3167">
        <w:t xml:space="preserve"> of </w:t>
      </w:r>
      <w:r>
        <w:t xml:space="preserve">both the </w:t>
      </w:r>
      <w:r w:rsidR="008F2EC6">
        <w:t xml:space="preserve">Aboriginal and Torres Strait Islander </w:t>
      </w:r>
      <w:r w:rsidR="00CA3167" w:rsidRPr="00442D23">
        <w:t>Australians</w:t>
      </w:r>
      <w:r w:rsidR="00F34687">
        <w:t xml:space="preserve"> </w:t>
      </w:r>
      <w:r>
        <w:t>(3</w:t>
      </w:r>
      <w:r w:rsidR="00BD0D6D">
        <w:t>1</w:t>
      </w:r>
      <w:r>
        <w:t xml:space="preserve"> per cent) and </w:t>
      </w:r>
      <w:r w:rsidR="00F34687">
        <w:t xml:space="preserve">the </w:t>
      </w:r>
      <w:r>
        <w:t>non</w:t>
      </w:r>
      <w:r w:rsidR="009E1248">
        <w:noBreakHyphen/>
      </w:r>
      <w:r>
        <w:t>Indigenous</w:t>
      </w:r>
      <w:r w:rsidR="00F34687">
        <w:t xml:space="preserve"> </w:t>
      </w:r>
      <w:r w:rsidR="00CA3167" w:rsidRPr="00442D23">
        <w:t>Australians</w:t>
      </w:r>
      <w:r>
        <w:t xml:space="preserve"> (3</w:t>
      </w:r>
      <w:r w:rsidR="00BD0D6D">
        <w:t>2</w:t>
      </w:r>
      <w:r w:rsidR="007E1FE3">
        <w:t> </w:t>
      </w:r>
      <w:r>
        <w:t>per</w:t>
      </w:r>
      <w:r w:rsidR="007E1FE3">
        <w:t> </w:t>
      </w:r>
      <w:r>
        <w:t>cent) lived in NSW than in other states and territories in 20</w:t>
      </w:r>
      <w:r w:rsidR="00DE1D68">
        <w:t>11</w:t>
      </w:r>
      <w:r>
        <w:t xml:space="preserve">. Other states and </w:t>
      </w:r>
      <w:r>
        <w:lastRenderedPageBreak/>
        <w:t xml:space="preserve">territories with significant shares of the </w:t>
      </w:r>
      <w:r w:rsidR="007E5D82">
        <w:t xml:space="preserve">national </w:t>
      </w:r>
      <w:r w:rsidR="008F2EC6">
        <w:t xml:space="preserve">Aboriginal and Torres Strait Islander </w:t>
      </w:r>
      <w:r>
        <w:t>population included Queensland (28 per cent), WA (1</w:t>
      </w:r>
      <w:r w:rsidR="00BD0D6D">
        <w:t>3</w:t>
      </w:r>
      <w:r>
        <w:t xml:space="preserve"> per cent) and the NT (1</w:t>
      </w:r>
      <w:r w:rsidR="00BD0D6D">
        <w:t>0</w:t>
      </w:r>
      <w:r w:rsidR="00864740">
        <w:t xml:space="preserve"> per cent)</w:t>
      </w:r>
      <w:r w:rsidR="006726B2">
        <w:t xml:space="preserve"> (f</w:t>
      </w:r>
      <w:r>
        <w:t>igure</w:t>
      </w:r>
      <w:r w:rsidR="009E1248">
        <w:t> </w:t>
      </w:r>
      <w:r>
        <w:t>3.</w:t>
      </w:r>
      <w:r w:rsidR="008F2EC6">
        <w:t>3</w:t>
      </w:r>
      <w:r w:rsidR="00864740">
        <w:t>.1).</w:t>
      </w:r>
    </w:p>
    <w:p w:rsidR="003C1CCD" w:rsidRDefault="003C1CCD" w:rsidP="000E277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C1CCD" w:rsidTr="000E2777">
        <w:tc>
          <w:tcPr>
            <w:tcW w:w="8771" w:type="dxa"/>
            <w:tcBorders>
              <w:top w:val="single" w:sz="6" w:space="0" w:color="78A22F"/>
              <w:left w:val="nil"/>
              <w:bottom w:val="nil"/>
              <w:right w:val="nil"/>
            </w:tcBorders>
            <w:shd w:val="clear" w:color="auto" w:fill="auto"/>
          </w:tcPr>
          <w:p w:rsidR="003C1CCD" w:rsidRDefault="003C1CCD" w:rsidP="00F34687">
            <w:pPr>
              <w:pStyle w:val="FigureTitle"/>
            </w:pPr>
            <w:r w:rsidRPr="00784A05">
              <w:rPr>
                <w:b w:val="0"/>
              </w:rPr>
              <w:t xml:space="preserve">Figure </w:t>
            </w:r>
            <w:r w:rsidR="00A130CD">
              <w:rPr>
                <w:b w:val="0"/>
              </w:rPr>
              <w:t>3.</w:t>
            </w:r>
            <w:r>
              <w:rPr>
                <w:b w:val="0"/>
              </w:rPr>
              <w:t>3.</w:t>
            </w:r>
            <w:r w:rsidR="00F34687">
              <w:rPr>
                <w:b w:val="0"/>
              </w:rPr>
              <w:t>1</w:t>
            </w:r>
            <w:r>
              <w:tab/>
            </w:r>
            <w:r w:rsidRPr="00467DE0">
              <w:t xml:space="preserve">Population distribution, </w:t>
            </w:r>
            <w:r>
              <w:t xml:space="preserve">June </w:t>
            </w:r>
            <w:r w:rsidRPr="00467DE0">
              <w:t>2011</w:t>
            </w:r>
          </w:p>
          <w:p w:rsidR="0077734F" w:rsidRPr="0077734F" w:rsidRDefault="0077734F" w:rsidP="0077734F">
            <w:pPr>
              <w:pStyle w:val="Subtitle"/>
            </w:pPr>
            <w:r>
              <w:t>Proportion of national population in each State and Territory</w:t>
            </w:r>
          </w:p>
        </w:tc>
      </w:tr>
      <w:tr w:rsidR="003C1CCD" w:rsidTr="000E2777">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4243"/>
              <w:gridCol w:w="4244"/>
            </w:tblGrid>
            <w:tr w:rsidR="003C1CCD" w:rsidTr="000E2777">
              <w:tc>
                <w:tcPr>
                  <w:tcW w:w="5000" w:type="pct"/>
                  <w:gridSpan w:val="2"/>
                  <w:tcBorders>
                    <w:top w:val="nil"/>
                    <w:bottom w:val="nil"/>
                  </w:tcBorders>
                </w:tcPr>
                <w:p w:rsidR="003C1CCD" w:rsidRDefault="007909FD" w:rsidP="00E70DFC">
                  <w:pPr>
                    <w:pStyle w:val="Figure"/>
                    <w:spacing w:before="60" w:after="60"/>
                  </w:pPr>
                  <w:r>
                    <w:rPr>
                      <w:noProof/>
                      <w:color w:val="000000"/>
                    </w:rPr>
                    <w:drawing>
                      <wp:inline distT="0" distB="0" distL="0" distR="0">
                        <wp:extent cx="2517775" cy="1944370"/>
                        <wp:effectExtent l="0" t="0" r="0" b="0"/>
                        <wp:docPr id="4" name="Picture 4" descr="Figure 3.3.1 Population distribution, June 2011&#10;Proportion of national population in each State and Territory&#10;&#10;Aboriginal and Torres Strait Islander&#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775" cy="1944370"/>
                                </a:xfrm>
                                <a:prstGeom prst="rect">
                                  <a:avLst/>
                                </a:prstGeom>
                                <a:noFill/>
                                <a:ln>
                                  <a:noFill/>
                                </a:ln>
                              </pic:spPr>
                            </pic:pic>
                          </a:graphicData>
                        </a:graphic>
                      </wp:inline>
                    </w:drawing>
                  </w:r>
                  <w:r>
                    <w:rPr>
                      <w:noProof/>
                    </w:rPr>
                    <w:drawing>
                      <wp:inline distT="0" distB="0" distL="0" distR="0">
                        <wp:extent cx="2517775" cy="1898015"/>
                        <wp:effectExtent l="0" t="0" r="0" b="6985"/>
                        <wp:docPr id="7" name="Picture 7" descr="Figure 3.3.1 Population distribution, June 2011&#10;Proportion of national population in each State and Territory&#10;&#10;Non-Indigenous&#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7775" cy="1898015"/>
                                </a:xfrm>
                                <a:prstGeom prst="rect">
                                  <a:avLst/>
                                </a:prstGeom>
                                <a:noFill/>
                                <a:ln>
                                  <a:noFill/>
                                </a:ln>
                              </pic:spPr>
                            </pic:pic>
                          </a:graphicData>
                        </a:graphic>
                      </wp:inline>
                    </w:drawing>
                  </w:r>
                </w:p>
              </w:tc>
            </w:tr>
            <w:tr w:rsidR="00647CA7" w:rsidTr="00647CA7">
              <w:tc>
                <w:tcPr>
                  <w:tcW w:w="2500" w:type="pct"/>
                  <w:tcBorders>
                    <w:top w:val="nil"/>
                    <w:bottom w:val="nil"/>
                  </w:tcBorders>
                </w:tcPr>
                <w:p w:rsidR="00647CA7" w:rsidRPr="003C1CCD" w:rsidRDefault="00946457" w:rsidP="000E2777">
                  <w:pPr>
                    <w:pStyle w:val="Figure"/>
                    <w:spacing w:before="60" w:after="60"/>
                    <w:rPr>
                      <w:rFonts w:ascii="Arial" w:hAnsi="Arial" w:cs="Arial"/>
                      <w:b/>
                      <w:sz w:val="18"/>
                      <w:szCs w:val="18"/>
                    </w:rPr>
                  </w:pPr>
                  <w:r>
                    <w:rPr>
                      <w:rFonts w:ascii="Arial" w:hAnsi="Arial" w:cs="Arial"/>
                      <w:b/>
                      <w:sz w:val="18"/>
                      <w:szCs w:val="18"/>
                    </w:rPr>
                    <w:t>Aboriginal and Torres Strait Islander</w:t>
                  </w:r>
                </w:p>
              </w:tc>
              <w:tc>
                <w:tcPr>
                  <w:tcW w:w="2500" w:type="pct"/>
                  <w:tcBorders>
                    <w:top w:val="nil"/>
                    <w:bottom w:val="nil"/>
                  </w:tcBorders>
                </w:tcPr>
                <w:p w:rsidR="00647CA7" w:rsidRPr="003C1CCD" w:rsidRDefault="00647CA7" w:rsidP="000E2777">
                  <w:pPr>
                    <w:pStyle w:val="Figure"/>
                    <w:spacing w:before="60" w:after="60"/>
                    <w:rPr>
                      <w:rFonts w:ascii="Arial" w:hAnsi="Arial" w:cs="Arial"/>
                      <w:b/>
                      <w:sz w:val="18"/>
                      <w:szCs w:val="18"/>
                    </w:rPr>
                  </w:pPr>
                  <w:r>
                    <w:rPr>
                      <w:rFonts w:ascii="Arial" w:hAnsi="Arial" w:cs="Arial"/>
                      <w:b/>
                      <w:sz w:val="18"/>
                      <w:szCs w:val="18"/>
                    </w:rPr>
                    <w:t>Non-Indigenous</w:t>
                  </w:r>
                </w:p>
              </w:tc>
            </w:tr>
          </w:tbl>
          <w:p w:rsidR="003C1CCD" w:rsidRDefault="003C1CCD" w:rsidP="000E2777">
            <w:pPr>
              <w:pStyle w:val="Figure"/>
            </w:pPr>
          </w:p>
        </w:tc>
      </w:tr>
      <w:tr w:rsidR="003C1CCD" w:rsidRPr="00176D3F" w:rsidTr="000E2777">
        <w:tc>
          <w:tcPr>
            <w:tcW w:w="8771" w:type="dxa"/>
            <w:tcBorders>
              <w:top w:val="nil"/>
              <w:left w:val="nil"/>
              <w:bottom w:val="nil"/>
              <w:right w:val="nil"/>
            </w:tcBorders>
            <w:shd w:val="clear" w:color="auto" w:fill="auto"/>
          </w:tcPr>
          <w:p w:rsidR="003C1CCD" w:rsidRPr="00176D3F" w:rsidRDefault="003C7E0A" w:rsidP="00902498">
            <w:pPr>
              <w:pStyle w:val="Source"/>
            </w:pPr>
            <w:r>
              <w:rPr>
                <w:i/>
              </w:rPr>
              <w:t>Source</w:t>
            </w:r>
            <w:r w:rsidRPr="00167F06">
              <w:t xml:space="preserve">: </w:t>
            </w:r>
            <w:r w:rsidRPr="00467DE0">
              <w:t>ABS 2013</w:t>
            </w:r>
            <w:r w:rsidRPr="00467DE0">
              <w:rPr>
                <w:i/>
              </w:rPr>
              <w:t>, Estimates of Aboriginal and Torres Strait Islander Australians, June 2011</w:t>
            </w:r>
            <w:r w:rsidRPr="00467DE0">
              <w:t>, Cat. no. 3238.0.55.001</w:t>
            </w:r>
            <w:r w:rsidR="00902498">
              <w:t xml:space="preserve">; </w:t>
            </w:r>
            <w:r w:rsidR="00902498" w:rsidRPr="00D82150">
              <w:rPr>
                <w:color w:val="000000" w:themeColor="text1"/>
              </w:rPr>
              <w:t xml:space="preserve">ABS 2014, </w:t>
            </w:r>
            <w:r w:rsidR="00902498" w:rsidRPr="00D82150">
              <w:rPr>
                <w:i/>
                <w:color w:val="000000" w:themeColor="text1"/>
              </w:rPr>
              <w:t>Estimates and projections, Aboriginal and Torres Strait Islander Australians 2001 to 2026</w:t>
            </w:r>
            <w:r w:rsidR="00902498" w:rsidRPr="00D82150">
              <w:rPr>
                <w:color w:val="000000" w:themeColor="text1"/>
              </w:rPr>
              <w:t>, Cat. no. 3238.0</w:t>
            </w:r>
            <w:r w:rsidRPr="00467DE0">
              <w:t>. See</w:t>
            </w:r>
            <w:r>
              <w:t xml:space="preserve"> appendix </w:t>
            </w:r>
            <w:r w:rsidR="006A2473">
              <w:t>2</w:t>
            </w:r>
            <w:r w:rsidRPr="00467DE0">
              <w:t xml:space="preserve"> for more information.</w:t>
            </w:r>
          </w:p>
        </w:tc>
      </w:tr>
      <w:tr w:rsidR="003C1CCD" w:rsidTr="000E2777">
        <w:tc>
          <w:tcPr>
            <w:tcW w:w="8771" w:type="dxa"/>
            <w:tcBorders>
              <w:top w:val="nil"/>
              <w:left w:val="nil"/>
              <w:bottom w:val="single" w:sz="6" w:space="0" w:color="78A22F"/>
              <w:right w:val="nil"/>
            </w:tcBorders>
            <w:shd w:val="clear" w:color="auto" w:fill="auto"/>
          </w:tcPr>
          <w:p w:rsidR="003C1CCD" w:rsidRDefault="003C1CCD" w:rsidP="000E2777">
            <w:pPr>
              <w:pStyle w:val="Figurespace"/>
            </w:pPr>
          </w:p>
        </w:tc>
      </w:tr>
      <w:tr w:rsidR="003C1CCD" w:rsidRPr="000863A5" w:rsidTr="000E2777">
        <w:tc>
          <w:tcPr>
            <w:tcW w:w="8771" w:type="dxa"/>
            <w:tcBorders>
              <w:top w:val="single" w:sz="6" w:space="0" w:color="78A22F"/>
              <w:left w:val="nil"/>
              <w:bottom w:val="nil"/>
              <w:right w:val="nil"/>
            </w:tcBorders>
          </w:tcPr>
          <w:p w:rsidR="003C1CCD" w:rsidRPr="00626D32" w:rsidRDefault="003C1CCD" w:rsidP="000E2777">
            <w:pPr>
              <w:pStyle w:val="BoxSpaceBelow"/>
            </w:pPr>
          </w:p>
        </w:tc>
      </w:tr>
    </w:tbl>
    <w:p w:rsidR="00467DE0" w:rsidRDefault="00F53C35" w:rsidP="00F53C35">
      <w:pPr>
        <w:pStyle w:val="Heading3"/>
      </w:pPr>
      <w:r>
        <w:t>Mobility</w:t>
      </w:r>
    </w:p>
    <w:p w:rsidR="00F53C35" w:rsidRDefault="00F53C35" w:rsidP="00C22580">
      <w:pPr>
        <w:pStyle w:val="BodyText"/>
      </w:pPr>
      <w:r w:rsidRPr="00F53C35">
        <w:t>A range of evidence suggests that Aboriginal and Torres Strait Islander Australians are more mobile than non</w:t>
      </w:r>
      <w:r w:rsidR="009E1248">
        <w:noBreakHyphen/>
      </w:r>
      <w:r w:rsidRPr="00F53C35">
        <w:t xml:space="preserve">Indigenous Australians. Rather than living permanently in a single location, Aboriginal and Torres Strait Islander </w:t>
      </w:r>
      <w:r w:rsidR="007E5D82">
        <w:t>Australians</w:t>
      </w:r>
      <w:r w:rsidR="007E5D82" w:rsidRPr="00F53C35">
        <w:t xml:space="preserve"> </w:t>
      </w:r>
      <w:r w:rsidRPr="00F53C35">
        <w:t xml:space="preserve">may move between locations (including between remoteness areas) </w:t>
      </w:r>
      <w:r w:rsidRPr="00C22580">
        <w:t>to access health, housing, employment and</w:t>
      </w:r>
      <w:r w:rsidR="007C3018" w:rsidRPr="00C22580">
        <w:t xml:space="preserve"> education services </w:t>
      </w:r>
      <w:r w:rsidR="007C3018" w:rsidRPr="00C22580">
        <w:rPr>
          <w:szCs w:val="24"/>
        </w:rPr>
        <w:t>(</w:t>
      </w:r>
      <w:proofErr w:type="spellStart"/>
      <w:r w:rsidR="007C3018" w:rsidRPr="00C22580">
        <w:rPr>
          <w:szCs w:val="24"/>
        </w:rPr>
        <w:t>Prout</w:t>
      </w:r>
      <w:proofErr w:type="spellEnd"/>
      <w:r w:rsidR="007C3018" w:rsidRPr="00C22580">
        <w:rPr>
          <w:szCs w:val="24"/>
        </w:rPr>
        <w:t> 2008)</w:t>
      </w:r>
      <w:r w:rsidR="00CB24A0" w:rsidRPr="00C22580">
        <w:t xml:space="preserve"> and for a range of cultural and family reasons </w:t>
      </w:r>
      <w:r w:rsidR="00CB24A0" w:rsidRPr="00C22580">
        <w:rPr>
          <w:szCs w:val="24"/>
        </w:rPr>
        <w:t>(DEST et al. 2002)</w:t>
      </w:r>
      <w:r w:rsidRPr="00C22580">
        <w:t>.</w:t>
      </w:r>
      <w:r w:rsidRPr="00F53C35">
        <w:t xml:space="preserve"> This mobility can make it difficult for governments to plan for the delivery of services, if shifting populations cause unexpected variations in the level of demand at different times in differ</w:t>
      </w:r>
      <w:r w:rsidR="00114B50">
        <w:t xml:space="preserve">ent places </w:t>
      </w:r>
      <w:r w:rsidR="00114B50" w:rsidRPr="00114B50">
        <w:rPr>
          <w:szCs w:val="24"/>
        </w:rPr>
        <w:t>(Markham et al. 2013)</w:t>
      </w:r>
      <w:r w:rsidRPr="00F53C35">
        <w:t>.</w:t>
      </w:r>
      <w:r w:rsidR="00B4364D">
        <w:t xml:space="preserve"> However, Dockery (2014) </w:t>
      </w:r>
      <w:r w:rsidR="00861D6D">
        <w:t>states that mobility must be considered in light of its importance in maintaining Aboriginal and Torres Strait Islander culture and identity, and therefore more information is required about the reasons for temporary mobility, how it contributes to wellbeing and how it can be accommodated within models of</w:t>
      </w:r>
      <w:r w:rsidR="00114B50">
        <w:t xml:space="preserve"> service delivery </w:t>
      </w:r>
      <w:r w:rsidR="00240201" w:rsidRPr="00240201">
        <w:rPr>
          <w:szCs w:val="24"/>
        </w:rPr>
        <w:t>(Dockery 2014)</w:t>
      </w:r>
      <w:r w:rsidR="00861D6D">
        <w:t>.</w:t>
      </w:r>
    </w:p>
    <w:p w:rsidR="00F53C35" w:rsidRDefault="001C5D6D" w:rsidP="00F53C35">
      <w:pPr>
        <w:pStyle w:val="BodyText"/>
      </w:pPr>
      <w:r>
        <w:t xml:space="preserve">Previous analyses of Censuses found that </w:t>
      </w:r>
      <w:r w:rsidR="00F53C35" w:rsidRPr="00F53C35">
        <w:t xml:space="preserve">Aboriginal and Torres Strait Islander Australians </w:t>
      </w:r>
      <w:r>
        <w:t>were more mobile (i</w:t>
      </w:r>
      <w:r w:rsidR="00E14B7A">
        <w:t>.</w:t>
      </w:r>
      <w:r>
        <w:t>e</w:t>
      </w:r>
      <w:r w:rsidR="00E14B7A">
        <w:t>.</w:t>
      </w:r>
      <w:r>
        <w:t xml:space="preserve">, temporary or permanent move either within a day or overnight) than non-Indigenous Australians </w:t>
      </w:r>
      <w:r w:rsidRPr="007F1E09">
        <w:rPr>
          <w:szCs w:val="24"/>
        </w:rPr>
        <w:t xml:space="preserve">(Biddle and </w:t>
      </w:r>
      <w:proofErr w:type="spellStart"/>
      <w:r w:rsidRPr="007F1E09">
        <w:rPr>
          <w:szCs w:val="24"/>
        </w:rPr>
        <w:t>Prout</w:t>
      </w:r>
      <w:proofErr w:type="spellEnd"/>
      <w:r w:rsidRPr="007F1E09">
        <w:rPr>
          <w:szCs w:val="24"/>
        </w:rPr>
        <w:t> 2009)</w:t>
      </w:r>
      <w:r w:rsidR="00E51A2F">
        <w:t>, though when age was controlled for</w:t>
      </w:r>
      <w:r w:rsidR="00780386">
        <w:t>,</w:t>
      </w:r>
      <w:r w:rsidR="00E51A2F">
        <w:t xml:space="preserve"> this effect was reversed </w:t>
      </w:r>
      <w:r w:rsidR="00E51A2F" w:rsidRPr="00E51A2F">
        <w:rPr>
          <w:szCs w:val="24"/>
        </w:rPr>
        <w:t>(Biddle and Yap 2010)</w:t>
      </w:r>
      <w:r>
        <w:t>. Recent analysis drawing on the Australian Census Longitudinal Database</w:t>
      </w:r>
      <w:r w:rsidR="00E51A2F">
        <w:t xml:space="preserve"> </w:t>
      </w:r>
      <w:r w:rsidR="00A003A3">
        <w:t>found</w:t>
      </w:r>
      <w:r w:rsidR="00E51A2F">
        <w:t xml:space="preserve"> that after controlling for a limited set of </w:t>
      </w:r>
      <w:r w:rsidR="00E51A2F">
        <w:lastRenderedPageBreak/>
        <w:t xml:space="preserve">characteristics (including age and previous patterns of mobility) Aboriginal and Torres Strait Islander Australians were less likely to change usual residence than non-Indigenous Australians </w:t>
      </w:r>
      <w:r w:rsidR="00E51A2F" w:rsidRPr="00E51A2F">
        <w:rPr>
          <w:szCs w:val="24"/>
        </w:rPr>
        <w:t>(Biddle and Crawford 2015)</w:t>
      </w:r>
      <w:r w:rsidR="00E51A2F">
        <w:t xml:space="preserve">. </w:t>
      </w:r>
      <w:r>
        <w:t xml:space="preserve"> </w:t>
      </w:r>
      <w:r w:rsidR="00A003A3">
        <w:t xml:space="preserve">This recent analysis indicates that it is not being </w:t>
      </w:r>
      <w:r w:rsidR="00860363">
        <w:t>Aboriginal or Torres Strait Islander</w:t>
      </w:r>
      <w:r w:rsidR="00A003A3">
        <w:t xml:space="preserve"> that predicts mobility, but other characteristics. Biddle and Crawford (2015) found that younger people and those who did not live in a house owned or being purchased by the usual residents were more mobile than those without these characteristics, and given that Aboriginal and Torres Strait Islander Australians are younger and more likely to live in a private rental compared to non-Indigenous Australians these are some of the factors influencing their higher rates of mobility. </w:t>
      </w:r>
    </w:p>
    <w:p w:rsidR="00F53C35" w:rsidRDefault="00F53C35" w:rsidP="00F53C35">
      <w:pPr>
        <w:pStyle w:val="Heading3"/>
      </w:pPr>
      <w:r w:rsidRPr="00F53C35">
        <w:t>Age profile of the Aboriginal and Torres Strait Islander population</w:t>
      </w:r>
    </w:p>
    <w:p w:rsidR="00F53C35" w:rsidRDefault="00F53C35" w:rsidP="00F53C35">
      <w:pPr>
        <w:pStyle w:val="BodyText"/>
      </w:pPr>
      <w:r>
        <w:t>The Aboriginal and Torres Strait Islander population has a much younger age structure than the non</w:t>
      </w:r>
      <w:r w:rsidR="009E1248">
        <w:noBreakHyphen/>
      </w:r>
      <w:r w:rsidR="00F34687">
        <w:t>Indigenous population</w:t>
      </w:r>
      <w:r>
        <w:t xml:space="preserve">. In 2011, </w:t>
      </w:r>
      <w:r w:rsidR="00A003A3">
        <w:t>more than one-</w:t>
      </w:r>
      <w:r w:rsidR="00CA3167" w:rsidRPr="00442D23">
        <w:t>third</w:t>
      </w:r>
      <w:r w:rsidR="00CA3167">
        <w:t xml:space="preserve"> (</w:t>
      </w:r>
      <w:r>
        <w:t>35.9 per cent</w:t>
      </w:r>
      <w:r w:rsidR="00CA3167">
        <w:t>)</w:t>
      </w:r>
      <w:r>
        <w:t xml:space="preserve"> of the </w:t>
      </w:r>
      <w:r w:rsidR="00CA3167" w:rsidRPr="00442D23">
        <w:t>estimated</w:t>
      </w:r>
      <w:r w:rsidR="00CA3167">
        <w:t xml:space="preserve"> </w:t>
      </w:r>
      <w:r>
        <w:t xml:space="preserve">Aboriginal and Torres Strait Islander population was aged </w:t>
      </w:r>
      <w:r w:rsidR="00BD4205">
        <w:t>under 15 years</w:t>
      </w:r>
      <w:r>
        <w:t xml:space="preserve">, compared </w:t>
      </w:r>
      <w:r w:rsidR="00DF4661" w:rsidRPr="004D06AC">
        <w:t>with</w:t>
      </w:r>
      <w:r w:rsidRPr="004D06AC">
        <w:t xml:space="preserve"> </w:t>
      </w:r>
      <w:r w:rsidRPr="00442D23">
        <w:t>18.</w:t>
      </w:r>
      <w:r w:rsidR="004D06AC" w:rsidRPr="00442D23">
        <w:t>4</w:t>
      </w:r>
      <w:r w:rsidRPr="004D06AC">
        <w:t xml:space="preserve"> per </w:t>
      </w:r>
      <w:r>
        <w:t xml:space="preserve">cent of the </w:t>
      </w:r>
      <w:r w:rsidR="00DF4661" w:rsidRPr="00442D23">
        <w:t>estimated</w:t>
      </w:r>
      <w:r w:rsidR="00DF4661">
        <w:t xml:space="preserve"> </w:t>
      </w:r>
      <w:r>
        <w:t>non</w:t>
      </w:r>
      <w:r w:rsidR="009E1248">
        <w:noBreakHyphen/>
      </w:r>
      <w:r>
        <w:t xml:space="preserve">Indigenous population. At the other end of the life course, </w:t>
      </w:r>
      <w:r w:rsidR="00DF4661" w:rsidRPr="00442D23">
        <w:t>an estimated</w:t>
      </w:r>
      <w:r w:rsidR="004D06AC">
        <w:t xml:space="preserve"> 1</w:t>
      </w:r>
      <w:r>
        <w:t>.0 per cent of the Aboriginal and Torres Strait</w:t>
      </w:r>
      <w:r w:rsidR="004D06AC">
        <w:t xml:space="preserve"> Islander population was aged 75</w:t>
      </w:r>
      <w:r w:rsidR="00BD4205">
        <w:t xml:space="preserve"> years and</w:t>
      </w:r>
      <w:r>
        <w:t xml:space="preserve"> over in 2011, compared </w:t>
      </w:r>
      <w:r w:rsidRPr="004D06AC">
        <w:t xml:space="preserve">with </w:t>
      </w:r>
      <w:r w:rsidR="004D06AC" w:rsidRPr="00442D23">
        <w:t>6.5</w:t>
      </w:r>
      <w:r w:rsidRPr="004D06AC">
        <w:t xml:space="preserve"> per cent of the </w:t>
      </w:r>
      <w:r w:rsidR="006474DA" w:rsidRPr="004D06AC">
        <w:t>non</w:t>
      </w:r>
      <w:r w:rsidR="009E1248" w:rsidRPr="004D06AC">
        <w:noBreakHyphen/>
      </w:r>
      <w:r w:rsidR="006474DA" w:rsidRPr="004D06AC">
        <w:t>Indigenous</w:t>
      </w:r>
      <w:r w:rsidR="004D06AC">
        <w:t xml:space="preserve"> population</w:t>
      </w:r>
      <w:r w:rsidR="00A003A3">
        <w:t xml:space="preserve"> </w:t>
      </w:r>
      <w:r w:rsidR="00AB1D29">
        <w:t>(</w:t>
      </w:r>
      <w:r w:rsidR="00A003A3">
        <w:t>f</w:t>
      </w:r>
      <w:r w:rsidRPr="004D06AC">
        <w:t>igure</w:t>
      </w:r>
      <w:r w:rsidR="009E1248" w:rsidRPr="004D06AC">
        <w:t> </w:t>
      </w:r>
      <w:r w:rsidRPr="004D06AC">
        <w:t>3.</w:t>
      </w:r>
      <w:r>
        <w:t>3.2).</w:t>
      </w:r>
      <w:r w:rsidR="00AC21F3">
        <w:t xml:space="preserve">  </w:t>
      </w:r>
    </w:p>
    <w:p w:rsidR="003C7E0A" w:rsidRDefault="003C7E0A" w:rsidP="000E277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C7E0A" w:rsidTr="007C2A26">
        <w:tc>
          <w:tcPr>
            <w:tcW w:w="8771" w:type="dxa"/>
            <w:tcBorders>
              <w:top w:val="single" w:sz="6" w:space="0" w:color="78A22F"/>
              <w:left w:val="nil"/>
              <w:bottom w:val="nil"/>
              <w:right w:val="nil"/>
            </w:tcBorders>
            <w:shd w:val="clear" w:color="auto" w:fill="auto"/>
          </w:tcPr>
          <w:p w:rsidR="003C7E0A" w:rsidRPr="00176D3F" w:rsidRDefault="003C7E0A" w:rsidP="00442D23">
            <w:pPr>
              <w:pStyle w:val="FigureTitle"/>
              <w:ind w:right="-138"/>
            </w:pPr>
            <w:r w:rsidRPr="00784A05">
              <w:rPr>
                <w:b w:val="0"/>
              </w:rPr>
              <w:t xml:space="preserve">Figure </w:t>
            </w:r>
            <w:r w:rsidR="00A130CD">
              <w:rPr>
                <w:b w:val="0"/>
              </w:rPr>
              <w:t>3.</w:t>
            </w:r>
            <w:r>
              <w:rPr>
                <w:b w:val="0"/>
              </w:rPr>
              <w:t>3.</w:t>
            </w:r>
            <w:r w:rsidR="00F34687">
              <w:rPr>
                <w:b w:val="0"/>
              </w:rPr>
              <w:t>2</w:t>
            </w:r>
            <w:r>
              <w:tab/>
            </w:r>
            <w:r w:rsidRPr="006474DA">
              <w:t>Population distribution, Australia, by age</w:t>
            </w:r>
            <w:r w:rsidR="00BD4205">
              <w:t>,</w:t>
            </w:r>
            <w:r w:rsidRPr="006474DA">
              <w:t xml:space="preserve"> 30 June</w:t>
            </w:r>
            <w:r w:rsidR="00975AED">
              <w:t xml:space="preserve"> 2011</w:t>
            </w:r>
            <w:proofErr w:type="spellStart"/>
            <w:r w:rsidRPr="006474DA">
              <w:rPr>
                <w:rStyle w:val="NoteLabel"/>
                <w:b/>
              </w:rPr>
              <w:t>a,b</w:t>
            </w:r>
            <w:proofErr w:type="spellEnd"/>
          </w:p>
        </w:tc>
      </w:tr>
      <w:tr w:rsidR="003C7E0A" w:rsidTr="007C2A26">
        <w:tc>
          <w:tcPr>
            <w:tcW w:w="8771" w:type="dxa"/>
            <w:tcBorders>
              <w:top w:val="nil"/>
              <w:left w:val="nil"/>
              <w:bottom w:val="nil"/>
              <w:right w:val="nil"/>
            </w:tcBorders>
            <w:shd w:val="clear" w:color="auto" w:fill="auto"/>
            <w:tcMar>
              <w:top w:w="28" w:type="dxa"/>
              <w:bottom w:w="28" w:type="dxa"/>
            </w:tcMar>
          </w:tcPr>
          <w:tbl>
            <w:tblPr>
              <w:tblW w:w="5000" w:type="pct"/>
              <w:tblLayout w:type="fixed"/>
              <w:tblCellMar>
                <w:top w:w="28" w:type="dxa"/>
                <w:left w:w="0" w:type="dxa"/>
                <w:right w:w="0" w:type="dxa"/>
              </w:tblCellMar>
              <w:tblLook w:val="0000" w:firstRow="0" w:lastRow="0" w:firstColumn="0" w:lastColumn="0" w:noHBand="0" w:noVBand="0"/>
            </w:tblPr>
            <w:tblGrid>
              <w:gridCol w:w="8487"/>
            </w:tblGrid>
            <w:tr w:rsidR="00186324" w:rsidTr="007C2A26">
              <w:tc>
                <w:tcPr>
                  <w:tcW w:w="8487" w:type="dxa"/>
                </w:tcPr>
                <w:p w:rsidR="00186324" w:rsidRDefault="007909FD" w:rsidP="000E2777">
                  <w:pPr>
                    <w:pStyle w:val="Figure"/>
                    <w:spacing w:before="60" w:after="60"/>
                  </w:pPr>
                  <w:r>
                    <w:rPr>
                      <w:noProof/>
                    </w:rPr>
                    <w:drawing>
                      <wp:inline distT="0" distB="0" distL="0" distR="0">
                        <wp:extent cx="5370830" cy="2748915"/>
                        <wp:effectExtent l="0" t="0" r="1270" b="0"/>
                        <wp:docPr id="8" name="Picture 8" descr="Figure 3.3.2 Population distribution, Australia, by age, 30 June 2011&#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0830" cy="2748915"/>
                                </a:xfrm>
                                <a:prstGeom prst="rect">
                                  <a:avLst/>
                                </a:prstGeom>
                                <a:noFill/>
                                <a:ln>
                                  <a:noFill/>
                                </a:ln>
                              </pic:spPr>
                            </pic:pic>
                          </a:graphicData>
                        </a:graphic>
                      </wp:inline>
                    </w:drawing>
                  </w:r>
                </w:p>
              </w:tc>
            </w:tr>
            <w:tr w:rsidR="0044175D" w:rsidTr="00442D23">
              <w:tblPrEx>
                <w:tblCellMar>
                  <w:left w:w="108" w:type="dxa"/>
                  <w:right w:w="108" w:type="dxa"/>
                </w:tblCellMar>
              </w:tblPrEx>
              <w:tc>
                <w:tcPr>
                  <w:tcW w:w="8487" w:type="dxa"/>
                </w:tcPr>
                <w:p w:rsidR="0044175D" w:rsidRDefault="00442D23" w:rsidP="000E2777">
                  <w:pPr>
                    <w:pStyle w:val="Figure"/>
                    <w:spacing w:before="60" w:after="60"/>
                    <w:rPr>
                      <w:noProof/>
                    </w:rPr>
                  </w:pPr>
                  <w:r>
                    <w:rPr>
                      <w:noProof/>
                    </w:rPr>
                    <w:drawing>
                      <wp:inline distT="0" distB="0" distL="0" distR="0" wp14:anchorId="604A8AF3" wp14:editId="26C17661">
                        <wp:extent cx="5422604" cy="308344"/>
                        <wp:effectExtent l="0" t="0" r="6985" b="0"/>
                        <wp:docPr id="3" name="Chart 3" descr="Legend to Figure 3.3.2 Population distribution, Australia, by age, 30 June 2011&#10;&#10;Red: Aboriginal and Torres Strait Islander&#10;Blue: Non-Indigenous&#10;&#10;More details can be found within the text surrounding this image. "/>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3C7E0A" w:rsidRDefault="003C7E0A" w:rsidP="000E2777">
            <w:pPr>
              <w:pStyle w:val="Figure"/>
            </w:pPr>
          </w:p>
        </w:tc>
      </w:tr>
      <w:tr w:rsidR="003C7E0A" w:rsidRPr="00176D3F" w:rsidTr="007C2A26">
        <w:tc>
          <w:tcPr>
            <w:tcW w:w="8771" w:type="dxa"/>
            <w:tcBorders>
              <w:top w:val="nil"/>
              <w:left w:val="nil"/>
              <w:bottom w:val="nil"/>
              <w:right w:val="nil"/>
            </w:tcBorders>
            <w:shd w:val="clear" w:color="auto" w:fill="auto"/>
          </w:tcPr>
          <w:p w:rsidR="003C7E0A" w:rsidRPr="00176D3F" w:rsidRDefault="003C7E0A" w:rsidP="00946457">
            <w:pPr>
              <w:pStyle w:val="Note"/>
            </w:pPr>
            <w:proofErr w:type="spellStart"/>
            <w:r>
              <w:rPr>
                <w:rStyle w:val="NoteLabel"/>
              </w:rPr>
              <w:t>a</w:t>
            </w:r>
            <w:proofErr w:type="spellEnd"/>
            <w:r>
              <w:t xml:space="preserve"> Includes other territories. </w:t>
            </w:r>
            <w:r w:rsidRPr="006474DA">
              <w:rPr>
                <w:rStyle w:val="NoteLabel"/>
              </w:rPr>
              <w:t>b</w:t>
            </w:r>
            <w:r>
              <w:t xml:space="preserve"> Estimates of the </w:t>
            </w:r>
            <w:r w:rsidR="00946457">
              <w:t>Aboriginal and Torres Strait Islander</w:t>
            </w:r>
            <w:r>
              <w:t xml:space="preserve"> populations at 30 June 2011 are final based on the 2011 Census of Population and Housing.</w:t>
            </w:r>
          </w:p>
        </w:tc>
      </w:tr>
      <w:tr w:rsidR="003C7E0A" w:rsidRPr="003C7E0A" w:rsidTr="007C2A26">
        <w:tc>
          <w:tcPr>
            <w:tcW w:w="8771" w:type="dxa"/>
            <w:tcBorders>
              <w:top w:val="nil"/>
              <w:left w:val="nil"/>
              <w:bottom w:val="nil"/>
              <w:right w:val="nil"/>
            </w:tcBorders>
            <w:shd w:val="clear" w:color="auto" w:fill="auto"/>
          </w:tcPr>
          <w:p w:rsidR="003C7E0A" w:rsidRPr="003C7E0A" w:rsidRDefault="003C7E0A" w:rsidP="006A2473">
            <w:pPr>
              <w:pStyle w:val="Source"/>
            </w:pPr>
            <w:r w:rsidRPr="003C7E0A">
              <w:rPr>
                <w:i/>
              </w:rPr>
              <w:t>Source</w:t>
            </w:r>
            <w:r w:rsidR="00BD4205">
              <w:t xml:space="preserve">: ABS </w:t>
            </w:r>
            <w:r w:rsidRPr="003C7E0A">
              <w:t>2013</w:t>
            </w:r>
            <w:r w:rsidR="00BD4205" w:rsidRPr="00763407">
              <w:t>,</w:t>
            </w:r>
            <w:r w:rsidRPr="00763407">
              <w:t xml:space="preserve"> </w:t>
            </w:r>
            <w:r w:rsidRPr="00946457">
              <w:rPr>
                <w:i/>
              </w:rPr>
              <w:t>Estimates of Aboriginal and Torres Strait Islander Australians, Jun</w:t>
            </w:r>
            <w:r w:rsidR="00975AED" w:rsidRPr="00946457">
              <w:rPr>
                <w:i/>
              </w:rPr>
              <w:t>e 2011</w:t>
            </w:r>
            <w:r w:rsidR="00975AED" w:rsidRPr="00763407">
              <w:t>, Cat. no. 3238.0.55.001</w:t>
            </w:r>
            <w:r w:rsidR="00BD4205" w:rsidRPr="00763407">
              <w:t>; table A.1 in</w:t>
            </w:r>
            <w:r w:rsidRPr="00763407">
              <w:t xml:space="preserve"> appendix </w:t>
            </w:r>
            <w:r w:rsidR="006A2473">
              <w:t>2</w:t>
            </w:r>
            <w:r w:rsidRPr="00763407">
              <w:t>.</w:t>
            </w:r>
          </w:p>
        </w:tc>
      </w:tr>
      <w:tr w:rsidR="003C7E0A" w:rsidTr="000E2777">
        <w:tc>
          <w:tcPr>
            <w:tcW w:w="8771" w:type="dxa"/>
            <w:tcBorders>
              <w:top w:val="nil"/>
              <w:left w:val="nil"/>
              <w:bottom w:val="single" w:sz="6" w:space="0" w:color="78A22F"/>
              <w:right w:val="nil"/>
            </w:tcBorders>
            <w:shd w:val="clear" w:color="auto" w:fill="auto"/>
          </w:tcPr>
          <w:p w:rsidR="003C7E0A" w:rsidRDefault="003C7E0A" w:rsidP="000E2777">
            <w:pPr>
              <w:pStyle w:val="Figurespace"/>
            </w:pPr>
          </w:p>
        </w:tc>
      </w:tr>
      <w:tr w:rsidR="003C7E0A" w:rsidRPr="000863A5" w:rsidTr="000E2777">
        <w:tc>
          <w:tcPr>
            <w:tcW w:w="8771" w:type="dxa"/>
            <w:tcBorders>
              <w:top w:val="single" w:sz="6" w:space="0" w:color="78A22F"/>
              <w:left w:val="nil"/>
              <w:bottom w:val="nil"/>
              <w:right w:val="nil"/>
            </w:tcBorders>
          </w:tcPr>
          <w:p w:rsidR="003C7E0A" w:rsidRPr="00626D32" w:rsidRDefault="003C7E0A" w:rsidP="000E2777">
            <w:pPr>
              <w:pStyle w:val="BoxSpaceBelow"/>
            </w:pPr>
          </w:p>
        </w:tc>
      </w:tr>
    </w:tbl>
    <w:p w:rsidR="00A003A3" w:rsidRDefault="00A003A3" w:rsidP="00921923">
      <w:pPr>
        <w:pStyle w:val="BodyText"/>
      </w:pPr>
      <w:r>
        <w:lastRenderedPageBreak/>
        <w:t xml:space="preserve">The different age structures can make it difficult to compare outcomes across the two populations, </w:t>
      </w:r>
      <w:r w:rsidR="00434426" w:rsidRPr="00921923">
        <w:t>especially where outcomes are closely associated with</w:t>
      </w:r>
      <w:r>
        <w:t xml:space="preserve"> age. Therefore, a technique called ‘age standardisation’ is used to adjust relevant data for differences in population age structures. In this report, this includes data on disability, health and justice outcomes. Data in this report have been age standardised using the direct method, </w:t>
      </w:r>
      <w:r w:rsidRPr="00442D23">
        <w:t>as it is best</w:t>
      </w:r>
      <w:r>
        <w:t xml:space="preserve"> suited to comparisons over time.</w:t>
      </w:r>
    </w:p>
    <w:p w:rsidR="006474DA" w:rsidRDefault="00A130CD" w:rsidP="006474DA">
      <w:pPr>
        <w:pStyle w:val="Heading2"/>
      </w:pPr>
      <w:r>
        <w:t>3.</w:t>
      </w:r>
      <w:r w:rsidR="000722EF">
        <w:rPr>
          <w:noProof/>
        </w:rPr>
        <w:t>4</w:t>
      </w:r>
      <w:r w:rsidR="006474DA">
        <w:tab/>
        <w:t>Remoteness</w:t>
      </w:r>
    </w:p>
    <w:p w:rsidR="006474DA" w:rsidRDefault="006474DA" w:rsidP="006474DA">
      <w:pPr>
        <w:pStyle w:val="BodyText"/>
      </w:pPr>
      <w:r>
        <w:t>Data on the population distribution of Aboriginal and Torres Strait Islander Australians by remoteness raise two contrasting points:</w:t>
      </w:r>
    </w:p>
    <w:p w:rsidR="006474DA" w:rsidRDefault="006474DA" w:rsidP="006474DA">
      <w:pPr>
        <w:pStyle w:val="ListBullet"/>
      </w:pPr>
      <w:r>
        <w:t>the majority of Aboriginal and Torres Strait Islander Aust</w:t>
      </w:r>
      <w:r w:rsidR="00F34687">
        <w:t>ralians live in urban areas (57 </w:t>
      </w:r>
      <w:r>
        <w:t>per cent in major cities or inner regional areas)</w:t>
      </w:r>
      <w:r w:rsidR="00B17F02">
        <w:t xml:space="preserve"> (figure 3.</w:t>
      </w:r>
      <w:r w:rsidR="00F34687">
        <w:t>4</w:t>
      </w:r>
      <w:r w:rsidR="00B17F02">
        <w:t>.1)</w:t>
      </w:r>
    </w:p>
    <w:p w:rsidR="006474DA" w:rsidRPr="006474DA" w:rsidRDefault="006474DA" w:rsidP="006474DA">
      <w:pPr>
        <w:pStyle w:val="ListBullet"/>
      </w:pPr>
      <w:r>
        <w:t xml:space="preserve">although they only make up 3 per cent of the total population, Aboriginal and Torres Strait Islander Australians make up relatively large proportions of the </w:t>
      </w:r>
      <w:r w:rsidR="00342C94" w:rsidRPr="00442D23">
        <w:t>total</w:t>
      </w:r>
      <w:r w:rsidR="00342C94">
        <w:t xml:space="preserve"> </w:t>
      </w:r>
      <w:r>
        <w:t xml:space="preserve">population in remote (16 per cent) and very remote (45 per cent) areas </w:t>
      </w:r>
      <w:r w:rsidRPr="00763407">
        <w:t>(</w:t>
      </w:r>
      <w:r w:rsidR="00B17F02" w:rsidRPr="00763407">
        <w:t>table A.2 in appendix</w:t>
      </w:r>
      <w:r w:rsidR="0061255A" w:rsidRPr="00763407">
        <w:t> </w:t>
      </w:r>
      <w:r w:rsidR="006A2473">
        <w:t>2</w:t>
      </w:r>
      <w:r w:rsidRPr="00763407">
        <w:t>).</w:t>
      </w:r>
    </w:p>
    <w:p w:rsidR="003C7E0A" w:rsidRDefault="003C7E0A" w:rsidP="000E277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C7E0A" w:rsidTr="000E2777">
        <w:tc>
          <w:tcPr>
            <w:tcW w:w="8771" w:type="dxa"/>
            <w:tcBorders>
              <w:top w:val="single" w:sz="6" w:space="0" w:color="78A22F"/>
              <w:left w:val="nil"/>
              <w:bottom w:val="nil"/>
              <w:right w:val="nil"/>
            </w:tcBorders>
            <w:shd w:val="clear" w:color="auto" w:fill="auto"/>
          </w:tcPr>
          <w:p w:rsidR="003C7E0A" w:rsidRPr="00176D3F" w:rsidRDefault="003C7E0A" w:rsidP="003C7E0A">
            <w:pPr>
              <w:pStyle w:val="FigureTitle"/>
            </w:pPr>
            <w:r w:rsidRPr="00784A05">
              <w:rPr>
                <w:b w:val="0"/>
              </w:rPr>
              <w:t xml:space="preserve">Figure </w:t>
            </w:r>
            <w:r w:rsidR="00A130CD">
              <w:rPr>
                <w:b w:val="0"/>
              </w:rPr>
              <w:t>3.</w:t>
            </w:r>
            <w:r>
              <w:rPr>
                <w:b w:val="0"/>
              </w:rPr>
              <w:t>4.1</w:t>
            </w:r>
            <w:r>
              <w:tab/>
            </w:r>
            <w:r w:rsidRPr="009512DA">
              <w:t>Proportion of the population by remoteness area, 2011</w:t>
            </w:r>
          </w:p>
        </w:tc>
      </w:tr>
      <w:tr w:rsidR="003C7E0A" w:rsidTr="000E2777">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4243"/>
              <w:gridCol w:w="4244"/>
            </w:tblGrid>
            <w:tr w:rsidR="003C7E0A" w:rsidTr="000E2777">
              <w:tc>
                <w:tcPr>
                  <w:tcW w:w="5000" w:type="pct"/>
                  <w:gridSpan w:val="2"/>
                  <w:tcBorders>
                    <w:top w:val="nil"/>
                    <w:bottom w:val="nil"/>
                  </w:tcBorders>
                </w:tcPr>
                <w:p w:rsidR="003C7E0A" w:rsidRDefault="00B10920" w:rsidP="000D3CAC">
                  <w:pPr>
                    <w:pStyle w:val="Figure"/>
                    <w:spacing w:before="60" w:after="60"/>
                  </w:pPr>
                  <w:r>
                    <w:rPr>
                      <w:noProof/>
                    </w:rPr>
                    <w:drawing>
                      <wp:inline distT="0" distB="0" distL="0" distR="0">
                        <wp:extent cx="2517775" cy="1597025"/>
                        <wp:effectExtent l="0" t="0" r="0" b="3175"/>
                        <wp:docPr id="9" name="Picture 9" descr="Figure 3.4.1 Proportion of the population by remoteness area, 2011&#10;&#10;Aboriginal and Torres Strait Islander&#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7775" cy="1597025"/>
                                </a:xfrm>
                                <a:prstGeom prst="rect">
                                  <a:avLst/>
                                </a:prstGeom>
                                <a:noFill/>
                                <a:ln>
                                  <a:noFill/>
                                </a:ln>
                              </pic:spPr>
                            </pic:pic>
                          </a:graphicData>
                        </a:graphic>
                      </wp:inline>
                    </w:drawing>
                  </w:r>
                  <w:r>
                    <w:rPr>
                      <w:noProof/>
                    </w:rPr>
                    <w:drawing>
                      <wp:inline distT="0" distB="0" distL="0" distR="0">
                        <wp:extent cx="2517775" cy="1597025"/>
                        <wp:effectExtent l="0" t="0" r="0" b="3175"/>
                        <wp:docPr id="10" name="Picture 10" descr="Figure 3.4.1 Proportion of the population by remoteness area, 2011&#10;&#10;Non-Indigenous&#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7775" cy="1597025"/>
                                </a:xfrm>
                                <a:prstGeom prst="rect">
                                  <a:avLst/>
                                </a:prstGeom>
                                <a:noFill/>
                                <a:ln>
                                  <a:noFill/>
                                </a:ln>
                              </pic:spPr>
                            </pic:pic>
                          </a:graphicData>
                        </a:graphic>
                      </wp:inline>
                    </w:drawing>
                  </w:r>
                </w:p>
              </w:tc>
            </w:tr>
            <w:tr w:rsidR="00647CA7" w:rsidTr="00647CA7">
              <w:tc>
                <w:tcPr>
                  <w:tcW w:w="2500" w:type="pct"/>
                  <w:tcBorders>
                    <w:top w:val="nil"/>
                    <w:bottom w:val="nil"/>
                  </w:tcBorders>
                </w:tcPr>
                <w:p w:rsidR="00647CA7" w:rsidRDefault="00946457" w:rsidP="000E2777">
                  <w:pPr>
                    <w:pStyle w:val="Figure"/>
                    <w:spacing w:before="60" w:after="60"/>
                    <w:rPr>
                      <w:noProof/>
                    </w:rPr>
                  </w:pPr>
                  <w:r>
                    <w:rPr>
                      <w:rFonts w:ascii="Arial" w:hAnsi="Arial" w:cs="Arial"/>
                      <w:b/>
                      <w:sz w:val="18"/>
                      <w:szCs w:val="18"/>
                    </w:rPr>
                    <w:t>Aboriginal and Torres Strait Islander</w:t>
                  </w:r>
                </w:p>
              </w:tc>
              <w:tc>
                <w:tcPr>
                  <w:tcW w:w="2500" w:type="pct"/>
                  <w:tcBorders>
                    <w:top w:val="nil"/>
                    <w:bottom w:val="nil"/>
                  </w:tcBorders>
                </w:tcPr>
                <w:p w:rsidR="00647CA7" w:rsidRDefault="00647CA7" w:rsidP="000E2777">
                  <w:pPr>
                    <w:pStyle w:val="Figure"/>
                    <w:spacing w:before="60" w:after="60"/>
                    <w:rPr>
                      <w:noProof/>
                    </w:rPr>
                  </w:pPr>
                  <w:r w:rsidRPr="003C7E0A">
                    <w:rPr>
                      <w:rFonts w:ascii="Arial" w:hAnsi="Arial" w:cs="Arial"/>
                      <w:b/>
                      <w:sz w:val="18"/>
                      <w:szCs w:val="18"/>
                    </w:rPr>
                    <w:t>Non</w:t>
                  </w:r>
                  <w:r w:rsidRPr="003C7E0A">
                    <w:rPr>
                      <w:rFonts w:ascii="Arial" w:hAnsi="Arial" w:cs="Arial"/>
                      <w:b/>
                      <w:sz w:val="18"/>
                      <w:szCs w:val="18"/>
                    </w:rPr>
                    <w:noBreakHyphen/>
                    <w:t>Indigenous</w:t>
                  </w:r>
                </w:p>
              </w:tc>
            </w:tr>
          </w:tbl>
          <w:p w:rsidR="003C7E0A" w:rsidRDefault="003C7E0A" w:rsidP="000E2777">
            <w:pPr>
              <w:pStyle w:val="Figure"/>
            </w:pPr>
          </w:p>
        </w:tc>
      </w:tr>
      <w:tr w:rsidR="003C7E0A" w:rsidRPr="00176D3F" w:rsidTr="000E2777">
        <w:tc>
          <w:tcPr>
            <w:tcW w:w="8771" w:type="dxa"/>
            <w:tcBorders>
              <w:top w:val="nil"/>
              <w:left w:val="nil"/>
              <w:bottom w:val="nil"/>
              <w:right w:val="nil"/>
            </w:tcBorders>
            <w:shd w:val="clear" w:color="auto" w:fill="auto"/>
          </w:tcPr>
          <w:p w:rsidR="003C7E0A" w:rsidRPr="00176D3F" w:rsidRDefault="0032606B" w:rsidP="006A2473">
            <w:pPr>
              <w:pStyle w:val="Source"/>
            </w:pPr>
            <w:r>
              <w:rPr>
                <w:i/>
              </w:rPr>
              <w:t>Source</w:t>
            </w:r>
            <w:r w:rsidRPr="00167F06">
              <w:t xml:space="preserve">: </w:t>
            </w:r>
            <w:r w:rsidR="00BD4205">
              <w:t xml:space="preserve">ABS </w:t>
            </w:r>
            <w:r w:rsidRPr="009512DA">
              <w:t xml:space="preserve">2013, </w:t>
            </w:r>
            <w:r w:rsidRPr="0098736C">
              <w:rPr>
                <w:i/>
              </w:rPr>
              <w:t>Estimates of Aboriginal and Torres Strait Islander Australians, June 2011</w:t>
            </w:r>
            <w:r w:rsidRPr="000C3B32">
              <w:t xml:space="preserve">, Cat. no. 3238.0.55.001, </w:t>
            </w:r>
            <w:r w:rsidRPr="00763407">
              <w:t xml:space="preserve">Canberra. See appendix </w:t>
            </w:r>
            <w:r w:rsidR="006A2473">
              <w:t>2</w:t>
            </w:r>
            <w:r w:rsidRPr="00763407">
              <w:t xml:space="preserve"> for more information.</w:t>
            </w:r>
          </w:p>
        </w:tc>
      </w:tr>
      <w:tr w:rsidR="003C7E0A" w:rsidTr="000E2777">
        <w:tc>
          <w:tcPr>
            <w:tcW w:w="8771" w:type="dxa"/>
            <w:tcBorders>
              <w:top w:val="nil"/>
              <w:left w:val="nil"/>
              <w:bottom w:val="single" w:sz="6" w:space="0" w:color="78A22F"/>
              <w:right w:val="nil"/>
            </w:tcBorders>
            <w:shd w:val="clear" w:color="auto" w:fill="auto"/>
          </w:tcPr>
          <w:p w:rsidR="003C7E0A" w:rsidRDefault="003C7E0A" w:rsidP="000E2777">
            <w:pPr>
              <w:pStyle w:val="Figurespace"/>
            </w:pPr>
          </w:p>
        </w:tc>
      </w:tr>
      <w:tr w:rsidR="003C7E0A" w:rsidRPr="000863A5" w:rsidTr="000E2777">
        <w:tc>
          <w:tcPr>
            <w:tcW w:w="8771" w:type="dxa"/>
            <w:tcBorders>
              <w:top w:val="single" w:sz="6" w:space="0" w:color="78A22F"/>
              <w:left w:val="nil"/>
              <w:bottom w:val="nil"/>
              <w:right w:val="nil"/>
            </w:tcBorders>
          </w:tcPr>
          <w:p w:rsidR="003C7E0A" w:rsidRPr="00626D32" w:rsidRDefault="003C7E0A" w:rsidP="000E2777">
            <w:pPr>
              <w:pStyle w:val="BoxSpaceBelow"/>
            </w:pPr>
          </w:p>
        </w:tc>
      </w:tr>
    </w:tbl>
    <w:p w:rsidR="009512DA" w:rsidRDefault="009512DA" w:rsidP="009512DA">
      <w:pPr>
        <w:pStyle w:val="BodyText"/>
      </w:pPr>
      <w:r>
        <w:t xml:space="preserve">An estimated 35 per cent of Aboriginal and Torres Strait Islander Australians </w:t>
      </w:r>
      <w:r w:rsidR="00342C94" w:rsidRPr="00442D23">
        <w:t>(233 000 people)</w:t>
      </w:r>
      <w:r w:rsidR="00342C94">
        <w:t xml:space="preserve"> </w:t>
      </w:r>
      <w:r>
        <w:t xml:space="preserve">lived in major cities in 2011. A further 22 per cent </w:t>
      </w:r>
      <w:r w:rsidR="00342C94">
        <w:t>(</w:t>
      </w:r>
      <w:r w:rsidR="00342C94" w:rsidRPr="00442D23">
        <w:t>148 000 people</w:t>
      </w:r>
      <w:r w:rsidR="00342C94">
        <w:t xml:space="preserve">) </w:t>
      </w:r>
      <w:r>
        <w:t xml:space="preserve">lived in inner regional areas, and another 22 per cent </w:t>
      </w:r>
      <w:r w:rsidR="00342C94" w:rsidRPr="00442D23">
        <w:t>(146 000 people)</w:t>
      </w:r>
      <w:r w:rsidR="00342C94">
        <w:t xml:space="preserve"> </w:t>
      </w:r>
      <w:r>
        <w:t>in oute</w:t>
      </w:r>
      <w:r w:rsidR="00657BBD">
        <w:t>r regional areas. An estimated 22</w:t>
      </w:r>
      <w:r>
        <w:t xml:space="preserve"> per cent </w:t>
      </w:r>
      <w:r w:rsidR="00657BBD">
        <w:t>(142</w:t>
      </w:r>
      <w:r w:rsidR="00342C94" w:rsidRPr="00442D23">
        <w:t> 000 people)</w:t>
      </w:r>
      <w:r w:rsidR="00342C94">
        <w:t xml:space="preserve"> </w:t>
      </w:r>
      <w:r>
        <w:t xml:space="preserve">lived in remote </w:t>
      </w:r>
      <w:r w:rsidR="00657BBD">
        <w:t xml:space="preserve">or very remote </w:t>
      </w:r>
      <w:r>
        <w:t>areas. In comparison, almost 90 per cent of non</w:t>
      </w:r>
      <w:r w:rsidR="009E1248">
        <w:noBreakHyphen/>
      </w:r>
      <w:r>
        <w:t xml:space="preserve">Indigenous </w:t>
      </w:r>
      <w:r w:rsidR="00BD4205">
        <w:t>Australians</w:t>
      </w:r>
      <w:r>
        <w:t xml:space="preserve"> </w:t>
      </w:r>
      <w:r w:rsidR="00342C94" w:rsidRPr="00442D23">
        <w:t>(over 19 million people)</w:t>
      </w:r>
      <w:r w:rsidR="00342C94">
        <w:t xml:space="preserve"> </w:t>
      </w:r>
      <w:r>
        <w:t>lived in major cities or inner regional areas</w:t>
      </w:r>
      <w:r w:rsidR="00657BBD">
        <w:t xml:space="preserve"> </w:t>
      </w:r>
      <w:r w:rsidR="00BD4205">
        <w:t>(</w:t>
      </w:r>
      <w:r w:rsidR="00657BBD">
        <w:t>f</w:t>
      </w:r>
      <w:r>
        <w:t>igure</w:t>
      </w:r>
      <w:r w:rsidR="009E1248">
        <w:t> </w:t>
      </w:r>
      <w:r>
        <w:t>3.</w:t>
      </w:r>
      <w:r w:rsidR="00B17F02">
        <w:t>4</w:t>
      </w:r>
      <w:r>
        <w:t>.1</w:t>
      </w:r>
      <w:r w:rsidR="00BD4205">
        <w:t>.</w:t>
      </w:r>
      <w:r>
        <w:t>)</w:t>
      </w:r>
    </w:p>
    <w:p w:rsidR="009512DA" w:rsidRDefault="009512DA" w:rsidP="009512DA">
      <w:pPr>
        <w:pStyle w:val="BodyText"/>
      </w:pPr>
      <w:r>
        <w:t xml:space="preserve">Census data show that, over time, Aboriginal and Torres Strait Islander Australians are gradually becoming more urbanised, with a noticeable decrease in the number living in remote towns and settlements, and increasing numbers living in larger regional towns. At </w:t>
      </w:r>
      <w:r>
        <w:lastRenderedPageBreak/>
        <w:t>the same time, the non</w:t>
      </w:r>
      <w:r w:rsidR="009E1248">
        <w:noBreakHyphen/>
      </w:r>
      <w:r>
        <w:t>Indigenous population of some of these regional towns is declining, and so, Aboriginal and Torres Strait Islander Australians are becoming a larger proportion of the populations of thos</w:t>
      </w:r>
      <w:r w:rsidR="00240201">
        <w:t>e towns (</w:t>
      </w:r>
      <w:r w:rsidR="00240201" w:rsidRPr="00240201">
        <w:rPr>
          <w:szCs w:val="24"/>
        </w:rPr>
        <w:t>Biddle and Markham 2013</w:t>
      </w:r>
      <w:r w:rsidR="00AB1D29">
        <w:t xml:space="preserve">; </w:t>
      </w:r>
      <w:r w:rsidR="00510E40" w:rsidRPr="00510E40">
        <w:rPr>
          <w:szCs w:val="24"/>
        </w:rPr>
        <w:t>Taylor and Biddle 2008</w:t>
      </w:r>
      <w:r>
        <w:t>).</w:t>
      </w:r>
    </w:p>
    <w:p w:rsidR="00FF0A2C" w:rsidRPr="006474DA" w:rsidRDefault="00FF0A2C" w:rsidP="00FF0A2C">
      <w:pPr>
        <w:pStyle w:val="BodyText"/>
      </w:pPr>
      <w:r>
        <w:t>In this report, relevant indicators are disaggregated by remoteness wherever possible</w:t>
      </w:r>
      <w:r w:rsidR="002E65DB">
        <w:t xml:space="preserve"> (for some indicators, data are not available by remoteness or for all remoteness areas)</w:t>
      </w:r>
      <w:r>
        <w:t>. For many indicators, remoteness data are only available at the national level</w:t>
      </w:r>
      <w:r w:rsidR="00657BBD">
        <w:t>, but</w:t>
      </w:r>
      <w:r>
        <w:t xml:space="preserve"> disaggregation by remoteness at the national level </w:t>
      </w:r>
      <w:r w:rsidR="00657BBD">
        <w:t>can show</w:t>
      </w:r>
      <w:r>
        <w:t xml:space="preserve"> patterns of disadvantage more clearly than disaggregation by State and Territory (but not remoteness). However, outcomes can vary across places with similar degrees of remoteness in different states and territories.</w:t>
      </w:r>
    </w:p>
    <w:p w:rsidR="00FF0A2C" w:rsidRPr="000E34D5" w:rsidRDefault="00FF0A2C" w:rsidP="00B500CD">
      <w:pPr>
        <w:pStyle w:val="BodyText"/>
      </w:pPr>
      <w:r>
        <w:t xml:space="preserve">For many of the indicators in this report, average outcomes for </w:t>
      </w:r>
      <w:r w:rsidR="00070A1D">
        <w:t xml:space="preserve">Aboriginal and Torres Strait Islander Australians in </w:t>
      </w:r>
      <w:r w:rsidR="00657BBD">
        <w:t>major cities</w:t>
      </w:r>
      <w:r w:rsidR="00070A1D">
        <w:t xml:space="preserve"> </w:t>
      </w:r>
      <w:r w:rsidR="00657BBD">
        <w:t xml:space="preserve">and regional areas </w:t>
      </w:r>
      <w:r>
        <w:t>are</w:t>
      </w:r>
      <w:r w:rsidR="00657BBD">
        <w:t xml:space="preserve"> better</w:t>
      </w:r>
      <w:r w:rsidR="00070A1D">
        <w:t xml:space="preserve"> than </w:t>
      </w:r>
      <w:r>
        <w:t xml:space="preserve">outcomes for </w:t>
      </w:r>
      <w:r w:rsidR="00070A1D">
        <w:t xml:space="preserve">Aboriginal and Torres Strait Islander Australians in </w:t>
      </w:r>
      <w:r w:rsidR="00657BBD">
        <w:t>remote and very remote</w:t>
      </w:r>
      <w:r w:rsidR="00070A1D">
        <w:t xml:space="preserve"> areas</w:t>
      </w:r>
      <w:r w:rsidR="009512DA">
        <w:t>,</w:t>
      </w:r>
      <w:r w:rsidR="00070A1D">
        <w:t xml:space="preserve"> including</w:t>
      </w:r>
      <w:r>
        <w:t xml:space="preserve"> for</w:t>
      </w:r>
      <w:r w:rsidR="004F03E0">
        <w:t>:</w:t>
      </w:r>
      <w:r w:rsidR="00D01B57">
        <w:t xml:space="preserve"> </w:t>
      </w:r>
      <w:r w:rsidR="00D01B57" w:rsidRPr="00FF49E2">
        <w:t>he</w:t>
      </w:r>
      <w:r w:rsidR="003D4384" w:rsidRPr="00FF49E2">
        <w:t>alth</w:t>
      </w:r>
      <w:r w:rsidR="00070A1D" w:rsidRPr="00FF49E2">
        <w:t xml:space="preserve"> —</w:t>
      </w:r>
      <w:r w:rsidR="00EE282D" w:rsidRPr="00FF49E2">
        <w:t xml:space="preserve"> </w:t>
      </w:r>
      <w:r w:rsidR="003D4384" w:rsidRPr="00FF49E2">
        <w:t xml:space="preserve">life expectancy </w:t>
      </w:r>
      <w:r w:rsidR="00EE282D" w:rsidRPr="00FF49E2">
        <w:t>(</w:t>
      </w:r>
      <w:r w:rsidR="00D01B57" w:rsidRPr="00FF49E2">
        <w:t>section 4.1</w:t>
      </w:r>
      <w:r w:rsidR="00EE282D" w:rsidRPr="00FF49E2">
        <w:t>)</w:t>
      </w:r>
      <w:r w:rsidR="00074653" w:rsidRPr="00FF49E2">
        <w:t xml:space="preserve">, health behaviours during pregnancy </w:t>
      </w:r>
      <w:r w:rsidR="00EE282D" w:rsidRPr="00FF49E2">
        <w:t>(</w:t>
      </w:r>
      <w:r w:rsidR="00074653" w:rsidRPr="00FF49E2">
        <w:t>section 6.2</w:t>
      </w:r>
      <w:r w:rsidR="00EE282D" w:rsidRPr="00FF49E2">
        <w:t>)</w:t>
      </w:r>
      <w:r w:rsidR="00074653" w:rsidRPr="00FF49E2">
        <w:t xml:space="preserve">, birthweight </w:t>
      </w:r>
      <w:r w:rsidR="00EE282D" w:rsidRPr="00FF49E2">
        <w:t xml:space="preserve">(section </w:t>
      </w:r>
      <w:r w:rsidR="00FF49E2" w:rsidRPr="00FF49E2">
        <w:t>6.</w:t>
      </w:r>
      <w:r w:rsidR="00FF49E2" w:rsidRPr="000E34D5">
        <w:t>4</w:t>
      </w:r>
      <w:r w:rsidR="00EE282D" w:rsidRPr="000E34D5">
        <w:t>),</w:t>
      </w:r>
      <w:r w:rsidR="00FF49E2" w:rsidRPr="000E34D5">
        <w:t xml:space="preserve"> </w:t>
      </w:r>
      <w:r w:rsidR="00074653" w:rsidRPr="000E34D5">
        <w:t xml:space="preserve">potentially preventable </w:t>
      </w:r>
      <w:r w:rsidR="009E0384" w:rsidRPr="000E34D5">
        <w:t>hospitalisations</w:t>
      </w:r>
      <w:r w:rsidR="00074653" w:rsidRPr="000E34D5">
        <w:t xml:space="preserve"> </w:t>
      </w:r>
      <w:r w:rsidR="00EE282D" w:rsidRPr="000E34D5">
        <w:t>(</w:t>
      </w:r>
      <w:r w:rsidR="00074653" w:rsidRPr="000E34D5">
        <w:t>section 8.2</w:t>
      </w:r>
      <w:r w:rsidR="00D01B57" w:rsidRPr="000E34D5">
        <w:t xml:space="preserve">); </w:t>
      </w:r>
      <w:r w:rsidR="003D4384" w:rsidRPr="000E34D5">
        <w:t>education</w:t>
      </w:r>
      <w:r w:rsidR="003D4384" w:rsidRPr="00FF49E2">
        <w:t xml:space="preserve"> </w:t>
      </w:r>
      <w:r w:rsidR="00070A1D" w:rsidRPr="00FF49E2">
        <w:t xml:space="preserve">— </w:t>
      </w:r>
      <w:r w:rsidR="00AB25C1" w:rsidRPr="00FF49E2">
        <w:t>reading, writing and numeracy</w:t>
      </w:r>
      <w:r w:rsidR="009512DA" w:rsidRPr="00FF49E2">
        <w:t xml:space="preserve"> </w:t>
      </w:r>
      <w:r w:rsidR="00EE282D" w:rsidRPr="00FF49E2">
        <w:t>(</w:t>
      </w:r>
      <w:r w:rsidR="009512DA" w:rsidRPr="00FF49E2">
        <w:t>section</w:t>
      </w:r>
      <w:r w:rsidR="009E1248" w:rsidRPr="00FF49E2">
        <w:t> </w:t>
      </w:r>
      <w:r w:rsidR="00763407" w:rsidRPr="00FF49E2">
        <w:t>4.4</w:t>
      </w:r>
      <w:r w:rsidR="00EE282D" w:rsidRPr="00FF49E2">
        <w:t xml:space="preserve">), </w:t>
      </w:r>
      <w:r w:rsidR="004F03E0" w:rsidRPr="00FF49E2">
        <w:t xml:space="preserve">year 12 attainment </w:t>
      </w:r>
      <w:r w:rsidR="00EE282D" w:rsidRPr="00FF49E2">
        <w:t>(</w:t>
      </w:r>
      <w:r w:rsidR="004F03E0" w:rsidRPr="00FF49E2">
        <w:t xml:space="preserve">section </w:t>
      </w:r>
      <w:r w:rsidR="00763407" w:rsidRPr="00FF49E2">
        <w:t>4.6</w:t>
      </w:r>
      <w:r w:rsidR="00EE282D" w:rsidRPr="000E34D5">
        <w:t>)</w:t>
      </w:r>
      <w:r w:rsidR="003D4384" w:rsidRPr="000E34D5">
        <w:t>, post</w:t>
      </w:r>
      <w:r w:rsidR="00A0269E" w:rsidRPr="000E34D5">
        <w:noBreakHyphen/>
      </w:r>
      <w:r w:rsidR="003D4384" w:rsidRPr="000E34D5">
        <w:t xml:space="preserve">secondary education </w:t>
      </w:r>
      <w:r w:rsidR="00EE282D" w:rsidRPr="000E34D5">
        <w:t>(</w:t>
      </w:r>
      <w:r w:rsidR="003D4384" w:rsidRPr="000E34D5">
        <w:t>section</w:t>
      </w:r>
      <w:r w:rsidR="00070A1D" w:rsidRPr="000E34D5">
        <w:t> </w:t>
      </w:r>
      <w:r w:rsidR="00763407" w:rsidRPr="000E34D5">
        <w:t>4.8</w:t>
      </w:r>
      <w:r w:rsidR="004F03E0" w:rsidRPr="000E34D5">
        <w:t>)</w:t>
      </w:r>
      <w:r w:rsidR="00EE282D" w:rsidRPr="000E34D5">
        <w:t>;</w:t>
      </w:r>
      <w:r w:rsidR="009512DA" w:rsidRPr="000E34D5">
        <w:t xml:space="preserve"> </w:t>
      </w:r>
      <w:r w:rsidR="004F03E0" w:rsidRPr="000E34D5">
        <w:t>employment</w:t>
      </w:r>
      <w:r w:rsidR="004F03E0" w:rsidRPr="00FF49E2">
        <w:t xml:space="preserve"> </w:t>
      </w:r>
      <w:r w:rsidR="00070A1D" w:rsidRPr="00FF49E2">
        <w:t xml:space="preserve">— </w:t>
      </w:r>
      <w:r w:rsidR="00D038D9" w:rsidRPr="000E34D5">
        <w:t xml:space="preserve">employment to population rate </w:t>
      </w:r>
      <w:r w:rsidR="00EE282D" w:rsidRPr="000E34D5">
        <w:t>(</w:t>
      </w:r>
      <w:r w:rsidR="00763407" w:rsidRPr="000E34D5">
        <w:t>section 4.7</w:t>
      </w:r>
      <w:r w:rsidR="00EE282D" w:rsidRPr="000E34D5">
        <w:t>)</w:t>
      </w:r>
      <w:r w:rsidR="00587D6D" w:rsidRPr="000E34D5">
        <w:t xml:space="preserve">; </w:t>
      </w:r>
      <w:r w:rsidR="009512DA" w:rsidRPr="000E34D5">
        <w:t xml:space="preserve">income </w:t>
      </w:r>
      <w:r w:rsidR="00EE282D" w:rsidRPr="000E34D5">
        <w:t>(</w:t>
      </w:r>
      <w:r w:rsidR="009512DA" w:rsidRPr="000E34D5">
        <w:t>section</w:t>
      </w:r>
      <w:r w:rsidR="009E1248" w:rsidRPr="000E34D5">
        <w:t> </w:t>
      </w:r>
      <w:r w:rsidR="00763407" w:rsidRPr="000E34D5">
        <w:t>4.10</w:t>
      </w:r>
      <w:r w:rsidR="00070A1D" w:rsidRPr="000E34D5">
        <w:t xml:space="preserve">); and </w:t>
      </w:r>
      <w:r w:rsidR="009512DA" w:rsidRPr="000E34D5">
        <w:t xml:space="preserve">housing </w:t>
      </w:r>
      <w:r w:rsidR="00070A1D" w:rsidRPr="000E34D5">
        <w:t xml:space="preserve">— </w:t>
      </w:r>
      <w:r w:rsidR="00EE282D" w:rsidRPr="000E34D5">
        <w:t>home ownership (</w:t>
      </w:r>
      <w:r w:rsidR="009512DA" w:rsidRPr="000E34D5">
        <w:t>section</w:t>
      </w:r>
      <w:r w:rsidR="009E1248" w:rsidRPr="000E34D5">
        <w:t> </w:t>
      </w:r>
      <w:r w:rsidR="009512DA" w:rsidRPr="000E34D5">
        <w:t>9.3</w:t>
      </w:r>
      <w:r w:rsidR="00EE282D" w:rsidRPr="000E34D5">
        <w:t>)</w:t>
      </w:r>
      <w:r w:rsidR="000E34D5" w:rsidRPr="000E34D5">
        <w:t xml:space="preserve"> and</w:t>
      </w:r>
      <w:r w:rsidR="009512DA" w:rsidRPr="000E34D5">
        <w:t xml:space="preserve"> </w:t>
      </w:r>
      <w:r w:rsidR="00EE282D" w:rsidRPr="000E34D5">
        <w:t xml:space="preserve">overcrowding in housing (section </w:t>
      </w:r>
      <w:r w:rsidR="009512DA" w:rsidRPr="000E34D5">
        <w:t xml:space="preserve">10.1). </w:t>
      </w:r>
    </w:p>
    <w:p w:rsidR="009512DA" w:rsidRDefault="00070A1D" w:rsidP="00442D23">
      <w:pPr>
        <w:pStyle w:val="BodyText"/>
      </w:pPr>
      <w:r>
        <w:t xml:space="preserve">However, it is important to note </w:t>
      </w:r>
      <w:r w:rsidR="00FF0A2C">
        <w:t>there is significant variation within location types. There are many relatively advantaged regiona</w:t>
      </w:r>
      <w:r w:rsidR="000422CB">
        <w:t>l and remote areas</w:t>
      </w:r>
      <w:r w:rsidR="00657BBD">
        <w:t xml:space="preserve"> and many disadvantaged urban areas </w:t>
      </w:r>
      <w:r w:rsidR="000422CB" w:rsidRPr="000422CB">
        <w:rPr>
          <w:szCs w:val="24"/>
        </w:rPr>
        <w:t>(Biddle 2009, 2013)</w:t>
      </w:r>
      <w:r w:rsidR="00FF0A2C">
        <w:t xml:space="preserve">. The majority of Aboriginal and Torres Strait Islander </w:t>
      </w:r>
      <w:r w:rsidR="00CE7767">
        <w:t>Australians</w:t>
      </w:r>
      <w:r w:rsidR="00FF0A2C">
        <w:t xml:space="preserve"> do not live in remote areas, and </w:t>
      </w:r>
      <w:r>
        <w:t xml:space="preserve">wherever Aboriginal and Torres Strait islander </w:t>
      </w:r>
      <w:r w:rsidR="00CE7767">
        <w:t>Australians</w:t>
      </w:r>
      <w:r>
        <w:t xml:space="preserve"> live, on average, their outcomes are poorer than outcomes for non-Indigenous </w:t>
      </w:r>
      <w:r w:rsidR="00CE7767">
        <w:t>Australians</w:t>
      </w:r>
      <w:r>
        <w:t xml:space="preserve"> in those same areas</w:t>
      </w:r>
      <w:r w:rsidR="00FF0A2C">
        <w:t xml:space="preserve">. </w:t>
      </w:r>
      <w:r w:rsidR="00CE7767">
        <w:t>Aboriginal and Torres Strait I</w:t>
      </w:r>
      <w:r w:rsidR="009512DA">
        <w:t>slander Australians in cities and large regional towns are concentrated in neighbourhoods with low socioeconomic outcomes, and tend to have poorer outcomes than non</w:t>
      </w:r>
      <w:r w:rsidR="009E1248">
        <w:noBreakHyphen/>
      </w:r>
      <w:r w:rsidR="00CE7767">
        <w:t>Indigenous Australians</w:t>
      </w:r>
      <w:r w:rsidR="009512DA">
        <w:t xml:space="preserve"> in th</w:t>
      </w:r>
      <w:r w:rsidR="000422CB">
        <w:t xml:space="preserve">ose same neighbourhoods </w:t>
      </w:r>
      <w:r w:rsidR="000422CB" w:rsidRPr="000422CB">
        <w:rPr>
          <w:szCs w:val="24"/>
        </w:rPr>
        <w:t>(Biddle 2009, 2013</w:t>
      </w:r>
      <w:r w:rsidR="0029522C">
        <w:rPr>
          <w:szCs w:val="24"/>
        </w:rPr>
        <w:t xml:space="preserve">; </w:t>
      </w:r>
      <w:r w:rsidR="000422CB" w:rsidRPr="000422CB">
        <w:rPr>
          <w:szCs w:val="24"/>
        </w:rPr>
        <w:t>Taylor 2006)</w:t>
      </w:r>
      <w:r w:rsidR="009512DA">
        <w:t>.</w:t>
      </w:r>
    </w:p>
    <w:p w:rsidR="006474DA" w:rsidRDefault="00824CED" w:rsidP="00824CED">
      <w:pPr>
        <w:pStyle w:val="Heading3"/>
      </w:pPr>
      <w:r w:rsidRPr="00824CED">
        <w:t>Measuring remoteness</w:t>
      </w:r>
    </w:p>
    <w:p w:rsidR="00824CED" w:rsidRDefault="00824CED" w:rsidP="00824CED">
      <w:pPr>
        <w:pStyle w:val="BodyText"/>
      </w:pPr>
      <w:r>
        <w:t xml:space="preserve">For most indicators in this report, remoteness is measured according to the ABS Australian </w:t>
      </w:r>
      <w:r w:rsidR="009C2FA4">
        <w:t xml:space="preserve">Statistical </w:t>
      </w:r>
      <w:r>
        <w:t>Geograph</w:t>
      </w:r>
      <w:r w:rsidR="009C2FA4">
        <w:t>y Standard</w:t>
      </w:r>
      <w:r>
        <w:t xml:space="preserve"> (ASG</w:t>
      </w:r>
      <w:r w:rsidR="009C2FA4">
        <w:t>S</w:t>
      </w:r>
      <w:r>
        <w:t>)</w:t>
      </w:r>
      <w:r w:rsidR="002566A5">
        <w:t>.</w:t>
      </w:r>
      <w:r w:rsidR="009C2FA4">
        <w:t xml:space="preserve"> </w:t>
      </w:r>
      <w:r>
        <w:t>The ASG</w:t>
      </w:r>
      <w:r w:rsidR="009C2FA4">
        <w:t xml:space="preserve">S </w:t>
      </w:r>
      <w:r>
        <w:t>identifies a location in Australia as having a particular degree of remoteness based on its distance from population centres of various sizes. Some indicators are disaggregated into five remoteness area categories (major cities, inner regional, outer regional, remote, and very remote). When data quality does not support disaggregation into five categories, i</w:t>
      </w:r>
      <w:r w:rsidR="00347B2D">
        <w:t>ndicators may be collapsed for some of these categories</w:t>
      </w:r>
      <w:r>
        <w:t>. For more information on how remot</w:t>
      </w:r>
      <w:r w:rsidR="00A43A31">
        <w:t>eness is defined see</w:t>
      </w:r>
      <w:r w:rsidR="00347B2D">
        <w:t xml:space="preserve"> </w:t>
      </w:r>
      <w:r w:rsidR="00347B2D" w:rsidRPr="00347B2D">
        <w:rPr>
          <w:szCs w:val="24"/>
        </w:rPr>
        <w:t>ABS </w:t>
      </w:r>
      <w:r w:rsidR="00347B2D">
        <w:rPr>
          <w:szCs w:val="24"/>
        </w:rPr>
        <w:t>(</w:t>
      </w:r>
      <w:r w:rsidR="00347B2D" w:rsidRPr="00347B2D">
        <w:rPr>
          <w:szCs w:val="24"/>
        </w:rPr>
        <w:t>2013a)</w:t>
      </w:r>
      <w:r>
        <w:t>.</w:t>
      </w:r>
    </w:p>
    <w:p w:rsidR="00824CED" w:rsidRDefault="00E6119A" w:rsidP="00824CED">
      <w:pPr>
        <w:pStyle w:val="BodyText"/>
      </w:pPr>
      <w:r w:rsidRPr="00442D23">
        <w:t>As discussed in chapter 1, the primary focus of this report is on aggregate results at the national and State and Territory level, to help ensure the underlying causes of disadvantage and foundations of wellbeing are being addressed.</w:t>
      </w:r>
      <w:r>
        <w:t xml:space="preserve"> However, the ability to d</w:t>
      </w:r>
      <w:r w:rsidR="00824CED">
        <w:t>isaggregat</w:t>
      </w:r>
      <w:r>
        <w:t>e</w:t>
      </w:r>
      <w:r w:rsidR="00824CED">
        <w:t xml:space="preserve"> </w:t>
      </w:r>
      <w:r w:rsidR="00824CED">
        <w:lastRenderedPageBreak/>
        <w:t>data into finer geographic classifications is essential for planning and coordinating the delivery of services. Some approaches include:</w:t>
      </w:r>
    </w:p>
    <w:p w:rsidR="00824CED" w:rsidRDefault="00824CED" w:rsidP="00824CED">
      <w:pPr>
        <w:pStyle w:val="ListBullet"/>
      </w:pPr>
      <w:r>
        <w:t xml:space="preserve">the ABS </w:t>
      </w:r>
      <w:r w:rsidR="002566A5">
        <w:t xml:space="preserve">Australian </w:t>
      </w:r>
      <w:r>
        <w:t>Indigenous</w:t>
      </w:r>
      <w:r w:rsidR="002566A5">
        <w:t xml:space="preserve"> Geography</w:t>
      </w:r>
      <w:r>
        <w:t xml:space="preserve"> Structure</w:t>
      </w:r>
      <w:r w:rsidR="002566A5">
        <w:t xml:space="preserve"> (AIGS)</w:t>
      </w:r>
      <w:r>
        <w:t>, which provides a geographical standard for the publication of statistics about the Aboriginal and Torres Strait Islander population, with a three level hierarchy from very small Indigenous Locations up to larger Indigenous Areas and even larg</w:t>
      </w:r>
      <w:r w:rsidR="00FF4179">
        <w:t xml:space="preserve">er Indigenous Regions </w:t>
      </w:r>
      <w:r w:rsidR="00FF4179" w:rsidRPr="00FF4179">
        <w:rPr>
          <w:szCs w:val="24"/>
        </w:rPr>
        <w:t>(ABS 2011)</w:t>
      </w:r>
    </w:p>
    <w:p w:rsidR="00824CED" w:rsidRDefault="00824CED" w:rsidP="00824CED">
      <w:pPr>
        <w:pStyle w:val="ListBullet"/>
      </w:pPr>
      <w:r>
        <w:t>Taylor and Biddle’s alternative geographic classification based on structural settings (that is, the types of places people live) — city areas; large regional towns; small regional towns and localities; regional rural areas; remote towns; Indigenous towns; town camps; and rem</w:t>
      </w:r>
      <w:r w:rsidR="00510E40">
        <w:t xml:space="preserve">ote dispersed settlements </w:t>
      </w:r>
      <w:r w:rsidR="00510E40" w:rsidRPr="00510E40">
        <w:rPr>
          <w:szCs w:val="24"/>
        </w:rPr>
        <w:t>(Taylor and Biddle 2008)</w:t>
      </w:r>
      <w:r>
        <w:t xml:space="preserve">. </w:t>
      </w:r>
    </w:p>
    <w:p w:rsidR="00E6119A" w:rsidRDefault="00E6119A" w:rsidP="00921923">
      <w:pPr>
        <w:pStyle w:val="BodyText"/>
      </w:pPr>
      <w:r>
        <w:t>At present, t</w:t>
      </w:r>
      <w:r w:rsidR="00824CED">
        <w:t xml:space="preserve">he lower levels of the ABS </w:t>
      </w:r>
      <w:r w:rsidR="002566A5">
        <w:t>AIGS</w:t>
      </w:r>
      <w:r w:rsidR="00824CED">
        <w:t xml:space="preserve"> and Taylor and Biddle’s structural settings approach can only be readily applied to Census data. </w:t>
      </w:r>
    </w:p>
    <w:p w:rsidR="00824CED" w:rsidRDefault="00A130CD" w:rsidP="00824CED">
      <w:pPr>
        <w:pStyle w:val="Heading2"/>
      </w:pPr>
      <w:r>
        <w:t>3.</w:t>
      </w:r>
      <w:r w:rsidR="000722EF">
        <w:rPr>
          <w:noProof/>
        </w:rPr>
        <w:t>5</w:t>
      </w:r>
      <w:r w:rsidR="00824CED">
        <w:tab/>
      </w:r>
      <w:r w:rsidR="00824CED" w:rsidRPr="00824CED">
        <w:t>Interactions across the report</w:t>
      </w:r>
    </w:p>
    <w:p w:rsidR="00824CED" w:rsidRDefault="00824CED" w:rsidP="00824CED">
      <w:pPr>
        <w:pStyle w:val="BodyText"/>
      </w:pPr>
      <w:r>
        <w:t>As noted in chapter</w:t>
      </w:r>
      <w:r w:rsidR="002566A5">
        <w:t xml:space="preserve"> 2</w:t>
      </w:r>
      <w:r>
        <w:t xml:space="preserve">, there are many interactions across the report’s framework of indicators. </w:t>
      </w:r>
      <w:r w:rsidR="00347B2D">
        <w:t>A number of t</w:t>
      </w:r>
      <w:r>
        <w:t>hese are noted in the discussion of relevant indicators. However, in many areas, research on the underlying causal factors linking different outcomes is still thin.</w:t>
      </w:r>
    </w:p>
    <w:p w:rsidR="00824CED" w:rsidRDefault="00824CED" w:rsidP="00442D23">
      <w:pPr>
        <w:pStyle w:val="BodyText"/>
      </w:pPr>
      <w:r>
        <w:t>Chapter</w:t>
      </w:r>
      <w:r w:rsidR="009E1248">
        <w:t> </w:t>
      </w:r>
      <w:r>
        <w:t xml:space="preserve">13 of this report </w:t>
      </w:r>
      <w:r w:rsidR="0061255A" w:rsidRPr="0061255A">
        <w:t xml:space="preserve">presents information on the associations between different aspects of </w:t>
      </w:r>
      <w:r w:rsidR="00347B2D">
        <w:t>wellbeing</w:t>
      </w:r>
      <w:r w:rsidR="0061255A" w:rsidRPr="0061255A">
        <w:t>. Section 13.1 presents information on the interactions between selected proxy measures of the COAG targets</w:t>
      </w:r>
      <w:r w:rsidR="00347B2D">
        <w:t xml:space="preserve"> (with a focus on education and employment)</w:t>
      </w:r>
      <w:r w:rsidR="0061255A">
        <w:t xml:space="preserve">, using </w:t>
      </w:r>
      <w:r>
        <w:t>201</w:t>
      </w:r>
      <w:r w:rsidR="00347B2D">
        <w:t>4</w:t>
      </w:r>
      <w:r w:rsidR="00347B2D">
        <w:noBreakHyphen/>
        <w:t>15</w:t>
      </w:r>
      <w:r>
        <w:t xml:space="preserve"> </w:t>
      </w:r>
      <w:r w:rsidR="00347B2D">
        <w:t>N</w:t>
      </w:r>
      <w:r>
        <w:t>ATSI</w:t>
      </w:r>
      <w:r w:rsidR="00347B2D">
        <w:t>S</w:t>
      </w:r>
      <w:r>
        <w:t>S</w:t>
      </w:r>
      <w:r w:rsidR="0061255A">
        <w:t xml:space="preserve"> data. </w:t>
      </w:r>
      <w:r w:rsidR="0061255A" w:rsidRPr="0061255A">
        <w:t>Section 13.2 presents an overview of recent work</w:t>
      </w:r>
      <w:r w:rsidR="00347B2D">
        <w:t xml:space="preserve"> by the Productivity Commission</w:t>
      </w:r>
      <w:r w:rsidR="0061255A" w:rsidRPr="0061255A">
        <w:t xml:space="preserve"> into </w:t>
      </w:r>
      <w:r w:rsidR="00347B2D">
        <w:t>what works best to improve primary school outcomes for Aboriginal and Torres Strait Islander children</w:t>
      </w:r>
      <w:r w:rsidR="0061255A">
        <w:t>.</w:t>
      </w:r>
    </w:p>
    <w:p w:rsidR="00824CED" w:rsidRDefault="00824CED" w:rsidP="00824CED">
      <w:pPr>
        <w:pStyle w:val="BodyText"/>
      </w:pPr>
      <w:r>
        <w:t xml:space="preserve">This section of the report looks at the potential for multiple causes to contribute to a single measured outcome, and the potential for some actions to affect multiple </w:t>
      </w:r>
      <w:r w:rsidR="006E6A08">
        <w:t>outcomes</w:t>
      </w:r>
      <w:r>
        <w:t>.</w:t>
      </w:r>
    </w:p>
    <w:p w:rsidR="00824CED" w:rsidRPr="00824CED" w:rsidRDefault="00824CED" w:rsidP="00824CED">
      <w:pPr>
        <w:pStyle w:val="Heading3"/>
      </w:pPr>
      <w:r w:rsidRPr="00824CED">
        <w:t>Multiple causes</w:t>
      </w:r>
    </w:p>
    <w:p w:rsidR="00824CED" w:rsidRDefault="00824CED" w:rsidP="00824CED">
      <w:pPr>
        <w:pStyle w:val="BodyText"/>
      </w:pPr>
      <w:r>
        <w:t>Prevention and early intervention lie at the heart of the report framework. The focus is on encouraging action in the strategic areas that, over time, will lead to improvements in the COAG targets and headline outcomes, and progress toward the priority outcomes. However, in many cases, coordinated action is required across multiple areas if high level outcomes are to improve. Figures</w:t>
      </w:r>
      <w:r w:rsidR="009E1248">
        <w:t> </w:t>
      </w:r>
      <w:r>
        <w:t>3.</w:t>
      </w:r>
      <w:r w:rsidR="007E4A28">
        <w:t>5</w:t>
      </w:r>
      <w:r>
        <w:t>.1 and 3.</w:t>
      </w:r>
      <w:r w:rsidR="007E4A28">
        <w:t>5</w:t>
      </w:r>
      <w:r>
        <w:t>.2 illustrate just some of the many linked factors that can affect outcomes.</w:t>
      </w:r>
    </w:p>
    <w:p w:rsidR="00824CED" w:rsidRDefault="00824CED" w:rsidP="00824CED">
      <w:pPr>
        <w:pStyle w:val="BodyText"/>
      </w:pPr>
      <w:r>
        <w:t>Figure</w:t>
      </w:r>
      <w:r w:rsidR="009E1248">
        <w:t> </w:t>
      </w:r>
      <w:r>
        <w:t>3.</w:t>
      </w:r>
      <w:r w:rsidR="007E4A28">
        <w:t>5</w:t>
      </w:r>
      <w:r>
        <w:t>.1 illustrates how the COAG targets of employment (section</w:t>
      </w:r>
      <w:r w:rsidR="009E1248">
        <w:t> </w:t>
      </w:r>
      <w:r w:rsidR="00050AF4">
        <w:t>4.7</w:t>
      </w:r>
      <w:r>
        <w:t xml:space="preserve">), year 12 </w:t>
      </w:r>
      <w:r w:rsidR="002566A5">
        <w:t xml:space="preserve">or equivalent </w:t>
      </w:r>
      <w:r>
        <w:t>attainment (section</w:t>
      </w:r>
      <w:r w:rsidR="009E1248">
        <w:t> </w:t>
      </w:r>
      <w:r w:rsidR="00050AF4">
        <w:t>4.6</w:t>
      </w:r>
      <w:r>
        <w:t>)</w:t>
      </w:r>
      <w:r w:rsidR="00050AF4">
        <w:t>, school attendance (section 4.5)</w:t>
      </w:r>
      <w:r>
        <w:t xml:space="preserve"> and reading, writing </w:t>
      </w:r>
      <w:r>
        <w:lastRenderedPageBreak/>
        <w:t>and numeracy (section</w:t>
      </w:r>
      <w:r w:rsidR="009E1248">
        <w:t> </w:t>
      </w:r>
      <w:r>
        <w:t>4.4), plus the headline indicator of post</w:t>
      </w:r>
      <w:r w:rsidR="00F34687">
        <w:t>-</w:t>
      </w:r>
      <w:r>
        <w:t>secondary education (section</w:t>
      </w:r>
      <w:r w:rsidR="009E1248">
        <w:t> </w:t>
      </w:r>
      <w:r w:rsidR="00050AF4">
        <w:t>4.8</w:t>
      </w:r>
      <w:r>
        <w:t>), are influenced by outcomes across the framework. It is obvious that educational success will depend on outcomes in the ‘Education and training’ strategic area, which in turn depend on the achievement of outcomes in the ‘Early child development’ strategic area. However, social and environmental factors, such as those in the ‘Home environment’ and ‘Safe and supportive communities’ strategic areas affect all these outcomes. Of course, these are not the only factors at work — employment and education outcomes can also be influenced by the inter</w:t>
      </w:r>
      <w:r w:rsidR="009E1248">
        <w:noBreakHyphen/>
      </w:r>
      <w:r>
        <w:t>generational effects of parental income, employment and education levels. The message from the framework is that, although educational services play an important role in achieving these COAG targets and headline indicators, many other services must also play a part.</w:t>
      </w:r>
    </w:p>
    <w:p w:rsidR="0032606B" w:rsidRDefault="0032606B" w:rsidP="000E277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71"/>
      </w:tblGrid>
      <w:tr w:rsidR="0032606B" w:rsidTr="007C2A26">
        <w:tc>
          <w:tcPr>
            <w:tcW w:w="8771" w:type="dxa"/>
            <w:tcBorders>
              <w:top w:val="single" w:sz="6" w:space="0" w:color="78A22F"/>
              <w:left w:val="nil"/>
              <w:bottom w:val="nil"/>
              <w:right w:val="nil"/>
            </w:tcBorders>
            <w:shd w:val="clear" w:color="auto" w:fill="auto"/>
          </w:tcPr>
          <w:p w:rsidR="0032606B" w:rsidRPr="00176D3F" w:rsidRDefault="0032606B" w:rsidP="0032606B">
            <w:pPr>
              <w:pStyle w:val="FigureTitle"/>
            </w:pPr>
            <w:r w:rsidRPr="00784A05">
              <w:rPr>
                <w:b w:val="0"/>
              </w:rPr>
              <w:t xml:space="preserve">Figure </w:t>
            </w:r>
            <w:r w:rsidR="00A130CD">
              <w:rPr>
                <w:b w:val="0"/>
              </w:rPr>
              <w:t>3.</w:t>
            </w:r>
            <w:r>
              <w:rPr>
                <w:b w:val="0"/>
              </w:rPr>
              <w:t>5.1</w:t>
            </w:r>
            <w:r>
              <w:tab/>
            </w:r>
            <w:r w:rsidRPr="00824CED">
              <w:t>Multiple causes — employment and education</w:t>
            </w:r>
          </w:p>
        </w:tc>
      </w:tr>
      <w:tr w:rsidR="0032606B" w:rsidTr="007C2A26">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487"/>
            </w:tblGrid>
            <w:tr w:rsidR="0032606B" w:rsidTr="00273A87">
              <w:tc>
                <w:tcPr>
                  <w:tcW w:w="5000" w:type="pct"/>
                  <w:tcBorders>
                    <w:top w:val="nil"/>
                    <w:bottom w:val="nil"/>
                  </w:tcBorders>
                </w:tcPr>
                <w:p w:rsidR="0032606B" w:rsidRDefault="00964C90" w:rsidP="000E2777">
                  <w:pPr>
                    <w:pStyle w:val="Figure"/>
                    <w:spacing w:before="60" w:after="60"/>
                  </w:pPr>
                  <w:r>
                    <w:rPr>
                      <w:noProof/>
                    </w:rPr>
                    <w:drawing>
                      <wp:inline distT="0" distB="0" distL="0" distR="0" wp14:anchorId="66E72281" wp14:editId="4C23A2B4">
                        <wp:extent cx="2613600" cy="5490000"/>
                        <wp:effectExtent l="0" t="0" r="0" b="0"/>
                        <wp:docPr id="5" name="Picture 5" descr="Figure 3.5.1 Multiple causes - employment and education&#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3600" cy="5490000"/>
                                </a:xfrm>
                                <a:prstGeom prst="rect">
                                  <a:avLst/>
                                </a:prstGeom>
                                <a:noFill/>
                                <a:ln>
                                  <a:noFill/>
                                </a:ln>
                              </pic:spPr>
                            </pic:pic>
                          </a:graphicData>
                        </a:graphic>
                      </wp:inline>
                    </w:drawing>
                  </w:r>
                </w:p>
              </w:tc>
            </w:tr>
          </w:tbl>
          <w:p w:rsidR="0032606B" w:rsidRDefault="0032606B" w:rsidP="000E2777">
            <w:pPr>
              <w:pStyle w:val="Figure"/>
            </w:pPr>
          </w:p>
        </w:tc>
      </w:tr>
      <w:tr w:rsidR="0032606B" w:rsidTr="00273A87">
        <w:tc>
          <w:tcPr>
            <w:tcW w:w="8771" w:type="dxa"/>
            <w:tcBorders>
              <w:top w:val="nil"/>
              <w:left w:val="nil"/>
              <w:bottom w:val="single" w:sz="6" w:space="0" w:color="78A22F"/>
              <w:right w:val="nil"/>
            </w:tcBorders>
            <w:shd w:val="clear" w:color="auto" w:fill="auto"/>
          </w:tcPr>
          <w:p w:rsidR="0032606B" w:rsidRDefault="0032606B" w:rsidP="000E2777">
            <w:pPr>
              <w:pStyle w:val="Figurespace"/>
            </w:pPr>
          </w:p>
        </w:tc>
      </w:tr>
      <w:tr w:rsidR="0032606B" w:rsidRPr="000863A5" w:rsidTr="00273A87">
        <w:tc>
          <w:tcPr>
            <w:tcW w:w="8771" w:type="dxa"/>
            <w:tcBorders>
              <w:top w:val="single" w:sz="6" w:space="0" w:color="78A22F"/>
              <w:left w:val="nil"/>
              <w:bottom w:val="nil"/>
              <w:right w:val="nil"/>
            </w:tcBorders>
          </w:tcPr>
          <w:p w:rsidR="0032606B" w:rsidRPr="00626D32" w:rsidRDefault="0032606B" w:rsidP="000E2777">
            <w:pPr>
              <w:pStyle w:val="BoxSpaceBelow"/>
            </w:pPr>
          </w:p>
        </w:tc>
      </w:tr>
    </w:tbl>
    <w:p w:rsidR="00824CED" w:rsidRDefault="00824CED" w:rsidP="00824CED">
      <w:pPr>
        <w:pStyle w:val="BodyText"/>
      </w:pPr>
      <w:r w:rsidRPr="00824CED">
        <w:lastRenderedPageBreak/>
        <w:t>In figure</w:t>
      </w:r>
      <w:r w:rsidR="009E1248">
        <w:t> </w:t>
      </w:r>
      <w:r w:rsidRPr="00824CED">
        <w:t>3.</w:t>
      </w:r>
      <w:r w:rsidR="007E4A28">
        <w:t>5</w:t>
      </w:r>
      <w:r w:rsidRPr="00824CED">
        <w:t>.2, the COAG targets of ‘Life expectancy’ (section</w:t>
      </w:r>
      <w:r w:rsidR="009E1248">
        <w:t> </w:t>
      </w:r>
      <w:r w:rsidRPr="00824CED">
        <w:t>4.1) and Young child mortality’ (section</w:t>
      </w:r>
      <w:r w:rsidR="009E1248">
        <w:t> </w:t>
      </w:r>
      <w:r w:rsidRPr="00824CED">
        <w:t>4.2) are clearly linked, and are closely related to the headline indicator of ‘Disability and chronic disease’ (section</w:t>
      </w:r>
      <w:r w:rsidR="009E1248">
        <w:t> </w:t>
      </w:r>
      <w:r w:rsidR="00613348">
        <w:t>4.9</w:t>
      </w:r>
      <w:r w:rsidRPr="00824CED">
        <w:t>). In turn, these outcomes will be influenced by outcomes in the ‘Early child development’ and ‘Healthy lives’ strategic areas. But actions in these areas must be supported by actions to address outcomes in the ‘Home environment’ and ‘Safe and supportive communities’ strategic areas. Actions must also address other social determinants of health in the education and employment areas.</w:t>
      </w:r>
    </w:p>
    <w:p w:rsidR="0032606B" w:rsidRDefault="0032606B" w:rsidP="000E277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2606B" w:rsidTr="007C2A26">
        <w:tc>
          <w:tcPr>
            <w:tcW w:w="8771" w:type="dxa"/>
            <w:tcBorders>
              <w:top w:val="single" w:sz="6" w:space="0" w:color="78A22F"/>
              <w:left w:val="nil"/>
              <w:bottom w:val="nil"/>
              <w:right w:val="nil"/>
            </w:tcBorders>
            <w:shd w:val="clear" w:color="auto" w:fill="auto"/>
          </w:tcPr>
          <w:p w:rsidR="0032606B" w:rsidRPr="00176D3F" w:rsidRDefault="0032606B" w:rsidP="007875AD">
            <w:pPr>
              <w:pStyle w:val="FigureTitle"/>
            </w:pPr>
            <w:r w:rsidRPr="00784A05">
              <w:rPr>
                <w:b w:val="0"/>
              </w:rPr>
              <w:t xml:space="preserve">Figure </w:t>
            </w:r>
            <w:r w:rsidR="00A130CD">
              <w:rPr>
                <w:b w:val="0"/>
              </w:rPr>
              <w:t>3.</w:t>
            </w:r>
            <w:r>
              <w:rPr>
                <w:b w:val="0"/>
              </w:rPr>
              <w:t>5.2</w:t>
            </w:r>
            <w:r>
              <w:tab/>
            </w:r>
            <w:r w:rsidR="007875AD">
              <w:t>Multiple causes — health</w:t>
            </w:r>
          </w:p>
        </w:tc>
      </w:tr>
      <w:tr w:rsidR="0032606B" w:rsidTr="007C2A26">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32606B" w:rsidTr="000E2777">
              <w:tc>
                <w:tcPr>
                  <w:tcW w:w="5000" w:type="pct"/>
                  <w:tcBorders>
                    <w:top w:val="nil"/>
                    <w:bottom w:val="nil"/>
                  </w:tcBorders>
                </w:tcPr>
                <w:p w:rsidR="0032606B" w:rsidRDefault="004A2B1F" w:rsidP="000E2777">
                  <w:pPr>
                    <w:pStyle w:val="Figure"/>
                    <w:spacing w:before="60" w:after="60"/>
                  </w:pPr>
                  <w:r w:rsidRPr="00002608">
                    <w:rPr>
                      <w:noProof/>
                    </w:rPr>
                    <w:drawing>
                      <wp:inline distT="0" distB="0" distL="0" distR="0" wp14:anchorId="0E25A631" wp14:editId="55654E43">
                        <wp:extent cx="3030386" cy="4952693"/>
                        <wp:effectExtent l="0" t="0" r="0" b="635"/>
                        <wp:docPr id="1" name="Picture 1" descr="Figure 3.5.2 Multiple causes - health&#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5762" cy="4961479"/>
                                </a:xfrm>
                                <a:prstGeom prst="rect">
                                  <a:avLst/>
                                </a:prstGeom>
                                <a:noFill/>
                                <a:ln>
                                  <a:noFill/>
                                </a:ln>
                              </pic:spPr>
                            </pic:pic>
                          </a:graphicData>
                        </a:graphic>
                      </wp:inline>
                    </w:drawing>
                  </w:r>
                </w:p>
              </w:tc>
            </w:tr>
          </w:tbl>
          <w:p w:rsidR="0032606B" w:rsidRDefault="0032606B" w:rsidP="000E2777">
            <w:pPr>
              <w:pStyle w:val="Figure"/>
            </w:pPr>
          </w:p>
        </w:tc>
      </w:tr>
      <w:tr w:rsidR="0032606B" w:rsidTr="000E2777">
        <w:tc>
          <w:tcPr>
            <w:tcW w:w="8771" w:type="dxa"/>
            <w:tcBorders>
              <w:top w:val="nil"/>
              <w:left w:val="nil"/>
              <w:bottom w:val="single" w:sz="6" w:space="0" w:color="78A22F"/>
              <w:right w:val="nil"/>
            </w:tcBorders>
            <w:shd w:val="clear" w:color="auto" w:fill="auto"/>
          </w:tcPr>
          <w:p w:rsidR="0032606B" w:rsidRDefault="0032606B" w:rsidP="000E2777">
            <w:pPr>
              <w:pStyle w:val="Figurespace"/>
            </w:pPr>
          </w:p>
        </w:tc>
      </w:tr>
      <w:tr w:rsidR="0032606B" w:rsidRPr="000863A5" w:rsidTr="000E2777">
        <w:tc>
          <w:tcPr>
            <w:tcW w:w="8771" w:type="dxa"/>
            <w:tcBorders>
              <w:top w:val="single" w:sz="6" w:space="0" w:color="78A22F"/>
              <w:left w:val="nil"/>
              <w:bottom w:val="nil"/>
              <w:right w:val="nil"/>
            </w:tcBorders>
          </w:tcPr>
          <w:p w:rsidR="0032606B" w:rsidRPr="00626D32" w:rsidRDefault="0032606B" w:rsidP="000E2777">
            <w:pPr>
              <w:pStyle w:val="BoxSpaceBelow"/>
            </w:pPr>
          </w:p>
        </w:tc>
      </w:tr>
    </w:tbl>
    <w:p w:rsidR="00824CED" w:rsidRDefault="00017D47" w:rsidP="00017D47">
      <w:pPr>
        <w:pStyle w:val="Heading3"/>
      </w:pPr>
      <w:r w:rsidRPr="00017D47">
        <w:t>Multiple effects</w:t>
      </w:r>
    </w:p>
    <w:p w:rsidR="00017D47" w:rsidRDefault="00017D47" w:rsidP="00017D47">
      <w:pPr>
        <w:pStyle w:val="BodyText"/>
      </w:pPr>
      <w:r>
        <w:t>Although some high level outcomes may require actions across a range of areas, sometimes a single, well</w:t>
      </w:r>
      <w:r w:rsidR="009E1248">
        <w:noBreakHyphen/>
      </w:r>
      <w:r>
        <w:t xml:space="preserve">targeted action can influence a range of outcomes. These </w:t>
      </w:r>
      <w:r>
        <w:lastRenderedPageBreak/>
        <w:t>interactions emphasise the need for a whole</w:t>
      </w:r>
      <w:r w:rsidR="009E1248">
        <w:noBreakHyphen/>
      </w:r>
      <w:r>
        <w:t>of</w:t>
      </w:r>
      <w:r w:rsidR="009E1248">
        <w:noBreakHyphen/>
      </w:r>
      <w:r>
        <w:t>government approach to assessing the costs and benefits of such actions.</w:t>
      </w:r>
    </w:p>
    <w:p w:rsidR="00017D47" w:rsidRDefault="00017D47" w:rsidP="00017D47">
      <w:pPr>
        <w:pStyle w:val="BodyText"/>
      </w:pPr>
      <w:r>
        <w:t xml:space="preserve">For example, housing typically is regarded as the responsibility of </w:t>
      </w:r>
      <w:r w:rsidR="007E5A9A" w:rsidRPr="009772D4">
        <w:t>State and Territory</w:t>
      </w:r>
      <w:r w:rsidR="007E5A9A" w:rsidRPr="007E5A9A">
        <w:rPr>
          <w:bdr w:val="single" w:sz="4" w:space="0" w:color="auto"/>
        </w:rPr>
        <w:t xml:space="preserve"> </w:t>
      </w:r>
      <w:r>
        <w:t>departments of housing. But as illustrated in figure</w:t>
      </w:r>
      <w:r w:rsidR="009E1248">
        <w:t> </w:t>
      </w:r>
      <w:r>
        <w:t>3.</w:t>
      </w:r>
      <w:r w:rsidR="007E4A28">
        <w:t>5</w:t>
      </w:r>
      <w:r>
        <w:t>.3, reducing overcrowding can affect the COAG target of ‘Reading, writing and numeracy’ (section</w:t>
      </w:r>
      <w:r w:rsidR="009E1248">
        <w:t> </w:t>
      </w:r>
      <w:r>
        <w:t>4.4), and headline indicators of ‘Disability and chronic disease’ (section</w:t>
      </w:r>
      <w:r w:rsidR="009E1248">
        <w:t> </w:t>
      </w:r>
      <w:r>
        <w:t>4.8) and ‘Family and community violence’ (section</w:t>
      </w:r>
      <w:r w:rsidR="009E1248">
        <w:t> </w:t>
      </w:r>
      <w:r>
        <w:t>4.11) as well as outcomes in the ‘Education and training’, ‘Healthy lives’, ‘Home environment’ and ‘Safe and supportive communities’ strategic areas. Although other influences are also important in each of these areas, there is sufficient evidence for education, health and justice departments to be concerned about housing issues.</w:t>
      </w:r>
    </w:p>
    <w:p w:rsidR="0032606B" w:rsidRDefault="0032606B" w:rsidP="000E277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2606B" w:rsidTr="000E2777">
        <w:tc>
          <w:tcPr>
            <w:tcW w:w="8771" w:type="dxa"/>
            <w:tcBorders>
              <w:top w:val="single" w:sz="6" w:space="0" w:color="78A22F"/>
              <w:left w:val="nil"/>
              <w:bottom w:val="nil"/>
              <w:right w:val="nil"/>
            </w:tcBorders>
            <w:shd w:val="clear" w:color="auto" w:fill="auto"/>
          </w:tcPr>
          <w:p w:rsidR="0032606B" w:rsidRPr="00176D3F" w:rsidRDefault="0032606B" w:rsidP="0032606B">
            <w:pPr>
              <w:pStyle w:val="FigureTitle"/>
            </w:pPr>
            <w:r w:rsidRPr="00784A05">
              <w:rPr>
                <w:b w:val="0"/>
              </w:rPr>
              <w:t xml:space="preserve">Figure </w:t>
            </w:r>
            <w:r w:rsidR="00A130CD">
              <w:rPr>
                <w:b w:val="0"/>
              </w:rPr>
              <w:t>3.</w:t>
            </w:r>
            <w:r>
              <w:rPr>
                <w:b w:val="0"/>
              </w:rPr>
              <w:t>5.3</w:t>
            </w:r>
            <w:r>
              <w:tab/>
            </w:r>
            <w:r w:rsidRPr="00017D47">
              <w:t>Multiple effects — overcrowding</w:t>
            </w:r>
          </w:p>
        </w:tc>
      </w:tr>
      <w:tr w:rsidR="0032606B" w:rsidTr="000E2777">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32606B" w:rsidTr="000E2777">
              <w:tc>
                <w:tcPr>
                  <w:tcW w:w="5000" w:type="pct"/>
                  <w:tcBorders>
                    <w:top w:val="nil"/>
                    <w:bottom w:val="nil"/>
                  </w:tcBorders>
                </w:tcPr>
                <w:p w:rsidR="0032606B" w:rsidRDefault="004A2B1F" w:rsidP="000E2777">
                  <w:pPr>
                    <w:pStyle w:val="Figure"/>
                    <w:spacing w:before="60" w:after="60"/>
                  </w:pPr>
                  <w:r w:rsidRPr="00271F2F">
                    <w:rPr>
                      <w:noProof/>
                    </w:rPr>
                    <w:drawing>
                      <wp:inline distT="0" distB="0" distL="0" distR="0" wp14:anchorId="2A783D7A" wp14:editId="61DB42B1">
                        <wp:extent cx="3505200" cy="4572487"/>
                        <wp:effectExtent l="0" t="0" r="0" b="0"/>
                        <wp:docPr id="6" name="Picture 6" descr="Figure 3.5.3 Multiple effects - overcrowding&#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04992" cy="4572215"/>
                                </a:xfrm>
                                <a:prstGeom prst="rect">
                                  <a:avLst/>
                                </a:prstGeom>
                                <a:noFill/>
                                <a:ln>
                                  <a:noFill/>
                                </a:ln>
                              </pic:spPr>
                            </pic:pic>
                          </a:graphicData>
                        </a:graphic>
                      </wp:inline>
                    </w:drawing>
                  </w:r>
                </w:p>
              </w:tc>
            </w:tr>
          </w:tbl>
          <w:p w:rsidR="0032606B" w:rsidRDefault="0032606B" w:rsidP="000E2777">
            <w:pPr>
              <w:pStyle w:val="Figure"/>
            </w:pPr>
          </w:p>
        </w:tc>
      </w:tr>
      <w:tr w:rsidR="0032606B" w:rsidTr="000E2777">
        <w:tc>
          <w:tcPr>
            <w:tcW w:w="8771" w:type="dxa"/>
            <w:tcBorders>
              <w:top w:val="nil"/>
              <w:left w:val="nil"/>
              <w:bottom w:val="single" w:sz="6" w:space="0" w:color="78A22F"/>
              <w:right w:val="nil"/>
            </w:tcBorders>
            <w:shd w:val="clear" w:color="auto" w:fill="auto"/>
          </w:tcPr>
          <w:p w:rsidR="0032606B" w:rsidRDefault="0032606B" w:rsidP="000E2777">
            <w:pPr>
              <w:pStyle w:val="Figurespace"/>
            </w:pPr>
          </w:p>
        </w:tc>
      </w:tr>
      <w:tr w:rsidR="0032606B" w:rsidRPr="000863A5" w:rsidTr="000E2777">
        <w:tc>
          <w:tcPr>
            <w:tcW w:w="8771" w:type="dxa"/>
            <w:tcBorders>
              <w:top w:val="single" w:sz="6" w:space="0" w:color="78A22F"/>
              <w:left w:val="nil"/>
              <w:bottom w:val="nil"/>
              <w:right w:val="nil"/>
            </w:tcBorders>
          </w:tcPr>
          <w:p w:rsidR="0032606B" w:rsidRPr="00626D32" w:rsidRDefault="0032606B" w:rsidP="000E2777">
            <w:pPr>
              <w:pStyle w:val="BoxSpaceBelow"/>
            </w:pPr>
          </w:p>
        </w:tc>
      </w:tr>
    </w:tbl>
    <w:p w:rsidR="00017D47" w:rsidRDefault="00017D47" w:rsidP="00017D47">
      <w:pPr>
        <w:pStyle w:val="BodyText"/>
      </w:pPr>
      <w:r w:rsidRPr="00017D47">
        <w:t>Figure</w:t>
      </w:r>
      <w:r w:rsidR="009E1248">
        <w:t> </w:t>
      </w:r>
      <w:r w:rsidRPr="00017D47">
        <w:t>3.</w:t>
      </w:r>
      <w:r w:rsidR="007E4A28">
        <w:t>5</w:t>
      </w:r>
      <w:r w:rsidRPr="00017D47">
        <w:t>.4 illustrates similar links for actions designed to address excessive alcohol consumption and associated harm. Misuse of alcohol can contribute to the COAG target of ‘Employment’ (section</w:t>
      </w:r>
      <w:r w:rsidR="009E1248">
        <w:t> </w:t>
      </w:r>
      <w:r w:rsidR="00613348">
        <w:t>4.7</w:t>
      </w:r>
      <w:r w:rsidRPr="00017D47">
        <w:t>) and the headline indicators of ‘Disability and chronic disease’ (section</w:t>
      </w:r>
      <w:r w:rsidR="009E1248">
        <w:t> </w:t>
      </w:r>
      <w:r w:rsidR="00613348">
        <w:t>4.9</w:t>
      </w:r>
      <w:r w:rsidRPr="00017D47">
        <w:t>) and ‘Family and community violence’ (section</w:t>
      </w:r>
      <w:r w:rsidR="009E1248">
        <w:t> </w:t>
      </w:r>
      <w:r w:rsidR="00613348">
        <w:t>4.12</w:t>
      </w:r>
      <w:r w:rsidRPr="00017D47">
        <w:t xml:space="preserve">) and affect outcomes in </w:t>
      </w:r>
      <w:r w:rsidRPr="00017D47">
        <w:lastRenderedPageBreak/>
        <w:t>the ‘Early child development’, ‘Healthy lives’, ‘Economic participation’, and ‘Safe and supportive communities’ strategic areas, among others. Although alcohol misuse is not the only influence in these areas, a range of studies have identified the significant part this risk factor can play in a broad range of outcomes (section</w:t>
      </w:r>
      <w:r w:rsidR="009E1248">
        <w:t> </w:t>
      </w:r>
      <w:r w:rsidR="007E4A28">
        <w:t>11.1</w:t>
      </w:r>
      <w:r w:rsidRPr="00017D47">
        <w:t>).</w:t>
      </w:r>
    </w:p>
    <w:p w:rsidR="008755D3" w:rsidRDefault="008755D3" w:rsidP="000E277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755D3" w:rsidTr="000E2777">
        <w:tc>
          <w:tcPr>
            <w:tcW w:w="8771" w:type="dxa"/>
            <w:tcBorders>
              <w:top w:val="single" w:sz="6" w:space="0" w:color="78A22F"/>
              <w:left w:val="nil"/>
              <w:bottom w:val="nil"/>
              <w:right w:val="nil"/>
            </w:tcBorders>
            <w:shd w:val="clear" w:color="auto" w:fill="auto"/>
          </w:tcPr>
          <w:p w:rsidR="008755D3" w:rsidRPr="00176D3F" w:rsidRDefault="008755D3" w:rsidP="00F34687">
            <w:pPr>
              <w:pStyle w:val="FigureTitle"/>
            </w:pPr>
            <w:r w:rsidRPr="00784A05">
              <w:rPr>
                <w:b w:val="0"/>
              </w:rPr>
              <w:t xml:space="preserve">Figure </w:t>
            </w:r>
            <w:r w:rsidR="00A130CD">
              <w:rPr>
                <w:b w:val="0"/>
              </w:rPr>
              <w:t>3.</w:t>
            </w:r>
            <w:r w:rsidR="00F34687">
              <w:rPr>
                <w:b w:val="0"/>
              </w:rPr>
              <w:t>5.4</w:t>
            </w:r>
            <w:r>
              <w:tab/>
            </w:r>
            <w:r w:rsidRPr="00017D47">
              <w:t>Multiple effects — alcohol</w:t>
            </w:r>
          </w:p>
        </w:tc>
      </w:tr>
      <w:tr w:rsidR="008755D3" w:rsidTr="000E2777">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487"/>
            </w:tblGrid>
            <w:tr w:rsidR="008755D3" w:rsidTr="000E2777">
              <w:tc>
                <w:tcPr>
                  <w:tcW w:w="5000" w:type="pct"/>
                  <w:tcBorders>
                    <w:top w:val="nil"/>
                    <w:bottom w:val="nil"/>
                  </w:tcBorders>
                </w:tcPr>
                <w:p w:rsidR="008755D3" w:rsidRDefault="004A2B1F" w:rsidP="000E2777">
                  <w:pPr>
                    <w:pStyle w:val="Figure"/>
                    <w:spacing w:before="60" w:after="60"/>
                  </w:pPr>
                  <w:r w:rsidRPr="000408D1">
                    <w:rPr>
                      <w:noProof/>
                    </w:rPr>
                    <w:drawing>
                      <wp:inline distT="0" distB="0" distL="0" distR="0" wp14:anchorId="339A642E" wp14:editId="4502176C">
                        <wp:extent cx="3705225" cy="4773133"/>
                        <wp:effectExtent l="0" t="0" r="0" b="8890"/>
                        <wp:docPr id="2" name="Picture 2" descr="Figure 3.5.4 Multiple effects - alcohol&#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06004" cy="4774136"/>
                                </a:xfrm>
                                <a:prstGeom prst="rect">
                                  <a:avLst/>
                                </a:prstGeom>
                                <a:noFill/>
                                <a:ln>
                                  <a:noFill/>
                                </a:ln>
                              </pic:spPr>
                            </pic:pic>
                          </a:graphicData>
                        </a:graphic>
                      </wp:inline>
                    </w:drawing>
                  </w:r>
                </w:p>
              </w:tc>
            </w:tr>
          </w:tbl>
          <w:p w:rsidR="008755D3" w:rsidRDefault="008755D3" w:rsidP="000E2777">
            <w:pPr>
              <w:pStyle w:val="Figure"/>
            </w:pPr>
          </w:p>
        </w:tc>
      </w:tr>
      <w:tr w:rsidR="008755D3" w:rsidTr="000E2777">
        <w:tc>
          <w:tcPr>
            <w:tcW w:w="8771" w:type="dxa"/>
            <w:tcBorders>
              <w:top w:val="nil"/>
              <w:left w:val="nil"/>
              <w:bottom w:val="single" w:sz="6" w:space="0" w:color="78A22F"/>
              <w:right w:val="nil"/>
            </w:tcBorders>
            <w:shd w:val="clear" w:color="auto" w:fill="auto"/>
          </w:tcPr>
          <w:p w:rsidR="008755D3" w:rsidRDefault="008755D3" w:rsidP="000E2777">
            <w:pPr>
              <w:pStyle w:val="Figurespace"/>
            </w:pPr>
          </w:p>
        </w:tc>
      </w:tr>
      <w:tr w:rsidR="008755D3" w:rsidRPr="000863A5" w:rsidTr="000E2777">
        <w:tc>
          <w:tcPr>
            <w:tcW w:w="8771" w:type="dxa"/>
            <w:tcBorders>
              <w:top w:val="single" w:sz="6" w:space="0" w:color="78A22F"/>
              <w:left w:val="nil"/>
              <w:bottom w:val="nil"/>
              <w:right w:val="nil"/>
            </w:tcBorders>
          </w:tcPr>
          <w:p w:rsidR="008755D3" w:rsidRPr="00626D32" w:rsidRDefault="008755D3" w:rsidP="000E2777">
            <w:pPr>
              <w:pStyle w:val="BoxSpaceBelow"/>
            </w:pPr>
          </w:p>
        </w:tc>
      </w:tr>
    </w:tbl>
    <w:p w:rsidR="00017D47" w:rsidRDefault="00A130CD" w:rsidP="00017D47">
      <w:pPr>
        <w:pStyle w:val="Heading2"/>
      </w:pPr>
      <w:r>
        <w:t>3.</w:t>
      </w:r>
      <w:r w:rsidR="000722EF">
        <w:rPr>
          <w:noProof/>
        </w:rPr>
        <w:t>6</w:t>
      </w:r>
      <w:r w:rsidR="00017D47">
        <w:tab/>
      </w:r>
      <w:r w:rsidR="00017D47" w:rsidRPr="00017D47">
        <w:t>Things that work — success factors</w:t>
      </w:r>
    </w:p>
    <w:p w:rsidR="00017D47" w:rsidRDefault="00017D47" w:rsidP="009772D4">
      <w:pPr>
        <w:pStyle w:val="BodyText"/>
      </w:pPr>
      <w:r>
        <w:t xml:space="preserve">Brief case studies of ‘thing that work’ in improving outcomes for </w:t>
      </w:r>
      <w:r w:rsidR="00F15204">
        <w:t>Aboriginal and Torres Strait Islander Australians</w:t>
      </w:r>
      <w:r>
        <w:t xml:space="preserve"> have been a part of this report since 2005. Not everything that matters can be captured in indicators, and some information is better presented in words, rather than numbers. In particular, community level change may not show up in State and Territory or national data.</w:t>
      </w:r>
    </w:p>
    <w:p w:rsidR="00017D47" w:rsidRDefault="00017D47" w:rsidP="009772D4">
      <w:pPr>
        <w:pStyle w:val="BodyText"/>
      </w:pPr>
      <w:r>
        <w:lastRenderedPageBreak/>
        <w:t>As noted in chapter</w:t>
      </w:r>
      <w:r w:rsidR="009E1248">
        <w:t> </w:t>
      </w:r>
      <w:r>
        <w:t xml:space="preserve">2, ‘Things that work’ in this report were assessed against a broad set of criteria before they were included. However, formal evaluations of programs </w:t>
      </w:r>
      <w:r w:rsidR="00693C7C">
        <w:t xml:space="preserve">for Aboriginal and Torres Strait islander Australians </w:t>
      </w:r>
      <w:r>
        <w:t>are relatively scarce</w:t>
      </w:r>
      <w:r w:rsidR="00B7618A">
        <w:t xml:space="preserve"> </w:t>
      </w:r>
      <w:r w:rsidR="00B7618A" w:rsidRPr="00B7618A">
        <w:rPr>
          <w:szCs w:val="24"/>
        </w:rPr>
        <w:t>(PC 2013)</w:t>
      </w:r>
      <w:r>
        <w:t xml:space="preserve">. In order to provide a range of examples to illustrate how things can change for the better, the Steering Committee </w:t>
      </w:r>
      <w:r w:rsidR="00F15204">
        <w:t xml:space="preserve">has </w:t>
      </w:r>
      <w:r>
        <w:t>included case studies of some promising programs that have not undergone rigorous evaluation</w:t>
      </w:r>
      <w:r w:rsidR="00693C7C">
        <w:t xml:space="preserve"> (noting the desirability of formal evaluation for these programs)</w:t>
      </w:r>
      <w:r>
        <w:t xml:space="preserve">. </w:t>
      </w:r>
      <w:r w:rsidR="00413D4B">
        <w:t>There is an urgent need for more research and evaluation to identify successful programs and the reaso</w:t>
      </w:r>
      <w:r w:rsidR="00613512">
        <w:t xml:space="preserve">ns for their success </w:t>
      </w:r>
      <w:r w:rsidR="00613512" w:rsidRPr="00613512">
        <w:rPr>
          <w:szCs w:val="24"/>
        </w:rPr>
        <w:t>(PC 2013</w:t>
      </w:r>
      <w:r w:rsidR="00B7618A">
        <w:rPr>
          <w:szCs w:val="24"/>
        </w:rPr>
        <w:t xml:space="preserve">, </w:t>
      </w:r>
      <w:r w:rsidR="00B7618A" w:rsidRPr="00B7618A">
        <w:rPr>
          <w:szCs w:val="24"/>
        </w:rPr>
        <w:t>2015)</w:t>
      </w:r>
      <w:r w:rsidR="00413D4B">
        <w:t>.</w:t>
      </w:r>
    </w:p>
    <w:p w:rsidR="00F15204" w:rsidRDefault="00017D47" w:rsidP="009772D4">
      <w:pPr>
        <w:pStyle w:val="BodyText"/>
      </w:pPr>
      <w:r>
        <w:t>The Closing the Gap Cl</w:t>
      </w:r>
      <w:r w:rsidR="009A3721">
        <w:t xml:space="preserve">earinghouse </w:t>
      </w:r>
      <w:r w:rsidR="00F15204">
        <w:t xml:space="preserve">identified the following high level principles and practices that underpin successful programs for Aboriginal and Torres Strait Islander Australians: </w:t>
      </w:r>
    </w:p>
    <w:p w:rsidR="00F15204" w:rsidRDefault="00F15204" w:rsidP="009772D4">
      <w:pPr>
        <w:pStyle w:val="ListBullet"/>
      </w:pPr>
      <w:r>
        <w:t>flexibility in design and delivery so that local needs and contexts can be taken into account</w:t>
      </w:r>
    </w:p>
    <w:p w:rsidR="00F15204" w:rsidRDefault="00F15204" w:rsidP="009772D4">
      <w:pPr>
        <w:pStyle w:val="ListBullet"/>
      </w:pPr>
      <w:r>
        <w:t>community involvement and engagement in both the development and delivery of programs</w:t>
      </w:r>
    </w:p>
    <w:p w:rsidR="00F15204" w:rsidRDefault="00F15204" w:rsidP="009772D4">
      <w:pPr>
        <w:pStyle w:val="ListBullet"/>
      </w:pPr>
      <w:r>
        <w:t>the importance of building trust and relationships</w:t>
      </w:r>
    </w:p>
    <w:p w:rsidR="00F15204" w:rsidRDefault="00F15204" w:rsidP="009772D4">
      <w:pPr>
        <w:pStyle w:val="ListBullet"/>
      </w:pPr>
      <w:r>
        <w:t>a well-trained and well-resourced workforce, with an emphasis on retention of staff</w:t>
      </w:r>
    </w:p>
    <w:p w:rsidR="00F15204" w:rsidRDefault="00F15204" w:rsidP="009772D4">
      <w:pPr>
        <w:pStyle w:val="ListBullet"/>
      </w:pPr>
      <w:r>
        <w:t>continuit</w:t>
      </w:r>
      <w:r w:rsidR="0020052E">
        <w:t xml:space="preserve">y and coordination of services </w:t>
      </w:r>
      <w:r w:rsidR="00AC740D" w:rsidRPr="00AC740D">
        <w:rPr>
          <w:szCs w:val="24"/>
        </w:rPr>
        <w:t>(CTGCH 2013)</w:t>
      </w:r>
      <w:r>
        <w:t>.</w:t>
      </w:r>
    </w:p>
    <w:p w:rsidR="00693C7C" w:rsidRDefault="00017D47" w:rsidP="009772D4">
      <w:pPr>
        <w:pStyle w:val="BodyText"/>
      </w:pPr>
      <w:r>
        <w:t xml:space="preserve">These success factors are </w:t>
      </w:r>
      <w:r w:rsidR="00693C7C">
        <w:t xml:space="preserve">closely </w:t>
      </w:r>
      <w:r>
        <w:t xml:space="preserve">related to the six determinants of good governance </w:t>
      </w:r>
      <w:r w:rsidR="00693C7C">
        <w:t>described</w:t>
      </w:r>
      <w:r>
        <w:t xml:space="preserve"> in chapter</w:t>
      </w:r>
      <w:r w:rsidR="009E1248">
        <w:t> </w:t>
      </w:r>
      <w:r w:rsidR="00F15204">
        <w:t>5</w:t>
      </w:r>
      <w:r w:rsidR="00AA3E4A">
        <w:t>, section 5.4 (</w:t>
      </w:r>
      <w:r>
        <w:t>governing institutions; leadership; self</w:t>
      </w:r>
      <w:r w:rsidR="009E1248">
        <w:noBreakHyphen/>
      </w:r>
      <w:r>
        <w:t>determination; capacity building; cultural match; and resources</w:t>
      </w:r>
      <w:r w:rsidR="00693C7C">
        <w:t>) and the success factors identified by the Steering Committee in previous reports:</w:t>
      </w:r>
    </w:p>
    <w:p w:rsidR="00693C7C" w:rsidRDefault="00693C7C" w:rsidP="009772D4">
      <w:pPr>
        <w:pStyle w:val="ListBullet"/>
      </w:pPr>
      <w:r>
        <w:t xml:space="preserve">cooperative approaches between </w:t>
      </w:r>
      <w:r w:rsidR="00AA3E4A">
        <w:t>Aboriginal and Torres Strait Islander Australians</w:t>
      </w:r>
      <w:r>
        <w:t xml:space="preserve"> and government — often with the </w:t>
      </w:r>
      <w:proofErr w:type="spellStart"/>
      <w:r>
        <w:t>non-profit</w:t>
      </w:r>
      <w:proofErr w:type="spellEnd"/>
      <w:r>
        <w:t xml:space="preserve"> and private sectors as well</w:t>
      </w:r>
    </w:p>
    <w:p w:rsidR="00693C7C" w:rsidRDefault="00693C7C" w:rsidP="009772D4">
      <w:pPr>
        <w:pStyle w:val="ListBullet"/>
      </w:pPr>
      <w:r>
        <w:t>community involvement in program design and decision-making — a ‘bottom-up’ rather than ‘top-down’ approach</w:t>
      </w:r>
    </w:p>
    <w:p w:rsidR="00693C7C" w:rsidRDefault="00693C7C" w:rsidP="009772D4">
      <w:pPr>
        <w:pStyle w:val="ListBullet"/>
      </w:pPr>
      <w:r>
        <w:t>good governance — at organisation, community and government levels</w:t>
      </w:r>
    </w:p>
    <w:p w:rsidR="00693C7C" w:rsidRDefault="00693C7C" w:rsidP="009772D4">
      <w:pPr>
        <w:pStyle w:val="ListBullet"/>
      </w:pPr>
      <w:r>
        <w:t>ongoing government support — including human, financial and physical resources.</w:t>
      </w:r>
    </w:p>
    <w:p w:rsidR="00C345D6" w:rsidRDefault="00C345D6" w:rsidP="009772D4">
      <w:pPr>
        <w:pStyle w:val="Heading3"/>
      </w:pPr>
      <w:r w:rsidRPr="00C345D6">
        <w:t>Cooperative approaches</w:t>
      </w:r>
    </w:p>
    <w:p w:rsidR="00693C7C" w:rsidRDefault="00C345D6" w:rsidP="009772D4">
      <w:pPr>
        <w:pStyle w:val="BodyText"/>
      </w:pPr>
      <w:r>
        <w:t xml:space="preserve">Cooperation between </w:t>
      </w:r>
      <w:r w:rsidR="007E4A28">
        <w:t xml:space="preserve">Aboriginal and Torres Strait Islander </w:t>
      </w:r>
      <w:r w:rsidR="00E22B87">
        <w:t xml:space="preserve">Australians </w:t>
      </w:r>
      <w:r>
        <w:t xml:space="preserve">and governments seems an obvious ingredient for successful programs. Nevertheless it does not always occur. Cooperative approaches require </w:t>
      </w:r>
      <w:r w:rsidR="00E22B87">
        <w:t xml:space="preserve">Aboriginal and Torres Strait Islander </w:t>
      </w:r>
      <w:r>
        <w:t xml:space="preserve">communities and organisations, governments, </w:t>
      </w:r>
      <w:proofErr w:type="spellStart"/>
      <w:r w:rsidR="006E6A08">
        <w:t>non</w:t>
      </w:r>
      <w:r w:rsidR="009E1248">
        <w:noBreakHyphen/>
      </w:r>
      <w:r w:rsidR="006E6A08">
        <w:t>profit</w:t>
      </w:r>
      <w:proofErr w:type="spellEnd"/>
      <w:r>
        <w:t xml:space="preserve"> organisations and private businesses to work as partners. </w:t>
      </w:r>
      <w:r w:rsidR="003A744F">
        <w:t>Hunt (2010)</w:t>
      </w:r>
      <w:r w:rsidR="00693C7C">
        <w:t xml:space="preserve"> has explored some aspects of cooperative partnerships between non</w:t>
      </w:r>
      <w:r w:rsidR="00693C7C">
        <w:noBreakHyphen/>
        <w:t>government organisations, Aboriginal organisations and communities. Success is much more likely where</w:t>
      </w:r>
      <w:r>
        <w:t xml:space="preserve"> each party acknowledges the value, and supports the contributions of</w:t>
      </w:r>
      <w:r w:rsidR="00693C7C">
        <w:t>,</w:t>
      </w:r>
      <w:r>
        <w:t xml:space="preserve"> the other partners</w:t>
      </w:r>
      <w:r w:rsidR="003A744F">
        <w:t xml:space="preserve"> </w:t>
      </w:r>
      <w:r w:rsidR="003A744F" w:rsidRPr="003A744F">
        <w:rPr>
          <w:szCs w:val="24"/>
        </w:rPr>
        <w:t>(Hunt 2010)</w:t>
      </w:r>
      <w:r>
        <w:t xml:space="preserve">. </w:t>
      </w:r>
    </w:p>
    <w:p w:rsidR="00C345D6" w:rsidRDefault="00C345D6" w:rsidP="009772D4">
      <w:pPr>
        <w:pStyle w:val="BodyText"/>
      </w:pPr>
      <w:r>
        <w:lastRenderedPageBreak/>
        <w:t xml:space="preserve">Most case studies in the report </w:t>
      </w:r>
      <w:r w:rsidR="00693C7C">
        <w:t>are based</w:t>
      </w:r>
      <w:r>
        <w:t xml:space="preserve"> on cooperative approaches between governments, </w:t>
      </w:r>
      <w:r w:rsidR="002E0C78">
        <w:t>communities</w:t>
      </w:r>
      <w:r>
        <w:t xml:space="preserve"> and other organisations. Examples include:</w:t>
      </w:r>
    </w:p>
    <w:p w:rsidR="00646C54" w:rsidRDefault="00646C54" w:rsidP="00646C54">
      <w:pPr>
        <w:pStyle w:val="ListBullet"/>
      </w:pPr>
      <w:r>
        <w:t>the Aboriginal Maternity Group Practice Program in WA, under which Aboriginal Health Officers, Aboriginal grandmothers and midwives work with existing services to improve timely access to antenatal and maternity services (box 6.1.3)</w:t>
      </w:r>
    </w:p>
    <w:p w:rsidR="00646C54" w:rsidRDefault="00646C54" w:rsidP="00646C54">
      <w:pPr>
        <w:pStyle w:val="ListBullet"/>
      </w:pPr>
      <w:r>
        <w:t xml:space="preserve">the </w:t>
      </w:r>
      <w:proofErr w:type="spellStart"/>
      <w:r>
        <w:t>Ngala</w:t>
      </w:r>
      <w:proofErr w:type="spellEnd"/>
      <w:r>
        <w:t xml:space="preserve"> Nanga Mai </w:t>
      </w:r>
      <w:proofErr w:type="spellStart"/>
      <w:r>
        <w:t>pARenT</w:t>
      </w:r>
      <w:proofErr w:type="spellEnd"/>
      <w:r>
        <w:t xml:space="preserve"> Group program in NSW, which operates in partnership with the NSW Department of Child Health to provide parenting support services to young Aboriginal parents and their children (box 6.3.3)</w:t>
      </w:r>
    </w:p>
    <w:p w:rsidR="00B978D3" w:rsidRDefault="000A2632" w:rsidP="00B500CD">
      <w:pPr>
        <w:pStyle w:val="ListBullet"/>
      </w:pPr>
      <w:r w:rsidRPr="00F66132">
        <w:t xml:space="preserve">the national Supply Nation program, which assists Indigenous businesses to enter into commercial relationships with large corporations and </w:t>
      </w:r>
      <w:r w:rsidR="00416694">
        <w:t xml:space="preserve">government </w:t>
      </w:r>
      <w:r w:rsidRPr="00F66132">
        <w:t>agencies</w:t>
      </w:r>
      <w:r w:rsidR="00166C0F" w:rsidRPr="00F66132">
        <w:t xml:space="preserve"> (box 9.2.4)</w:t>
      </w:r>
      <w:r w:rsidR="00F56EE7">
        <w:t>.</w:t>
      </w:r>
    </w:p>
    <w:p w:rsidR="00693C7C" w:rsidRDefault="00693C7C" w:rsidP="009772D4">
      <w:pPr>
        <w:pStyle w:val="BodyText"/>
      </w:pPr>
      <w:r>
        <w:t>Cooperative approaches are closely related to the second success factor — community involvement in program design and decision</w:t>
      </w:r>
      <w:r w:rsidR="00A56E82">
        <w:t xml:space="preserve"> </w:t>
      </w:r>
      <w:r>
        <w:t>making.</w:t>
      </w:r>
    </w:p>
    <w:p w:rsidR="00C345D6" w:rsidRDefault="00C345D6" w:rsidP="009772D4">
      <w:pPr>
        <w:pStyle w:val="Heading3"/>
      </w:pPr>
      <w:r w:rsidRPr="00C345D6">
        <w:t>Community involvement</w:t>
      </w:r>
    </w:p>
    <w:p w:rsidR="00C345D6" w:rsidRDefault="00C345D6" w:rsidP="009772D4">
      <w:pPr>
        <w:pStyle w:val="BodyText"/>
      </w:pPr>
      <w:r>
        <w:t>Community involvement in program design and decision</w:t>
      </w:r>
      <w:r w:rsidR="009E1248">
        <w:noBreakHyphen/>
      </w:r>
      <w:r>
        <w:t>making is closely related to self</w:t>
      </w:r>
      <w:r w:rsidR="009E1248">
        <w:noBreakHyphen/>
      </w:r>
      <w:r>
        <w:t>determination, one of the determinants of good Indigenous governance</w:t>
      </w:r>
      <w:r w:rsidR="002E0C78">
        <w:t xml:space="preserve"> (see section 5.4)</w:t>
      </w:r>
      <w:r>
        <w:t>. The Harvard Project on American Indian Economic Development found that self</w:t>
      </w:r>
      <w:r w:rsidR="009E1248">
        <w:noBreakHyphen/>
      </w:r>
      <w:r>
        <w:t>determination led to improved outcomes for North American Indigenous people:</w:t>
      </w:r>
    </w:p>
    <w:p w:rsidR="00C345D6" w:rsidRDefault="00AA3E4A" w:rsidP="009772D4">
      <w:pPr>
        <w:pStyle w:val="Quote"/>
      </w:pPr>
      <w:r>
        <w:t>W</w:t>
      </w:r>
      <w:r w:rsidR="00C345D6">
        <w:t xml:space="preserve">hen [Indigenous people] make their own decisions about what </w:t>
      </w:r>
      <w:r w:rsidR="003C649D">
        <w:t xml:space="preserve">development </w:t>
      </w:r>
      <w:r w:rsidR="00C345D6">
        <w:t>approaches to take, they consistently out</w:t>
      </w:r>
      <w:r w:rsidR="009E1248">
        <w:noBreakHyphen/>
      </w:r>
      <w:r w:rsidR="00C345D6">
        <w:t>perform [non</w:t>
      </w:r>
      <w:r w:rsidR="009E1248">
        <w:noBreakHyphen/>
      </w:r>
      <w:r w:rsidR="00C345D6">
        <w:t xml:space="preserve">Indigenous] decision makers. </w:t>
      </w:r>
      <w:r w:rsidR="003C649D" w:rsidRPr="003C649D">
        <w:rPr>
          <w:szCs w:val="24"/>
        </w:rPr>
        <w:t>(Harvard Project </w:t>
      </w:r>
      <w:proofErr w:type="spellStart"/>
      <w:r w:rsidR="003C649D" w:rsidRPr="003C649D">
        <w:rPr>
          <w:szCs w:val="24"/>
        </w:rPr>
        <w:t>nd</w:t>
      </w:r>
      <w:proofErr w:type="spellEnd"/>
      <w:r w:rsidR="003C649D" w:rsidRPr="003C649D">
        <w:rPr>
          <w:szCs w:val="24"/>
        </w:rPr>
        <w:t>)</w:t>
      </w:r>
    </w:p>
    <w:p w:rsidR="00C345D6" w:rsidRDefault="00C345D6" w:rsidP="009772D4">
      <w:pPr>
        <w:pStyle w:val="BodyText"/>
      </w:pPr>
      <w:r>
        <w:t xml:space="preserve">The former Aboriginal and Torres Strait Islander Social Justice Commissioner, Tom </w:t>
      </w:r>
      <w:proofErr w:type="spellStart"/>
      <w:r>
        <w:t>Calma</w:t>
      </w:r>
      <w:proofErr w:type="spellEnd"/>
      <w:r>
        <w:t xml:space="preserve">, considered that much of the failure of service delivery </w:t>
      </w:r>
      <w:r w:rsidRPr="009772D4">
        <w:t xml:space="preserve">to </w:t>
      </w:r>
      <w:r w:rsidR="007E5A9A" w:rsidRPr="009772D4">
        <w:t>Aboriginal and Torres Strait Islander Australians</w:t>
      </w:r>
      <w:r w:rsidR="007E5A9A">
        <w:t xml:space="preserve"> </w:t>
      </w:r>
      <w:r>
        <w:t>was a direct result of the failure to engage and to support and build the capacity of communities:</w:t>
      </w:r>
    </w:p>
    <w:p w:rsidR="00C345D6" w:rsidRDefault="00C345D6" w:rsidP="009772D4">
      <w:pPr>
        <w:pStyle w:val="Quote"/>
      </w:pPr>
      <w:r>
        <w:t>Put simply, governments risk failure if they develop and implement policies about Indigenous issues without engaging with the intended recipients of those services. Bureaucrats and governments can have the best intentions in the world, but if their ideas have not been subject to the ‘reality test’ of the life experience of the local Indigenous peoples who are intended to benefit from this, then government</w:t>
      </w:r>
      <w:r w:rsidR="00463045">
        <w:t xml:space="preserve"> efforts will fail. </w:t>
      </w:r>
      <w:r w:rsidR="00463045" w:rsidRPr="00463045">
        <w:rPr>
          <w:szCs w:val="24"/>
        </w:rPr>
        <w:t>(</w:t>
      </w:r>
      <w:proofErr w:type="spellStart"/>
      <w:r w:rsidR="00463045" w:rsidRPr="00463045">
        <w:rPr>
          <w:szCs w:val="24"/>
        </w:rPr>
        <w:t>Calma</w:t>
      </w:r>
      <w:proofErr w:type="spellEnd"/>
      <w:r w:rsidR="00463045" w:rsidRPr="00463045">
        <w:rPr>
          <w:szCs w:val="24"/>
        </w:rPr>
        <w:t> 2006)</w:t>
      </w:r>
    </w:p>
    <w:p w:rsidR="00C345D6" w:rsidRDefault="00C345D6" w:rsidP="009772D4">
      <w:pPr>
        <w:pStyle w:val="BodyText"/>
      </w:pPr>
      <w:r>
        <w:t>Community involvement is a key factor in the success of most case studies in this report. Some specific examples of successful community involvement include:</w:t>
      </w:r>
    </w:p>
    <w:p w:rsidR="00646C54" w:rsidRDefault="00646C54" w:rsidP="00646C54">
      <w:pPr>
        <w:pStyle w:val="ListBullet"/>
      </w:pPr>
      <w:r>
        <w:t>the Families as First Teachers program in the NT, which involves parents and families in young children’s early learning and development (box 4.3.3)</w:t>
      </w:r>
    </w:p>
    <w:p w:rsidR="00F66132" w:rsidRDefault="00166C0F" w:rsidP="00B500CD">
      <w:pPr>
        <w:pStyle w:val="ListBullet"/>
      </w:pPr>
      <w:r w:rsidRPr="00F66132">
        <w:t xml:space="preserve">the </w:t>
      </w:r>
      <w:proofErr w:type="spellStart"/>
      <w:r w:rsidRPr="00F66132">
        <w:t>Yiriman</w:t>
      </w:r>
      <w:proofErr w:type="spellEnd"/>
      <w:r w:rsidRPr="00F66132">
        <w:t xml:space="preserve"> project in WA, under which </w:t>
      </w:r>
      <w:r w:rsidR="00416694">
        <w:t>e</w:t>
      </w:r>
      <w:r w:rsidRPr="00F66132">
        <w:t>lders take young people on trips back to country ‘to immerse them in the stories, songs and knowledge that are their cultural heritage’ (box 8.8.3)</w:t>
      </w:r>
    </w:p>
    <w:p w:rsidR="00646C54" w:rsidRPr="00F66132" w:rsidRDefault="00646C54" w:rsidP="00B500CD">
      <w:pPr>
        <w:pStyle w:val="ListBullet"/>
      </w:pPr>
      <w:r>
        <w:t>the Mossman Gorge Centre in Queensland, where the local people were involved in the development of, and providing the ongoing staffing for, the Centre (box 9.1.3).</w:t>
      </w:r>
    </w:p>
    <w:p w:rsidR="00A77E2D" w:rsidRDefault="00A77E2D" w:rsidP="009772D4">
      <w:pPr>
        <w:pStyle w:val="Heading3"/>
      </w:pPr>
      <w:r w:rsidRPr="00A77E2D">
        <w:lastRenderedPageBreak/>
        <w:t>Good governance</w:t>
      </w:r>
    </w:p>
    <w:p w:rsidR="00A77E2D" w:rsidRDefault="00A77E2D" w:rsidP="009772D4">
      <w:pPr>
        <w:pStyle w:val="BodyText"/>
      </w:pPr>
      <w:r>
        <w:t>Good governance — at organisation, community and government levels — is closely related to several of the key determinants of good Indigenous governance</w:t>
      </w:r>
      <w:r w:rsidR="007107E8">
        <w:t xml:space="preserve"> (see section 5.4)</w:t>
      </w:r>
      <w:r>
        <w:t>:</w:t>
      </w:r>
    </w:p>
    <w:p w:rsidR="00A77E2D" w:rsidRDefault="00A77E2D" w:rsidP="009772D4">
      <w:pPr>
        <w:pStyle w:val="ListBullet"/>
      </w:pPr>
      <w:r>
        <w:t>governing institutions</w:t>
      </w:r>
    </w:p>
    <w:p w:rsidR="00A77E2D" w:rsidRDefault="00A77E2D" w:rsidP="009772D4">
      <w:pPr>
        <w:pStyle w:val="ListBullet"/>
      </w:pPr>
      <w:r>
        <w:t xml:space="preserve">leadership </w:t>
      </w:r>
    </w:p>
    <w:p w:rsidR="00A77E2D" w:rsidRDefault="00A77E2D" w:rsidP="009772D4">
      <w:pPr>
        <w:pStyle w:val="ListBullet"/>
      </w:pPr>
      <w:r>
        <w:t>capacity building</w:t>
      </w:r>
    </w:p>
    <w:p w:rsidR="00A77E2D" w:rsidRDefault="00A77E2D" w:rsidP="009772D4">
      <w:pPr>
        <w:pStyle w:val="ListBullet"/>
      </w:pPr>
      <w:r>
        <w:t>cultural match.</w:t>
      </w:r>
    </w:p>
    <w:p w:rsidR="00A77E2D" w:rsidRDefault="00A77E2D" w:rsidP="009772D4">
      <w:pPr>
        <w:pStyle w:val="BodyText"/>
      </w:pPr>
      <w:r>
        <w:t>Unless organisations, communities and governments demonstrate principles of good governance, programs are likely to fail.</w:t>
      </w:r>
    </w:p>
    <w:p w:rsidR="00F56EE7" w:rsidRDefault="00A77E2D" w:rsidP="009772D4">
      <w:pPr>
        <w:pStyle w:val="BodyText"/>
      </w:pPr>
      <w:r>
        <w:t xml:space="preserve">Good governance is </w:t>
      </w:r>
      <w:r w:rsidRPr="00F7540C">
        <w:t>essential to all successful case studies in the report. Particular examples include</w:t>
      </w:r>
      <w:r w:rsidR="00F56EE7">
        <w:t xml:space="preserve">: </w:t>
      </w:r>
    </w:p>
    <w:p w:rsidR="00F56EE7" w:rsidRDefault="00F56EE7" w:rsidP="00B500CD">
      <w:pPr>
        <w:pStyle w:val="ListBullet"/>
      </w:pPr>
      <w:r>
        <w:t>the Kimberley Aboriginal Law and Cultural Centre Cultural Governance Program in WA, which works in cooperation with local Aboriginal law and culture to successfully repatriate sacred objects and remains (box 5.4.6)</w:t>
      </w:r>
    </w:p>
    <w:p w:rsidR="00A77E2D" w:rsidRPr="00F7540C" w:rsidRDefault="00F56EE7" w:rsidP="00B500CD">
      <w:pPr>
        <w:pStyle w:val="ListBullet"/>
      </w:pPr>
      <w:r>
        <w:t xml:space="preserve">the finalists and winners of the Reconciliation Australia/BHP Billiton Indigenous Governance Awards, including the </w:t>
      </w:r>
      <w:proofErr w:type="spellStart"/>
      <w:r>
        <w:t>Waltja</w:t>
      </w:r>
      <w:proofErr w:type="spellEnd"/>
      <w:r>
        <w:t xml:space="preserve"> </w:t>
      </w:r>
      <w:proofErr w:type="spellStart"/>
      <w:r>
        <w:t>Tjutangku</w:t>
      </w:r>
      <w:proofErr w:type="spellEnd"/>
      <w:r>
        <w:t xml:space="preserve"> </w:t>
      </w:r>
      <w:proofErr w:type="spellStart"/>
      <w:r>
        <w:t>Palyapayi</w:t>
      </w:r>
      <w:proofErr w:type="spellEnd"/>
      <w:r>
        <w:t xml:space="preserve"> Aboriginal Corporation in central Australia (box 5.4.2) and the </w:t>
      </w:r>
      <w:proofErr w:type="spellStart"/>
      <w:r>
        <w:t>Marruk</w:t>
      </w:r>
      <w:proofErr w:type="spellEnd"/>
      <w:r>
        <w:t xml:space="preserve"> Project in Victoria (box 5.4.3).</w:t>
      </w:r>
    </w:p>
    <w:p w:rsidR="00A77E2D" w:rsidRDefault="00A77E2D" w:rsidP="003E008C">
      <w:pPr>
        <w:pStyle w:val="Heading3"/>
      </w:pPr>
      <w:r w:rsidRPr="00A77E2D">
        <w:t>Ongoing government support</w:t>
      </w:r>
    </w:p>
    <w:p w:rsidR="00166BC5" w:rsidRDefault="00166BC5" w:rsidP="009772D4">
      <w:pPr>
        <w:pStyle w:val="BodyText"/>
      </w:pPr>
      <w:r w:rsidRPr="00F56EE7">
        <w:t xml:space="preserve">Virtually all the case studies in this report rely on government support to some extent — </w:t>
      </w:r>
      <w:r>
        <w:t>although many organisations are seeking greater f</w:t>
      </w:r>
      <w:r w:rsidRPr="00166BC5">
        <w:t>inancial diversity</w:t>
      </w:r>
      <w:r>
        <w:t xml:space="preserve">, to provide </w:t>
      </w:r>
      <w:r w:rsidR="0026442C">
        <w:t>the</w:t>
      </w:r>
      <w:r>
        <w:t xml:space="preserve"> </w:t>
      </w:r>
      <w:r w:rsidRPr="00166BC5">
        <w:t xml:space="preserve">independence to run programs as Aboriginal and Torres Strait Islander </w:t>
      </w:r>
      <w:r w:rsidR="00767B57">
        <w:t>Australians</w:t>
      </w:r>
      <w:r w:rsidRPr="00166BC5">
        <w:t xml:space="preserve"> want them to be run</w:t>
      </w:r>
      <w:r>
        <w:t>.</w:t>
      </w:r>
    </w:p>
    <w:p w:rsidR="00166BC5" w:rsidRDefault="003E008C" w:rsidP="009772D4">
      <w:pPr>
        <w:pStyle w:val="BodyText"/>
      </w:pPr>
      <w:r w:rsidRPr="003E008C">
        <w:t>Resources is one of the key determinants of good governance (see section 5.4), and ongoing government support is closely related to this</w:t>
      </w:r>
      <w:r w:rsidR="00A77E2D" w:rsidRPr="003E008C">
        <w:t>.</w:t>
      </w:r>
      <w:r w:rsidR="00A77E2D">
        <w:t xml:space="preserve"> Many programs </w:t>
      </w:r>
      <w:r w:rsidR="00166BC5">
        <w:t xml:space="preserve">for Aboriginal and Torres Strait Islander Australians </w:t>
      </w:r>
      <w:r w:rsidR="00A77E2D">
        <w:t>are funded as short</w:t>
      </w:r>
      <w:r w:rsidR="009F7EE3">
        <w:t xml:space="preserve"> </w:t>
      </w:r>
      <w:r w:rsidR="00A77E2D">
        <w:t>term pilot</w:t>
      </w:r>
      <w:r w:rsidR="00166BC5">
        <w:t>s</w:t>
      </w:r>
      <w:r w:rsidR="00A77E2D">
        <w:t xml:space="preserve"> with no </w:t>
      </w:r>
      <w:r w:rsidR="007E5A9A" w:rsidRPr="003E008C">
        <w:t xml:space="preserve">guaranteed </w:t>
      </w:r>
      <w:r w:rsidR="00A77E2D">
        <w:t xml:space="preserve">continuity. </w:t>
      </w:r>
      <w:r w:rsidR="00166BC5">
        <w:t>Several successful programs included as ‘Things That Work’ in previous editions of this report no longer exist, because government support has been withdrawn.</w:t>
      </w:r>
    </w:p>
    <w:p w:rsidR="00A77E2D" w:rsidRDefault="00166BC5" w:rsidP="009772D4">
      <w:pPr>
        <w:pStyle w:val="BodyText"/>
      </w:pPr>
      <w:r>
        <w:t>In addition, m</w:t>
      </w:r>
      <w:r w:rsidR="00A77E2D">
        <w:t xml:space="preserve">any </w:t>
      </w:r>
      <w:r>
        <w:t>Aboriginal and Torres Strait Islander</w:t>
      </w:r>
      <w:r w:rsidR="00A77E2D">
        <w:t xml:space="preserve"> organisations, including successful organisations</w:t>
      </w:r>
      <w:r>
        <w:t xml:space="preserve"> with long track records</w:t>
      </w:r>
      <w:r w:rsidR="00A77E2D">
        <w:t xml:space="preserve">, are funded through multiple, short term government contracts that increase </w:t>
      </w:r>
      <w:r>
        <w:t xml:space="preserve">red tape and </w:t>
      </w:r>
      <w:r w:rsidR="00A77E2D">
        <w:t>uncertainty</w:t>
      </w:r>
      <w:r>
        <w:t>,</w:t>
      </w:r>
      <w:r w:rsidR="00A77E2D">
        <w:t xml:space="preserve"> and place pressure on capacity and sustainability.</w:t>
      </w:r>
    </w:p>
    <w:p w:rsidR="00A77E2D" w:rsidRDefault="00A130CD" w:rsidP="00A77E2D">
      <w:pPr>
        <w:pStyle w:val="Heading2"/>
      </w:pPr>
      <w:r>
        <w:lastRenderedPageBreak/>
        <w:t>3.</w:t>
      </w:r>
      <w:r w:rsidR="000722EF">
        <w:rPr>
          <w:noProof/>
        </w:rPr>
        <w:t>7</w:t>
      </w:r>
      <w:r w:rsidR="00A77E2D">
        <w:tab/>
      </w:r>
      <w:r w:rsidR="00A77E2D" w:rsidRPr="00A77E2D">
        <w:t>International comparisons</w:t>
      </w:r>
    </w:p>
    <w:p w:rsidR="004E1DA1" w:rsidRDefault="00EF0D53" w:rsidP="00EF0D53">
      <w:pPr>
        <w:pStyle w:val="BodyText"/>
      </w:pPr>
      <w:r>
        <w:t xml:space="preserve">Comparisons of outcomes for Aboriginal and Torres Strait Islander Australians with outcomes for indigenous peoples in other countries could help identify areas where Australia could learn from other approaches to overcoming Indigenous disadvantage. </w:t>
      </w:r>
      <w:r w:rsidR="004E1DA1" w:rsidRPr="009772D4">
        <w:t>However, such comparisons are not attempted in this report, due to lack of suitable current data.</w:t>
      </w:r>
      <w:r w:rsidR="004E1DA1">
        <w:t xml:space="preserve"> </w:t>
      </w:r>
    </w:p>
    <w:p w:rsidR="00EF0D53" w:rsidRDefault="00EF0D53" w:rsidP="00EF0D53">
      <w:pPr>
        <w:pStyle w:val="BodyText"/>
      </w:pPr>
      <w:r>
        <w:t>The most meaningful comparisons of outcomes for Aboriginal and Torres Strait Islander Australia</w:t>
      </w:r>
      <w:r w:rsidR="004E1DA1">
        <w:t>ns</w:t>
      </w:r>
      <w:r>
        <w:t xml:space="preserve"> are likely to be </w:t>
      </w:r>
      <w:r w:rsidR="007E5A9A">
        <w:t xml:space="preserve">with </w:t>
      </w:r>
      <w:r w:rsidR="009772D4">
        <w:t>i</w:t>
      </w:r>
      <w:r w:rsidR="007E5A9A" w:rsidRPr="009772D4">
        <w:t>ndigenous peoples from</w:t>
      </w:r>
      <w:r w:rsidR="007E5A9A">
        <w:t xml:space="preserve"> </w:t>
      </w:r>
      <w:r>
        <w:t>countries such as the United States, Canada, and New Zealand — developed countries with a history of relatively recent European colonisation, and a non</w:t>
      </w:r>
      <w:r w:rsidR="009E1248">
        <w:noBreakHyphen/>
      </w:r>
      <w:r w:rsidR="009772D4">
        <w:t>i</w:t>
      </w:r>
      <w:r>
        <w:t xml:space="preserve">ndigenous majority. </w:t>
      </w:r>
    </w:p>
    <w:p w:rsidR="00A77E2D" w:rsidRDefault="00EF0D53" w:rsidP="00EF0D53">
      <w:pPr>
        <w:pStyle w:val="BodyText"/>
      </w:pPr>
      <w:r>
        <w:t>Many Latin American countries also have relatively recent European colonisation and indigenous minorities. However, most Latin American countries are less developed than Australia, have different economic, legal and social systems and typically have less developed statistical collections. In some other countries, particularly in Africa and Asia, groups of people may be identified as indigenous to specific areas where various ethnic groups have lived together for significant periods. In such cases, the distinction between indigenous and non</w:t>
      </w:r>
      <w:r w:rsidR="009E1248">
        <w:noBreakHyphen/>
      </w:r>
      <w:r>
        <w:t>indigeno</w:t>
      </w:r>
      <w:r w:rsidR="004E1DA1">
        <w:t>us people can be less clear cut</w:t>
      </w:r>
      <w:r>
        <w:t>.</w:t>
      </w:r>
    </w:p>
    <w:p w:rsidR="00EF0D53" w:rsidRDefault="00FA7771" w:rsidP="00FA7771">
      <w:pPr>
        <w:pStyle w:val="Heading3"/>
      </w:pPr>
      <w:r w:rsidRPr="00FA7771">
        <w:t>Comparability of international data</w:t>
      </w:r>
    </w:p>
    <w:p w:rsidR="00FA7771" w:rsidRDefault="004E1DA1" w:rsidP="00FA7771">
      <w:pPr>
        <w:pStyle w:val="BodyText"/>
      </w:pPr>
      <w:r>
        <w:t>Very little internationally c</w:t>
      </w:r>
      <w:r w:rsidR="00FA7771">
        <w:t xml:space="preserve">omparable data are available for </w:t>
      </w:r>
      <w:r w:rsidR="009772D4">
        <w:t>outcomes for i</w:t>
      </w:r>
      <w:r>
        <w:t>ndigenous people</w:t>
      </w:r>
      <w:r w:rsidR="00FA7771">
        <w:t>. Although many countries have agreed to adopt international definitions for statistics such as life expectancy, disease codes for mortality and hospitals, international testing of learning outcomes, and labour force participation, data are often only available for each country’s total population — comparable data on indigenous people are not commonly available</w:t>
      </w:r>
      <w:r w:rsidR="00C239DA">
        <w:t xml:space="preserve"> (see </w:t>
      </w:r>
      <w:r w:rsidR="00C239DA">
        <w:rPr>
          <w:szCs w:val="24"/>
        </w:rPr>
        <w:t>Freemantle et al</w:t>
      </w:r>
      <w:r w:rsidR="00C239DA" w:rsidRPr="00C239DA">
        <w:rPr>
          <w:szCs w:val="24"/>
        </w:rPr>
        <w:t> </w:t>
      </w:r>
      <w:r w:rsidR="00C239DA">
        <w:rPr>
          <w:szCs w:val="24"/>
        </w:rPr>
        <w:t>(</w:t>
      </w:r>
      <w:r w:rsidR="00C239DA" w:rsidRPr="00C239DA">
        <w:rPr>
          <w:szCs w:val="24"/>
        </w:rPr>
        <w:t>2007)</w:t>
      </w:r>
      <w:r w:rsidR="00C239DA">
        <w:t xml:space="preserve"> for example on health data)</w:t>
      </w:r>
      <w:r w:rsidR="00FA7771">
        <w:t xml:space="preserve">. </w:t>
      </w:r>
    </w:p>
    <w:p w:rsidR="004E1DA1" w:rsidRDefault="004E1DA1" w:rsidP="009772D4">
      <w:pPr>
        <w:pStyle w:val="BodyText"/>
      </w:pPr>
      <w:r>
        <w:t>Even where data are available, caution must be used in comparing data with other countries, due to:</w:t>
      </w:r>
    </w:p>
    <w:p w:rsidR="004E1DA1" w:rsidRDefault="004E1DA1" w:rsidP="009772D4">
      <w:pPr>
        <w:pStyle w:val="ListBullet"/>
      </w:pPr>
      <w:r>
        <w:t>different definitions used to identify who is an indigenous person</w:t>
      </w:r>
    </w:p>
    <w:p w:rsidR="004E1DA1" w:rsidRDefault="004E1DA1" w:rsidP="009772D4">
      <w:pPr>
        <w:pStyle w:val="ListBullet"/>
      </w:pPr>
      <w:r>
        <w:t>variations in estimation methods, data quality and scope</w:t>
      </w:r>
    </w:p>
    <w:p w:rsidR="004E1DA1" w:rsidRDefault="004E1DA1" w:rsidP="009772D4">
      <w:pPr>
        <w:pStyle w:val="ListBullet"/>
      </w:pPr>
      <w:r>
        <w:t>different economic, social and political environments.</w:t>
      </w:r>
    </w:p>
    <w:p w:rsidR="00FA7771" w:rsidRDefault="00EF279C" w:rsidP="00FA7771">
      <w:pPr>
        <w:pStyle w:val="BodyText"/>
      </w:pPr>
      <w:r>
        <w:t>The United Nations</w:t>
      </w:r>
      <w:r w:rsidR="00FA7771">
        <w:t xml:space="preserve"> prepared a comprehensive assessment of the state of the world’s indi</w:t>
      </w:r>
      <w:r w:rsidR="00A611D2">
        <w:t>genous people</w:t>
      </w:r>
      <w:r>
        <w:t xml:space="preserve"> </w:t>
      </w:r>
      <w:r w:rsidRPr="00EF279C">
        <w:rPr>
          <w:szCs w:val="24"/>
        </w:rPr>
        <w:t>(UNPFII 2009)</w:t>
      </w:r>
      <w:r w:rsidR="00FA7771">
        <w:t>. The report is largely qualitative, and focuses on the human rights of indigenous people</w:t>
      </w:r>
      <w:r w:rsidR="00FE7C12">
        <w:t>s</w:t>
      </w:r>
      <w:r w:rsidR="00FA7771">
        <w:t xml:space="preserve">. The limited quantitative data on outcomes for indigenous people in different countries are </w:t>
      </w:r>
      <w:r w:rsidR="004E1DA1">
        <w:t xml:space="preserve">significantly </w:t>
      </w:r>
      <w:r w:rsidR="00FA7771">
        <w:t>older than those available for Aboriginal and Torres Strait Islander Australians included in this report.</w:t>
      </w:r>
      <w:r w:rsidR="000D7B50">
        <w:t xml:space="preserve"> Recent reporting has tended to focus on specific issues (for example, cancer incidence </w:t>
      </w:r>
      <w:r w:rsidR="000D7B50" w:rsidRPr="000D7B50">
        <w:rPr>
          <w:szCs w:val="24"/>
        </w:rPr>
        <w:t>(Moore et al. 2015)</w:t>
      </w:r>
      <w:r w:rsidR="000D7B50">
        <w:t xml:space="preserve">). </w:t>
      </w:r>
    </w:p>
    <w:p w:rsidR="00A43A31" w:rsidRPr="000D7B50" w:rsidRDefault="00A130CD" w:rsidP="000D7B50">
      <w:pPr>
        <w:pStyle w:val="Heading2"/>
      </w:pPr>
      <w:r>
        <w:lastRenderedPageBreak/>
        <w:t>3.</w:t>
      </w:r>
      <w:r w:rsidR="000722EF">
        <w:rPr>
          <w:noProof/>
        </w:rPr>
        <w:t>8</w:t>
      </w:r>
      <w:r w:rsidR="00FA7771">
        <w:tab/>
        <w:t>Referenc</w:t>
      </w:r>
      <w:r w:rsidR="000D7B50">
        <w:t>es</w:t>
      </w:r>
    </w:p>
    <w:p w:rsidR="00814316" w:rsidRPr="00814316" w:rsidRDefault="00814316" w:rsidP="00763407">
      <w:pPr>
        <w:pStyle w:val="Reference"/>
      </w:pPr>
      <w:r w:rsidRPr="00814316">
        <w:t xml:space="preserve">ABS 2014a, </w:t>
      </w:r>
      <w:r w:rsidRPr="00814316">
        <w:rPr>
          <w:i/>
          <w:iCs/>
        </w:rPr>
        <w:t>Estimates and Projections, Aboriginal and Torres Strait Islander Australians, 2001 to 2026</w:t>
      </w:r>
      <w:r w:rsidRPr="00814316">
        <w:t>, Cat. no. 3238.0, http://</w:t>
      </w:r>
      <w:proofErr w:type="spellStart"/>
      <w:r w:rsidRPr="00814316">
        <w:t>www.abs.gov.au</w:t>
      </w:r>
      <w:proofErr w:type="spellEnd"/>
      <w:r w:rsidRPr="00814316">
        <w:t>/</w:t>
      </w:r>
      <w:proofErr w:type="spellStart"/>
      <w:r w:rsidRPr="00814316">
        <w:t>AUSSTATS</w:t>
      </w:r>
      <w:proofErr w:type="spellEnd"/>
      <w:r w:rsidRPr="00814316">
        <w:t>/abs@.</w:t>
      </w:r>
      <w:proofErr w:type="spellStart"/>
      <w:r w:rsidRPr="00814316">
        <w:t>nsf</w:t>
      </w:r>
      <w:proofErr w:type="spellEnd"/>
      <w:r w:rsidRPr="00814316">
        <w:t>/</w:t>
      </w:r>
      <w:r w:rsidR="00763407">
        <w:t xml:space="preserve"> </w:t>
      </w:r>
      <w:proofErr w:type="spellStart"/>
      <w:r w:rsidRPr="00814316">
        <w:t>DetailsPage</w:t>
      </w:r>
      <w:proofErr w:type="spellEnd"/>
      <w:r w:rsidRPr="00814316">
        <w:t>/</w:t>
      </w:r>
      <w:proofErr w:type="spellStart"/>
      <w:r w:rsidRPr="00814316">
        <w:t>3238.02001%20to%202026?OpenDocumen</w:t>
      </w:r>
      <w:r w:rsidR="00763407">
        <w:t>t</w:t>
      </w:r>
      <w:proofErr w:type="spellEnd"/>
      <w:r w:rsidR="00763407">
        <w:t xml:space="preserve"> (accessed 16 March </w:t>
      </w:r>
      <w:r w:rsidRPr="00814316">
        <w:t>2016).</w:t>
      </w:r>
    </w:p>
    <w:p w:rsidR="00814316" w:rsidRPr="00814316" w:rsidRDefault="00814316" w:rsidP="00763407">
      <w:pPr>
        <w:pStyle w:val="Reference"/>
      </w:pPr>
      <w:r w:rsidRPr="00814316">
        <w:t xml:space="preserve">—— 2014b, </w:t>
      </w:r>
      <w:r w:rsidRPr="00814316">
        <w:rPr>
          <w:i/>
          <w:iCs/>
        </w:rPr>
        <w:t>Indigenous Status Standard, 2014, Version 1.5</w:t>
      </w:r>
      <w:r w:rsidRPr="00814316">
        <w:t>, Cat. no. 1200.0.55.008, http://www.abs.gov.au/AUSSTATS/abs@.nsf/Latestproducts/1200.0.55.008Main%20Features12014,%20Version%201.5?opendocument&amp;tabname=Summary&amp;prodno=1200.0.55.008&amp;issue=2014,%20Version%201.5&amp;num=&amp;view= (accessed 16 March 2016).</w:t>
      </w:r>
    </w:p>
    <w:p w:rsidR="00814316" w:rsidRPr="00814316" w:rsidRDefault="00814316" w:rsidP="00763407">
      <w:pPr>
        <w:pStyle w:val="Reference"/>
      </w:pPr>
      <w:r w:rsidRPr="00814316">
        <w:t xml:space="preserve">—— 2016, </w:t>
      </w:r>
      <w:r w:rsidRPr="00814316">
        <w:rPr>
          <w:i/>
          <w:iCs/>
        </w:rPr>
        <w:t>1015.0 - Information Paper: Transforming Statistics for the Future, Feb 2016</w:t>
      </w:r>
      <w:r w:rsidRPr="00814316">
        <w:t>, Cat. no. 1015.0, ABS, http://www.abs.gov.au/AUSSTATS/abs@.nsf/Lookup/</w:t>
      </w:r>
      <w:r w:rsidR="00763407">
        <w:t xml:space="preserve"> </w:t>
      </w:r>
      <w:r w:rsidRPr="00814316">
        <w:t>1015.0Main+Features1Feb%202016?OpenDocument (accessed 16 March 2016).</w:t>
      </w:r>
    </w:p>
    <w:p w:rsidR="00814316" w:rsidRPr="00814316" w:rsidRDefault="00814316" w:rsidP="00763407">
      <w:pPr>
        <w:pStyle w:val="Reference"/>
      </w:pPr>
      <w:r w:rsidRPr="00814316">
        <w:t xml:space="preserve">—— (Australian Bureau of Statistics) 2011, </w:t>
      </w:r>
      <w:r w:rsidRPr="00814316">
        <w:rPr>
          <w:i/>
          <w:iCs/>
        </w:rPr>
        <w:t>Australian Statistical Geography Standard (ASGS): Volume 2 - Indigenous structure, July 2011</w:t>
      </w:r>
      <w:r w:rsidRPr="00814316">
        <w:t>, Cat. no. 1270.0.55.002, Canberra, ACT.</w:t>
      </w:r>
    </w:p>
    <w:p w:rsidR="00814316" w:rsidRPr="00814316" w:rsidRDefault="00814316" w:rsidP="00763407">
      <w:pPr>
        <w:pStyle w:val="Reference"/>
      </w:pPr>
      <w:r w:rsidRPr="00814316">
        <w:t xml:space="preserve">—— (Australian Bureau of Statistics) 2012a, </w:t>
      </w:r>
      <w:r w:rsidRPr="00814316">
        <w:rPr>
          <w:i/>
          <w:iCs/>
        </w:rPr>
        <w:t>Census of Population and Housing - Counts of Aboriginal and Torres Strait Islander Australians, 2011</w:t>
      </w:r>
      <w:r w:rsidRPr="00814316">
        <w:t>, Cat. no. 2075.0, http://www.abs.gov.au/AUSSTATS/abs@.nsf/productsbyCatalogue/4E7978922DB02C96CA257A230015F235?OpenDocument (accessed 20 May 2014).</w:t>
      </w:r>
    </w:p>
    <w:p w:rsidR="00814316" w:rsidRPr="00814316" w:rsidRDefault="00814316" w:rsidP="00763407">
      <w:pPr>
        <w:pStyle w:val="Reference"/>
      </w:pPr>
      <w:r w:rsidRPr="00814316">
        <w:t xml:space="preserve">—— (Australian Bureau of Statistics) 2012b, </w:t>
      </w:r>
      <w:r w:rsidRPr="00814316">
        <w:rPr>
          <w:i/>
          <w:iCs/>
        </w:rPr>
        <w:t>Census of Population and Housing - Details of Undercount, 2011</w:t>
      </w:r>
      <w:r w:rsidRPr="00814316">
        <w:t>, Cat. no. 2940.0, http://www.abs.gov.au/ausstats/abs@.nsf/</w:t>
      </w:r>
      <w:r w:rsidR="00763407">
        <w:t xml:space="preserve"> </w:t>
      </w:r>
      <w:r w:rsidRPr="00814316">
        <w:t>mf/2940.0 (accessed 20 May 2014).</w:t>
      </w:r>
    </w:p>
    <w:p w:rsidR="00814316" w:rsidRPr="00814316" w:rsidRDefault="00814316" w:rsidP="00763407">
      <w:pPr>
        <w:pStyle w:val="Reference"/>
      </w:pPr>
      <w:r w:rsidRPr="00814316">
        <w:t xml:space="preserve">—— (Australian Bureau of Statistics) 2013a, </w:t>
      </w:r>
      <w:r w:rsidRPr="00814316">
        <w:rPr>
          <w:i/>
          <w:iCs/>
        </w:rPr>
        <w:t>Australian Statistical Geography Standard (ASGS): Volume 5 Remoteness structure, July 2011</w:t>
      </w:r>
      <w:r w:rsidRPr="00814316">
        <w:t>, Cat. no. 1270.0.55.005, Canberra, ACT.</w:t>
      </w:r>
    </w:p>
    <w:p w:rsidR="00814316" w:rsidRPr="00814316" w:rsidRDefault="00814316" w:rsidP="00763407">
      <w:pPr>
        <w:pStyle w:val="Reference"/>
      </w:pPr>
      <w:r w:rsidRPr="00814316">
        <w:t xml:space="preserve">—— (Australian Bureau of Statistics) 2013b, </w:t>
      </w:r>
      <w:r w:rsidRPr="00814316">
        <w:rPr>
          <w:i/>
          <w:iCs/>
        </w:rPr>
        <w:t>Census of Population and Housing: Understanding the Increase in Aboriginal and Torres Strait Islander Counts, 2006–2011</w:t>
      </w:r>
      <w:r w:rsidRPr="00814316">
        <w:t>, Cat. no. 2077.0, http://www.abs.gov.au/AUSSTATS/abs@.nsf/</w:t>
      </w:r>
      <w:r w:rsidR="00763407">
        <w:t xml:space="preserve"> </w:t>
      </w:r>
      <w:r w:rsidRPr="00814316">
        <w:t>productsbyCatalogue/23B3C6294A37F088CA257BE80015056D?OpenDocument (accessed 20 May 2014).</w:t>
      </w:r>
    </w:p>
    <w:p w:rsidR="00814316" w:rsidRPr="00814316" w:rsidRDefault="00814316" w:rsidP="00763407">
      <w:pPr>
        <w:pStyle w:val="Reference"/>
      </w:pPr>
      <w:r w:rsidRPr="00814316">
        <w:t xml:space="preserve">—— (Australian Bureau of Statistics) 2013c, </w:t>
      </w:r>
      <w:r w:rsidRPr="00814316">
        <w:rPr>
          <w:i/>
          <w:iCs/>
        </w:rPr>
        <w:t>Estimates of Aboriginal and Torres Strait Islander Australians, June 2011</w:t>
      </w:r>
      <w:r w:rsidRPr="00814316">
        <w:t>, 30 August, Cat. no. 3238.0.55.001, Canberra, http://www.abs.gov.au/ausstats/abs@.nsf/mf/3238.0.55.001 (accessed 16 March 2016).</w:t>
      </w:r>
    </w:p>
    <w:p w:rsidR="00814316" w:rsidRPr="00814316" w:rsidRDefault="00814316" w:rsidP="00763407">
      <w:pPr>
        <w:pStyle w:val="Reference"/>
      </w:pPr>
      <w:r w:rsidRPr="00814316">
        <w:t xml:space="preserve">—— (Australian Bureau of Statistics) 2013d, </w:t>
      </w:r>
      <w:r w:rsidRPr="00814316">
        <w:rPr>
          <w:i/>
          <w:iCs/>
        </w:rPr>
        <w:t>Population Projections, Australia, 2012 (base) to 2101</w:t>
      </w:r>
      <w:r w:rsidRPr="00814316">
        <w:t>, Cat. no. 3222.0, http://www.abs.gov.au/AUSSTATS/abs@.nsf/</w:t>
      </w:r>
      <w:r w:rsidR="00763407">
        <w:t xml:space="preserve"> </w:t>
      </w:r>
      <w:r w:rsidRPr="00814316">
        <w:t>productsbyCatalogue/5A9C0859C5F50C30CA25718C0015182F?OpenDocument (accessed 20 May 2014).</w:t>
      </w:r>
    </w:p>
    <w:p w:rsidR="00814316" w:rsidRPr="00814316" w:rsidRDefault="00814316" w:rsidP="00763407">
      <w:pPr>
        <w:pStyle w:val="Reference"/>
      </w:pPr>
      <w:r w:rsidRPr="00814316">
        <w:t xml:space="preserve">Biddle, N. 2009, </w:t>
      </w:r>
      <w:r w:rsidRPr="00814316">
        <w:rPr>
          <w:i/>
          <w:iCs/>
        </w:rPr>
        <w:t xml:space="preserve">Location and Segregation: the </w:t>
      </w:r>
      <w:r w:rsidR="00FA5EB1">
        <w:rPr>
          <w:i/>
          <w:iCs/>
        </w:rPr>
        <w:t>D</w:t>
      </w:r>
      <w:r w:rsidRPr="00814316">
        <w:rPr>
          <w:i/>
          <w:iCs/>
        </w:rPr>
        <w:t xml:space="preserve">istribution of the Indigenous </w:t>
      </w:r>
      <w:r w:rsidR="00FA5EB1">
        <w:rPr>
          <w:i/>
          <w:iCs/>
        </w:rPr>
        <w:t>P</w:t>
      </w:r>
      <w:r w:rsidRPr="00814316">
        <w:rPr>
          <w:i/>
          <w:iCs/>
        </w:rPr>
        <w:t xml:space="preserve">opulation across Australia’s </w:t>
      </w:r>
      <w:r w:rsidR="00FA5EB1">
        <w:rPr>
          <w:i/>
          <w:iCs/>
        </w:rPr>
        <w:t>U</w:t>
      </w:r>
      <w:r w:rsidRPr="00814316">
        <w:rPr>
          <w:i/>
          <w:iCs/>
        </w:rPr>
        <w:t xml:space="preserve">rban </w:t>
      </w:r>
      <w:r w:rsidR="00FA5EB1">
        <w:rPr>
          <w:i/>
          <w:iCs/>
        </w:rPr>
        <w:t>C</w:t>
      </w:r>
      <w:r w:rsidRPr="00814316">
        <w:rPr>
          <w:i/>
          <w:iCs/>
        </w:rPr>
        <w:t>entres</w:t>
      </w:r>
      <w:r w:rsidRPr="00814316">
        <w:t>, Working Paper no. 53/2009, Centre for Aboriginal Economic Policy Research, Australian National University, Canberra.</w:t>
      </w:r>
    </w:p>
    <w:p w:rsidR="00814316" w:rsidRPr="00814316" w:rsidRDefault="00814316" w:rsidP="00763407">
      <w:pPr>
        <w:pStyle w:val="Reference"/>
      </w:pPr>
      <w:r w:rsidRPr="00814316">
        <w:lastRenderedPageBreak/>
        <w:t xml:space="preserve">—— 2013, </w:t>
      </w:r>
      <w:r w:rsidRPr="00814316">
        <w:rPr>
          <w:i/>
          <w:iCs/>
        </w:rPr>
        <w:t xml:space="preserve">Socioeconomic </w:t>
      </w:r>
      <w:r w:rsidR="00FA5EB1">
        <w:rPr>
          <w:i/>
          <w:iCs/>
        </w:rPr>
        <w:t>O</w:t>
      </w:r>
      <w:r w:rsidRPr="00814316">
        <w:rPr>
          <w:i/>
          <w:iCs/>
        </w:rPr>
        <w:t>utcomes</w:t>
      </w:r>
      <w:r w:rsidRPr="00814316">
        <w:t>, 2011 Census Papers, Paper 13, CAEPR Indigenous Population Project, http://caepr.anu.edu.au/sites/default/files/cck_indigenous_outcomes</w:t>
      </w:r>
      <w:r w:rsidR="00763407">
        <w:t xml:space="preserve"> </w:t>
      </w:r>
      <w:r w:rsidRPr="00814316">
        <w:t>/2013/10/2011CensusPaper_13_Socioeconomic%20Outcomes.pdf (accessed 20 May 2014).</w:t>
      </w:r>
    </w:p>
    <w:p w:rsidR="00814316" w:rsidRPr="00814316" w:rsidRDefault="00814316" w:rsidP="00763407">
      <w:pPr>
        <w:pStyle w:val="Reference"/>
      </w:pPr>
      <w:r w:rsidRPr="00814316">
        <w:t xml:space="preserve">—— and Crawford, H. 2015, </w:t>
      </w:r>
      <w:r w:rsidRPr="00814316">
        <w:rPr>
          <w:i/>
          <w:iCs/>
        </w:rPr>
        <w:t xml:space="preserve">The </w:t>
      </w:r>
      <w:r w:rsidR="00FA5EB1">
        <w:rPr>
          <w:i/>
          <w:iCs/>
        </w:rPr>
        <w:t>C</w:t>
      </w:r>
      <w:r w:rsidRPr="00814316">
        <w:rPr>
          <w:i/>
          <w:iCs/>
        </w:rPr>
        <w:t xml:space="preserve">hanging Aboriginal and Torres Strait Islander </w:t>
      </w:r>
      <w:r w:rsidR="00FA5EB1">
        <w:rPr>
          <w:i/>
          <w:iCs/>
        </w:rPr>
        <w:t>P</w:t>
      </w:r>
      <w:r w:rsidRPr="00814316">
        <w:rPr>
          <w:i/>
          <w:iCs/>
        </w:rPr>
        <w:t>opulation: Evidence from the 2006-2011 Australian Census Longitudinal Dataset</w:t>
      </w:r>
      <w:r w:rsidRPr="00814316">
        <w:t>, CAEPR Indigenous Population Project, Paper 18, 2011 Census Papers.</w:t>
      </w:r>
    </w:p>
    <w:p w:rsidR="00814316" w:rsidRPr="00814316" w:rsidRDefault="00814316" w:rsidP="00763407">
      <w:pPr>
        <w:pStyle w:val="Reference"/>
      </w:pPr>
      <w:r w:rsidRPr="00814316">
        <w:t xml:space="preserve">—— and Markham, F. 2013, </w:t>
      </w:r>
      <w:r w:rsidRPr="00814316">
        <w:rPr>
          <w:i/>
          <w:iCs/>
        </w:rPr>
        <w:t>Mobility</w:t>
      </w:r>
      <w:r w:rsidRPr="00814316">
        <w:t>, 2011 Census Papers, Paper 9, CAEPR Indigenous Population Project, http://caepr.anu.edu.au/sites/default/files/cck_indigenous_outcomes</w:t>
      </w:r>
      <w:r w:rsidR="00763407">
        <w:t xml:space="preserve"> </w:t>
      </w:r>
      <w:r w:rsidRPr="00814316">
        <w:t>/2013/05/2011CensusPaper09_Mobility.pdf (accessed 30 May 2014).</w:t>
      </w:r>
    </w:p>
    <w:p w:rsidR="00814316" w:rsidRPr="00814316" w:rsidRDefault="00814316" w:rsidP="00763407">
      <w:pPr>
        <w:pStyle w:val="Reference"/>
      </w:pPr>
      <w:r w:rsidRPr="00814316">
        <w:t xml:space="preserve">—— and </w:t>
      </w:r>
      <w:proofErr w:type="spellStart"/>
      <w:r w:rsidRPr="00814316">
        <w:t>Prout</w:t>
      </w:r>
      <w:proofErr w:type="spellEnd"/>
      <w:r w:rsidRPr="00814316">
        <w:t xml:space="preserve">, S. 2009, </w:t>
      </w:r>
      <w:r w:rsidRPr="00814316">
        <w:rPr>
          <w:i/>
          <w:iCs/>
        </w:rPr>
        <w:t xml:space="preserve">Indigenous </w:t>
      </w:r>
      <w:r w:rsidR="00FA5EB1">
        <w:rPr>
          <w:i/>
          <w:iCs/>
        </w:rPr>
        <w:t>T</w:t>
      </w:r>
      <w:r w:rsidRPr="00814316">
        <w:rPr>
          <w:i/>
          <w:iCs/>
        </w:rPr>
        <w:t xml:space="preserve">emporary </w:t>
      </w:r>
      <w:r w:rsidR="00FA5EB1">
        <w:rPr>
          <w:i/>
          <w:iCs/>
        </w:rPr>
        <w:t>M</w:t>
      </w:r>
      <w:r w:rsidRPr="00814316">
        <w:rPr>
          <w:i/>
          <w:iCs/>
        </w:rPr>
        <w:t xml:space="preserve">obility: An </w:t>
      </w:r>
      <w:r w:rsidR="00FA5EB1">
        <w:rPr>
          <w:i/>
          <w:iCs/>
        </w:rPr>
        <w:t>A</w:t>
      </w:r>
      <w:r w:rsidRPr="00814316">
        <w:rPr>
          <w:i/>
          <w:iCs/>
        </w:rPr>
        <w:t>nalysis of the 2006 Census Snapshot</w:t>
      </w:r>
      <w:r w:rsidRPr="00814316">
        <w:t>, Working Paper no. 55/2009, Centre for Aboriginal Economic Policy Research, Australian National University, Canberra.</w:t>
      </w:r>
    </w:p>
    <w:p w:rsidR="00814316" w:rsidRPr="00814316" w:rsidRDefault="00814316" w:rsidP="00763407">
      <w:pPr>
        <w:pStyle w:val="Reference"/>
      </w:pPr>
      <w:r w:rsidRPr="00814316">
        <w:t xml:space="preserve">—— and Yap, M. 2010, </w:t>
      </w:r>
      <w:r w:rsidRPr="00814316">
        <w:rPr>
          <w:i/>
          <w:iCs/>
        </w:rPr>
        <w:t xml:space="preserve">Demographic and Socioeconomic Outcomes Across the Indigenous Australian </w:t>
      </w:r>
      <w:proofErr w:type="spellStart"/>
      <w:r w:rsidRPr="00814316">
        <w:rPr>
          <w:i/>
          <w:iCs/>
        </w:rPr>
        <w:t>Lifecourse</w:t>
      </w:r>
      <w:proofErr w:type="spellEnd"/>
      <w:r w:rsidRPr="00814316">
        <w:rPr>
          <w:i/>
          <w:iCs/>
        </w:rPr>
        <w:t xml:space="preserve"> Evidence from the 2006 Census</w:t>
      </w:r>
      <w:r w:rsidRPr="00814316">
        <w:t>, ANU E Press, [</w:t>
      </w:r>
      <w:proofErr w:type="spellStart"/>
      <w:r w:rsidRPr="00814316">
        <w:t>S.l</w:t>
      </w:r>
      <w:proofErr w:type="spellEnd"/>
      <w:r w:rsidRPr="00814316">
        <w:t>.].</w:t>
      </w:r>
    </w:p>
    <w:p w:rsidR="00814316" w:rsidRPr="00814316" w:rsidRDefault="00814316" w:rsidP="00763407">
      <w:pPr>
        <w:pStyle w:val="Reference"/>
      </w:pPr>
      <w:proofErr w:type="spellStart"/>
      <w:r w:rsidRPr="00814316">
        <w:t>Calma</w:t>
      </w:r>
      <w:proofErr w:type="spellEnd"/>
      <w:r w:rsidRPr="00814316">
        <w:t>, T. 2006, ‘Evaluating the external forces which exert an influence on government policy direction’, presented at Collaborative Indigenous Policy Development Conference, 27 and 28 June 2006, Brisbane, https://www.humanrights.gov.au/news/</w:t>
      </w:r>
      <w:r w:rsidR="00763407">
        <w:t xml:space="preserve"> </w:t>
      </w:r>
      <w:r w:rsidRPr="00814316">
        <w:t>speeches/collaborative-indigenous-policy-development-conference-2006 (accessed 1 October 2014).</w:t>
      </w:r>
    </w:p>
    <w:p w:rsidR="00814316" w:rsidRPr="00814316" w:rsidRDefault="00814316" w:rsidP="00763407">
      <w:pPr>
        <w:pStyle w:val="Reference"/>
      </w:pPr>
      <w:r w:rsidRPr="00814316">
        <w:t xml:space="preserve">CTGCH (Closing the Gap Clearinghouse) 2013, </w:t>
      </w:r>
      <w:r w:rsidRPr="00814316">
        <w:rPr>
          <w:i/>
          <w:iCs/>
        </w:rPr>
        <w:t>What works to overcome disadvantage: key learnings and gaps in the evidence 2011-12</w:t>
      </w:r>
      <w:r w:rsidRPr="00814316">
        <w:t>, Australian Institute of Health and Welfare and the Australian Institute of Family Studies, http://www.aihw.gov.au/closingthegap/publications/ (accessed 31 October 2013).</w:t>
      </w:r>
    </w:p>
    <w:p w:rsidR="00814316" w:rsidRPr="00814316" w:rsidRDefault="00814316" w:rsidP="00763407">
      <w:pPr>
        <w:pStyle w:val="Reference"/>
      </w:pPr>
      <w:r w:rsidRPr="00814316">
        <w:t xml:space="preserve">DEST, Department of Defence, KPMG and ACER (Department of Education Science and Training) 2002, </w:t>
      </w:r>
      <w:r w:rsidRPr="00814316">
        <w:rPr>
          <w:i/>
          <w:iCs/>
        </w:rPr>
        <w:t>Changing schools: its impact on learning</w:t>
      </w:r>
      <w:r w:rsidRPr="00814316">
        <w:t>, http://www.dest.gov.au/sectors/school_education/publications_resources/profiles/changing_schools_impact_on_student_ learning.htm (accessed 10 December 2009).</w:t>
      </w:r>
    </w:p>
    <w:p w:rsidR="00814316" w:rsidRPr="00814316" w:rsidRDefault="00814316" w:rsidP="00763407">
      <w:pPr>
        <w:pStyle w:val="Reference"/>
      </w:pPr>
      <w:r w:rsidRPr="00814316">
        <w:t xml:space="preserve">Dockery, A.M. 2014, </w:t>
      </w:r>
      <w:r w:rsidRPr="00814316">
        <w:rPr>
          <w:i/>
          <w:iCs/>
        </w:rPr>
        <w:t xml:space="preserve">Reconceptualising </w:t>
      </w:r>
      <w:r w:rsidR="00FA5EB1">
        <w:rPr>
          <w:i/>
          <w:iCs/>
        </w:rPr>
        <w:t>M</w:t>
      </w:r>
      <w:r w:rsidRPr="00814316">
        <w:rPr>
          <w:i/>
          <w:iCs/>
        </w:rPr>
        <w:t>obility for Aboriginal and Torres Strait Islander Australians</w:t>
      </w:r>
      <w:r w:rsidRPr="00814316">
        <w:t xml:space="preserve">, CRC-REP Working paper </w:t>
      </w:r>
      <w:proofErr w:type="spellStart"/>
      <w:r w:rsidRPr="00814316">
        <w:t>CW015</w:t>
      </w:r>
      <w:proofErr w:type="spellEnd"/>
      <w:r w:rsidRPr="00814316">
        <w:t xml:space="preserve">, </w:t>
      </w:r>
      <w:proofErr w:type="spellStart"/>
      <w:r w:rsidRPr="00814316">
        <w:t>Ninti</w:t>
      </w:r>
      <w:proofErr w:type="spellEnd"/>
      <w:r w:rsidRPr="00814316">
        <w:t xml:space="preserve"> One Limited, Alice Springs.</w:t>
      </w:r>
    </w:p>
    <w:p w:rsidR="00814316" w:rsidRPr="00814316" w:rsidRDefault="00814316" w:rsidP="00763407">
      <w:pPr>
        <w:pStyle w:val="Reference"/>
      </w:pPr>
      <w:r w:rsidRPr="00814316">
        <w:t xml:space="preserve">Freemantle, J., Officer, K., </w:t>
      </w:r>
      <w:proofErr w:type="spellStart"/>
      <w:r w:rsidRPr="00814316">
        <w:t>McAullay</w:t>
      </w:r>
      <w:proofErr w:type="spellEnd"/>
      <w:r w:rsidRPr="00814316">
        <w:t xml:space="preserve">, D. and Anderson, I. 2007, </w:t>
      </w:r>
      <w:r w:rsidRPr="00814316">
        <w:rPr>
          <w:i/>
          <w:iCs/>
        </w:rPr>
        <w:t>Australian Indigenous Health - Within an International Context</w:t>
      </w:r>
      <w:r w:rsidRPr="00814316">
        <w:t>, Cooperative Research Centre for Aboriginal Health, Darwin.</w:t>
      </w:r>
    </w:p>
    <w:p w:rsidR="00814316" w:rsidRPr="00814316" w:rsidRDefault="00814316" w:rsidP="00763407">
      <w:pPr>
        <w:pStyle w:val="Reference"/>
      </w:pPr>
      <w:r w:rsidRPr="00814316">
        <w:t xml:space="preserve">Harvard Project (The Harvard Project on American Indian Economic Development) </w:t>
      </w:r>
      <w:proofErr w:type="spellStart"/>
      <w:r w:rsidRPr="00814316">
        <w:t>nd</w:t>
      </w:r>
      <w:proofErr w:type="spellEnd"/>
      <w:r w:rsidRPr="00814316">
        <w:t xml:space="preserve">, </w:t>
      </w:r>
      <w:r w:rsidRPr="00814316">
        <w:rPr>
          <w:i/>
          <w:iCs/>
        </w:rPr>
        <w:t>The Harvard Project on American Indian Economic Development</w:t>
      </w:r>
      <w:r w:rsidRPr="00814316">
        <w:t>, http://hpaied.org/ (accessed 23 September 2014).</w:t>
      </w:r>
    </w:p>
    <w:p w:rsidR="00814316" w:rsidRPr="00814316" w:rsidRDefault="00814316" w:rsidP="00763407">
      <w:pPr>
        <w:pStyle w:val="Reference"/>
      </w:pPr>
      <w:r w:rsidRPr="00814316">
        <w:t xml:space="preserve">Hunt, J. 2010, </w:t>
      </w:r>
      <w:r w:rsidRPr="00814316">
        <w:rPr>
          <w:i/>
          <w:iCs/>
        </w:rPr>
        <w:t>Partnerships for Indigenous Development: International Development NGOs, Aboriginal Organisations and Communities</w:t>
      </w:r>
      <w:r w:rsidRPr="00814316">
        <w:t>, Working paper no, 71/2010, Centre for Aboriginal Economic Policy Research, Canberra, ACT.</w:t>
      </w:r>
    </w:p>
    <w:p w:rsidR="00814316" w:rsidRPr="00814316" w:rsidRDefault="00814316" w:rsidP="00763407">
      <w:pPr>
        <w:pStyle w:val="Reference"/>
      </w:pPr>
      <w:r w:rsidRPr="00814316">
        <w:lastRenderedPageBreak/>
        <w:t xml:space="preserve">Markham, F., Bath, J., Taylor, J. and Doran, B. 2013, </w:t>
      </w:r>
      <w:r w:rsidRPr="00814316">
        <w:rPr>
          <w:i/>
          <w:iCs/>
        </w:rPr>
        <w:t xml:space="preserve">New </w:t>
      </w:r>
      <w:r w:rsidR="00FA5EB1">
        <w:rPr>
          <w:i/>
          <w:iCs/>
        </w:rPr>
        <w:t>D</w:t>
      </w:r>
      <w:r w:rsidRPr="00814316">
        <w:rPr>
          <w:i/>
          <w:iCs/>
        </w:rPr>
        <w:t xml:space="preserve">irections in Indigenous </w:t>
      </w:r>
      <w:r w:rsidR="00FA5EB1">
        <w:rPr>
          <w:i/>
          <w:iCs/>
        </w:rPr>
        <w:t>S</w:t>
      </w:r>
      <w:r w:rsidRPr="00814316">
        <w:rPr>
          <w:i/>
          <w:iCs/>
        </w:rPr>
        <w:t xml:space="preserve">ervice </w:t>
      </w:r>
      <w:r w:rsidR="00FA5EB1">
        <w:rPr>
          <w:i/>
          <w:iCs/>
        </w:rPr>
        <w:t>P</w:t>
      </w:r>
      <w:r w:rsidRPr="00814316">
        <w:rPr>
          <w:i/>
          <w:iCs/>
        </w:rPr>
        <w:t xml:space="preserve">opulation </w:t>
      </w:r>
      <w:r w:rsidR="00FA5EB1">
        <w:rPr>
          <w:i/>
          <w:iCs/>
        </w:rPr>
        <w:t>E</w:t>
      </w:r>
      <w:r w:rsidRPr="00814316">
        <w:rPr>
          <w:i/>
          <w:iCs/>
        </w:rPr>
        <w:t>stimation</w:t>
      </w:r>
      <w:r w:rsidRPr="00814316">
        <w:t>, Working Paper no. 88/2013, Centre for Aboriginal Economic Policy Research, Australian National University, Canberra.</w:t>
      </w:r>
    </w:p>
    <w:p w:rsidR="00814316" w:rsidRPr="00814316" w:rsidRDefault="00814316" w:rsidP="00763407">
      <w:pPr>
        <w:pStyle w:val="Reference"/>
      </w:pPr>
      <w:r w:rsidRPr="00814316">
        <w:t>Moore, S., Antoni, S., Colquhoun, A., Healy, B., Ellison-</w:t>
      </w:r>
      <w:proofErr w:type="spellStart"/>
      <w:r w:rsidRPr="00814316">
        <w:t>Loschmann</w:t>
      </w:r>
      <w:proofErr w:type="spellEnd"/>
      <w:r w:rsidRPr="00814316">
        <w:t xml:space="preserve">, L., Potter, J., Garvey, G. and Bray, F. 2015, ‘Cancer incidence in indigenous people in Australia, New Zealand, Canada, and the USA: a comparative population-based study’, </w:t>
      </w:r>
      <w:r w:rsidRPr="00814316">
        <w:rPr>
          <w:i/>
          <w:iCs/>
        </w:rPr>
        <w:t>The Lancet Oncology</w:t>
      </w:r>
      <w:r w:rsidRPr="00814316">
        <w:t>, vol. Volume 16, No. 15, p. pp 1483–1492.</w:t>
      </w:r>
    </w:p>
    <w:p w:rsidR="00814316" w:rsidRPr="00814316" w:rsidRDefault="00814316" w:rsidP="00763407">
      <w:pPr>
        <w:pStyle w:val="Reference"/>
      </w:pPr>
      <w:r w:rsidRPr="00814316">
        <w:t xml:space="preserve">PC (Productivity Commission) 2013, </w:t>
      </w:r>
      <w:r w:rsidRPr="00814316">
        <w:rPr>
          <w:i/>
          <w:iCs/>
        </w:rPr>
        <w:t xml:space="preserve">Better Indigenous Policies: The </w:t>
      </w:r>
      <w:r w:rsidR="00FA5EB1">
        <w:rPr>
          <w:i/>
          <w:iCs/>
        </w:rPr>
        <w:t>R</w:t>
      </w:r>
      <w:r w:rsidRPr="00814316">
        <w:rPr>
          <w:i/>
          <w:iCs/>
        </w:rPr>
        <w:t xml:space="preserve">ole of </w:t>
      </w:r>
      <w:r w:rsidR="00FA5EB1">
        <w:rPr>
          <w:i/>
          <w:iCs/>
        </w:rPr>
        <w:t>E</w:t>
      </w:r>
      <w:r w:rsidRPr="00814316">
        <w:rPr>
          <w:i/>
          <w:iCs/>
        </w:rPr>
        <w:t>valuation</w:t>
      </w:r>
      <w:r w:rsidR="00FA5EB1">
        <w:rPr>
          <w:i/>
          <w:iCs/>
        </w:rPr>
        <w:t xml:space="preserve"> —</w:t>
      </w:r>
      <w:r w:rsidRPr="00814316">
        <w:t xml:space="preserve"> </w:t>
      </w:r>
      <w:r w:rsidRPr="00FA5EB1">
        <w:rPr>
          <w:i/>
        </w:rPr>
        <w:t xml:space="preserve">Roundtable </w:t>
      </w:r>
      <w:r w:rsidR="00FA5EB1">
        <w:rPr>
          <w:i/>
        </w:rPr>
        <w:t>P</w:t>
      </w:r>
      <w:r w:rsidRPr="00FA5EB1">
        <w:rPr>
          <w:i/>
        </w:rPr>
        <w:t>roceedings</w:t>
      </w:r>
      <w:r w:rsidRPr="00814316">
        <w:t>, Productivity Commission, Canberra.</w:t>
      </w:r>
    </w:p>
    <w:p w:rsidR="00814316" w:rsidRPr="00814316" w:rsidRDefault="00814316" w:rsidP="00763407">
      <w:pPr>
        <w:pStyle w:val="Reference"/>
      </w:pPr>
      <w:r w:rsidRPr="00814316">
        <w:t xml:space="preserve">—— (Productivity Commission) 2015, </w:t>
      </w:r>
      <w:r w:rsidRPr="00814316">
        <w:rPr>
          <w:i/>
          <w:iCs/>
        </w:rPr>
        <w:t>National Indigenous Reform Agreement, Performance Assessment 2013-14</w:t>
      </w:r>
      <w:r w:rsidRPr="00814316">
        <w:t>, Canberra.</w:t>
      </w:r>
    </w:p>
    <w:p w:rsidR="00814316" w:rsidRPr="00814316" w:rsidRDefault="00814316" w:rsidP="00763407">
      <w:pPr>
        <w:pStyle w:val="Reference"/>
      </w:pPr>
      <w:proofErr w:type="spellStart"/>
      <w:r w:rsidRPr="00814316">
        <w:t>Prout</w:t>
      </w:r>
      <w:proofErr w:type="spellEnd"/>
      <w:r w:rsidRPr="00814316">
        <w:t xml:space="preserve">, S. 2008, </w:t>
      </w:r>
      <w:r w:rsidRPr="00814316">
        <w:rPr>
          <w:i/>
          <w:iCs/>
        </w:rPr>
        <w:t xml:space="preserve">On the </w:t>
      </w:r>
      <w:r w:rsidR="00FA5EB1">
        <w:rPr>
          <w:i/>
          <w:iCs/>
        </w:rPr>
        <w:t>M</w:t>
      </w:r>
      <w:r w:rsidRPr="00814316">
        <w:rPr>
          <w:i/>
          <w:iCs/>
        </w:rPr>
        <w:t xml:space="preserve">ove? Indigenous </w:t>
      </w:r>
      <w:r w:rsidR="00FA5EB1">
        <w:rPr>
          <w:i/>
          <w:iCs/>
        </w:rPr>
        <w:t>T</w:t>
      </w:r>
      <w:r w:rsidRPr="00814316">
        <w:rPr>
          <w:i/>
          <w:iCs/>
        </w:rPr>
        <w:t xml:space="preserve">emporary </w:t>
      </w:r>
      <w:r w:rsidR="00FA5EB1">
        <w:rPr>
          <w:i/>
          <w:iCs/>
        </w:rPr>
        <w:t>M</w:t>
      </w:r>
      <w:r w:rsidRPr="00814316">
        <w:rPr>
          <w:i/>
          <w:iCs/>
        </w:rPr>
        <w:t xml:space="preserve">obility </w:t>
      </w:r>
      <w:r w:rsidR="00FA5EB1">
        <w:rPr>
          <w:i/>
          <w:iCs/>
        </w:rPr>
        <w:t>P</w:t>
      </w:r>
      <w:r w:rsidRPr="00814316">
        <w:rPr>
          <w:i/>
          <w:iCs/>
        </w:rPr>
        <w:t>ractices in Australia</w:t>
      </w:r>
      <w:r w:rsidRPr="00814316">
        <w:t>, Working Paper no. 48/2008, Centre for Aboriginal Economic Policy Research, Australian National University, Canberra.</w:t>
      </w:r>
    </w:p>
    <w:p w:rsidR="00814316" w:rsidRPr="00814316" w:rsidRDefault="00814316" w:rsidP="00763407">
      <w:pPr>
        <w:pStyle w:val="Reference"/>
      </w:pPr>
      <w:r w:rsidRPr="00814316">
        <w:t xml:space="preserve">Taylor, J. 2006, </w:t>
      </w:r>
      <w:r w:rsidRPr="00814316">
        <w:rPr>
          <w:i/>
          <w:iCs/>
        </w:rPr>
        <w:t xml:space="preserve">Population and Diversity: Policy </w:t>
      </w:r>
      <w:r w:rsidR="00AA6140">
        <w:rPr>
          <w:i/>
          <w:iCs/>
        </w:rPr>
        <w:t>I</w:t>
      </w:r>
      <w:r w:rsidRPr="00814316">
        <w:rPr>
          <w:i/>
          <w:iCs/>
        </w:rPr>
        <w:t xml:space="preserve">mplications of </w:t>
      </w:r>
      <w:r w:rsidR="00AA6140">
        <w:rPr>
          <w:i/>
          <w:iCs/>
        </w:rPr>
        <w:t>E</w:t>
      </w:r>
      <w:r w:rsidRPr="00814316">
        <w:rPr>
          <w:i/>
          <w:iCs/>
        </w:rPr>
        <w:t xml:space="preserve">merging Indigenous </w:t>
      </w:r>
      <w:r w:rsidR="00AA6140">
        <w:rPr>
          <w:i/>
          <w:iCs/>
        </w:rPr>
        <w:t>D</w:t>
      </w:r>
      <w:r w:rsidRPr="00814316">
        <w:rPr>
          <w:i/>
          <w:iCs/>
        </w:rPr>
        <w:t xml:space="preserve">emographic </w:t>
      </w:r>
      <w:r w:rsidR="00AA6140">
        <w:rPr>
          <w:i/>
          <w:iCs/>
        </w:rPr>
        <w:t>T</w:t>
      </w:r>
      <w:r w:rsidRPr="00814316">
        <w:rPr>
          <w:i/>
          <w:iCs/>
        </w:rPr>
        <w:t>rends</w:t>
      </w:r>
      <w:r w:rsidRPr="00814316">
        <w:t>, Discussion paper no. 283/2006, Centre for Aboriginal Economic Policy Research, Australian National University, Canberra.</w:t>
      </w:r>
    </w:p>
    <w:p w:rsidR="00814316" w:rsidRPr="00814316" w:rsidRDefault="00814316" w:rsidP="00763407">
      <w:pPr>
        <w:pStyle w:val="Reference"/>
      </w:pPr>
      <w:r w:rsidRPr="00814316">
        <w:t xml:space="preserve">—— and Biddle, N. 2008, </w:t>
      </w:r>
      <w:r w:rsidRPr="00814316">
        <w:rPr>
          <w:i/>
          <w:iCs/>
        </w:rPr>
        <w:t xml:space="preserve">Locations of Indigenous Population Change: What </w:t>
      </w:r>
      <w:r w:rsidR="00AA6140">
        <w:rPr>
          <w:i/>
          <w:iCs/>
        </w:rPr>
        <w:t>C</w:t>
      </w:r>
      <w:r w:rsidRPr="00814316">
        <w:rPr>
          <w:i/>
          <w:iCs/>
        </w:rPr>
        <w:t xml:space="preserve">an </w:t>
      </w:r>
      <w:r w:rsidR="00AA6140">
        <w:rPr>
          <w:i/>
          <w:iCs/>
        </w:rPr>
        <w:t>W</w:t>
      </w:r>
      <w:r w:rsidRPr="00814316">
        <w:rPr>
          <w:i/>
          <w:iCs/>
        </w:rPr>
        <w:t xml:space="preserve">e </w:t>
      </w:r>
      <w:r w:rsidR="00AA6140">
        <w:rPr>
          <w:i/>
          <w:iCs/>
        </w:rPr>
        <w:t>S</w:t>
      </w:r>
      <w:r w:rsidRPr="00814316">
        <w:rPr>
          <w:i/>
          <w:iCs/>
        </w:rPr>
        <w:t>ay?</w:t>
      </w:r>
      <w:r w:rsidRPr="00814316">
        <w:t>, Working Paper no. 43/2008, Centre for Aboriginal Economic Policy Research, Australian National University, Canberra.</w:t>
      </w:r>
    </w:p>
    <w:p w:rsidR="00A43A31" w:rsidRDefault="00814316" w:rsidP="00763407">
      <w:pPr>
        <w:pStyle w:val="Reference"/>
        <w:rPr>
          <w:szCs w:val="22"/>
        </w:rPr>
      </w:pPr>
      <w:r w:rsidRPr="00814316">
        <w:t xml:space="preserve">UNPFII (United Nations Permanent Forum on Indigenous Issues) 2009, </w:t>
      </w:r>
      <w:r w:rsidRPr="00814316">
        <w:rPr>
          <w:i/>
          <w:iCs/>
        </w:rPr>
        <w:t>State of the World’s Indigenous Peoples</w:t>
      </w:r>
      <w:r w:rsidRPr="00814316">
        <w:t>, UN doc., ST/ESA/328, United Nations, New York.</w:t>
      </w:r>
    </w:p>
    <w:sectPr w:rsidR="00A43A31" w:rsidSect="003C1CCD">
      <w:headerReference w:type="even" r:id="rId19"/>
      <w:headerReference w:type="default" r:id="rId20"/>
      <w:footerReference w:type="even" r:id="rId21"/>
      <w:footerReference w:type="default" r:id="rId22"/>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2BC" w:rsidRDefault="00B042BC">
      <w:r>
        <w:separator/>
      </w:r>
    </w:p>
  </w:endnote>
  <w:endnote w:type="continuationSeparator" w:id="0">
    <w:p w:rsidR="00B042BC" w:rsidRDefault="00B0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042BC" w:rsidTr="000E2777">
      <w:trPr>
        <w:trHeight w:hRule="exact" w:val="567"/>
      </w:trPr>
      <w:tc>
        <w:tcPr>
          <w:tcW w:w="510" w:type="dxa"/>
        </w:tcPr>
        <w:p w:rsidR="00B042BC" w:rsidRPr="00A24443" w:rsidRDefault="00B042BC" w:rsidP="0019293B">
          <w:pPr>
            <w:pStyle w:val="Footer"/>
            <w:tabs>
              <w:tab w:val="left" w:pos="0"/>
            </w:tabs>
            <w:ind w:right="0"/>
            <w:rPr>
              <w:rStyle w:val="PageNumber"/>
              <w:caps w:val="0"/>
            </w:rPr>
          </w:pPr>
          <w:r>
            <w:rPr>
              <w:rStyle w:val="PageNumber"/>
              <w:caps w:val="0"/>
            </w:rPr>
            <w:t>3.</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16026">
            <w:rPr>
              <w:rStyle w:val="PageNumber"/>
              <w:caps w:val="0"/>
              <w:noProof/>
            </w:rPr>
            <w:t>24</w:t>
          </w:r>
          <w:r w:rsidRPr="00A24443">
            <w:rPr>
              <w:rStyle w:val="PageNumber"/>
              <w:caps w:val="0"/>
            </w:rPr>
            <w:fldChar w:fldCharType="end"/>
          </w:r>
        </w:p>
      </w:tc>
      <w:tc>
        <w:tcPr>
          <w:tcW w:w="7767" w:type="dxa"/>
        </w:tcPr>
        <w:p w:rsidR="00B042BC" w:rsidRPr="0013739A" w:rsidRDefault="000722EF" w:rsidP="000E2777">
          <w:pPr>
            <w:pStyle w:val="Footer"/>
            <w:rPr>
              <w:rFonts w:cs="Arial"/>
            </w:rPr>
          </w:pPr>
          <w:r>
            <w:rPr>
              <w:rFonts w:cs="Arial"/>
            </w:rPr>
            <w:t>Overcoming Indigenous disadvantage 2016</w:t>
          </w:r>
          <w:bookmarkStart w:id="4" w:name="DraftReportEven"/>
          <w:bookmarkEnd w:id="4"/>
        </w:p>
      </w:tc>
      <w:tc>
        <w:tcPr>
          <w:tcW w:w="510" w:type="dxa"/>
        </w:tcPr>
        <w:p w:rsidR="00B042BC" w:rsidRDefault="00B042BC" w:rsidP="0019293B">
          <w:pPr>
            <w:pStyle w:val="Footer"/>
          </w:pPr>
        </w:p>
      </w:tc>
    </w:tr>
  </w:tbl>
  <w:p w:rsidR="00B042BC" w:rsidRDefault="00B042BC" w:rsidP="0019293B">
    <w:pPr>
      <w:pStyle w:val="FooterEnd"/>
    </w:pPr>
  </w:p>
  <w:p w:rsidR="00B042BC" w:rsidRDefault="00B042BC"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042BC" w:rsidTr="000E2777">
      <w:trPr>
        <w:trHeight w:hRule="exact" w:val="567"/>
      </w:trPr>
      <w:tc>
        <w:tcPr>
          <w:tcW w:w="510" w:type="dxa"/>
        </w:tcPr>
        <w:p w:rsidR="00B042BC" w:rsidRDefault="00B042BC">
          <w:pPr>
            <w:pStyle w:val="Footer"/>
            <w:ind w:right="360" w:firstLine="360"/>
          </w:pPr>
        </w:p>
      </w:tc>
      <w:tc>
        <w:tcPr>
          <w:tcW w:w="7767" w:type="dxa"/>
        </w:tcPr>
        <w:p w:rsidR="00B042BC" w:rsidRPr="00BA5B14" w:rsidRDefault="000722EF" w:rsidP="000E2777">
          <w:pPr>
            <w:pStyle w:val="Footer"/>
            <w:jc w:val="right"/>
            <w:rPr>
              <w:rFonts w:cs="Arial"/>
            </w:rPr>
          </w:pPr>
          <w:r>
            <w:rPr>
              <w:rFonts w:cs="Arial"/>
            </w:rPr>
            <w:t>Key themes and interpretation</w:t>
          </w:r>
        </w:p>
      </w:tc>
      <w:tc>
        <w:tcPr>
          <w:tcW w:w="510" w:type="dxa"/>
        </w:tcPr>
        <w:p w:rsidR="00B042BC" w:rsidRPr="00A24443" w:rsidRDefault="00B042BC">
          <w:pPr>
            <w:pStyle w:val="Footer"/>
            <w:jc w:val="right"/>
            <w:rPr>
              <w:caps w:val="0"/>
            </w:rPr>
          </w:pPr>
          <w:r>
            <w:rPr>
              <w:rStyle w:val="PageNumber"/>
              <w:caps w:val="0"/>
            </w:rPr>
            <w:t>3.</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16026">
            <w:rPr>
              <w:rStyle w:val="PageNumber"/>
              <w:caps w:val="0"/>
              <w:noProof/>
            </w:rPr>
            <w:t>23</w:t>
          </w:r>
          <w:r w:rsidRPr="00A24443">
            <w:rPr>
              <w:rStyle w:val="PageNumber"/>
              <w:caps w:val="0"/>
            </w:rPr>
            <w:fldChar w:fldCharType="end"/>
          </w:r>
        </w:p>
      </w:tc>
    </w:tr>
  </w:tbl>
  <w:p w:rsidR="00B042BC" w:rsidRDefault="00B042BC">
    <w:pPr>
      <w:pStyle w:val="FooterEnd"/>
    </w:pPr>
  </w:p>
  <w:p w:rsidR="00B042BC" w:rsidRDefault="00B042BC">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2BC" w:rsidRDefault="00B042BC">
      <w:r>
        <w:separator/>
      </w:r>
    </w:p>
  </w:footnote>
  <w:footnote w:type="continuationSeparator" w:id="0">
    <w:p w:rsidR="00B042BC" w:rsidRDefault="00B042BC">
      <w:r>
        <w:continuationSeparator/>
      </w:r>
    </w:p>
  </w:footnote>
  <w:footnote w:id="1">
    <w:p w:rsidR="00B042BC" w:rsidRDefault="00B042BC" w:rsidP="0021148C">
      <w:pPr>
        <w:pStyle w:val="FootnoteText"/>
      </w:pPr>
      <w:r>
        <w:rPr>
          <w:rStyle w:val="FootnoteReference"/>
        </w:rPr>
        <w:footnoteRef/>
      </w:r>
      <w:r>
        <w:tab/>
        <w:t>Where preliminary ERP are used, the Steering Committee follows the approach endorsed for the NIRA of using the first release preliminary ERP. These data are only revised once final ERP are available.</w:t>
      </w:r>
    </w:p>
  </w:footnote>
  <w:footnote w:id="2">
    <w:p w:rsidR="00B042BC" w:rsidRDefault="00B042BC">
      <w:pPr>
        <w:pStyle w:val="FootnoteText"/>
      </w:pPr>
      <w:r>
        <w:rPr>
          <w:rStyle w:val="FootnoteReference"/>
        </w:rPr>
        <w:footnoteRef/>
      </w:r>
      <w:r>
        <w:tab/>
        <w:t>The distribution of the unexplained increase by remoteness area is not available.</w:t>
      </w:r>
    </w:p>
  </w:footnote>
  <w:footnote w:id="3">
    <w:p w:rsidR="00212D01" w:rsidRDefault="00212D01">
      <w:pPr>
        <w:pStyle w:val="FootnoteText"/>
      </w:pPr>
      <w:r>
        <w:rPr>
          <w:rStyle w:val="FootnoteReference"/>
        </w:rPr>
        <w:footnoteRef/>
      </w:r>
      <w:r>
        <w:tab/>
        <w:t xml:space="preserve">The ABS is </w:t>
      </w:r>
      <w:r w:rsidR="00227F5E">
        <w:t>currently developing the Australian Population Survey which is intended to consolidate and integrate its previous set of household surveys (which include the three-yearly Indigenous surveys). The timing for this survey is yet to be determined</w:t>
      </w:r>
      <w:r w:rsidR="008D5C25">
        <w:t xml:space="preserve"> </w:t>
      </w:r>
      <w:r w:rsidR="008D5C25">
        <w:fldChar w:fldCharType="begin"/>
      </w:r>
      <w:r w:rsidR="00AC740D">
        <w:instrText xml:space="preserve"> ADDIN ZOTERO_ITEM CSL_CITATION {"citationID":"2agta7t08j","properties":{"formattedCitation":"{\\rtf (ABS\\uc0\\u160{}2016)}","plainCitation":"(ABS 2016)"},"citationItems":[{"id":2273,"uris":["http://zotero.org/groups/155274/items/R7A338IF"],"uri":["http://zotero.org/groups/155274/items/R7A338IF"],"itemData":{"id":2273,"type":"report","title":"1015.0 - Information Paper: Transforming Statistics for the Future, Feb 2016","publisher":"ABS","URL":"http://www.abs.gov.au/AUSSTATS/abs@.nsf/Lookup/1015.0Main+Features1Feb%202016?OpenDocument","number":"Cat. no. 1015.0","author":[{"family":"ABS","given":""}],"issued":{"date-parts":[["2016"]]},"accessed":{"date-parts":[["2016",3,16]]}}}],"schema":"https://github.com/citation-style-language/schema/raw/master/csl-citation.json"} </w:instrText>
      </w:r>
      <w:r w:rsidR="008D5C25">
        <w:fldChar w:fldCharType="separate"/>
      </w:r>
      <w:r w:rsidR="00AC740D" w:rsidRPr="00AC740D">
        <w:rPr>
          <w:szCs w:val="24"/>
        </w:rPr>
        <w:t>(ABS 2016)</w:t>
      </w:r>
      <w:r w:rsidR="008D5C25">
        <w:fldChar w:fldCharType="end"/>
      </w:r>
      <w:r w:rsidR="00227F5E">
        <w:t>.</w:t>
      </w:r>
    </w:p>
  </w:footnote>
  <w:footnote w:id="4">
    <w:p w:rsidR="00B042BC" w:rsidRDefault="00B042BC">
      <w:pPr>
        <w:pStyle w:val="FootnoteText"/>
      </w:pPr>
      <w:r>
        <w:rPr>
          <w:rStyle w:val="FootnoteReference"/>
        </w:rPr>
        <w:footnoteRef/>
      </w:r>
      <w:r>
        <w:tab/>
      </w:r>
      <w:r w:rsidRPr="00A3385B">
        <w:t xml:space="preserve">Although not </w:t>
      </w:r>
      <w:r>
        <w:t xml:space="preserve">sample </w:t>
      </w:r>
      <w:r w:rsidRPr="00A3385B">
        <w:t>survey data, literacy and numeracy</w:t>
      </w:r>
      <w:r>
        <w:t xml:space="preserve"> data</w:t>
      </w:r>
      <w:r w:rsidRPr="00A3385B">
        <w:t xml:space="preserve"> include 95 per cent confidence intervals</w:t>
      </w:r>
      <w:r w:rsidR="00742AD0">
        <w:t xml:space="preserve"> (section 4.5</w:t>
      </w:r>
      <w:r>
        <w:t xml:space="preserve">) and mortality data include variability bands (sections 4.1 and 4.2), which account for variability in results due to non-sampling error. </w:t>
      </w:r>
    </w:p>
  </w:footnote>
  <w:footnote w:id="5">
    <w:p w:rsidR="00B042BC" w:rsidRDefault="00B042BC">
      <w:pPr>
        <w:pStyle w:val="FootnoteText"/>
      </w:pPr>
      <w:r>
        <w:rPr>
          <w:rStyle w:val="FootnoteReference"/>
        </w:rPr>
        <w:footnoteRef/>
      </w:r>
      <w:r>
        <w:t xml:space="preserve"> </w:t>
      </w:r>
      <w:r w:rsidRPr="00467DE0">
        <w:t xml:space="preserve">  Projections for both populations based on ABS series 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B042BC">
      <w:tc>
        <w:tcPr>
          <w:tcW w:w="2155" w:type="dxa"/>
          <w:tcBorders>
            <w:top w:val="single" w:sz="24" w:space="0" w:color="auto"/>
          </w:tcBorders>
        </w:tcPr>
        <w:p w:rsidR="00B042BC" w:rsidRDefault="00B042BC" w:rsidP="0019293B">
          <w:pPr>
            <w:pStyle w:val="HeaderEven"/>
          </w:pPr>
        </w:p>
      </w:tc>
      <w:tc>
        <w:tcPr>
          <w:tcW w:w="6634" w:type="dxa"/>
          <w:tcBorders>
            <w:top w:val="single" w:sz="6" w:space="0" w:color="auto"/>
          </w:tcBorders>
        </w:tcPr>
        <w:p w:rsidR="00B042BC" w:rsidRDefault="00B042BC" w:rsidP="002C6C56">
          <w:pPr>
            <w:pStyle w:val="HeaderEven"/>
          </w:pPr>
        </w:p>
      </w:tc>
    </w:tr>
  </w:tbl>
  <w:p w:rsidR="00B042BC" w:rsidRDefault="00B042BC"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042BC">
      <w:tc>
        <w:tcPr>
          <w:tcW w:w="6634" w:type="dxa"/>
          <w:tcBorders>
            <w:top w:val="single" w:sz="6" w:space="0" w:color="auto"/>
          </w:tcBorders>
        </w:tcPr>
        <w:p w:rsidR="00B042BC" w:rsidRDefault="00B042BC" w:rsidP="002C6C56">
          <w:pPr>
            <w:pStyle w:val="HeaderOdd"/>
          </w:pPr>
        </w:p>
      </w:tc>
      <w:tc>
        <w:tcPr>
          <w:tcW w:w="2155" w:type="dxa"/>
          <w:tcBorders>
            <w:top w:val="single" w:sz="24" w:space="0" w:color="auto"/>
          </w:tcBorders>
        </w:tcPr>
        <w:p w:rsidR="00B042BC" w:rsidRDefault="00B042BC" w:rsidP="00E669E2">
          <w:pPr>
            <w:pStyle w:val="HeaderOdd"/>
          </w:pPr>
        </w:p>
      </w:tc>
    </w:tr>
  </w:tbl>
  <w:p w:rsidR="00B042BC" w:rsidRDefault="00B042BC"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E5E3C9D"/>
    <w:multiLevelType w:val="hybridMultilevel"/>
    <w:tmpl w:val="B0FC4AE6"/>
    <w:lvl w:ilvl="0" w:tplc="62560290">
      <w:numFmt w:val="bullet"/>
      <w:lvlText w:val="—"/>
      <w:lvlJc w:val="left"/>
      <w:pPr>
        <w:ind w:left="870" w:hanging="51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4"/>
  </w:num>
  <w:num w:numId="3">
    <w:abstractNumId w:val="20"/>
  </w:num>
  <w:num w:numId="4">
    <w:abstractNumId w:val="2"/>
  </w:num>
  <w:num w:numId="5">
    <w:abstractNumId w:val="14"/>
  </w:num>
  <w:num w:numId="6">
    <w:abstractNumId w:val="3"/>
  </w:num>
  <w:num w:numId="7">
    <w:abstractNumId w:val="19"/>
  </w:num>
  <w:num w:numId="8">
    <w:abstractNumId w:val="16"/>
  </w:num>
  <w:num w:numId="9">
    <w:abstractNumId w:val="21"/>
  </w:num>
  <w:num w:numId="10">
    <w:abstractNumId w:val="9"/>
  </w:num>
  <w:num w:numId="11">
    <w:abstractNumId w:val="7"/>
  </w:num>
  <w:num w:numId="12">
    <w:abstractNumId w:val="15"/>
  </w:num>
  <w:num w:numId="13">
    <w:abstractNumId w:val="6"/>
  </w:num>
  <w:num w:numId="14">
    <w:abstractNumId w:val="5"/>
  </w:num>
  <w:num w:numId="15">
    <w:abstractNumId w:val="10"/>
  </w:num>
  <w:num w:numId="16">
    <w:abstractNumId w:val="12"/>
  </w:num>
  <w:num w:numId="17">
    <w:abstractNumId w:val="17"/>
  </w:num>
  <w:num w:numId="18">
    <w:abstractNumId w:val="13"/>
  </w:num>
  <w:num w:numId="19">
    <w:abstractNumId w:val="18"/>
  </w:num>
  <w:num w:numId="20">
    <w:abstractNumId w:val="8"/>
  </w:num>
  <w:num w:numId="21">
    <w:abstractNumId w:val="0"/>
  </w:num>
  <w:num w:numId="22">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Key themes and interpretation"/>
    <w:docVar w:name="ShortReportTitle" w:val="Overcoming Indigenous disadvantage 2016"/>
  </w:docVars>
  <w:rsids>
    <w:rsidRoot w:val="00D714FB"/>
    <w:rsid w:val="0000533F"/>
    <w:rsid w:val="00017D47"/>
    <w:rsid w:val="000227D5"/>
    <w:rsid w:val="000245AA"/>
    <w:rsid w:val="0003664B"/>
    <w:rsid w:val="0004111F"/>
    <w:rsid w:val="00042280"/>
    <w:rsid w:val="000422CB"/>
    <w:rsid w:val="00050AF4"/>
    <w:rsid w:val="000565B3"/>
    <w:rsid w:val="00070A1D"/>
    <w:rsid w:val="0007150B"/>
    <w:rsid w:val="000722EF"/>
    <w:rsid w:val="00074653"/>
    <w:rsid w:val="00076A1F"/>
    <w:rsid w:val="0008068F"/>
    <w:rsid w:val="000840C2"/>
    <w:rsid w:val="000938F5"/>
    <w:rsid w:val="00096E55"/>
    <w:rsid w:val="000A05ED"/>
    <w:rsid w:val="000A2632"/>
    <w:rsid w:val="000B601B"/>
    <w:rsid w:val="000C123D"/>
    <w:rsid w:val="000C207E"/>
    <w:rsid w:val="000C3B32"/>
    <w:rsid w:val="000D3CAC"/>
    <w:rsid w:val="000D7B50"/>
    <w:rsid w:val="000D7D9B"/>
    <w:rsid w:val="000E2777"/>
    <w:rsid w:val="000E34D5"/>
    <w:rsid w:val="000F0035"/>
    <w:rsid w:val="000F36B2"/>
    <w:rsid w:val="000F420B"/>
    <w:rsid w:val="00102314"/>
    <w:rsid w:val="00107795"/>
    <w:rsid w:val="00110116"/>
    <w:rsid w:val="00114B50"/>
    <w:rsid w:val="00120072"/>
    <w:rsid w:val="00126EB8"/>
    <w:rsid w:val="001274D4"/>
    <w:rsid w:val="00132029"/>
    <w:rsid w:val="00132B63"/>
    <w:rsid w:val="001363AA"/>
    <w:rsid w:val="00166BC5"/>
    <w:rsid w:val="00166C0F"/>
    <w:rsid w:val="00171AED"/>
    <w:rsid w:val="00171C9B"/>
    <w:rsid w:val="00183E82"/>
    <w:rsid w:val="00186324"/>
    <w:rsid w:val="001878BB"/>
    <w:rsid w:val="00190843"/>
    <w:rsid w:val="00191AE0"/>
    <w:rsid w:val="0019293B"/>
    <w:rsid w:val="0019426B"/>
    <w:rsid w:val="001C0865"/>
    <w:rsid w:val="001C1C14"/>
    <w:rsid w:val="001C3ABA"/>
    <w:rsid w:val="001C5D6D"/>
    <w:rsid w:val="001D531F"/>
    <w:rsid w:val="001E7BE8"/>
    <w:rsid w:val="001F0248"/>
    <w:rsid w:val="001F1AA1"/>
    <w:rsid w:val="001F3EB3"/>
    <w:rsid w:val="001F4F86"/>
    <w:rsid w:val="0020052E"/>
    <w:rsid w:val="00202C2C"/>
    <w:rsid w:val="00203A49"/>
    <w:rsid w:val="0020730A"/>
    <w:rsid w:val="0021148C"/>
    <w:rsid w:val="00212D01"/>
    <w:rsid w:val="002135AB"/>
    <w:rsid w:val="002144BE"/>
    <w:rsid w:val="00227F5E"/>
    <w:rsid w:val="002300DE"/>
    <w:rsid w:val="002352EA"/>
    <w:rsid w:val="00240201"/>
    <w:rsid w:val="00242279"/>
    <w:rsid w:val="0024544F"/>
    <w:rsid w:val="00245C82"/>
    <w:rsid w:val="00247DB9"/>
    <w:rsid w:val="002566A5"/>
    <w:rsid w:val="00256931"/>
    <w:rsid w:val="00256DD4"/>
    <w:rsid w:val="0026257F"/>
    <w:rsid w:val="0026442C"/>
    <w:rsid w:val="00273A87"/>
    <w:rsid w:val="00274FD0"/>
    <w:rsid w:val="002768F0"/>
    <w:rsid w:val="002804DC"/>
    <w:rsid w:val="00280EBF"/>
    <w:rsid w:val="00283676"/>
    <w:rsid w:val="00291B40"/>
    <w:rsid w:val="00294D4F"/>
    <w:rsid w:val="0029522C"/>
    <w:rsid w:val="002A3513"/>
    <w:rsid w:val="002B4008"/>
    <w:rsid w:val="002C6C56"/>
    <w:rsid w:val="002D0E8E"/>
    <w:rsid w:val="002E0167"/>
    <w:rsid w:val="002E0C78"/>
    <w:rsid w:val="002E65DB"/>
    <w:rsid w:val="002F6A5B"/>
    <w:rsid w:val="00301189"/>
    <w:rsid w:val="00305766"/>
    <w:rsid w:val="00315621"/>
    <w:rsid w:val="00323E09"/>
    <w:rsid w:val="0032606B"/>
    <w:rsid w:val="00333932"/>
    <w:rsid w:val="003375EF"/>
    <w:rsid w:val="00342C94"/>
    <w:rsid w:val="00347B2D"/>
    <w:rsid w:val="00350B2F"/>
    <w:rsid w:val="00350FDD"/>
    <w:rsid w:val="003518AA"/>
    <w:rsid w:val="00352165"/>
    <w:rsid w:val="00353182"/>
    <w:rsid w:val="003565D9"/>
    <w:rsid w:val="003602E1"/>
    <w:rsid w:val="0037026F"/>
    <w:rsid w:val="00371240"/>
    <w:rsid w:val="00374731"/>
    <w:rsid w:val="003763DE"/>
    <w:rsid w:val="00376E59"/>
    <w:rsid w:val="003919F9"/>
    <w:rsid w:val="0039595E"/>
    <w:rsid w:val="003A4566"/>
    <w:rsid w:val="003A744F"/>
    <w:rsid w:val="003C1CCD"/>
    <w:rsid w:val="003C38B5"/>
    <w:rsid w:val="003C5D99"/>
    <w:rsid w:val="003C649D"/>
    <w:rsid w:val="003C7E0A"/>
    <w:rsid w:val="003D13A7"/>
    <w:rsid w:val="003D4384"/>
    <w:rsid w:val="003D6FE9"/>
    <w:rsid w:val="003D7EEA"/>
    <w:rsid w:val="003E008C"/>
    <w:rsid w:val="003E2F59"/>
    <w:rsid w:val="003F050F"/>
    <w:rsid w:val="003F0789"/>
    <w:rsid w:val="003F27C3"/>
    <w:rsid w:val="00401882"/>
    <w:rsid w:val="004100C8"/>
    <w:rsid w:val="00411DBD"/>
    <w:rsid w:val="00412ACE"/>
    <w:rsid w:val="0041392C"/>
    <w:rsid w:val="00413D4B"/>
    <w:rsid w:val="00413FD7"/>
    <w:rsid w:val="00416694"/>
    <w:rsid w:val="00422CE0"/>
    <w:rsid w:val="00431249"/>
    <w:rsid w:val="00434426"/>
    <w:rsid w:val="00434C19"/>
    <w:rsid w:val="00436EF1"/>
    <w:rsid w:val="0044175D"/>
    <w:rsid w:val="00442D23"/>
    <w:rsid w:val="00450810"/>
    <w:rsid w:val="004514CB"/>
    <w:rsid w:val="00452B20"/>
    <w:rsid w:val="00463045"/>
    <w:rsid w:val="00467DE0"/>
    <w:rsid w:val="0047174C"/>
    <w:rsid w:val="00477144"/>
    <w:rsid w:val="00491380"/>
    <w:rsid w:val="0049459F"/>
    <w:rsid w:val="004A2B1F"/>
    <w:rsid w:val="004A38DD"/>
    <w:rsid w:val="004B43AE"/>
    <w:rsid w:val="004B4987"/>
    <w:rsid w:val="004C30ED"/>
    <w:rsid w:val="004D06AC"/>
    <w:rsid w:val="004D090F"/>
    <w:rsid w:val="004D5675"/>
    <w:rsid w:val="004E1DA1"/>
    <w:rsid w:val="004F03E0"/>
    <w:rsid w:val="004F240D"/>
    <w:rsid w:val="00510E40"/>
    <w:rsid w:val="00520430"/>
    <w:rsid w:val="00523368"/>
    <w:rsid w:val="00523639"/>
    <w:rsid w:val="00531FE5"/>
    <w:rsid w:val="005402FA"/>
    <w:rsid w:val="00544D93"/>
    <w:rsid w:val="00544F6F"/>
    <w:rsid w:val="00583C39"/>
    <w:rsid w:val="00587D6D"/>
    <w:rsid w:val="00587F28"/>
    <w:rsid w:val="005909CF"/>
    <w:rsid w:val="00591E71"/>
    <w:rsid w:val="005A0D41"/>
    <w:rsid w:val="005C3AC1"/>
    <w:rsid w:val="005D20B7"/>
    <w:rsid w:val="005D2B69"/>
    <w:rsid w:val="005E5450"/>
    <w:rsid w:val="005F03CD"/>
    <w:rsid w:val="005F3600"/>
    <w:rsid w:val="005F54AA"/>
    <w:rsid w:val="00604535"/>
    <w:rsid w:val="006076A9"/>
    <w:rsid w:val="00607BF1"/>
    <w:rsid w:val="0061255A"/>
    <w:rsid w:val="00613348"/>
    <w:rsid w:val="00613512"/>
    <w:rsid w:val="00616B27"/>
    <w:rsid w:val="00630D4D"/>
    <w:rsid w:val="00632A74"/>
    <w:rsid w:val="006410A5"/>
    <w:rsid w:val="00646395"/>
    <w:rsid w:val="00646C54"/>
    <w:rsid w:val="006474DA"/>
    <w:rsid w:val="00647CA7"/>
    <w:rsid w:val="0065116C"/>
    <w:rsid w:val="00657BBD"/>
    <w:rsid w:val="006656F5"/>
    <w:rsid w:val="00671930"/>
    <w:rsid w:val="006726B2"/>
    <w:rsid w:val="006926C2"/>
    <w:rsid w:val="00693C7C"/>
    <w:rsid w:val="00695B26"/>
    <w:rsid w:val="006A2473"/>
    <w:rsid w:val="006A4655"/>
    <w:rsid w:val="006B2B3C"/>
    <w:rsid w:val="006B3CAB"/>
    <w:rsid w:val="006C1D81"/>
    <w:rsid w:val="006C3B38"/>
    <w:rsid w:val="006C60AA"/>
    <w:rsid w:val="006C7038"/>
    <w:rsid w:val="006E6A08"/>
    <w:rsid w:val="006E73EF"/>
    <w:rsid w:val="006F52AD"/>
    <w:rsid w:val="007107E8"/>
    <w:rsid w:val="00714D4D"/>
    <w:rsid w:val="00716026"/>
    <w:rsid w:val="00721B5A"/>
    <w:rsid w:val="00733677"/>
    <w:rsid w:val="00742AD0"/>
    <w:rsid w:val="007502D4"/>
    <w:rsid w:val="007604BB"/>
    <w:rsid w:val="00763407"/>
    <w:rsid w:val="00767B57"/>
    <w:rsid w:val="0077734F"/>
    <w:rsid w:val="00777A2B"/>
    <w:rsid w:val="00780386"/>
    <w:rsid w:val="00785232"/>
    <w:rsid w:val="007875AD"/>
    <w:rsid w:val="007909FD"/>
    <w:rsid w:val="0079462C"/>
    <w:rsid w:val="007A21EB"/>
    <w:rsid w:val="007B0BC1"/>
    <w:rsid w:val="007B1A93"/>
    <w:rsid w:val="007B3FD8"/>
    <w:rsid w:val="007C2A26"/>
    <w:rsid w:val="007C3018"/>
    <w:rsid w:val="007C36C9"/>
    <w:rsid w:val="007D6401"/>
    <w:rsid w:val="007E01E4"/>
    <w:rsid w:val="007E1FE3"/>
    <w:rsid w:val="007E4A28"/>
    <w:rsid w:val="007E5A9A"/>
    <w:rsid w:val="007E5D82"/>
    <w:rsid w:val="007F1CA1"/>
    <w:rsid w:val="007F1E09"/>
    <w:rsid w:val="007F3564"/>
    <w:rsid w:val="007F7107"/>
    <w:rsid w:val="00800D4C"/>
    <w:rsid w:val="0081030F"/>
    <w:rsid w:val="008111A7"/>
    <w:rsid w:val="00814316"/>
    <w:rsid w:val="0082087D"/>
    <w:rsid w:val="00824CED"/>
    <w:rsid w:val="00826B80"/>
    <w:rsid w:val="00835771"/>
    <w:rsid w:val="00842933"/>
    <w:rsid w:val="00844776"/>
    <w:rsid w:val="00860363"/>
    <w:rsid w:val="0086082C"/>
    <w:rsid w:val="00861D6D"/>
    <w:rsid w:val="00864740"/>
    <w:rsid w:val="00864ADC"/>
    <w:rsid w:val="008755D3"/>
    <w:rsid w:val="00880153"/>
    <w:rsid w:val="00880F97"/>
    <w:rsid w:val="0088133A"/>
    <w:rsid w:val="008822F8"/>
    <w:rsid w:val="0089285E"/>
    <w:rsid w:val="0089436C"/>
    <w:rsid w:val="008B0B7D"/>
    <w:rsid w:val="008D268B"/>
    <w:rsid w:val="008D365C"/>
    <w:rsid w:val="008D5C25"/>
    <w:rsid w:val="008F151E"/>
    <w:rsid w:val="008F2EC6"/>
    <w:rsid w:val="00902498"/>
    <w:rsid w:val="009030BF"/>
    <w:rsid w:val="00906916"/>
    <w:rsid w:val="0091032F"/>
    <w:rsid w:val="00914368"/>
    <w:rsid w:val="00920123"/>
    <w:rsid w:val="00921923"/>
    <w:rsid w:val="00931076"/>
    <w:rsid w:val="00931D91"/>
    <w:rsid w:val="009344B0"/>
    <w:rsid w:val="009345D9"/>
    <w:rsid w:val="00934B15"/>
    <w:rsid w:val="00940C87"/>
    <w:rsid w:val="00942B62"/>
    <w:rsid w:val="0094314F"/>
    <w:rsid w:val="00946457"/>
    <w:rsid w:val="009512DA"/>
    <w:rsid w:val="0095323B"/>
    <w:rsid w:val="00956A0C"/>
    <w:rsid w:val="00956BD9"/>
    <w:rsid w:val="0096244B"/>
    <w:rsid w:val="00962489"/>
    <w:rsid w:val="00964C90"/>
    <w:rsid w:val="00967462"/>
    <w:rsid w:val="0097501A"/>
    <w:rsid w:val="00975AED"/>
    <w:rsid w:val="009772D4"/>
    <w:rsid w:val="0098736C"/>
    <w:rsid w:val="00990C2C"/>
    <w:rsid w:val="00991F7C"/>
    <w:rsid w:val="009A3721"/>
    <w:rsid w:val="009C2FA4"/>
    <w:rsid w:val="009E0384"/>
    <w:rsid w:val="009E1248"/>
    <w:rsid w:val="009E1844"/>
    <w:rsid w:val="009E4262"/>
    <w:rsid w:val="009E619A"/>
    <w:rsid w:val="009F0D1B"/>
    <w:rsid w:val="009F696D"/>
    <w:rsid w:val="009F6BC6"/>
    <w:rsid w:val="009F7EE3"/>
    <w:rsid w:val="00A003A3"/>
    <w:rsid w:val="00A0269E"/>
    <w:rsid w:val="00A130CD"/>
    <w:rsid w:val="00A17328"/>
    <w:rsid w:val="00A23A20"/>
    <w:rsid w:val="00A268B9"/>
    <w:rsid w:val="00A2703A"/>
    <w:rsid w:val="00A309A1"/>
    <w:rsid w:val="00A3385B"/>
    <w:rsid w:val="00A33DFF"/>
    <w:rsid w:val="00A35115"/>
    <w:rsid w:val="00A356BA"/>
    <w:rsid w:val="00A36D9A"/>
    <w:rsid w:val="00A43A31"/>
    <w:rsid w:val="00A554AB"/>
    <w:rsid w:val="00A56E82"/>
    <w:rsid w:val="00A57062"/>
    <w:rsid w:val="00A611D2"/>
    <w:rsid w:val="00A702AF"/>
    <w:rsid w:val="00A736B5"/>
    <w:rsid w:val="00A77E2D"/>
    <w:rsid w:val="00A81C3E"/>
    <w:rsid w:val="00A92B53"/>
    <w:rsid w:val="00A94FA6"/>
    <w:rsid w:val="00AA354C"/>
    <w:rsid w:val="00AA3E4A"/>
    <w:rsid w:val="00AA49A0"/>
    <w:rsid w:val="00AA6140"/>
    <w:rsid w:val="00AA6710"/>
    <w:rsid w:val="00AB02E2"/>
    <w:rsid w:val="00AB0681"/>
    <w:rsid w:val="00AB1D29"/>
    <w:rsid w:val="00AB25C1"/>
    <w:rsid w:val="00AC21F3"/>
    <w:rsid w:val="00AC740D"/>
    <w:rsid w:val="00AD520B"/>
    <w:rsid w:val="00AD6FDF"/>
    <w:rsid w:val="00B042BC"/>
    <w:rsid w:val="00B10920"/>
    <w:rsid w:val="00B10ECB"/>
    <w:rsid w:val="00B1114C"/>
    <w:rsid w:val="00B17F02"/>
    <w:rsid w:val="00B4031B"/>
    <w:rsid w:val="00B425C3"/>
    <w:rsid w:val="00B4364D"/>
    <w:rsid w:val="00B440AD"/>
    <w:rsid w:val="00B479BB"/>
    <w:rsid w:val="00B500CD"/>
    <w:rsid w:val="00B53E7E"/>
    <w:rsid w:val="00B6342E"/>
    <w:rsid w:val="00B66091"/>
    <w:rsid w:val="00B7113F"/>
    <w:rsid w:val="00B7618A"/>
    <w:rsid w:val="00B96F17"/>
    <w:rsid w:val="00B978D3"/>
    <w:rsid w:val="00BA73B6"/>
    <w:rsid w:val="00BA7E27"/>
    <w:rsid w:val="00BB2603"/>
    <w:rsid w:val="00BB4FCD"/>
    <w:rsid w:val="00BC04E9"/>
    <w:rsid w:val="00BC59C8"/>
    <w:rsid w:val="00BC61FC"/>
    <w:rsid w:val="00BD0D6D"/>
    <w:rsid w:val="00BD13EA"/>
    <w:rsid w:val="00BD4125"/>
    <w:rsid w:val="00BD4205"/>
    <w:rsid w:val="00BE3808"/>
    <w:rsid w:val="00BF1FA6"/>
    <w:rsid w:val="00C062E9"/>
    <w:rsid w:val="00C07B64"/>
    <w:rsid w:val="00C13721"/>
    <w:rsid w:val="00C14FE4"/>
    <w:rsid w:val="00C22580"/>
    <w:rsid w:val="00C2346F"/>
    <w:rsid w:val="00C239DA"/>
    <w:rsid w:val="00C23F93"/>
    <w:rsid w:val="00C3066D"/>
    <w:rsid w:val="00C345D6"/>
    <w:rsid w:val="00C4224C"/>
    <w:rsid w:val="00C52416"/>
    <w:rsid w:val="00C543F4"/>
    <w:rsid w:val="00C6291C"/>
    <w:rsid w:val="00C633CB"/>
    <w:rsid w:val="00C643B3"/>
    <w:rsid w:val="00C736B7"/>
    <w:rsid w:val="00C81D4A"/>
    <w:rsid w:val="00C8762C"/>
    <w:rsid w:val="00C91688"/>
    <w:rsid w:val="00C916EC"/>
    <w:rsid w:val="00CA00F9"/>
    <w:rsid w:val="00CA2961"/>
    <w:rsid w:val="00CA3167"/>
    <w:rsid w:val="00CB24A0"/>
    <w:rsid w:val="00CB50D7"/>
    <w:rsid w:val="00CB64E2"/>
    <w:rsid w:val="00CB7177"/>
    <w:rsid w:val="00CC1998"/>
    <w:rsid w:val="00CC2572"/>
    <w:rsid w:val="00CC4946"/>
    <w:rsid w:val="00CD08B6"/>
    <w:rsid w:val="00CD3845"/>
    <w:rsid w:val="00CE057F"/>
    <w:rsid w:val="00CE2AAB"/>
    <w:rsid w:val="00CE7767"/>
    <w:rsid w:val="00CF34D2"/>
    <w:rsid w:val="00D01B57"/>
    <w:rsid w:val="00D02EAE"/>
    <w:rsid w:val="00D038D9"/>
    <w:rsid w:val="00D270A4"/>
    <w:rsid w:val="00D27DB7"/>
    <w:rsid w:val="00D31FE9"/>
    <w:rsid w:val="00D34E1B"/>
    <w:rsid w:val="00D35DD2"/>
    <w:rsid w:val="00D376BA"/>
    <w:rsid w:val="00D45634"/>
    <w:rsid w:val="00D5568A"/>
    <w:rsid w:val="00D63D73"/>
    <w:rsid w:val="00D64452"/>
    <w:rsid w:val="00D66E1E"/>
    <w:rsid w:val="00D714FB"/>
    <w:rsid w:val="00D75722"/>
    <w:rsid w:val="00D80CF5"/>
    <w:rsid w:val="00D86E37"/>
    <w:rsid w:val="00DA5BBA"/>
    <w:rsid w:val="00DB1073"/>
    <w:rsid w:val="00DB26D2"/>
    <w:rsid w:val="00DB67C9"/>
    <w:rsid w:val="00DC0C95"/>
    <w:rsid w:val="00DD6580"/>
    <w:rsid w:val="00DE1D68"/>
    <w:rsid w:val="00DE1E11"/>
    <w:rsid w:val="00DE42FF"/>
    <w:rsid w:val="00DF4661"/>
    <w:rsid w:val="00E14B7A"/>
    <w:rsid w:val="00E17C72"/>
    <w:rsid w:val="00E21FC6"/>
    <w:rsid w:val="00E22B87"/>
    <w:rsid w:val="00E350FC"/>
    <w:rsid w:val="00E40E35"/>
    <w:rsid w:val="00E431A9"/>
    <w:rsid w:val="00E51A2F"/>
    <w:rsid w:val="00E6119A"/>
    <w:rsid w:val="00E669E2"/>
    <w:rsid w:val="00E70DFC"/>
    <w:rsid w:val="00E76135"/>
    <w:rsid w:val="00E82F4F"/>
    <w:rsid w:val="00E91D6F"/>
    <w:rsid w:val="00EC1109"/>
    <w:rsid w:val="00EC2844"/>
    <w:rsid w:val="00EC5500"/>
    <w:rsid w:val="00EC7056"/>
    <w:rsid w:val="00EC724C"/>
    <w:rsid w:val="00ED18F8"/>
    <w:rsid w:val="00ED3ECE"/>
    <w:rsid w:val="00ED6AED"/>
    <w:rsid w:val="00EE282D"/>
    <w:rsid w:val="00EE2EF6"/>
    <w:rsid w:val="00EE38AF"/>
    <w:rsid w:val="00EE6B82"/>
    <w:rsid w:val="00EF0D53"/>
    <w:rsid w:val="00EF279C"/>
    <w:rsid w:val="00EF6C6C"/>
    <w:rsid w:val="00F056FC"/>
    <w:rsid w:val="00F10476"/>
    <w:rsid w:val="00F135D8"/>
    <w:rsid w:val="00F15204"/>
    <w:rsid w:val="00F22902"/>
    <w:rsid w:val="00F31299"/>
    <w:rsid w:val="00F32C81"/>
    <w:rsid w:val="00F34687"/>
    <w:rsid w:val="00F3534A"/>
    <w:rsid w:val="00F46F76"/>
    <w:rsid w:val="00F51609"/>
    <w:rsid w:val="00F52B1F"/>
    <w:rsid w:val="00F53C35"/>
    <w:rsid w:val="00F56EE7"/>
    <w:rsid w:val="00F66132"/>
    <w:rsid w:val="00F7254A"/>
    <w:rsid w:val="00F7540C"/>
    <w:rsid w:val="00F81006"/>
    <w:rsid w:val="00F85325"/>
    <w:rsid w:val="00F87691"/>
    <w:rsid w:val="00F958DE"/>
    <w:rsid w:val="00FA5EB1"/>
    <w:rsid w:val="00FA7771"/>
    <w:rsid w:val="00FC2638"/>
    <w:rsid w:val="00FD1B11"/>
    <w:rsid w:val="00FD22B1"/>
    <w:rsid w:val="00FD5E7C"/>
    <w:rsid w:val="00FE5397"/>
    <w:rsid w:val="00FE7C12"/>
    <w:rsid w:val="00FF0A2C"/>
    <w:rsid w:val="00FF4179"/>
    <w:rsid w:val="00FF49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BF1FA6"/>
    <w:rPr>
      <w:sz w:val="24"/>
      <w:szCs w:val="24"/>
    </w:rPr>
  </w:style>
  <w:style w:type="paragraph" w:styleId="Heading1">
    <w:name w:val="heading 1"/>
    <w:basedOn w:val="BodyText"/>
    <w:next w:val="BodyText"/>
    <w:rsid w:val="00BF1FA6"/>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BF1FA6"/>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BF1FA6"/>
    <w:pPr>
      <w:spacing w:before="560" w:line="320" w:lineRule="exact"/>
      <w:ind w:left="0" w:firstLine="0"/>
      <w:outlineLvl w:val="2"/>
    </w:pPr>
    <w:rPr>
      <w:sz w:val="26"/>
    </w:rPr>
  </w:style>
  <w:style w:type="paragraph" w:styleId="Heading4">
    <w:name w:val="heading 4"/>
    <w:basedOn w:val="Heading3"/>
    <w:next w:val="BodyText"/>
    <w:qFormat/>
    <w:rsid w:val="00BF1FA6"/>
    <w:pPr>
      <w:spacing w:before="480"/>
      <w:outlineLvl w:val="3"/>
    </w:pPr>
    <w:rPr>
      <w:b w:val="0"/>
      <w:sz w:val="24"/>
    </w:rPr>
  </w:style>
  <w:style w:type="paragraph" w:styleId="Heading5">
    <w:name w:val="heading 5"/>
    <w:basedOn w:val="Heading4"/>
    <w:next w:val="BodyText"/>
    <w:link w:val="Heading5Char"/>
    <w:qFormat/>
    <w:rsid w:val="00BF1FA6"/>
    <w:pPr>
      <w:outlineLvl w:val="4"/>
    </w:pPr>
    <w:rPr>
      <w:i/>
      <w:sz w:val="22"/>
    </w:rPr>
  </w:style>
  <w:style w:type="paragraph" w:styleId="Heading6">
    <w:name w:val="heading 6"/>
    <w:basedOn w:val="BodyText"/>
    <w:next w:val="BodyText"/>
    <w:rsid w:val="00BF1FA6"/>
    <w:pPr>
      <w:spacing w:after="60"/>
      <w:jc w:val="left"/>
      <w:outlineLvl w:val="5"/>
    </w:pPr>
    <w:rPr>
      <w:i/>
      <w:sz w:val="22"/>
    </w:rPr>
  </w:style>
  <w:style w:type="paragraph" w:styleId="Heading7">
    <w:name w:val="heading 7"/>
    <w:basedOn w:val="BodyText"/>
    <w:next w:val="BodyText"/>
    <w:rsid w:val="00BF1FA6"/>
    <w:pPr>
      <w:spacing w:after="60" w:line="240" w:lineRule="auto"/>
      <w:jc w:val="left"/>
      <w:outlineLvl w:val="6"/>
    </w:pPr>
    <w:rPr>
      <w:rFonts w:ascii="Arial" w:hAnsi="Arial"/>
      <w:sz w:val="20"/>
    </w:rPr>
  </w:style>
  <w:style w:type="paragraph" w:styleId="Heading8">
    <w:name w:val="heading 8"/>
    <w:basedOn w:val="BodyText"/>
    <w:next w:val="BodyText"/>
    <w:rsid w:val="00BF1FA6"/>
    <w:pPr>
      <w:spacing w:after="60" w:line="240" w:lineRule="auto"/>
      <w:jc w:val="left"/>
      <w:outlineLvl w:val="7"/>
    </w:pPr>
    <w:rPr>
      <w:rFonts w:ascii="Arial" w:hAnsi="Arial"/>
      <w:i/>
      <w:sz w:val="20"/>
    </w:rPr>
  </w:style>
  <w:style w:type="paragraph" w:styleId="Heading9">
    <w:name w:val="heading 9"/>
    <w:basedOn w:val="BodyText"/>
    <w:next w:val="BodyText"/>
    <w:rsid w:val="00BF1FA6"/>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BF1F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1FA6"/>
  </w:style>
  <w:style w:type="paragraph" w:styleId="BodyText">
    <w:name w:val="Body Text"/>
    <w:link w:val="BodyTextChar"/>
    <w:qFormat/>
    <w:rsid w:val="00BF1FA6"/>
    <w:pPr>
      <w:spacing w:before="240" w:line="300" w:lineRule="atLeast"/>
      <w:jc w:val="both"/>
    </w:pPr>
    <w:rPr>
      <w:sz w:val="24"/>
    </w:rPr>
  </w:style>
  <w:style w:type="paragraph" w:styleId="Footer">
    <w:name w:val="footer"/>
    <w:basedOn w:val="BodyText"/>
    <w:link w:val="FooterChar"/>
    <w:rsid w:val="00BF1FA6"/>
    <w:pPr>
      <w:spacing w:before="80" w:line="200" w:lineRule="exact"/>
      <w:ind w:right="6"/>
      <w:jc w:val="left"/>
    </w:pPr>
    <w:rPr>
      <w:rFonts w:ascii="Arial" w:hAnsi="Arial"/>
      <w:caps/>
      <w:spacing w:val="-4"/>
      <w:sz w:val="16"/>
    </w:rPr>
  </w:style>
  <w:style w:type="paragraph" w:customStyle="1" w:styleId="FooterEnd">
    <w:name w:val="Footer End"/>
    <w:basedOn w:val="Footer"/>
    <w:rsid w:val="00BF1FA6"/>
    <w:pPr>
      <w:spacing w:before="0" w:line="20" w:lineRule="exact"/>
    </w:pPr>
  </w:style>
  <w:style w:type="paragraph" w:styleId="Header">
    <w:name w:val="header"/>
    <w:basedOn w:val="BodyText"/>
    <w:rsid w:val="00BF1FA6"/>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BF1FA6"/>
    <w:pPr>
      <w:spacing w:line="20" w:lineRule="exact"/>
    </w:pPr>
    <w:rPr>
      <w:sz w:val="16"/>
    </w:rPr>
  </w:style>
  <w:style w:type="paragraph" w:customStyle="1" w:styleId="HeaderEven">
    <w:name w:val="Header Even"/>
    <w:basedOn w:val="Header"/>
    <w:semiHidden/>
    <w:rsid w:val="00BF1FA6"/>
  </w:style>
  <w:style w:type="paragraph" w:customStyle="1" w:styleId="HeaderOdd">
    <w:name w:val="Header Odd"/>
    <w:basedOn w:val="Header"/>
    <w:semiHidden/>
    <w:rsid w:val="00BF1FA6"/>
  </w:style>
  <w:style w:type="character" w:styleId="PageNumber">
    <w:name w:val="page number"/>
    <w:basedOn w:val="DefaultParagraphFont"/>
    <w:rsid w:val="00BF1FA6"/>
    <w:rPr>
      <w:rFonts w:ascii="Arial" w:hAnsi="Arial"/>
      <w:b/>
      <w:sz w:val="16"/>
    </w:rPr>
  </w:style>
  <w:style w:type="paragraph" w:customStyle="1" w:styleId="Abbreviation">
    <w:name w:val="Abbreviation"/>
    <w:basedOn w:val="BodyText"/>
    <w:rsid w:val="00BF1FA6"/>
    <w:pPr>
      <w:spacing w:before="120"/>
      <w:ind w:left="2381" w:hanging="2381"/>
      <w:jc w:val="left"/>
    </w:pPr>
  </w:style>
  <w:style w:type="paragraph" w:customStyle="1" w:styleId="Box">
    <w:name w:val="Box"/>
    <w:basedOn w:val="BodyText"/>
    <w:qFormat/>
    <w:rsid w:val="00BF1FA6"/>
    <w:pPr>
      <w:keepNext/>
      <w:spacing w:before="120" w:line="260" w:lineRule="atLeast"/>
    </w:pPr>
    <w:rPr>
      <w:rFonts w:ascii="Arial" w:hAnsi="Arial"/>
      <w:sz w:val="20"/>
    </w:rPr>
  </w:style>
  <w:style w:type="paragraph" w:customStyle="1" w:styleId="BoxContinued">
    <w:name w:val="Box Continued"/>
    <w:basedOn w:val="BodyText"/>
    <w:next w:val="BodyText"/>
    <w:semiHidden/>
    <w:rsid w:val="00BF1FA6"/>
    <w:pPr>
      <w:spacing w:before="180" w:line="220" w:lineRule="exact"/>
      <w:jc w:val="right"/>
    </w:pPr>
    <w:rPr>
      <w:rFonts w:ascii="Arial" w:hAnsi="Arial"/>
      <w:sz w:val="18"/>
    </w:rPr>
  </w:style>
  <w:style w:type="paragraph" w:customStyle="1" w:styleId="BoxHeading1">
    <w:name w:val="Box Heading 1"/>
    <w:basedOn w:val="BodyText"/>
    <w:next w:val="Box"/>
    <w:rsid w:val="00BF1FA6"/>
    <w:pPr>
      <w:keepNext/>
      <w:spacing w:before="200" w:line="280" w:lineRule="atLeast"/>
    </w:pPr>
    <w:rPr>
      <w:rFonts w:ascii="Arial" w:hAnsi="Arial"/>
      <w:b/>
      <w:sz w:val="22"/>
    </w:rPr>
  </w:style>
  <w:style w:type="paragraph" w:customStyle="1" w:styleId="BoxHeading2">
    <w:name w:val="Box Heading 2"/>
    <w:basedOn w:val="BoxHeading1"/>
    <w:next w:val="Normal"/>
    <w:rsid w:val="00BF1FA6"/>
    <w:rPr>
      <w:b w:val="0"/>
      <w:i/>
    </w:rPr>
  </w:style>
  <w:style w:type="paragraph" w:customStyle="1" w:styleId="BoxListBullet">
    <w:name w:val="Box List Bullet"/>
    <w:basedOn w:val="BodyText"/>
    <w:link w:val="BoxListBulletChar"/>
    <w:rsid w:val="00BF1FA6"/>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BF1FA6"/>
    <w:pPr>
      <w:numPr>
        <w:numId w:val="2"/>
      </w:numPr>
      <w:ind w:left="568" w:hanging="284"/>
    </w:pPr>
  </w:style>
  <w:style w:type="paragraph" w:customStyle="1" w:styleId="BoxListNumber">
    <w:name w:val="Box List Number"/>
    <w:basedOn w:val="BodyText"/>
    <w:rsid w:val="00BF1FA6"/>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BF1FA6"/>
    <w:pPr>
      <w:numPr>
        <w:ilvl w:val="1"/>
      </w:numPr>
      <w:ind w:left="681" w:hanging="397"/>
    </w:pPr>
  </w:style>
  <w:style w:type="paragraph" w:customStyle="1" w:styleId="BoxQuote">
    <w:name w:val="Box Quote"/>
    <w:basedOn w:val="BodyText"/>
    <w:next w:val="Box"/>
    <w:qFormat/>
    <w:rsid w:val="00BF1FA6"/>
    <w:pPr>
      <w:keepNext/>
      <w:spacing w:before="60" w:line="240" w:lineRule="exact"/>
      <w:ind w:left="284"/>
    </w:pPr>
    <w:rPr>
      <w:rFonts w:ascii="Arial" w:hAnsi="Arial"/>
      <w:sz w:val="18"/>
    </w:rPr>
  </w:style>
  <w:style w:type="paragraph" w:customStyle="1" w:styleId="Note">
    <w:name w:val="Note"/>
    <w:basedOn w:val="BodyText"/>
    <w:next w:val="BodyText"/>
    <w:rsid w:val="00BF1FA6"/>
    <w:pPr>
      <w:keepLines/>
      <w:spacing w:before="80" w:line="220" w:lineRule="exact"/>
    </w:pPr>
    <w:rPr>
      <w:rFonts w:ascii="Arial" w:hAnsi="Arial"/>
      <w:sz w:val="18"/>
    </w:rPr>
  </w:style>
  <w:style w:type="paragraph" w:customStyle="1" w:styleId="Source">
    <w:name w:val="Source"/>
    <w:basedOn w:val="Normal"/>
    <w:next w:val="BodyText"/>
    <w:rsid w:val="00BF1FA6"/>
    <w:pPr>
      <w:keepLines/>
      <w:spacing w:before="80" w:line="220" w:lineRule="exact"/>
      <w:jc w:val="both"/>
    </w:pPr>
    <w:rPr>
      <w:rFonts w:ascii="Arial" w:hAnsi="Arial"/>
      <w:sz w:val="18"/>
      <w:szCs w:val="20"/>
    </w:rPr>
  </w:style>
  <w:style w:type="paragraph" w:customStyle="1" w:styleId="BoxSource">
    <w:name w:val="Box Source"/>
    <w:basedOn w:val="Source"/>
    <w:next w:val="BodyText"/>
    <w:rsid w:val="00BF1FA6"/>
    <w:pPr>
      <w:spacing w:before="120"/>
    </w:pPr>
  </w:style>
  <w:style w:type="paragraph" w:customStyle="1" w:styleId="BoxSpaceAbove">
    <w:name w:val="Box Space Above"/>
    <w:basedOn w:val="BodyText"/>
    <w:rsid w:val="00BF1FA6"/>
    <w:pPr>
      <w:keepNext/>
      <w:spacing w:before="360" w:line="80" w:lineRule="exact"/>
      <w:jc w:val="left"/>
    </w:pPr>
  </w:style>
  <w:style w:type="paragraph" w:styleId="Caption">
    <w:name w:val="caption"/>
    <w:basedOn w:val="Normal"/>
    <w:next w:val="BodyText"/>
    <w:rsid w:val="00BF1FA6"/>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BF1FA6"/>
    <w:pPr>
      <w:spacing w:before="120" w:after="0"/>
    </w:pPr>
  </w:style>
  <w:style w:type="paragraph" w:customStyle="1" w:styleId="BoxSubtitle">
    <w:name w:val="Box Subtitle"/>
    <w:basedOn w:val="BoxTitle"/>
    <w:next w:val="Normal"/>
    <w:rsid w:val="00BF1FA6"/>
    <w:pPr>
      <w:spacing w:after="80" w:line="200" w:lineRule="exact"/>
      <w:ind w:firstLine="0"/>
    </w:pPr>
    <w:rPr>
      <w:b w:val="0"/>
      <w:sz w:val="20"/>
    </w:rPr>
  </w:style>
  <w:style w:type="paragraph" w:customStyle="1" w:styleId="Chapter">
    <w:name w:val="Chapter"/>
    <w:basedOn w:val="Heading1"/>
    <w:next w:val="BodyText"/>
    <w:semiHidden/>
    <w:rsid w:val="00BF1FA6"/>
    <w:pPr>
      <w:ind w:left="0" w:firstLine="0"/>
      <w:outlineLvl w:val="9"/>
    </w:pPr>
  </w:style>
  <w:style w:type="paragraph" w:customStyle="1" w:styleId="ChapterSummary">
    <w:name w:val="Chapter Summary"/>
    <w:basedOn w:val="BodyText"/>
    <w:rsid w:val="00BF1FA6"/>
    <w:pPr>
      <w:spacing w:line="280" w:lineRule="atLeast"/>
      <w:ind w:left="907"/>
    </w:pPr>
    <w:rPr>
      <w:rFonts w:ascii="Arial" w:hAnsi="Arial"/>
      <w:b/>
      <w:sz w:val="20"/>
    </w:rPr>
  </w:style>
  <w:style w:type="character" w:styleId="CommentReference">
    <w:name w:val="annotation reference"/>
    <w:basedOn w:val="DefaultParagraphFont"/>
    <w:semiHidden/>
    <w:rsid w:val="00BF1FA6"/>
    <w:rPr>
      <w:b/>
      <w:vanish/>
      <w:color w:val="FF00FF"/>
      <w:sz w:val="20"/>
    </w:rPr>
  </w:style>
  <w:style w:type="paragraph" w:styleId="CommentText">
    <w:name w:val="annotation text"/>
    <w:basedOn w:val="Normal"/>
    <w:link w:val="CommentTextChar"/>
    <w:semiHidden/>
    <w:rsid w:val="00BF1FA6"/>
    <w:pPr>
      <w:spacing w:before="120" w:line="240" w:lineRule="atLeast"/>
      <w:ind w:left="567" w:hanging="567"/>
    </w:pPr>
    <w:rPr>
      <w:sz w:val="20"/>
    </w:rPr>
  </w:style>
  <w:style w:type="paragraph" w:customStyle="1" w:styleId="Continued">
    <w:name w:val="Continued"/>
    <w:basedOn w:val="BoxContinued"/>
    <w:next w:val="BodyText"/>
    <w:rsid w:val="00BF1FA6"/>
  </w:style>
  <w:style w:type="character" w:customStyle="1" w:styleId="DocumentInfo">
    <w:name w:val="Document Info"/>
    <w:basedOn w:val="DefaultParagraphFont"/>
    <w:semiHidden/>
    <w:rsid w:val="00BF1FA6"/>
    <w:rPr>
      <w:rFonts w:ascii="Arial" w:hAnsi="Arial"/>
      <w:sz w:val="14"/>
    </w:rPr>
  </w:style>
  <w:style w:type="character" w:customStyle="1" w:styleId="DraftingNote">
    <w:name w:val="Drafting Note"/>
    <w:basedOn w:val="DefaultParagraphFont"/>
    <w:rsid w:val="00BF1FA6"/>
    <w:rPr>
      <w:b/>
      <w:color w:val="FF0000"/>
      <w:sz w:val="24"/>
      <w:u w:val="dotted"/>
    </w:rPr>
  </w:style>
  <w:style w:type="paragraph" w:customStyle="1" w:styleId="Figure">
    <w:name w:val="Figure"/>
    <w:basedOn w:val="BodyText"/>
    <w:rsid w:val="00BF1FA6"/>
    <w:pPr>
      <w:keepNext/>
      <w:spacing w:before="120" w:after="120" w:line="240" w:lineRule="atLeast"/>
      <w:jc w:val="center"/>
    </w:pPr>
  </w:style>
  <w:style w:type="paragraph" w:customStyle="1" w:styleId="FigureTitle">
    <w:name w:val="Figure Title"/>
    <w:basedOn w:val="Caption"/>
    <w:next w:val="Subtitle"/>
    <w:rsid w:val="00BF1FA6"/>
    <w:pPr>
      <w:spacing w:before="120"/>
    </w:pPr>
  </w:style>
  <w:style w:type="paragraph" w:styleId="Subtitle">
    <w:name w:val="Subtitle"/>
    <w:basedOn w:val="Caption"/>
    <w:link w:val="SubtitleChar"/>
    <w:qFormat/>
    <w:rsid w:val="00BF1FA6"/>
    <w:pPr>
      <w:spacing w:before="0" w:line="200" w:lineRule="exact"/>
      <w:ind w:firstLine="0"/>
    </w:pPr>
    <w:rPr>
      <w:b w:val="0"/>
      <w:sz w:val="20"/>
    </w:rPr>
  </w:style>
  <w:style w:type="paragraph" w:customStyle="1" w:styleId="Finding">
    <w:name w:val="Finding"/>
    <w:basedOn w:val="BodyText"/>
    <w:rsid w:val="00BF1FA6"/>
    <w:pPr>
      <w:keepLines/>
      <w:spacing w:before="120" w:line="280" w:lineRule="atLeast"/>
    </w:pPr>
    <w:rPr>
      <w:rFonts w:ascii="Arial" w:hAnsi="Arial"/>
      <w:sz w:val="22"/>
    </w:rPr>
  </w:style>
  <w:style w:type="paragraph" w:customStyle="1" w:styleId="FindingBullet">
    <w:name w:val="Finding Bullet"/>
    <w:basedOn w:val="Finding"/>
    <w:rsid w:val="00BF1FA6"/>
    <w:pPr>
      <w:numPr>
        <w:numId w:val="3"/>
      </w:numPr>
      <w:spacing w:before="80"/>
    </w:pPr>
  </w:style>
  <w:style w:type="paragraph" w:customStyle="1" w:styleId="FindingNoTitle">
    <w:name w:val="Finding NoTitle"/>
    <w:basedOn w:val="Finding"/>
    <w:semiHidden/>
    <w:rsid w:val="00BF1FA6"/>
    <w:pPr>
      <w:spacing w:before="240"/>
    </w:pPr>
  </w:style>
  <w:style w:type="paragraph" w:customStyle="1" w:styleId="RecTitle">
    <w:name w:val="Rec Title"/>
    <w:basedOn w:val="BodyText"/>
    <w:next w:val="Rec"/>
    <w:qFormat/>
    <w:rsid w:val="00BF1FA6"/>
    <w:pPr>
      <w:keepNext/>
      <w:keepLines/>
      <w:spacing w:line="280" w:lineRule="atLeast"/>
    </w:pPr>
    <w:rPr>
      <w:rFonts w:ascii="Arial" w:hAnsi="Arial"/>
      <w:caps/>
      <w:sz w:val="18"/>
    </w:rPr>
  </w:style>
  <w:style w:type="paragraph" w:customStyle="1" w:styleId="FindingTitle">
    <w:name w:val="Finding Title"/>
    <w:basedOn w:val="RecTitle"/>
    <w:next w:val="Finding"/>
    <w:rsid w:val="00BF1FA6"/>
  </w:style>
  <w:style w:type="character" w:styleId="FootnoteReference">
    <w:name w:val="footnote reference"/>
    <w:basedOn w:val="DefaultParagraphFont"/>
    <w:semiHidden/>
    <w:rsid w:val="00BF1FA6"/>
    <w:rPr>
      <w:rFonts w:ascii="Times New Roman" w:hAnsi="Times New Roman"/>
      <w:position w:val="6"/>
      <w:sz w:val="20"/>
      <w:vertAlign w:val="baseline"/>
    </w:rPr>
  </w:style>
  <w:style w:type="paragraph" w:styleId="FootnoteText">
    <w:name w:val="footnote text"/>
    <w:basedOn w:val="BodyText"/>
    <w:rsid w:val="00BF1FA6"/>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BF1FA6"/>
    <w:rPr>
      <w:i/>
    </w:rPr>
  </w:style>
  <w:style w:type="paragraph" w:customStyle="1" w:styleId="Jurisdictioncommentsbodytext">
    <w:name w:val="Jurisdiction comments body text"/>
    <w:rsid w:val="00BF1FA6"/>
    <w:pPr>
      <w:spacing w:after="140"/>
      <w:jc w:val="both"/>
    </w:pPr>
    <w:rPr>
      <w:rFonts w:ascii="Arial" w:hAnsi="Arial"/>
      <w:sz w:val="24"/>
      <w:lang w:eastAsia="en-US"/>
    </w:rPr>
  </w:style>
  <w:style w:type="paragraph" w:customStyle="1" w:styleId="Jurisdictioncommentsheading">
    <w:name w:val="Jurisdiction comments heading"/>
    <w:rsid w:val="00BF1FA6"/>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BF1FA6"/>
    <w:pPr>
      <w:numPr>
        <w:numId w:val="4"/>
      </w:numPr>
      <w:spacing w:after="140"/>
      <w:jc w:val="both"/>
    </w:pPr>
    <w:rPr>
      <w:rFonts w:ascii="Arial" w:hAnsi="Arial"/>
      <w:sz w:val="24"/>
      <w:lang w:eastAsia="en-US"/>
    </w:rPr>
  </w:style>
  <w:style w:type="paragraph" w:styleId="ListBullet">
    <w:name w:val="List Bullet"/>
    <w:basedOn w:val="BodyText"/>
    <w:rsid w:val="00BF1FA6"/>
    <w:pPr>
      <w:numPr>
        <w:numId w:val="5"/>
      </w:numPr>
      <w:spacing w:before="120"/>
    </w:pPr>
  </w:style>
  <w:style w:type="paragraph" w:styleId="ListBullet2">
    <w:name w:val="List Bullet 2"/>
    <w:basedOn w:val="BodyText"/>
    <w:rsid w:val="00BF1FA6"/>
    <w:pPr>
      <w:numPr>
        <w:numId w:val="6"/>
      </w:numPr>
      <w:spacing w:before="120"/>
    </w:pPr>
  </w:style>
  <w:style w:type="paragraph" w:styleId="ListBullet3">
    <w:name w:val="List Bullet 3"/>
    <w:basedOn w:val="BodyText"/>
    <w:rsid w:val="00BF1FA6"/>
    <w:pPr>
      <w:numPr>
        <w:numId w:val="7"/>
      </w:numPr>
      <w:spacing w:before="120"/>
      <w:ind w:left="1020" w:hanging="340"/>
    </w:pPr>
  </w:style>
  <w:style w:type="paragraph" w:styleId="ListNumber">
    <w:name w:val="List Number"/>
    <w:basedOn w:val="BodyText"/>
    <w:rsid w:val="00BF1FA6"/>
    <w:pPr>
      <w:numPr>
        <w:numId w:val="13"/>
      </w:numPr>
      <w:spacing w:before="120"/>
    </w:pPr>
  </w:style>
  <w:style w:type="paragraph" w:styleId="ListNumber2">
    <w:name w:val="List Number 2"/>
    <w:basedOn w:val="ListNumber"/>
    <w:rsid w:val="00BF1FA6"/>
    <w:pPr>
      <w:numPr>
        <w:ilvl w:val="1"/>
      </w:numPr>
    </w:pPr>
  </w:style>
  <w:style w:type="paragraph" w:styleId="ListNumber3">
    <w:name w:val="List Number 3"/>
    <w:basedOn w:val="ListNumber2"/>
    <w:rsid w:val="00BF1FA6"/>
    <w:pPr>
      <w:numPr>
        <w:ilvl w:val="2"/>
      </w:numPr>
    </w:pPr>
  </w:style>
  <w:style w:type="character" w:customStyle="1" w:styleId="NoteLabel">
    <w:name w:val="Note Label"/>
    <w:basedOn w:val="DefaultParagraphFont"/>
    <w:rsid w:val="00BF1FA6"/>
    <w:rPr>
      <w:rFonts w:ascii="Arial" w:hAnsi="Arial"/>
      <w:b/>
      <w:position w:val="6"/>
      <w:sz w:val="18"/>
    </w:rPr>
  </w:style>
  <w:style w:type="paragraph" w:customStyle="1" w:styleId="PartDivider">
    <w:name w:val="Part Divider"/>
    <w:basedOn w:val="BodyText"/>
    <w:next w:val="BodyText"/>
    <w:semiHidden/>
    <w:rsid w:val="00BF1FA6"/>
    <w:pPr>
      <w:spacing w:before="0" w:line="40" w:lineRule="exact"/>
      <w:jc w:val="right"/>
    </w:pPr>
    <w:rPr>
      <w:smallCaps/>
      <w:sz w:val="16"/>
    </w:rPr>
  </w:style>
  <w:style w:type="paragraph" w:customStyle="1" w:styleId="PartNumber">
    <w:name w:val="Part Number"/>
    <w:basedOn w:val="BodyText"/>
    <w:next w:val="BodyText"/>
    <w:semiHidden/>
    <w:rsid w:val="00BF1FA6"/>
    <w:pPr>
      <w:spacing w:before="4000" w:line="320" w:lineRule="exact"/>
      <w:ind w:left="6634"/>
      <w:jc w:val="right"/>
    </w:pPr>
    <w:rPr>
      <w:smallCaps/>
      <w:spacing w:val="60"/>
      <w:sz w:val="32"/>
    </w:rPr>
  </w:style>
  <w:style w:type="paragraph" w:customStyle="1" w:styleId="PartTitle">
    <w:name w:val="Part Title"/>
    <w:basedOn w:val="BodyText"/>
    <w:semiHidden/>
    <w:rsid w:val="00BF1FA6"/>
    <w:pPr>
      <w:spacing w:before="160" w:after="1360" w:line="520" w:lineRule="exact"/>
      <w:ind w:right="2381"/>
      <w:jc w:val="right"/>
    </w:pPr>
    <w:rPr>
      <w:smallCaps/>
      <w:sz w:val="52"/>
    </w:rPr>
  </w:style>
  <w:style w:type="paragraph" w:styleId="Quote">
    <w:name w:val="Quote"/>
    <w:basedOn w:val="BodyText"/>
    <w:next w:val="BodyText"/>
    <w:qFormat/>
    <w:rsid w:val="00BF1FA6"/>
    <w:pPr>
      <w:spacing w:before="120" w:line="280" w:lineRule="exact"/>
      <w:ind w:left="340"/>
    </w:pPr>
    <w:rPr>
      <w:sz w:val="22"/>
    </w:rPr>
  </w:style>
  <w:style w:type="paragraph" w:customStyle="1" w:styleId="QuoteBullet">
    <w:name w:val="Quote Bullet"/>
    <w:basedOn w:val="Quote"/>
    <w:rsid w:val="00BF1FA6"/>
    <w:pPr>
      <w:numPr>
        <w:numId w:val="8"/>
      </w:numPr>
    </w:pPr>
  </w:style>
  <w:style w:type="paragraph" w:customStyle="1" w:styleId="Rec">
    <w:name w:val="Rec"/>
    <w:basedOn w:val="BodyText"/>
    <w:qFormat/>
    <w:rsid w:val="00BF1FA6"/>
    <w:pPr>
      <w:keepLines/>
      <w:spacing w:before="120" w:line="280" w:lineRule="atLeast"/>
    </w:pPr>
    <w:rPr>
      <w:rFonts w:ascii="Arial" w:hAnsi="Arial"/>
      <w:sz w:val="22"/>
    </w:rPr>
  </w:style>
  <w:style w:type="paragraph" w:customStyle="1" w:styleId="RecBullet">
    <w:name w:val="Rec Bullet"/>
    <w:basedOn w:val="Rec"/>
    <w:rsid w:val="00BF1FA6"/>
    <w:pPr>
      <w:numPr>
        <w:numId w:val="9"/>
      </w:numPr>
      <w:spacing w:before="80"/>
    </w:pPr>
  </w:style>
  <w:style w:type="paragraph" w:customStyle="1" w:styleId="RecB">
    <w:name w:val="RecB"/>
    <w:basedOn w:val="Normal"/>
    <w:semiHidden/>
    <w:rsid w:val="00BF1FA6"/>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BF1FA6"/>
    <w:pPr>
      <w:numPr>
        <w:numId w:val="10"/>
      </w:numPr>
      <w:spacing w:before="80"/>
    </w:pPr>
  </w:style>
  <w:style w:type="paragraph" w:customStyle="1" w:styleId="RecBNoTitle">
    <w:name w:val="RecB NoTitle"/>
    <w:basedOn w:val="RecB"/>
    <w:semiHidden/>
    <w:rsid w:val="00BF1FA6"/>
    <w:pPr>
      <w:spacing w:before="240"/>
    </w:pPr>
  </w:style>
  <w:style w:type="paragraph" w:customStyle="1" w:styleId="Reference">
    <w:name w:val="Reference"/>
    <w:basedOn w:val="BodyText"/>
    <w:rsid w:val="00BF1FA6"/>
    <w:pPr>
      <w:spacing w:before="120"/>
      <w:ind w:left="340" w:hanging="340"/>
    </w:pPr>
  </w:style>
  <w:style w:type="paragraph" w:customStyle="1" w:styleId="SequenceInfo">
    <w:name w:val="Sequence Info"/>
    <w:basedOn w:val="BodyText"/>
    <w:semiHidden/>
    <w:rsid w:val="00BF1FA6"/>
    <w:rPr>
      <w:vanish/>
      <w:sz w:val="16"/>
    </w:rPr>
  </w:style>
  <w:style w:type="paragraph" w:customStyle="1" w:styleId="SideNote">
    <w:name w:val="Side Note"/>
    <w:basedOn w:val="BodyText"/>
    <w:next w:val="BodyText"/>
    <w:semiHidden/>
    <w:rsid w:val="00BF1FA6"/>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BF1FA6"/>
    <w:pPr>
      <w:framePr w:wrap="around"/>
      <w:numPr>
        <w:numId w:val="11"/>
      </w:numPr>
      <w:tabs>
        <w:tab w:val="left" w:pos="227"/>
      </w:tabs>
    </w:pPr>
  </w:style>
  <w:style w:type="paragraph" w:customStyle="1" w:styleId="SideNoteGraphic">
    <w:name w:val="Side Note Graphic"/>
    <w:basedOn w:val="SideNote"/>
    <w:next w:val="BodyText"/>
    <w:semiHidden/>
    <w:rsid w:val="00BF1FA6"/>
    <w:pPr>
      <w:framePr w:wrap="around"/>
    </w:pPr>
  </w:style>
  <w:style w:type="paragraph" w:customStyle="1" w:styleId="TableBodyText">
    <w:name w:val="Table Body Text"/>
    <w:basedOn w:val="BodyText"/>
    <w:rsid w:val="00BF1FA6"/>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BF1FA6"/>
    <w:pPr>
      <w:numPr>
        <w:numId w:val="12"/>
      </w:numPr>
      <w:jc w:val="left"/>
    </w:pPr>
  </w:style>
  <w:style w:type="paragraph" w:customStyle="1" w:styleId="TableColumnHeading">
    <w:name w:val="Table Column Heading"/>
    <w:basedOn w:val="TableBodyText"/>
    <w:rsid w:val="00BF1FA6"/>
    <w:pPr>
      <w:spacing w:before="80" w:after="80"/>
    </w:pPr>
    <w:rPr>
      <w:i/>
    </w:rPr>
  </w:style>
  <w:style w:type="paragraph" w:styleId="TOC2">
    <w:name w:val="toc 2"/>
    <w:basedOn w:val="TOC1"/>
    <w:rsid w:val="00BF1FA6"/>
    <w:pPr>
      <w:ind w:left="1134" w:hanging="624"/>
    </w:pPr>
    <w:rPr>
      <w:b w:val="0"/>
    </w:rPr>
  </w:style>
  <w:style w:type="paragraph" w:styleId="TOC3">
    <w:name w:val="toc 3"/>
    <w:basedOn w:val="TOC2"/>
    <w:rsid w:val="00BF1FA6"/>
    <w:pPr>
      <w:spacing w:before="60"/>
      <w:ind w:left="1190" w:hanging="680"/>
    </w:pPr>
  </w:style>
  <w:style w:type="paragraph" w:styleId="TableofFigures">
    <w:name w:val="table of figures"/>
    <w:basedOn w:val="TOC3"/>
    <w:next w:val="BodyText"/>
    <w:semiHidden/>
    <w:rsid w:val="00BF1FA6"/>
    <w:pPr>
      <w:ind w:left="737" w:hanging="737"/>
    </w:pPr>
  </w:style>
  <w:style w:type="paragraph" w:customStyle="1" w:styleId="TableTitle">
    <w:name w:val="Table Title"/>
    <w:basedOn w:val="Caption"/>
    <w:next w:val="Subtitle"/>
    <w:qFormat/>
    <w:rsid w:val="00BF1FA6"/>
    <w:pPr>
      <w:spacing w:before="120"/>
    </w:pPr>
  </w:style>
  <w:style w:type="paragraph" w:customStyle="1" w:styleId="TableUnitsRow">
    <w:name w:val="Table Units Row"/>
    <w:basedOn w:val="TableBodyText"/>
    <w:rsid w:val="00BF1FA6"/>
    <w:pPr>
      <w:spacing w:before="40"/>
    </w:pPr>
  </w:style>
  <w:style w:type="paragraph" w:styleId="TOC1">
    <w:name w:val="toc 1"/>
    <w:basedOn w:val="Normal"/>
    <w:next w:val="TOC2"/>
    <w:link w:val="TOC1Char"/>
    <w:rsid w:val="00BF1FA6"/>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BF1FA6"/>
    <w:pPr>
      <w:ind w:left="1191" w:firstLine="0"/>
    </w:pPr>
  </w:style>
  <w:style w:type="paragraph" w:customStyle="1" w:styleId="RecBBullet2">
    <w:name w:val="RecB Bullet 2"/>
    <w:basedOn w:val="ListBullet2"/>
    <w:semiHidden/>
    <w:rsid w:val="00BF1FA6"/>
    <w:pPr>
      <w:pBdr>
        <w:left w:val="single" w:sz="24" w:space="29" w:color="C0C0C0"/>
      </w:pBdr>
    </w:pPr>
    <w:rPr>
      <w:b/>
      <w:i/>
    </w:rPr>
  </w:style>
  <w:style w:type="paragraph" w:styleId="BalloonText">
    <w:name w:val="Balloon Text"/>
    <w:basedOn w:val="Normal"/>
    <w:link w:val="BalloonTextChar"/>
    <w:rsid w:val="00BF1FA6"/>
    <w:rPr>
      <w:rFonts w:ascii="Tahoma" w:hAnsi="Tahoma" w:cs="Tahoma"/>
      <w:sz w:val="16"/>
      <w:szCs w:val="16"/>
    </w:rPr>
  </w:style>
  <w:style w:type="character" w:customStyle="1" w:styleId="BalloonTextChar">
    <w:name w:val="Balloon Text Char"/>
    <w:basedOn w:val="DefaultParagraphFont"/>
    <w:link w:val="BalloonText"/>
    <w:rsid w:val="00BF1FA6"/>
    <w:rPr>
      <w:rFonts w:ascii="Tahoma" w:hAnsi="Tahoma" w:cs="Tahoma"/>
      <w:sz w:val="16"/>
      <w:szCs w:val="16"/>
    </w:rPr>
  </w:style>
  <w:style w:type="character" w:customStyle="1" w:styleId="SubtitleChar">
    <w:name w:val="Subtitle Char"/>
    <w:basedOn w:val="DefaultParagraphFont"/>
    <w:link w:val="Subtitle"/>
    <w:rsid w:val="00BF1FA6"/>
    <w:rPr>
      <w:rFonts w:ascii="Arial" w:hAnsi="Arial"/>
      <w:szCs w:val="24"/>
    </w:rPr>
  </w:style>
  <w:style w:type="paragraph" w:customStyle="1" w:styleId="BoxListBullet3">
    <w:name w:val="Box List Bullet 3"/>
    <w:basedOn w:val="ListBullet3"/>
    <w:rsid w:val="00BF1FA6"/>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BF1FA6"/>
    <w:rPr>
      <w:i/>
      <w:iCs/>
    </w:rPr>
  </w:style>
  <w:style w:type="paragraph" w:customStyle="1" w:styleId="BoxQuoteBullet">
    <w:name w:val="Box Quote Bullet"/>
    <w:basedOn w:val="BoxQuote"/>
    <w:next w:val="Box"/>
    <w:rsid w:val="00BF1FA6"/>
    <w:pPr>
      <w:numPr>
        <w:numId w:val="15"/>
      </w:numPr>
      <w:ind w:left="568" w:hanging="284"/>
    </w:pPr>
  </w:style>
  <w:style w:type="paragraph" w:customStyle="1" w:styleId="InformationRequestBullet">
    <w:name w:val="Information Request Bullet"/>
    <w:basedOn w:val="ListBullet"/>
    <w:next w:val="BodyText"/>
    <w:rsid w:val="00BF1FA6"/>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BF1FA6"/>
    <w:pPr>
      <w:keepNext w:val="0"/>
      <w:spacing w:before="60" w:after="60" w:line="80" w:lineRule="exact"/>
    </w:pPr>
    <w:rPr>
      <w:sz w:val="14"/>
    </w:rPr>
  </w:style>
  <w:style w:type="paragraph" w:styleId="CommentSubject">
    <w:name w:val="annotation subject"/>
    <w:basedOn w:val="CommentText"/>
    <w:next w:val="CommentText"/>
    <w:link w:val="CommentSubjectChar"/>
    <w:rsid w:val="0000533F"/>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00533F"/>
    <w:rPr>
      <w:szCs w:val="24"/>
    </w:rPr>
  </w:style>
  <w:style w:type="character" w:customStyle="1" w:styleId="CommentSubjectChar">
    <w:name w:val="Comment Subject Char"/>
    <w:basedOn w:val="CommentTextChar"/>
    <w:link w:val="CommentSubject"/>
    <w:rsid w:val="0000533F"/>
    <w:rPr>
      <w:b/>
      <w:bCs/>
      <w:szCs w:val="24"/>
    </w:rPr>
  </w:style>
  <w:style w:type="character" w:styleId="Hyperlink">
    <w:name w:val="Hyperlink"/>
    <w:basedOn w:val="DefaultParagraphFont"/>
    <w:rsid w:val="00920123"/>
    <w:rPr>
      <w:color w:val="78A22F" w:themeColor="hyperlink"/>
      <w:u w:val="single"/>
    </w:rPr>
  </w:style>
  <w:style w:type="paragraph" w:customStyle="1" w:styleId="KeyPointsListBullet">
    <w:name w:val="Key Points List Bullet"/>
    <w:basedOn w:val="Normal"/>
    <w:qFormat/>
    <w:rsid w:val="00BF1FA6"/>
    <w:pPr>
      <w:keepNext/>
      <w:numPr>
        <w:numId w:val="19"/>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BF1FA6"/>
    <w:pPr>
      <w:numPr>
        <w:numId w:val="20"/>
      </w:numPr>
      <w:ind w:left="568" w:hanging="284"/>
    </w:pPr>
  </w:style>
  <w:style w:type="paragraph" w:customStyle="1" w:styleId="InformationRequestTitle">
    <w:name w:val="Information Request Title"/>
    <w:basedOn w:val="FindingTitle"/>
    <w:next w:val="InformationRequest"/>
    <w:rsid w:val="00BF1FA6"/>
    <w:rPr>
      <w:i/>
    </w:rPr>
  </w:style>
  <w:style w:type="paragraph" w:customStyle="1" w:styleId="Space">
    <w:name w:val="Space"/>
    <w:basedOn w:val="Normal"/>
    <w:rsid w:val="00BF1FA6"/>
    <w:pPr>
      <w:keepNext/>
      <w:spacing w:line="120" w:lineRule="exact"/>
      <w:jc w:val="both"/>
    </w:pPr>
    <w:rPr>
      <w:rFonts w:ascii="Arial" w:hAnsi="Arial"/>
      <w:sz w:val="20"/>
      <w:szCs w:val="20"/>
    </w:rPr>
  </w:style>
  <w:style w:type="paragraph" w:customStyle="1" w:styleId="Heading1nochapterno">
    <w:name w:val="Heading 1 (no chapter no.)"/>
    <w:basedOn w:val="Heading1"/>
    <w:rsid w:val="00BF1FA6"/>
    <w:pPr>
      <w:spacing w:before="0"/>
      <w:ind w:left="0" w:firstLine="0"/>
    </w:pPr>
  </w:style>
  <w:style w:type="paragraph" w:customStyle="1" w:styleId="Heading2nosectionno">
    <w:name w:val="Heading 2 (no section no.)"/>
    <w:basedOn w:val="Heading2"/>
    <w:rsid w:val="00BF1FA6"/>
    <w:pPr>
      <w:ind w:left="0" w:firstLine="0"/>
    </w:pPr>
  </w:style>
  <w:style w:type="character" w:customStyle="1" w:styleId="Heading5Char">
    <w:name w:val="Heading 5 Char"/>
    <w:basedOn w:val="DefaultParagraphFont"/>
    <w:link w:val="Heading5"/>
    <w:rsid w:val="00BF1FA6"/>
    <w:rPr>
      <w:rFonts w:ascii="Arial" w:hAnsi="Arial"/>
      <w:i/>
      <w:sz w:val="22"/>
    </w:rPr>
  </w:style>
  <w:style w:type="paragraph" w:customStyle="1" w:styleId="Figurespace">
    <w:name w:val="Figure space"/>
    <w:basedOn w:val="Box"/>
    <w:rsid w:val="00BF1FA6"/>
    <w:pPr>
      <w:spacing w:before="0" w:line="120" w:lineRule="exact"/>
    </w:pPr>
  </w:style>
  <w:style w:type="paragraph" w:customStyle="1" w:styleId="FooterDraftReport">
    <w:name w:val="FooterDraftReport"/>
    <w:basedOn w:val="Footer"/>
    <w:link w:val="FooterDraftReportChar"/>
    <w:rsid w:val="00BF1FA6"/>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BF1FA6"/>
    <w:rPr>
      <w:sz w:val="24"/>
    </w:rPr>
  </w:style>
  <w:style w:type="character" w:customStyle="1" w:styleId="FooterChar">
    <w:name w:val="Footer Char"/>
    <w:basedOn w:val="BodyTextChar"/>
    <w:link w:val="Footer"/>
    <w:rsid w:val="00BF1FA6"/>
    <w:rPr>
      <w:rFonts w:ascii="Arial" w:hAnsi="Arial"/>
      <w:caps/>
      <w:spacing w:val="-4"/>
      <w:sz w:val="16"/>
    </w:rPr>
  </w:style>
  <w:style w:type="character" w:customStyle="1" w:styleId="FooterDraftReportChar">
    <w:name w:val="FooterDraftReport Char"/>
    <w:basedOn w:val="FooterChar"/>
    <w:link w:val="FooterDraftReport"/>
    <w:rsid w:val="00BF1FA6"/>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BF1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BF1FA6"/>
    <w:rPr>
      <w:rFonts w:ascii="Arial" w:hAnsi="Arial"/>
      <w:b/>
      <w:sz w:val="26"/>
      <w:szCs w:val="26"/>
      <w:lang w:eastAsia="en-US"/>
    </w:rPr>
  </w:style>
  <w:style w:type="character" w:customStyle="1" w:styleId="BoxListBulletChar">
    <w:name w:val="Box List Bullet Char"/>
    <w:basedOn w:val="DefaultParagraphFont"/>
    <w:link w:val="BoxListBullet"/>
    <w:rsid w:val="007107E8"/>
    <w:rPr>
      <w:rFonts w:ascii="Arial" w:hAnsi="Arial"/>
    </w:rPr>
  </w:style>
  <w:style w:type="paragraph" w:styleId="Bibliography">
    <w:name w:val="Bibliography"/>
    <w:basedOn w:val="Normal"/>
    <w:next w:val="Normal"/>
    <w:uiPriority w:val="37"/>
    <w:unhideWhenUsed/>
    <w:rsid w:val="00A43A31"/>
    <w:pPr>
      <w:spacing w:after="240"/>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BF1FA6"/>
    <w:rPr>
      <w:sz w:val="24"/>
      <w:szCs w:val="24"/>
    </w:rPr>
  </w:style>
  <w:style w:type="paragraph" w:styleId="Heading1">
    <w:name w:val="heading 1"/>
    <w:basedOn w:val="BodyText"/>
    <w:next w:val="BodyText"/>
    <w:rsid w:val="00BF1FA6"/>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BF1FA6"/>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BF1FA6"/>
    <w:pPr>
      <w:spacing w:before="560" w:line="320" w:lineRule="exact"/>
      <w:ind w:left="0" w:firstLine="0"/>
      <w:outlineLvl w:val="2"/>
    </w:pPr>
    <w:rPr>
      <w:sz w:val="26"/>
    </w:rPr>
  </w:style>
  <w:style w:type="paragraph" w:styleId="Heading4">
    <w:name w:val="heading 4"/>
    <w:basedOn w:val="Heading3"/>
    <w:next w:val="BodyText"/>
    <w:qFormat/>
    <w:rsid w:val="00BF1FA6"/>
    <w:pPr>
      <w:spacing w:before="480"/>
      <w:outlineLvl w:val="3"/>
    </w:pPr>
    <w:rPr>
      <w:b w:val="0"/>
      <w:sz w:val="24"/>
    </w:rPr>
  </w:style>
  <w:style w:type="paragraph" w:styleId="Heading5">
    <w:name w:val="heading 5"/>
    <w:basedOn w:val="Heading4"/>
    <w:next w:val="BodyText"/>
    <w:link w:val="Heading5Char"/>
    <w:qFormat/>
    <w:rsid w:val="00BF1FA6"/>
    <w:pPr>
      <w:outlineLvl w:val="4"/>
    </w:pPr>
    <w:rPr>
      <w:i/>
      <w:sz w:val="22"/>
    </w:rPr>
  </w:style>
  <w:style w:type="paragraph" w:styleId="Heading6">
    <w:name w:val="heading 6"/>
    <w:basedOn w:val="BodyText"/>
    <w:next w:val="BodyText"/>
    <w:rsid w:val="00BF1FA6"/>
    <w:pPr>
      <w:spacing w:after="60"/>
      <w:jc w:val="left"/>
      <w:outlineLvl w:val="5"/>
    </w:pPr>
    <w:rPr>
      <w:i/>
      <w:sz w:val="22"/>
    </w:rPr>
  </w:style>
  <w:style w:type="paragraph" w:styleId="Heading7">
    <w:name w:val="heading 7"/>
    <w:basedOn w:val="BodyText"/>
    <w:next w:val="BodyText"/>
    <w:rsid w:val="00BF1FA6"/>
    <w:pPr>
      <w:spacing w:after="60" w:line="240" w:lineRule="auto"/>
      <w:jc w:val="left"/>
      <w:outlineLvl w:val="6"/>
    </w:pPr>
    <w:rPr>
      <w:rFonts w:ascii="Arial" w:hAnsi="Arial"/>
      <w:sz w:val="20"/>
    </w:rPr>
  </w:style>
  <w:style w:type="paragraph" w:styleId="Heading8">
    <w:name w:val="heading 8"/>
    <w:basedOn w:val="BodyText"/>
    <w:next w:val="BodyText"/>
    <w:rsid w:val="00BF1FA6"/>
    <w:pPr>
      <w:spacing w:after="60" w:line="240" w:lineRule="auto"/>
      <w:jc w:val="left"/>
      <w:outlineLvl w:val="7"/>
    </w:pPr>
    <w:rPr>
      <w:rFonts w:ascii="Arial" w:hAnsi="Arial"/>
      <w:i/>
      <w:sz w:val="20"/>
    </w:rPr>
  </w:style>
  <w:style w:type="paragraph" w:styleId="Heading9">
    <w:name w:val="heading 9"/>
    <w:basedOn w:val="BodyText"/>
    <w:next w:val="BodyText"/>
    <w:rsid w:val="00BF1FA6"/>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BF1F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1FA6"/>
  </w:style>
  <w:style w:type="paragraph" w:styleId="BodyText">
    <w:name w:val="Body Text"/>
    <w:link w:val="BodyTextChar"/>
    <w:qFormat/>
    <w:rsid w:val="00BF1FA6"/>
    <w:pPr>
      <w:spacing w:before="240" w:line="300" w:lineRule="atLeast"/>
      <w:jc w:val="both"/>
    </w:pPr>
    <w:rPr>
      <w:sz w:val="24"/>
    </w:rPr>
  </w:style>
  <w:style w:type="paragraph" w:styleId="Footer">
    <w:name w:val="footer"/>
    <w:basedOn w:val="BodyText"/>
    <w:link w:val="FooterChar"/>
    <w:rsid w:val="00BF1FA6"/>
    <w:pPr>
      <w:spacing w:before="80" w:line="200" w:lineRule="exact"/>
      <w:ind w:right="6"/>
      <w:jc w:val="left"/>
    </w:pPr>
    <w:rPr>
      <w:rFonts w:ascii="Arial" w:hAnsi="Arial"/>
      <w:caps/>
      <w:spacing w:val="-4"/>
      <w:sz w:val="16"/>
    </w:rPr>
  </w:style>
  <w:style w:type="paragraph" w:customStyle="1" w:styleId="FooterEnd">
    <w:name w:val="Footer End"/>
    <w:basedOn w:val="Footer"/>
    <w:rsid w:val="00BF1FA6"/>
    <w:pPr>
      <w:spacing w:before="0" w:line="20" w:lineRule="exact"/>
    </w:pPr>
  </w:style>
  <w:style w:type="paragraph" w:styleId="Header">
    <w:name w:val="header"/>
    <w:basedOn w:val="BodyText"/>
    <w:rsid w:val="00BF1FA6"/>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BF1FA6"/>
    <w:pPr>
      <w:spacing w:line="20" w:lineRule="exact"/>
    </w:pPr>
    <w:rPr>
      <w:sz w:val="16"/>
    </w:rPr>
  </w:style>
  <w:style w:type="paragraph" w:customStyle="1" w:styleId="HeaderEven">
    <w:name w:val="Header Even"/>
    <w:basedOn w:val="Header"/>
    <w:semiHidden/>
    <w:rsid w:val="00BF1FA6"/>
  </w:style>
  <w:style w:type="paragraph" w:customStyle="1" w:styleId="HeaderOdd">
    <w:name w:val="Header Odd"/>
    <w:basedOn w:val="Header"/>
    <w:semiHidden/>
    <w:rsid w:val="00BF1FA6"/>
  </w:style>
  <w:style w:type="character" w:styleId="PageNumber">
    <w:name w:val="page number"/>
    <w:basedOn w:val="DefaultParagraphFont"/>
    <w:rsid w:val="00BF1FA6"/>
    <w:rPr>
      <w:rFonts w:ascii="Arial" w:hAnsi="Arial"/>
      <w:b/>
      <w:sz w:val="16"/>
    </w:rPr>
  </w:style>
  <w:style w:type="paragraph" w:customStyle="1" w:styleId="Abbreviation">
    <w:name w:val="Abbreviation"/>
    <w:basedOn w:val="BodyText"/>
    <w:rsid w:val="00BF1FA6"/>
    <w:pPr>
      <w:spacing w:before="120"/>
      <w:ind w:left="2381" w:hanging="2381"/>
      <w:jc w:val="left"/>
    </w:pPr>
  </w:style>
  <w:style w:type="paragraph" w:customStyle="1" w:styleId="Box">
    <w:name w:val="Box"/>
    <w:basedOn w:val="BodyText"/>
    <w:qFormat/>
    <w:rsid w:val="00BF1FA6"/>
    <w:pPr>
      <w:keepNext/>
      <w:spacing w:before="120" w:line="260" w:lineRule="atLeast"/>
    </w:pPr>
    <w:rPr>
      <w:rFonts w:ascii="Arial" w:hAnsi="Arial"/>
      <w:sz w:val="20"/>
    </w:rPr>
  </w:style>
  <w:style w:type="paragraph" w:customStyle="1" w:styleId="BoxContinued">
    <w:name w:val="Box Continued"/>
    <w:basedOn w:val="BodyText"/>
    <w:next w:val="BodyText"/>
    <w:semiHidden/>
    <w:rsid w:val="00BF1FA6"/>
    <w:pPr>
      <w:spacing w:before="180" w:line="220" w:lineRule="exact"/>
      <w:jc w:val="right"/>
    </w:pPr>
    <w:rPr>
      <w:rFonts w:ascii="Arial" w:hAnsi="Arial"/>
      <w:sz w:val="18"/>
    </w:rPr>
  </w:style>
  <w:style w:type="paragraph" w:customStyle="1" w:styleId="BoxHeading1">
    <w:name w:val="Box Heading 1"/>
    <w:basedOn w:val="BodyText"/>
    <w:next w:val="Box"/>
    <w:rsid w:val="00BF1FA6"/>
    <w:pPr>
      <w:keepNext/>
      <w:spacing w:before="200" w:line="280" w:lineRule="atLeast"/>
    </w:pPr>
    <w:rPr>
      <w:rFonts w:ascii="Arial" w:hAnsi="Arial"/>
      <w:b/>
      <w:sz w:val="22"/>
    </w:rPr>
  </w:style>
  <w:style w:type="paragraph" w:customStyle="1" w:styleId="BoxHeading2">
    <w:name w:val="Box Heading 2"/>
    <w:basedOn w:val="BoxHeading1"/>
    <w:next w:val="Normal"/>
    <w:rsid w:val="00BF1FA6"/>
    <w:rPr>
      <w:b w:val="0"/>
      <w:i/>
    </w:rPr>
  </w:style>
  <w:style w:type="paragraph" w:customStyle="1" w:styleId="BoxListBullet">
    <w:name w:val="Box List Bullet"/>
    <w:basedOn w:val="BodyText"/>
    <w:link w:val="BoxListBulletChar"/>
    <w:rsid w:val="00BF1FA6"/>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BF1FA6"/>
    <w:pPr>
      <w:numPr>
        <w:numId w:val="2"/>
      </w:numPr>
      <w:ind w:left="568" w:hanging="284"/>
    </w:pPr>
  </w:style>
  <w:style w:type="paragraph" w:customStyle="1" w:styleId="BoxListNumber">
    <w:name w:val="Box List Number"/>
    <w:basedOn w:val="BodyText"/>
    <w:rsid w:val="00BF1FA6"/>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BF1FA6"/>
    <w:pPr>
      <w:numPr>
        <w:ilvl w:val="1"/>
      </w:numPr>
      <w:ind w:left="681" w:hanging="397"/>
    </w:pPr>
  </w:style>
  <w:style w:type="paragraph" w:customStyle="1" w:styleId="BoxQuote">
    <w:name w:val="Box Quote"/>
    <w:basedOn w:val="BodyText"/>
    <w:next w:val="Box"/>
    <w:qFormat/>
    <w:rsid w:val="00BF1FA6"/>
    <w:pPr>
      <w:keepNext/>
      <w:spacing w:before="60" w:line="240" w:lineRule="exact"/>
      <w:ind w:left="284"/>
    </w:pPr>
    <w:rPr>
      <w:rFonts w:ascii="Arial" w:hAnsi="Arial"/>
      <w:sz w:val="18"/>
    </w:rPr>
  </w:style>
  <w:style w:type="paragraph" w:customStyle="1" w:styleId="Note">
    <w:name w:val="Note"/>
    <w:basedOn w:val="BodyText"/>
    <w:next w:val="BodyText"/>
    <w:rsid w:val="00BF1FA6"/>
    <w:pPr>
      <w:keepLines/>
      <w:spacing w:before="80" w:line="220" w:lineRule="exact"/>
    </w:pPr>
    <w:rPr>
      <w:rFonts w:ascii="Arial" w:hAnsi="Arial"/>
      <w:sz w:val="18"/>
    </w:rPr>
  </w:style>
  <w:style w:type="paragraph" w:customStyle="1" w:styleId="Source">
    <w:name w:val="Source"/>
    <w:basedOn w:val="Normal"/>
    <w:next w:val="BodyText"/>
    <w:rsid w:val="00BF1FA6"/>
    <w:pPr>
      <w:keepLines/>
      <w:spacing w:before="80" w:line="220" w:lineRule="exact"/>
      <w:jc w:val="both"/>
    </w:pPr>
    <w:rPr>
      <w:rFonts w:ascii="Arial" w:hAnsi="Arial"/>
      <w:sz w:val="18"/>
      <w:szCs w:val="20"/>
    </w:rPr>
  </w:style>
  <w:style w:type="paragraph" w:customStyle="1" w:styleId="BoxSource">
    <w:name w:val="Box Source"/>
    <w:basedOn w:val="Source"/>
    <w:next w:val="BodyText"/>
    <w:rsid w:val="00BF1FA6"/>
    <w:pPr>
      <w:spacing w:before="120"/>
    </w:pPr>
  </w:style>
  <w:style w:type="paragraph" w:customStyle="1" w:styleId="BoxSpaceAbove">
    <w:name w:val="Box Space Above"/>
    <w:basedOn w:val="BodyText"/>
    <w:rsid w:val="00BF1FA6"/>
    <w:pPr>
      <w:keepNext/>
      <w:spacing w:before="360" w:line="80" w:lineRule="exact"/>
      <w:jc w:val="left"/>
    </w:pPr>
  </w:style>
  <w:style w:type="paragraph" w:styleId="Caption">
    <w:name w:val="caption"/>
    <w:basedOn w:val="Normal"/>
    <w:next w:val="BodyText"/>
    <w:rsid w:val="00BF1FA6"/>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BF1FA6"/>
    <w:pPr>
      <w:spacing w:before="120" w:after="0"/>
    </w:pPr>
  </w:style>
  <w:style w:type="paragraph" w:customStyle="1" w:styleId="BoxSubtitle">
    <w:name w:val="Box Subtitle"/>
    <w:basedOn w:val="BoxTitle"/>
    <w:next w:val="Normal"/>
    <w:rsid w:val="00BF1FA6"/>
    <w:pPr>
      <w:spacing w:after="80" w:line="200" w:lineRule="exact"/>
      <w:ind w:firstLine="0"/>
    </w:pPr>
    <w:rPr>
      <w:b w:val="0"/>
      <w:sz w:val="20"/>
    </w:rPr>
  </w:style>
  <w:style w:type="paragraph" w:customStyle="1" w:styleId="Chapter">
    <w:name w:val="Chapter"/>
    <w:basedOn w:val="Heading1"/>
    <w:next w:val="BodyText"/>
    <w:semiHidden/>
    <w:rsid w:val="00BF1FA6"/>
    <w:pPr>
      <w:ind w:left="0" w:firstLine="0"/>
      <w:outlineLvl w:val="9"/>
    </w:pPr>
  </w:style>
  <w:style w:type="paragraph" w:customStyle="1" w:styleId="ChapterSummary">
    <w:name w:val="Chapter Summary"/>
    <w:basedOn w:val="BodyText"/>
    <w:rsid w:val="00BF1FA6"/>
    <w:pPr>
      <w:spacing w:line="280" w:lineRule="atLeast"/>
      <w:ind w:left="907"/>
    </w:pPr>
    <w:rPr>
      <w:rFonts w:ascii="Arial" w:hAnsi="Arial"/>
      <w:b/>
      <w:sz w:val="20"/>
    </w:rPr>
  </w:style>
  <w:style w:type="character" w:styleId="CommentReference">
    <w:name w:val="annotation reference"/>
    <w:basedOn w:val="DefaultParagraphFont"/>
    <w:semiHidden/>
    <w:rsid w:val="00BF1FA6"/>
    <w:rPr>
      <w:b/>
      <w:vanish/>
      <w:color w:val="FF00FF"/>
      <w:sz w:val="20"/>
    </w:rPr>
  </w:style>
  <w:style w:type="paragraph" w:styleId="CommentText">
    <w:name w:val="annotation text"/>
    <w:basedOn w:val="Normal"/>
    <w:link w:val="CommentTextChar"/>
    <w:semiHidden/>
    <w:rsid w:val="00BF1FA6"/>
    <w:pPr>
      <w:spacing w:before="120" w:line="240" w:lineRule="atLeast"/>
      <w:ind w:left="567" w:hanging="567"/>
    </w:pPr>
    <w:rPr>
      <w:sz w:val="20"/>
    </w:rPr>
  </w:style>
  <w:style w:type="paragraph" w:customStyle="1" w:styleId="Continued">
    <w:name w:val="Continued"/>
    <w:basedOn w:val="BoxContinued"/>
    <w:next w:val="BodyText"/>
    <w:rsid w:val="00BF1FA6"/>
  </w:style>
  <w:style w:type="character" w:customStyle="1" w:styleId="DocumentInfo">
    <w:name w:val="Document Info"/>
    <w:basedOn w:val="DefaultParagraphFont"/>
    <w:semiHidden/>
    <w:rsid w:val="00BF1FA6"/>
    <w:rPr>
      <w:rFonts w:ascii="Arial" w:hAnsi="Arial"/>
      <w:sz w:val="14"/>
    </w:rPr>
  </w:style>
  <w:style w:type="character" w:customStyle="1" w:styleId="DraftingNote">
    <w:name w:val="Drafting Note"/>
    <w:basedOn w:val="DefaultParagraphFont"/>
    <w:rsid w:val="00BF1FA6"/>
    <w:rPr>
      <w:b/>
      <w:color w:val="FF0000"/>
      <w:sz w:val="24"/>
      <w:u w:val="dotted"/>
    </w:rPr>
  </w:style>
  <w:style w:type="paragraph" w:customStyle="1" w:styleId="Figure">
    <w:name w:val="Figure"/>
    <w:basedOn w:val="BodyText"/>
    <w:rsid w:val="00BF1FA6"/>
    <w:pPr>
      <w:keepNext/>
      <w:spacing w:before="120" w:after="120" w:line="240" w:lineRule="atLeast"/>
      <w:jc w:val="center"/>
    </w:pPr>
  </w:style>
  <w:style w:type="paragraph" w:customStyle="1" w:styleId="FigureTitle">
    <w:name w:val="Figure Title"/>
    <w:basedOn w:val="Caption"/>
    <w:next w:val="Subtitle"/>
    <w:rsid w:val="00BF1FA6"/>
    <w:pPr>
      <w:spacing w:before="120"/>
    </w:pPr>
  </w:style>
  <w:style w:type="paragraph" w:styleId="Subtitle">
    <w:name w:val="Subtitle"/>
    <w:basedOn w:val="Caption"/>
    <w:link w:val="SubtitleChar"/>
    <w:qFormat/>
    <w:rsid w:val="00BF1FA6"/>
    <w:pPr>
      <w:spacing w:before="0" w:line="200" w:lineRule="exact"/>
      <w:ind w:firstLine="0"/>
    </w:pPr>
    <w:rPr>
      <w:b w:val="0"/>
      <w:sz w:val="20"/>
    </w:rPr>
  </w:style>
  <w:style w:type="paragraph" w:customStyle="1" w:styleId="Finding">
    <w:name w:val="Finding"/>
    <w:basedOn w:val="BodyText"/>
    <w:rsid w:val="00BF1FA6"/>
    <w:pPr>
      <w:keepLines/>
      <w:spacing w:before="120" w:line="280" w:lineRule="atLeast"/>
    </w:pPr>
    <w:rPr>
      <w:rFonts w:ascii="Arial" w:hAnsi="Arial"/>
      <w:sz w:val="22"/>
    </w:rPr>
  </w:style>
  <w:style w:type="paragraph" w:customStyle="1" w:styleId="FindingBullet">
    <w:name w:val="Finding Bullet"/>
    <w:basedOn w:val="Finding"/>
    <w:rsid w:val="00BF1FA6"/>
    <w:pPr>
      <w:numPr>
        <w:numId w:val="3"/>
      </w:numPr>
      <w:spacing w:before="80"/>
    </w:pPr>
  </w:style>
  <w:style w:type="paragraph" w:customStyle="1" w:styleId="FindingNoTitle">
    <w:name w:val="Finding NoTitle"/>
    <w:basedOn w:val="Finding"/>
    <w:semiHidden/>
    <w:rsid w:val="00BF1FA6"/>
    <w:pPr>
      <w:spacing w:before="240"/>
    </w:pPr>
  </w:style>
  <w:style w:type="paragraph" w:customStyle="1" w:styleId="RecTitle">
    <w:name w:val="Rec Title"/>
    <w:basedOn w:val="BodyText"/>
    <w:next w:val="Rec"/>
    <w:qFormat/>
    <w:rsid w:val="00BF1FA6"/>
    <w:pPr>
      <w:keepNext/>
      <w:keepLines/>
      <w:spacing w:line="280" w:lineRule="atLeast"/>
    </w:pPr>
    <w:rPr>
      <w:rFonts w:ascii="Arial" w:hAnsi="Arial"/>
      <w:caps/>
      <w:sz w:val="18"/>
    </w:rPr>
  </w:style>
  <w:style w:type="paragraph" w:customStyle="1" w:styleId="FindingTitle">
    <w:name w:val="Finding Title"/>
    <w:basedOn w:val="RecTitle"/>
    <w:next w:val="Finding"/>
    <w:rsid w:val="00BF1FA6"/>
  </w:style>
  <w:style w:type="character" w:styleId="FootnoteReference">
    <w:name w:val="footnote reference"/>
    <w:basedOn w:val="DefaultParagraphFont"/>
    <w:semiHidden/>
    <w:rsid w:val="00BF1FA6"/>
    <w:rPr>
      <w:rFonts w:ascii="Times New Roman" w:hAnsi="Times New Roman"/>
      <w:position w:val="6"/>
      <w:sz w:val="20"/>
      <w:vertAlign w:val="baseline"/>
    </w:rPr>
  </w:style>
  <w:style w:type="paragraph" w:styleId="FootnoteText">
    <w:name w:val="footnote text"/>
    <w:basedOn w:val="BodyText"/>
    <w:rsid w:val="00BF1FA6"/>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BF1FA6"/>
    <w:rPr>
      <w:i/>
    </w:rPr>
  </w:style>
  <w:style w:type="paragraph" w:customStyle="1" w:styleId="Jurisdictioncommentsbodytext">
    <w:name w:val="Jurisdiction comments body text"/>
    <w:rsid w:val="00BF1FA6"/>
    <w:pPr>
      <w:spacing w:after="140"/>
      <w:jc w:val="both"/>
    </w:pPr>
    <w:rPr>
      <w:rFonts w:ascii="Arial" w:hAnsi="Arial"/>
      <w:sz w:val="24"/>
      <w:lang w:eastAsia="en-US"/>
    </w:rPr>
  </w:style>
  <w:style w:type="paragraph" w:customStyle="1" w:styleId="Jurisdictioncommentsheading">
    <w:name w:val="Jurisdiction comments heading"/>
    <w:rsid w:val="00BF1FA6"/>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BF1FA6"/>
    <w:pPr>
      <w:numPr>
        <w:numId w:val="4"/>
      </w:numPr>
      <w:spacing w:after="140"/>
      <w:jc w:val="both"/>
    </w:pPr>
    <w:rPr>
      <w:rFonts w:ascii="Arial" w:hAnsi="Arial"/>
      <w:sz w:val="24"/>
      <w:lang w:eastAsia="en-US"/>
    </w:rPr>
  </w:style>
  <w:style w:type="paragraph" w:styleId="ListBullet">
    <w:name w:val="List Bullet"/>
    <w:basedOn w:val="BodyText"/>
    <w:rsid w:val="00BF1FA6"/>
    <w:pPr>
      <w:numPr>
        <w:numId w:val="5"/>
      </w:numPr>
      <w:spacing w:before="120"/>
    </w:pPr>
  </w:style>
  <w:style w:type="paragraph" w:styleId="ListBullet2">
    <w:name w:val="List Bullet 2"/>
    <w:basedOn w:val="BodyText"/>
    <w:rsid w:val="00BF1FA6"/>
    <w:pPr>
      <w:numPr>
        <w:numId w:val="6"/>
      </w:numPr>
      <w:spacing w:before="120"/>
    </w:pPr>
  </w:style>
  <w:style w:type="paragraph" w:styleId="ListBullet3">
    <w:name w:val="List Bullet 3"/>
    <w:basedOn w:val="BodyText"/>
    <w:rsid w:val="00BF1FA6"/>
    <w:pPr>
      <w:numPr>
        <w:numId w:val="7"/>
      </w:numPr>
      <w:spacing w:before="120"/>
      <w:ind w:left="1020" w:hanging="340"/>
    </w:pPr>
  </w:style>
  <w:style w:type="paragraph" w:styleId="ListNumber">
    <w:name w:val="List Number"/>
    <w:basedOn w:val="BodyText"/>
    <w:rsid w:val="00BF1FA6"/>
    <w:pPr>
      <w:numPr>
        <w:numId w:val="13"/>
      </w:numPr>
      <w:spacing w:before="120"/>
    </w:pPr>
  </w:style>
  <w:style w:type="paragraph" w:styleId="ListNumber2">
    <w:name w:val="List Number 2"/>
    <w:basedOn w:val="ListNumber"/>
    <w:rsid w:val="00BF1FA6"/>
    <w:pPr>
      <w:numPr>
        <w:ilvl w:val="1"/>
      </w:numPr>
    </w:pPr>
  </w:style>
  <w:style w:type="paragraph" w:styleId="ListNumber3">
    <w:name w:val="List Number 3"/>
    <w:basedOn w:val="ListNumber2"/>
    <w:rsid w:val="00BF1FA6"/>
    <w:pPr>
      <w:numPr>
        <w:ilvl w:val="2"/>
      </w:numPr>
    </w:pPr>
  </w:style>
  <w:style w:type="character" w:customStyle="1" w:styleId="NoteLabel">
    <w:name w:val="Note Label"/>
    <w:basedOn w:val="DefaultParagraphFont"/>
    <w:rsid w:val="00BF1FA6"/>
    <w:rPr>
      <w:rFonts w:ascii="Arial" w:hAnsi="Arial"/>
      <w:b/>
      <w:position w:val="6"/>
      <w:sz w:val="18"/>
    </w:rPr>
  </w:style>
  <w:style w:type="paragraph" w:customStyle="1" w:styleId="PartDivider">
    <w:name w:val="Part Divider"/>
    <w:basedOn w:val="BodyText"/>
    <w:next w:val="BodyText"/>
    <w:semiHidden/>
    <w:rsid w:val="00BF1FA6"/>
    <w:pPr>
      <w:spacing w:before="0" w:line="40" w:lineRule="exact"/>
      <w:jc w:val="right"/>
    </w:pPr>
    <w:rPr>
      <w:smallCaps/>
      <w:sz w:val="16"/>
    </w:rPr>
  </w:style>
  <w:style w:type="paragraph" w:customStyle="1" w:styleId="PartNumber">
    <w:name w:val="Part Number"/>
    <w:basedOn w:val="BodyText"/>
    <w:next w:val="BodyText"/>
    <w:semiHidden/>
    <w:rsid w:val="00BF1FA6"/>
    <w:pPr>
      <w:spacing w:before="4000" w:line="320" w:lineRule="exact"/>
      <w:ind w:left="6634"/>
      <w:jc w:val="right"/>
    </w:pPr>
    <w:rPr>
      <w:smallCaps/>
      <w:spacing w:val="60"/>
      <w:sz w:val="32"/>
    </w:rPr>
  </w:style>
  <w:style w:type="paragraph" w:customStyle="1" w:styleId="PartTitle">
    <w:name w:val="Part Title"/>
    <w:basedOn w:val="BodyText"/>
    <w:semiHidden/>
    <w:rsid w:val="00BF1FA6"/>
    <w:pPr>
      <w:spacing w:before="160" w:after="1360" w:line="520" w:lineRule="exact"/>
      <w:ind w:right="2381"/>
      <w:jc w:val="right"/>
    </w:pPr>
    <w:rPr>
      <w:smallCaps/>
      <w:sz w:val="52"/>
    </w:rPr>
  </w:style>
  <w:style w:type="paragraph" w:styleId="Quote">
    <w:name w:val="Quote"/>
    <w:basedOn w:val="BodyText"/>
    <w:next w:val="BodyText"/>
    <w:qFormat/>
    <w:rsid w:val="00BF1FA6"/>
    <w:pPr>
      <w:spacing w:before="120" w:line="280" w:lineRule="exact"/>
      <w:ind w:left="340"/>
    </w:pPr>
    <w:rPr>
      <w:sz w:val="22"/>
    </w:rPr>
  </w:style>
  <w:style w:type="paragraph" w:customStyle="1" w:styleId="QuoteBullet">
    <w:name w:val="Quote Bullet"/>
    <w:basedOn w:val="Quote"/>
    <w:rsid w:val="00BF1FA6"/>
    <w:pPr>
      <w:numPr>
        <w:numId w:val="8"/>
      </w:numPr>
    </w:pPr>
  </w:style>
  <w:style w:type="paragraph" w:customStyle="1" w:styleId="Rec">
    <w:name w:val="Rec"/>
    <w:basedOn w:val="BodyText"/>
    <w:qFormat/>
    <w:rsid w:val="00BF1FA6"/>
    <w:pPr>
      <w:keepLines/>
      <w:spacing w:before="120" w:line="280" w:lineRule="atLeast"/>
    </w:pPr>
    <w:rPr>
      <w:rFonts w:ascii="Arial" w:hAnsi="Arial"/>
      <w:sz w:val="22"/>
    </w:rPr>
  </w:style>
  <w:style w:type="paragraph" w:customStyle="1" w:styleId="RecBullet">
    <w:name w:val="Rec Bullet"/>
    <w:basedOn w:val="Rec"/>
    <w:rsid w:val="00BF1FA6"/>
    <w:pPr>
      <w:numPr>
        <w:numId w:val="9"/>
      </w:numPr>
      <w:spacing w:before="80"/>
    </w:pPr>
  </w:style>
  <w:style w:type="paragraph" w:customStyle="1" w:styleId="RecB">
    <w:name w:val="RecB"/>
    <w:basedOn w:val="Normal"/>
    <w:semiHidden/>
    <w:rsid w:val="00BF1FA6"/>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BF1FA6"/>
    <w:pPr>
      <w:numPr>
        <w:numId w:val="10"/>
      </w:numPr>
      <w:spacing w:before="80"/>
    </w:pPr>
  </w:style>
  <w:style w:type="paragraph" w:customStyle="1" w:styleId="RecBNoTitle">
    <w:name w:val="RecB NoTitle"/>
    <w:basedOn w:val="RecB"/>
    <w:semiHidden/>
    <w:rsid w:val="00BF1FA6"/>
    <w:pPr>
      <w:spacing w:before="240"/>
    </w:pPr>
  </w:style>
  <w:style w:type="paragraph" w:customStyle="1" w:styleId="Reference">
    <w:name w:val="Reference"/>
    <w:basedOn w:val="BodyText"/>
    <w:rsid w:val="00BF1FA6"/>
    <w:pPr>
      <w:spacing w:before="120"/>
      <w:ind w:left="340" w:hanging="340"/>
    </w:pPr>
  </w:style>
  <w:style w:type="paragraph" w:customStyle="1" w:styleId="SequenceInfo">
    <w:name w:val="Sequence Info"/>
    <w:basedOn w:val="BodyText"/>
    <w:semiHidden/>
    <w:rsid w:val="00BF1FA6"/>
    <w:rPr>
      <w:vanish/>
      <w:sz w:val="16"/>
    </w:rPr>
  </w:style>
  <w:style w:type="paragraph" w:customStyle="1" w:styleId="SideNote">
    <w:name w:val="Side Note"/>
    <w:basedOn w:val="BodyText"/>
    <w:next w:val="BodyText"/>
    <w:semiHidden/>
    <w:rsid w:val="00BF1FA6"/>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BF1FA6"/>
    <w:pPr>
      <w:framePr w:wrap="around"/>
      <w:numPr>
        <w:numId w:val="11"/>
      </w:numPr>
      <w:tabs>
        <w:tab w:val="left" w:pos="227"/>
      </w:tabs>
    </w:pPr>
  </w:style>
  <w:style w:type="paragraph" w:customStyle="1" w:styleId="SideNoteGraphic">
    <w:name w:val="Side Note Graphic"/>
    <w:basedOn w:val="SideNote"/>
    <w:next w:val="BodyText"/>
    <w:semiHidden/>
    <w:rsid w:val="00BF1FA6"/>
    <w:pPr>
      <w:framePr w:wrap="around"/>
    </w:pPr>
  </w:style>
  <w:style w:type="paragraph" w:customStyle="1" w:styleId="TableBodyText">
    <w:name w:val="Table Body Text"/>
    <w:basedOn w:val="BodyText"/>
    <w:rsid w:val="00BF1FA6"/>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BF1FA6"/>
    <w:pPr>
      <w:numPr>
        <w:numId w:val="12"/>
      </w:numPr>
      <w:jc w:val="left"/>
    </w:pPr>
  </w:style>
  <w:style w:type="paragraph" w:customStyle="1" w:styleId="TableColumnHeading">
    <w:name w:val="Table Column Heading"/>
    <w:basedOn w:val="TableBodyText"/>
    <w:rsid w:val="00BF1FA6"/>
    <w:pPr>
      <w:spacing w:before="80" w:after="80"/>
    </w:pPr>
    <w:rPr>
      <w:i/>
    </w:rPr>
  </w:style>
  <w:style w:type="paragraph" w:styleId="TOC2">
    <w:name w:val="toc 2"/>
    <w:basedOn w:val="TOC1"/>
    <w:rsid w:val="00BF1FA6"/>
    <w:pPr>
      <w:ind w:left="1134" w:hanging="624"/>
    </w:pPr>
    <w:rPr>
      <w:b w:val="0"/>
    </w:rPr>
  </w:style>
  <w:style w:type="paragraph" w:styleId="TOC3">
    <w:name w:val="toc 3"/>
    <w:basedOn w:val="TOC2"/>
    <w:rsid w:val="00BF1FA6"/>
    <w:pPr>
      <w:spacing w:before="60"/>
      <w:ind w:left="1190" w:hanging="680"/>
    </w:pPr>
  </w:style>
  <w:style w:type="paragraph" w:styleId="TableofFigures">
    <w:name w:val="table of figures"/>
    <w:basedOn w:val="TOC3"/>
    <w:next w:val="BodyText"/>
    <w:semiHidden/>
    <w:rsid w:val="00BF1FA6"/>
    <w:pPr>
      <w:ind w:left="737" w:hanging="737"/>
    </w:pPr>
  </w:style>
  <w:style w:type="paragraph" w:customStyle="1" w:styleId="TableTitle">
    <w:name w:val="Table Title"/>
    <w:basedOn w:val="Caption"/>
    <w:next w:val="Subtitle"/>
    <w:qFormat/>
    <w:rsid w:val="00BF1FA6"/>
    <w:pPr>
      <w:spacing w:before="120"/>
    </w:pPr>
  </w:style>
  <w:style w:type="paragraph" w:customStyle="1" w:styleId="TableUnitsRow">
    <w:name w:val="Table Units Row"/>
    <w:basedOn w:val="TableBodyText"/>
    <w:rsid w:val="00BF1FA6"/>
    <w:pPr>
      <w:spacing w:before="40"/>
    </w:pPr>
  </w:style>
  <w:style w:type="paragraph" w:styleId="TOC1">
    <w:name w:val="toc 1"/>
    <w:basedOn w:val="Normal"/>
    <w:next w:val="TOC2"/>
    <w:link w:val="TOC1Char"/>
    <w:rsid w:val="00BF1FA6"/>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BF1FA6"/>
    <w:pPr>
      <w:ind w:left="1191" w:firstLine="0"/>
    </w:pPr>
  </w:style>
  <w:style w:type="paragraph" w:customStyle="1" w:styleId="RecBBullet2">
    <w:name w:val="RecB Bullet 2"/>
    <w:basedOn w:val="ListBullet2"/>
    <w:semiHidden/>
    <w:rsid w:val="00BF1FA6"/>
    <w:pPr>
      <w:pBdr>
        <w:left w:val="single" w:sz="24" w:space="29" w:color="C0C0C0"/>
      </w:pBdr>
    </w:pPr>
    <w:rPr>
      <w:b/>
      <w:i/>
    </w:rPr>
  </w:style>
  <w:style w:type="paragraph" w:styleId="BalloonText">
    <w:name w:val="Balloon Text"/>
    <w:basedOn w:val="Normal"/>
    <w:link w:val="BalloonTextChar"/>
    <w:rsid w:val="00BF1FA6"/>
    <w:rPr>
      <w:rFonts w:ascii="Tahoma" w:hAnsi="Tahoma" w:cs="Tahoma"/>
      <w:sz w:val="16"/>
      <w:szCs w:val="16"/>
    </w:rPr>
  </w:style>
  <w:style w:type="character" w:customStyle="1" w:styleId="BalloonTextChar">
    <w:name w:val="Balloon Text Char"/>
    <w:basedOn w:val="DefaultParagraphFont"/>
    <w:link w:val="BalloonText"/>
    <w:rsid w:val="00BF1FA6"/>
    <w:rPr>
      <w:rFonts w:ascii="Tahoma" w:hAnsi="Tahoma" w:cs="Tahoma"/>
      <w:sz w:val="16"/>
      <w:szCs w:val="16"/>
    </w:rPr>
  </w:style>
  <w:style w:type="character" w:customStyle="1" w:styleId="SubtitleChar">
    <w:name w:val="Subtitle Char"/>
    <w:basedOn w:val="DefaultParagraphFont"/>
    <w:link w:val="Subtitle"/>
    <w:rsid w:val="00BF1FA6"/>
    <w:rPr>
      <w:rFonts w:ascii="Arial" w:hAnsi="Arial"/>
      <w:szCs w:val="24"/>
    </w:rPr>
  </w:style>
  <w:style w:type="paragraph" w:customStyle="1" w:styleId="BoxListBullet3">
    <w:name w:val="Box List Bullet 3"/>
    <w:basedOn w:val="ListBullet3"/>
    <w:rsid w:val="00BF1FA6"/>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BF1FA6"/>
    <w:rPr>
      <w:i/>
      <w:iCs/>
    </w:rPr>
  </w:style>
  <w:style w:type="paragraph" w:customStyle="1" w:styleId="BoxQuoteBullet">
    <w:name w:val="Box Quote Bullet"/>
    <w:basedOn w:val="BoxQuote"/>
    <w:next w:val="Box"/>
    <w:rsid w:val="00BF1FA6"/>
    <w:pPr>
      <w:numPr>
        <w:numId w:val="15"/>
      </w:numPr>
      <w:ind w:left="568" w:hanging="284"/>
    </w:pPr>
  </w:style>
  <w:style w:type="paragraph" w:customStyle="1" w:styleId="InformationRequestBullet">
    <w:name w:val="Information Request Bullet"/>
    <w:basedOn w:val="ListBullet"/>
    <w:next w:val="BodyText"/>
    <w:rsid w:val="00BF1FA6"/>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BF1FA6"/>
    <w:pPr>
      <w:keepNext w:val="0"/>
      <w:spacing w:before="60" w:after="60" w:line="80" w:lineRule="exact"/>
    </w:pPr>
    <w:rPr>
      <w:sz w:val="14"/>
    </w:rPr>
  </w:style>
  <w:style w:type="paragraph" w:styleId="CommentSubject">
    <w:name w:val="annotation subject"/>
    <w:basedOn w:val="CommentText"/>
    <w:next w:val="CommentText"/>
    <w:link w:val="CommentSubjectChar"/>
    <w:rsid w:val="0000533F"/>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00533F"/>
    <w:rPr>
      <w:szCs w:val="24"/>
    </w:rPr>
  </w:style>
  <w:style w:type="character" w:customStyle="1" w:styleId="CommentSubjectChar">
    <w:name w:val="Comment Subject Char"/>
    <w:basedOn w:val="CommentTextChar"/>
    <w:link w:val="CommentSubject"/>
    <w:rsid w:val="0000533F"/>
    <w:rPr>
      <w:b/>
      <w:bCs/>
      <w:szCs w:val="24"/>
    </w:rPr>
  </w:style>
  <w:style w:type="character" w:styleId="Hyperlink">
    <w:name w:val="Hyperlink"/>
    <w:basedOn w:val="DefaultParagraphFont"/>
    <w:rsid w:val="00920123"/>
    <w:rPr>
      <w:color w:val="78A22F" w:themeColor="hyperlink"/>
      <w:u w:val="single"/>
    </w:rPr>
  </w:style>
  <w:style w:type="paragraph" w:customStyle="1" w:styleId="KeyPointsListBullet">
    <w:name w:val="Key Points List Bullet"/>
    <w:basedOn w:val="Normal"/>
    <w:qFormat/>
    <w:rsid w:val="00BF1FA6"/>
    <w:pPr>
      <w:keepNext/>
      <w:numPr>
        <w:numId w:val="19"/>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BF1FA6"/>
    <w:pPr>
      <w:numPr>
        <w:numId w:val="20"/>
      </w:numPr>
      <w:ind w:left="568" w:hanging="284"/>
    </w:pPr>
  </w:style>
  <w:style w:type="paragraph" w:customStyle="1" w:styleId="InformationRequestTitle">
    <w:name w:val="Information Request Title"/>
    <w:basedOn w:val="FindingTitle"/>
    <w:next w:val="InformationRequest"/>
    <w:rsid w:val="00BF1FA6"/>
    <w:rPr>
      <w:i/>
    </w:rPr>
  </w:style>
  <w:style w:type="paragraph" w:customStyle="1" w:styleId="Space">
    <w:name w:val="Space"/>
    <w:basedOn w:val="Normal"/>
    <w:rsid w:val="00BF1FA6"/>
    <w:pPr>
      <w:keepNext/>
      <w:spacing w:line="120" w:lineRule="exact"/>
      <w:jc w:val="both"/>
    </w:pPr>
    <w:rPr>
      <w:rFonts w:ascii="Arial" w:hAnsi="Arial"/>
      <w:sz w:val="20"/>
      <w:szCs w:val="20"/>
    </w:rPr>
  </w:style>
  <w:style w:type="paragraph" w:customStyle="1" w:styleId="Heading1nochapterno">
    <w:name w:val="Heading 1 (no chapter no.)"/>
    <w:basedOn w:val="Heading1"/>
    <w:rsid w:val="00BF1FA6"/>
    <w:pPr>
      <w:spacing w:before="0"/>
      <w:ind w:left="0" w:firstLine="0"/>
    </w:pPr>
  </w:style>
  <w:style w:type="paragraph" w:customStyle="1" w:styleId="Heading2nosectionno">
    <w:name w:val="Heading 2 (no section no.)"/>
    <w:basedOn w:val="Heading2"/>
    <w:rsid w:val="00BF1FA6"/>
    <w:pPr>
      <w:ind w:left="0" w:firstLine="0"/>
    </w:pPr>
  </w:style>
  <w:style w:type="character" w:customStyle="1" w:styleId="Heading5Char">
    <w:name w:val="Heading 5 Char"/>
    <w:basedOn w:val="DefaultParagraphFont"/>
    <w:link w:val="Heading5"/>
    <w:rsid w:val="00BF1FA6"/>
    <w:rPr>
      <w:rFonts w:ascii="Arial" w:hAnsi="Arial"/>
      <w:i/>
      <w:sz w:val="22"/>
    </w:rPr>
  </w:style>
  <w:style w:type="paragraph" w:customStyle="1" w:styleId="Figurespace">
    <w:name w:val="Figure space"/>
    <w:basedOn w:val="Box"/>
    <w:rsid w:val="00BF1FA6"/>
    <w:pPr>
      <w:spacing w:before="0" w:line="120" w:lineRule="exact"/>
    </w:pPr>
  </w:style>
  <w:style w:type="paragraph" w:customStyle="1" w:styleId="FooterDraftReport">
    <w:name w:val="FooterDraftReport"/>
    <w:basedOn w:val="Footer"/>
    <w:link w:val="FooterDraftReportChar"/>
    <w:rsid w:val="00BF1FA6"/>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BF1FA6"/>
    <w:rPr>
      <w:sz w:val="24"/>
    </w:rPr>
  </w:style>
  <w:style w:type="character" w:customStyle="1" w:styleId="FooterChar">
    <w:name w:val="Footer Char"/>
    <w:basedOn w:val="BodyTextChar"/>
    <w:link w:val="Footer"/>
    <w:rsid w:val="00BF1FA6"/>
    <w:rPr>
      <w:rFonts w:ascii="Arial" w:hAnsi="Arial"/>
      <w:caps/>
      <w:spacing w:val="-4"/>
      <w:sz w:val="16"/>
    </w:rPr>
  </w:style>
  <w:style w:type="character" w:customStyle="1" w:styleId="FooterDraftReportChar">
    <w:name w:val="FooterDraftReport Char"/>
    <w:basedOn w:val="FooterChar"/>
    <w:link w:val="FooterDraftReport"/>
    <w:rsid w:val="00BF1FA6"/>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BF1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BF1FA6"/>
    <w:rPr>
      <w:rFonts w:ascii="Arial" w:hAnsi="Arial"/>
      <w:b/>
      <w:sz w:val="26"/>
      <w:szCs w:val="26"/>
      <w:lang w:eastAsia="en-US"/>
    </w:rPr>
  </w:style>
  <w:style w:type="character" w:customStyle="1" w:styleId="BoxListBulletChar">
    <w:name w:val="Box List Bullet Char"/>
    <w:basedOn w:val="DefaultParagraphFont"/>
    <w:link w:val="BoxListBullet"/>
    <w:rsid w:val="007107E8"/>
    <w:rPr>
      <w:rFonts w:ascii="Arial" w:hAnsi="Arial"/>
    </w:rPr>
  </w:style>
  <w:style w:type="paragraph" w:styleId="Bibliography">
    <w:name w:val="Bibliography"/>
    <w:basedOn w:val="Normal"/>
    <w:next w:val="Normal"/>
    <w:uiPriority w:val="37"/>
    <w:unhideWhenUsed/>
    <w:rsid w:val="00A43A31"/>
    <w:pPr>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i\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mel_1\groups\Monitor\06%20Indigenous%20Report\2014%20report\03%20Chapter%20drafts\Chapter%203\Chapter%203_Chart%20for%20population%20distribution.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895488239717E-2"/>
          <c:y val="0.39608409773520575"/>
          <c:w val="0.85534740740740745"/>
          <c:h val="0.58372313675807119"/>
        </c:manualLayout>
      </c:layout>
      <c:barChart>
        <c:barDir val="col"/>
        <c:grouping val="clustered"/>
        <c:varyColors val="0"/>
        <c:ser>
          <c:idx val="1"/>
          <c:order val="0"/>
          <c:tx>
            <c:strRef>
              <c:f>'Figure 2.1'!$I$50</c:f>
              <c:strCache>
                <c:ptCount val="1"/>
                <c:pt idx="0">
                  <c:v>Aboriginal and Torres Strait Islander</c:v>
                </c:pt>
              </c:strCache>
            </c:strRef>
          </c:tx>
          <c:spPr>
            <a:solidFill>
              <a:srgbClr val="BD4636"/>
            </a:solidFill>
            <a:ln>
              <a:solidFill>
                <a:srgbClr val="BD4636"/>
              </a:solidFill>
            </a:ln>
          </c:spPr>
          <c:invertIfNegative val="0"/>
          <c:val>
            <c:numRef>
              <c:f>'Figure 2.1'!$I$51:$I$66</c:f>
              <c:numCache>
                <c:formatCode>General</c:formatCode>
                <c:ptCount val="16"/>
              </c:numCache>
            </c:numRef>
          </c:val>
        </c:ser>
        <c:ser>
          <c:idx val="0"/>
          <c:order val="1"/>
          <c:tx>
            <c:strRef>
              <c:f>'Figure 2.1'!$H$50</c:f>
              <c:strCache>
                <c:ptCount val="1"/>
                <c:pt idx="0">
                  <c:v>Non-Indigenous</c:v>
                </c:pt>
              </c:strCache>
            </c:strRef>
          </c:tx>
          <c:spPr>
            <a:solidFill>
              <a:srgbClr val="7297A9"/>
            </a:solidFill>
            <a:ln>
              <a:solidFill>
                <a:srgbClr val="7297A9"/>
              </a:solidFill>
            </a:ln>
          </c:spPr>
          <c:invertIfNegative val="0"/>
          <c:val>
            <c:numRef>
              <c:f>'Figure 2.1'!$H$51:$H$66</c:f>
              <c:numCache>
                <c:formatCode>General</c:formatCode>
                <c:ptCount val="16"/>
              </c:numCache>
            </c:numRef>
          </c:val>
        </c:ser>
        <c:dLbls>
          <c:showLegendKey val="0"/>
          <c:showVal val="0"/>
          <c:showCatName val="0"/>
          <c:showSerName val="0"/>
          <c:showPercent val="0"/>
          <c:showBubbleSize val="0"/>
        </c:dLbls>
        <c:gapWidth val="150"/>
        <c:axId val="49021696"/>
        <c:axId val="49023232"/>
      </c:barChart>
      <c:catAx>
        <c:axId val="49021696"/>
        <c:scaling>
          <c:orientation val="minMax"/>
        </c:scaling>
        <c:delete val="1"/>
        <c:axPos val="b"/>
        <c:numFmt formatCode="General" sourceLinked="1"/>
        <c:majorTickMark val="out"/>
        <c:minorTickMark val="none"/>
        <c:tickLblPos val="nextTo"/>
        <c:crossAx val="49023232"/>
        <c:crosses val="autoZero"/>
        <c:auto val="1"/>
        <c:lblAlgn val="ctr"/>
        <c:lblOffset val="100"/>
        <c:noMultiLvlLbl val="0"/>
      </c:catAx>
      <c:valAx>
        <c:axId val="49023232"/>
        <c:scaling>
          <c:orientation val="minMax"/>
        </c:scaling>
        <c:delete val="1"/>
        <c:axPos val="l"/>
        <c:numFmt formatCode="General" sourceLinked="1"/>
        <c:majorTickMark val="out"/>
        <c:minorTickMark val="none"/>
        <c:tickLblPos val="nextTo"/>
        <c:crossAx val="49021696"/>
        <c:crosses val="autoZero"/>
        <c:crossBetween val="between"/>
      </c:valAx>
      <c:spPr>
        <a:noFill/>
        <a:ln w="25400">
          <a:noFill/>
        </a:ln>
      </c:spPr>
    </c:plotArea>
    <c:legend>
      <c:legendPos val="t"/>
      <c:layout>
        <c:manualLayout>
          <c:xMode val="edge"/>
          <c:yMode val="edge"/>
          <c:x val="5.0619999999999998E-2"/>
          <c:y val="0.21166666666666667"/>
          <c:w val="0.90816740740740742"/>
          <c:h val="0.60195277777777778"/>
        </c:manualLayout>
      </c:layout>
      <c:overlay val="0"/>
      <c:spPr>
        <a:noFill/>
        <a:ln>
          <a:noFill/>
        </a:ln>
      </c:sp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7BBE0-0EFD-4E20-AE6E-EFAEAB348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11</TotalTime>
  <Pages>24</Pages>
  <Words>7485</Words>
  <Characters>44932</Characters>
  <Application>Microsoft Office Word</Application>
  <DocSecurity>0</DocSecurity>
  <Lines>374</Lines>
  <Paragraphs>104</Paragraphs>
  <ScaleCrop>false</ScaleCrop>
  <HeadingPairs>
    <vt:vector size="2" baseType="variant">
      <vt:variant>
        <vt:lpstr>Title</vt:lpstr>
      </vt:variant>
      <vt:variant>
        <vt:i4>1</vt:i4>
      </vt:variant>
    </vt:vector>
  </HeadingPairs>
  <TitlesOfParts>
    <vt:vector size="1" baseType="lpstr">
      <vt:lpstr>Chapter 3 - Key themes and interpretation - Overcoming Indigenous disadvantage 2016</vt:lpstr>
    </vt:vector>
  </TitlesOfParts>
  <Company>Productivity Commission</Company>
  <LinksUpToDate>false</LinksUpToDate>
  <CharactersWithSpaces>52313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 Key themes and interpretation - Overcoming Indigenous disadvantage 2016</dc:title>
  <dc:creator>Steering Committee for the Review of Government Service Provision</dc:creator>
  <cp:lastModifiedBy>Frech, Tanya</cp:lastModifiedBy>
  <cp:revision>10</cp:revision>
  <cp:lastPrinted>2016-10-28T03:46:00Z</cp:lastPrinted>
  <dcterms:created xsi:type="dcterms:W3CDTF">2016-10-23T22:37:00Z</dcterms:created>
  <dcterms:modified xsi:type="dcterms:W3CDTF">2016-10-28T03:46:00Z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id="xgbsWsmz"/&gt;&lt;style id="http://www.zotero.org/styles/unisa-harvard" hasBibliography="1" bibliographyStyleHasBeenSet="1"/&gt;&lt;prefs&gt;&lt;pref name="fieldType" value="Field"/&gt;&lt;pref name="storeReferences" va</vt:lpwstr>
  </property>
  <property fmtid="{D5CDD505-2E9C-101B-9397-08002B2CF9AE}" pid="3" name="ZOTERO_PREF_2">
    <vt:lpwstr>lue="true"/&gt;&lt;pref name="automaticJournalAbbreviations" value="true"/&gt;&lt;pref name="noteType" value="0"/&gt;&lt;/prefs&gt;&lt;/data&gt;</vt:lpwstr>
  </property>
</Properties>
</file>