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4F153" w14:textId="3C63E189" w:rsidR="00A33DFF" w:rsidRDefault="0083075C" w:rsidP="0083075C">
      <w:pPr>
        <w:pStyle w:val="Chapter"/>
        <w:ind w:left="907" w:hanging="907"/>
      </w:pPr>
      <w:bookmarkStart w:id="0" w:name="_AppendixNotByChapter"/>
      <w:bookmarkStart w:id="1" w:name="ChapterNumber"/>
      <w:bookmarkEnd w:id="0"/>
      <w:r>
        <w:t>A</w:t>
      </w:r>
      <w:bookmarkEnd w:id="1"/>
      <w:r>
        <w:tab/>
      </w:r>
      <w:bookmarkStart w:id="2" w:name="ChapterTitle"/>
      <w:r>
        <w:t>Population characteristics of Aboriginal and Torres Strait Islander people and their language use</w:t>
      </w:r>
      <w:bookmarkEnd w:id="2"/>
    </w:p>
    <w:p w14:paraId="240AB8F2" w14:textId="77777777" w:rsidR="00B504B6" w:rsidRDefault="00B504B6" w:rsidP="00B504B6">
      <w:pPr>
        <w:pStyle w:val="BodyText"/>
      </w:pPr>
      <w:bookmarkStart w:id="3" w:name="begin"/>
      <w:bookmarkEnd w:id="3"/>
      <w:r>
        <w:t>This appendix provides contextual data on</w:t>
      </w:r>
      <w:r w:rsidR="00FB3CC2">
        <w:t xml:space="preserve"> the population characteristics of</w:t>
      </w:r>
      <w:r>
        <w:t xml:space="preserve"> </w:t>
      </w:r>
      <w:r w:rsidR="00C00B28">
        <w:t>Aboriginal</w:t>
      </w:r>
      <w:r w:rsidR="007B411E">
        <w:t xml:space="preserve"> and</w:t>
      </w:r>
      <w:r w:rsidR="001A46C6">
        <w:t xml:space="preserve"> </w:t>
      </w:r>
      <w:r w:rsidR="00C00B28">
        <w:t xml:space="preserve">Torres Strait Islander </w:t>
      </w:r>
      <w:r>
        <w:t>and non</w:t>
      </w:r>
      <w:r w:rsidR="003935B4">
        <w:noBreakHyphen/>
      </w:r>
      <w:r>
        <w:t>Indigenous</w:t>
      </w:r>
      <w:r w:rsidR="008F5DC1">
        <w:t xml:space="preserve"> </w:t>
      </w:r>
      <w:r w:rsidR="00FB3CC2">
        <w:t>people</w:t>
      </w:r>
      <w:r w:rsidR="00923FDC">
        <w:t xml:space="preserve"> from the </w:t>
      </w:r>
      <w:r w:rsidR="00923FDC" w:rsidRPr="003B3310">
        <w:t>201</w:t>
      </w:r>
      <w:r w:rsidR="00923FDC">
        <w:t>6</w:t>
      </w:r>
      <w:r w:rsidR="00923FDC" w:rsidRPr="003B3310">
        <w:t xml:space="preserve"> Census</w:t>
      </w:r>
      <w:r w:rsidR="001A46C6">
        <w:t>,</w:t>
      </w:r>
      <w:r>
        <w:t xml:space="preserve"> to aid interpretation of data elsewhere in the </w:t>
      </w:r>
      <w:r w:rsidR="00FB3CC2">
        <w:t>R</w:t>
      </w:r>
      <w:r>
        <w:t>eport</w:t>
      </w:r>
      <w:r w:rsidR="00C00B28">
        <w:t xml:space="preserve">. </w:t>
      </w:r>
      <w:r w:rsidR="00FB3CC2">
        <w:t>Also provided are</w:t>
      </w:r>
      <w:r w:rsidRPr="003B3310">
        <w:t xml:space="preserve"> </w:t>
      </w:r>
      <w:r w:rsidR="003B3310" w:rsidRPr="003B3310">
        <w:t>201</w:t>
      </w:r>
      <w:r w:rsidR="00185152">
        <w:t>6</w:t>
      </w:r>
      <w:r w:rsidR="003B3310" w:rsidRPr="003B3310">
        <w:t xml:space="preserve"> Census </w:t>
      </w:r>
      <w:r w:rsidRPr="003B3310">
        <w:t>data on</w:t>
      </w:r>
      <w:r w:rsidR="003910F6">
        <w:t xml:space="preserve"> the use of</w:t>
      </w:r>
      <w:r w:rsidRPr="003B3310">
        <w:t xml:space="preserve"> </w:t>
      </w:r>
      <w:r w:rsidR="003910F6">
        <w:t xml:space="preserve">Aboriginal and Torres Strait Islander </w:t>
      </w:r>
      <w:r w:rsidR="003B3310" w:rsidRPr="003B3310">
        <w:t>language</w:t>
      </w:r>
      <w:r w:rsidR="003910F6">
        <w:t>s</w:t>
      </w:r>
      <w:r w:rsidRPr="003B3310">
        <w:t>.</w:t>
      </w:r>
      <w:r w:rsidR="00F304B0" w:rsidRPr="00F304B0">
        <w:t xml:space="preserve"> </w:t>
      </w:r>
    </w:p>
    <w:p w14:paraId="0189DA1F" w14:textId="706DF72B" w:rsidR="00A145BA" w:rsidRDefault="00A145BA" w:rsidP="00260373">
      <w:pPr>
        <w:pStyle w:val="Heading3"/>
        <w:jc w:val="both"/>
      </w:pPr>
      <w:r>
        <w:t xml:space="preserve">Aboriginal and Torres Strait Islander people account for about </w:t>
      </w:r>
      <w:r w:rsidR="00ED6E52">
        <w:t>three</w:t>
      </w:r>
      <w:r w:rsidR="005D2A39">
        <w:t> </w:t>
      </w:r>
      <w:r>
        <w:t>per</w:t>
      </w:r>
      <w:r w:rsidR="005D2A39">
        <w:t> </w:t>
      </w:r>
      <w:r>
        <w:t xml:space="preserve">cent of the Australian population </w:t>
      </w:r>
    </w:p>
    <w:p w14:paraId="18CCEAEF" w14:textId="6289C3FD" w:rsidR="00732B71" w:rsidRPr="00087E18" w:rsidRDefault="00A145BA" w:rsidP="00FD3A6F">
      <w:pPr>
        <w:pStyle w:val="BodyText"/>
      </w:pPr>
      <w:r w:rsidRPr="00371BAA">
        <w:t>There were an estimated 798 400 Aboriginal and Torres Strait Islander people in Australia at June 2016, accounting for</w:t>
      </w:r>
      <w:r w:rsidR="00280AE5" w:rsidRPr="00371BAA">
        <w:t xml:space="preserve"> </w:t>
      </w:r>
      <w:r w:rsidRPr="00371BAA">
        <w:t xml:space="preserve">3.3 per cent of the total Australian population </w:t>
      </w:r>
      <w:r w:rsidR="00280AE5" w:rsidRPr="00371BAA">
        <w:t>at that time</w:t>
      </w:r>
      <w:r w:rsidRPr="00371BAA">
        <w:t xml:space="preserve"> </w:t>
      </w:r>
      <w:r w:rsidR="00337356" w:rsidRPr="00337356">
        <w:rPr>
          <w:szCs w:val="24"/>
        </w:rPr>
        <w:t>(ABS 2018)</w:t>
      </w:r>
      <w:r w:rsidRPr="00371BAA">
        <w:t>.</w:t>
      </w:r>
      <w:r w:rsidR="00923FDC" w:rsidRPr="00371BAA">
        <w:t xml:space="preserve"> </w:t>
      </w:r>
      <w:r w:rsidRPr="00371BAA">
        <w:t xml:space="preserve">The majority </w:t>
      </w:r>
      <w:r w:rsidR="00923FDC" w:rsidRPr="00371BAA">
        <w:t xml:space="preserve">of Aboriginal and Torres Strait Islander people lived </w:t>
      </w:r>
      <w:r w:rsidRPr="00371BAA">
        <w:t xml:space="preserve">on the Eastern seaboard of Australia in 2016 (figure </w:t>
      </w:r>
      <w:proofErr w:type="spellStart"/>
      <w:r w:rsidRPr="00371BAA">
        <w:t>A.1</w:t>
      </w:r>
      <w:proofErr w:type="spellEnd"/>
      <w:r w:rsidRPr="00371BAA">
        <w:t>).</w:t>
      </w:r>
    </w:p>
    <w:p w14:paraId="22E85B07" w14:textId="086BB753" w:rsidR="00A145BA" w:rsidRDefault="00A145BA" w:rsidP="00A145BA">
      <w:pPr>
        <w:pStyle w:val="BoxSpaceAbove"/>
      </w:pPr>
    </w:p>
    <w:tbl>
      <w:tblPr>
        <w:tblW w:w="5000" w:type="pct"/>
        <w:tblBorders>
          <w:top w:val="single" w:sz="6" w:space="0" w:color="78A22F"/>
          <w:left w:val="single" w:sz="6" w:space="0" w:color="78A22F"/>
          <w:bottom w:val="single" w:sz="6" w:space="0" w:color="78A22F"/>
          <w:right w:val="single" w:sz="6" w:space="0" w:color="78A22F"/>
        </w:tblBorders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8789"/>
      </w:tblGrid>
      <w:tr w:rsidR="00A145BA" w14:paraId="54E6B4FF" w14:textId="77777777" w:rsidTr="005D2A39">
        <w:tc>
          <w:tcPr>
            <w:tcW w:w="5000" w:type="pct"/>
            <w:tcBorders>
              <w:top w:val="single" w:sz="6" w:space="0" w:color="78A22F"/>
              <w:left w:val="nil"/>
              <w:bottom w:val="nil"/>
              <w:right w:val="nil"/>
            </w:tcBorders>
            <w:shd w:val="clear" w:color="auto" w:fill="auto"/>
          </w:tcPr>
          <w:p w14:paraId="46F8E143" w14:textId="5702AE56" w:rsidR="00A145BA" w:rsidRPr="00176D3F" w:rsidRDefault="00A145BA" w:rsidP="00F27EE2">
            <w:pPr>
              <w:pStyle w:val="FigureTitle"/>
            </w:pPr>
            <w:r w:rsidRPr="00784A05">
              <w:rPr>
                <w:b w:val="0"/>
              </w:rPr>
              <w:t xml:space="preserve">Figure </w:t>
            </w:r>
            <w:proofErr w:type="spellStart"/>
            <w:r w:rsidR="0083075C">
              <w:rPr>
                <w:b w:val="0"/>
              </w:rPr>
              <w:t>A.</w:t>
            </w:r>
            <w:r>
              <w:rPr>
                <w:b w:val="0"/>
              </w:rPr>
              <w:t>1</w:t>
            </w:r>
            <w:proofErr w:type="spellEnd"/>
            <w:r>
              <w:tab/>
            </w:r>
            <w:r w:rsidRPr="00FB4E49">
              <w:t xml:space="preserve">Aboriginal and Torres Strait Islander </w:t>
            </w:r>
            <w:r>
              <w:t>people</w:t>
            </w:r>
            <w:r w:rsidR="00280AE5">
              <w:t>, by Indigenous region, June 2016</w:t>
            </w:r>
            <w:proofErr w:type="spellStart"/>
            <w:r w:rsidRPr="00693DE0">
              <w:rPr>
                <w:rStyle w:val="NoteLabel"/>
                <w:b/>
              </w:rPr>
              <w:t>a</w:t>
            </w:r>
            <w:r w:rsidR="00280AE5">
              <w:rPr>
                <w:rStyle w:val="NoteLabel"/>
                <w:b/>
              </w:rPr>
              <w:t>,b</w:t>
            </w:r>
            <w:proofErr w:type="spellEnd"/>
          </w:p>
        </w:tc>
      </w:tr>
      <w:tr w:rsidR="00A145BA" w14:paraId="5AF90822" w14:textId="77777777" w:rsidTr="005D2A3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1BA8124" w14:textId="77777777" w:rsidR="00A145BA" w:rsidRDefault="00A145BA" w:rsidP="005D2A39">
            <w:pPr>
              <w:pStyle w:val="Figure"/>
            </w:pPr>
            <w:r>
              <w:rPr>
                <w:noProof/>
              </w:rPr>
              <w:drawing>
                <wp:inline distT="0" distB="0" distL="0" distR="0" wp14:anchorId="5F346F1F" wp14:editId="224854AA">
                  <wp:extent cx="4408230" cy="2333514"/>
                  <wp:effectExtent l="0" t="0" r="0" b="0"/>
                  <wp:docPr id="1" name="Picture 1" descr="Figure A.1 Aboriginal and Torres Strait Islander people, by Indigenous region, June 2016&#10;&#10;Map of Australia&#10;&#10;More details can be found within the text surrounding this image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Figure A.1 Aboriginal and Torres Strait Islander people, by Indigenous region, June 2016&#10;&#10;Map of Australia&#10;&#10;More details can be found within the text surrounding this image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9104" cy="2355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45BA" w:rsidRPr="00176D3F" w14:paraId="5AD8A9A9" w14:textId="77777777" w:rsidTr="005D2A3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9FA30" w14:textId="1B49E855" w:rsidR="00A145BA" w:rsidRPr="00C71128" w:rsidRDefault="00A145BA" w:rsidP="005D2A39">
            <w:pPr>
              <w:pStyle w:val="Note"/>
              <w:rPr>
                <w:iCs/>
              </w:rPr>
            </w:pPr>
            <w:r w:rsidRPr="00693DE0">
              <w:rPr>
                <w:rStyle w:val="NoteLabel"/>
              </w:rPr>
              <w:t>a</w:t>
            </w:r>
            <w:r w:rsidRPr="00BF6A25">
              <w:rPr>
                <w:rStyle w:val="NoteLabel"/>
              </w:rPr>
              <w:t xml:space="preserve"> </w:t>
            </w:r>
            <w:r w:rsidRPr="00FB4E49">
              <w:t>The estimated number of Aboriginal and Torres Strait Islander Australians in the 37 ABS Indigenous regions as at June 2016.</w:t>
            </w:r>
            <w:r>
              <w:t xml:space="preserve"> </w:t>
            </w:r>
            <w:r w:rsidRPr="001752D9">
              <w:rPr>
                <w:rStyle w:val="NoteLabel"/>
              </w:rPr>
              <w:t>b</w:t>
            </w:r>
            <w:r w:rsidRPr="00BF6A25">
              <w:rPr>
                <w:rStyle w:val="NoteLabel"/>
              </w:rPr>
              <w:t xml:space="preserve"> </w:t>
            </w:r>
            <w:r w:rsidRPr="00E80AFB">
              <w:t>See table </w:t>
            </w:r>
            <w:proofErr w:type="spellStart"/>
            <w:r w:rsidRPr="00E80AFB">
              <w:t>A.</w:t>
            </w:r>
            <w:r>
              <w:t>2</w:t>
            </w:r>
            <w:proofErr w:type="spellEnd"/>
            <w:r w:rsidRPr="00E80AFB">
              <w:t xml:space="preserve"> for detailed definitions, footnotes and caveats</w:t>
            </w:r>
            <w:r>
              <w:t>.</w:t>
            </w:r>
          </w:p>
          <w:p w14:paraId="5FBFC440" w14:textId="7D62BEB8" w:rsidR="00A145BA" w:rsidRPr="00176D3F" w:rsidRDefault="00A145BA" w:rsidP="008A41A6">
            <w:pPr>
              <w:pStyle w:val="Source"/>
            </w:pPr>
            <w:r>
              <w:rPr>
                <w:i/>
              </w:rPr>
              <w:t>S</w:t>
            </w:r>
            <w:r w:rsidRPr="00784A05">
              <w:rPr>
                <w:i/>
              </w:rPr>
              <w:t>ource</w:t>
            </w:r>
            <w:r w:rsidRPr="00176D3F">
              <w:t xml:space="preserve">: </w:t>
            </w:r>
            <w:r w:rsidRPr="00FB4E49">
              <w:t xml:space="preserve">ABS </w:t>
            </w:r>
            <w:r w:rsidR="008A41A6">
              <w:t>(</w:t>
            </w:r>
            <w:r w:rsidRPr="00FB4E49">
              <w:t>2019</w:t>
            </w:r>
            <w:r w:rsidR="008A41A6">
              <w:t>)</w:t>
            </w:r>
            <w:r w:rsidRPr="00FB4E49">
              <w:t xml:space="preserve"> </w:t>
            </w:r>
            <w:r w:rsidRPr="00556772">
              <w:rPr>
                <w:i/>
                <w:iCs/>
              </w:rPr>
              <w:t>Estimates and Projections, Aboriginal and Torres Strait Islander Australians, 2006 to 2031</w:t>
            </w:r>
            <w:r w:rsidRPr="00FB4E49">
              <w:t>, Cat. no. 3238.0, Canberra</w:t>
            </w:r>
            <w:r>
              <w:t xml:space="preserve">; table </w:t>
            </w:r>
            <w:proofErr w:type="spellStart"/>
            <w:r>
              <w:t>A.2</w:t>
            </w:r>
            <w:proofErr w:type="spellEnd"/>
            <w:r w:rsidRPr="00FB4E49">
              <w:t>.</w:t>
            </w:r>
          </w:p>
        </w:tc>
      </w:tr>
      <w:tr w:rsidR="00A145BA" w14:paraId="01C06244" w14:textId="77777777" w:rsidTr="005D2A39">
        <w:tc>
          <w:tcPr>
            <w:tcW w:w="5000" w:type="pct"/>
            <w:tcBorders>
              <w:top w:val="nil"/>
              <w:left w:val="nil"/>
              <w:bottom w:val="single" w:sz="6" w:space="0" w:color="78A22F"/>
              <w:right w:val="nil"/>
            </w:tcBorders>
            <w:shd w:val="clear" w:color="auto" w:fill="auto"/>
          </w:tcPr>
          <w:p w14:paraId="44F18D23" w14:textId="77777777" w:rsidR="00A145BA" w:rsidRDefault="00A145BA" w:rsidP="005D2A39">
            <w:pPr>
              <w:pStyle w:val="Figurespace"/>
              <w:keepNext w:val="0"/>
            </w:pPr>
          </w:p>
        </w:tc>
      </w:tr>
    </w:tbl>
    <w:p w14:paraId="78727D3B" w14:textId="78E027B2" w:rsidR="004A3A4A" w:rsidRDefault="004A3A4A" w:rsidP="00841699">
      <w:pPr>
        <w:pStyle w:val="BodyText"/>
      </w:pPr>
      <w:r>
        <w:lastRenderedPageBreak/>
        <w:t>Nationally as at June 2016, around three in five Aboriginal and Torres Strait Islander</w:t>
      </w:r>
      <w:r w:rsidRPr="00564271">
        <w:t xml:space="preserve"> </w:t>
      </w:r>
      <w:r>
        <w:t>people</w:t>
      </w:r>
      <w:r w:rsidRPr="00564271">
        <w:t xml:space="preserve"> lived in </w:t>
      </w:r>
      <w:r>
        <w:t xml:space="preserve">either </w:t>
      </w:r>
      <w:r w:rsidRPr="00564271">
        <w:t>NSW (</w:t>
      </w:r>
      <w:r>
        <w:t>33</w:t>
      </w:r>
      <w:r w:rsidRPr="00564271">
        <w:t xml:space="preserve"> per cent)</w:t>
      </w:r>
      <w:r>
        <w:t xml:space="preserve"> or Queensland (28 per cent)</w:t>
      </w:r>
      <w:r w:rsidRPr="00564271">
        <w:t xml:space="preserve">. </w:t>
      </w:r>
      <w:r>
        <w:t xml:space="preserve">The proportions across other jurisdictions ranged from 1 per cent in the ACT to 13 per cent in WA (table </w:t>
      </w:r>
      <w:proofErr w:type="spellStart"/>
      <w:r>
        <w:t>A.</w:t>
      </w:r>
      <w:r w:rsidR="00A9365B">
        <w:t>3</w:t>
      </w:r>
      <w:proofErr w:type="spellEnd"/>
      <w:r>
        <w:t>).</w:t>
      </w:r>
    </w:p>
    <w:p w14:paraId="763BA867" w14:textId="77777777" w:rsidR="00260373" w:rsidRDefault="00260373" w:rsidP="00260373">
      <w:pPr>
        <w:pStyle w:val="Heading3"/>
        <w:jc w:val="both"/>
      </w:pPr>
      <w:r>
        <w:t xml:space="preserve">The majority of Aboriginal and Torres Strait Islander </w:t>
      </w:r>
      <w:r w:rsidR="00C121DC">
        <w:t xml:space="preserve">people </w:t>
      </w:r>
      <w:r>
        <w:t>live in major cities and regional areas — but a much higher proportion live in remote and very remote areas compared with non</w:t>
      </w:r>
      <w:r>
        <w:noBreakHyphen/>
        <w:t xml:space="preserve">Indigenous </w:t>
      </w:r>
      <w:r w:rsidR="00C121DC">
        <w:t>people</w:t>
      </w:r>
    </w:p>
    <w:p w14:paraId="69B862A3" w14:textId="55B3C64B" w:rsidR="00FB4E49" w:rsidRDefault="00FB4E49" w:rsidP="00422E7B">
      <w:pPr>
        <w:pStyle w:val="BodyText"/>
        <w:shd w:val="clear" w:color="auto" w:fill="FFFFFF" w:themeFill="background1"/>
      </w:pPr>
      <w:r w:rsidRPr="00340E59">
        <w:t xml:space="preserve">Like all Australians, the majority of Aboriginal and Torres Strait Islander people live in major cities and regional areas (figure </w:t>
      </w:r>
      <w:proofErr w:type="spellStart"/>
      <w:r w:rsidRPr="00340E59">
        <w:t>A.</w:t>
      </w:r>
      <w:r w:rsidR="0028277B" w:rsidRPr="00340E59">
        <w:t>2</w:t>
      </w:r>
      <w:proofErr w:type="spellEnd"/>
      <w:r w:rsidRPr="00340E59">
        <w:t>).</w:t>
      </w:r>
      <w:r w:rsidRPr="00A70E6F">
        <w:t xml:space="preserve"> Even so</w:t>
      </w:r>
      <w:r w:rsidR="003A5FD9" w:rsidRPr="00A70E6F">
        <w:t>, a much higher proportion</w:t>
      </w:r>
      <w:r w:rsidR="003A5FD9" w:rsidRPr="004E778E">
        <w:t xml:space="preserve"> of </w:t>
      </w:r>
      <w:r w:rsidR="003A5FD9">
        <w:t xml:space="preserve">Aboriginal </w:t>
      </w:r>
      <w:r w:rsidR="00836A8D">
        <w:t xml:space="preserve">and </w:t>
      </w:r>
      <w:r w:rsidR="00836A8D" w:rsidRPr="00422E7B">
        <w:rPr>
          <w:shd w:val="clear" w:color="auto" w:fill="FFFFFF" w:themeFill="background1"/>
        </w:rPr>
        <w:t xml:space="preserve">Torres Strait Islander </w:t>
      </w:r>
      <w:r w:rsidR="00007282" w:rsidRPr="00422E7B">
        <w:rPr>
          <w:shd w:val="clear" w:color="auto" w:fill="FFFFFF" w:themeFill="background1"/>
        </w:rPr>
        <w:t xml:space="preserve">people </w:t>
      </w:r>
      <w:r w:rsidR="00836A8D" w:rsidRPr="00422E7B">
        <w:rPr>
          <w:shd w:val="clear" w:color="auto" w:fill="FFFFFF" w:themeFill="background1"/>
        </w:rPr>
        <w:t>lived in remote and very remote areas</w:t>
      </w:r>
      <w:r w:rsidR="00527A02" w:rsidRPr="00422E7B">
        <w:rPr>
          <w:shd w:val="clear" w:color="auto" w:fill="FFFFFF" w:themeFill="background1"/>
        </w:rPr>
        <w:t xml:space="preserve"> (</w:t>
      </w:r>
      <w:r w:rsidR="00836A8D" w:rsidRPr="00422E7B">
        <w:rPr>
          <w:shd w:val="clear" w:color="auto" w:fill="FFFFFF" w:themeFill="background1"/>
        </w:rPr>
        <w:t>19 per cent, compared with 2 per cent of non</w:t>
      </w:r>
      <w:r w:rsidR="00836A8D" w:rsidRPr="00422E7B">
        <w:rPr>
          <w:shd w:val="clear" w:color="auto" w:fill="FFFFFF" w:themeFill="background1"/>
        </w:rPr>
        <w:noBreakHyphen/>
        <w:t xml:space="preserve">Indigenous </w:t>
      </w:r>
      <w:r w:rsidR="00007282" w:rsidRPr="00422E7B">
        <w:rPr>
          <w:shd w:val="clear" w:color="auto" w:fill="FFFFFF" w:themeFill="background1"/>
        </w:rPr>
        <w:t>people</w:t>
      </w:r>
      <w:r w:rsidR="00527A02" w:rsidRPr="00422E7B">
        <w:rPr>
          <w:shd w:val="clear" w:color="auto" w:fill="FFFFFF" w:themeFill="background1"/>
        </w:rPr>
        <w:t xml:space="preserve">), and were spread more evenly across all remoteness areas than non-Indigenous people (figure </w:t>
      </w:r>
      <w:proofErr w:type="spellStart"/>
      <w:r w:rsidR="00527A02" w:rsidRPr="00422E7B">
        <w:rPr>
          <w:shd w:val="clear" w:color="auto" w:fill="FFFFFF" w:themeFill="background1"/>
        </w:rPr>
        <w:t>A.2</w:t>
      </w:r>
      <w:proofErr w:type="spellEnd"/>
      <w:r w:rsidR="00527A02" w:rsidRPr="00422E7B">
        <w:rPr>
          <w:shd w:val="clear" w:color="auto" w:fill="FFFFFF" w:themeFill="background1"/>
        </w:rPr>
        <w:t>).</w:t>
      </w:r>
    </w:p>
    <w:p w14:paraId="40B2C54D" w14:textId="59406281" w:rsidR="00B206F3" w:rsidRDefault="00B206F3" w:rsidP="003910F6">
      <w:pPr>
        <w:pStyle w:val="BoxSpaceAbove"/>
      </w:pPr>
    </w:p>
    <w:tbl>
      <w:tblPr>
        <w:tblW w:w="5000" w:type="pct"/>
        <w:tblBorders>
          <w:top w:val="single" w:sz="6" w:space="0" w:color="78A22F"/>
          <w:left w:val="single" w:sz="6" w:space="0" w:color="78A22F"/>
          <w:bottom w:val="single" w:sz="6" w:space="0" w:color="78A22F"/>
          <w:right w:val="single" w:sz="6" w:space="0" w:color="78A22F"/>
        </w:tblBorders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8789"/>
      </w:tblGrid>
      <w:tr w:rsidR="00B206F3" w14:paraId="547941E1" w14:textId="77777777" w:rsidTr="00BF03F5">
        <w:tc>
          <w:tcPr>
            <w:tcW w:w="5000" w:type="pct"/>
            <w:tcBorders>
              <w:top w:val="single" w:sz="6" w:space="0" w:color="78A22F"/>
              <w:left w:val="nil"/>
              <w:bottom w:val="nil"/>
              <w:right w:val="nil"/>
            </w:tcBorders>
            <w:shd w:val="clear" w:color="auto" w:fill="auto"/>
          </w:tcPr>
          <w:p w14:paraId="2547F470" w14:textId="48CCEF0A" w:rsidR="00B206F3" w:rsidRPr="00176D3F" w:rsidRDefault="00B206F3" w:rsidP="00F27EE2">
            <w:pPr>
              <w:pStyle w:val="FigureTitle"/>
            </w:pPr>
            <w:r w:rsidRPr="00784A05">
              <w:rPr>
                <w:b w:val="0"/>
              </w:rPr>
              <w:t xml:space="preserve">Figure </w:t>
            </w:r>
            <w:proofErr w:type="spellStart"/>
            <w:r w:rsidR="0083075C">
              <w:rPr>
                <w:b w:val="0"/>
              </w:rPr>
              <w:t>A.</w:t>
            </w:r>
            <w:r w:rsidR="0058496C">
              <w:rPr>
                <w:b w:val="0"/>
              </w:rPr>
              <w:t>2</w:t>
            </w:r>
            <w:proofErr w:type="spellEnd"/>
            <w:r>
              <w:tab/>
            </w:r>
            <w:r w:rsidRPr="009A47D9">
              <w:t>Proportion of the populati</w:t>
            </w:r>
            <w:r w:rsidR="001D4A85">
              <w:t>on</w:t>
            </w:r>
            <w:r w:rsidR="00D35002">
              <w:t xml:space="preserve">, by </w:t>
            </w:r>
            <w:r w:rsidR="001D4A85">
              <w:t>remoteness area</w:t>
            </w:r>
            <w:r w:rsidR="00D35002">
              <w:t xml:space="preserve"> and Indigenous status, June 2016</w:t>
            </w:r>
            <w:r w:rsidR="00D06388" w:rsidRPr="00693DE0">
              <w:rPr>
                <w:rStyle w:val="NoteLabel"/>
                <w:b/>
              </w:rPr>
              <w:t>a</w:t>
            </w:r>
          </w:p>
        </w:tc>
      </w:tr>
      <w:tr w:rsidR="00B206F3" w14:paraId="3EC9F2A6" w14:textId="77777777" w:rsidTr="00BF03F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AE142BC" w14:textId="45B083D2" w:rsidR="00B206F3" w:rsidRDefault="00EF1A68" w:rsidP="003910F6">
            <w:pPr>
              <w:pStyle w:val="Figure"/>
            </w:pPr>
            <w:r w:rsidRPr="00EF1A68">
              <w:rPr>
                <w:noProof/>
              </w:rPr>
              <w:drawing>
                <wp:inline distT="0" distB="0" distL="0" distR="0" wp14:anchorId="20FC56C7" wp14:editId="19D6C365">
                  <wp:extent cx="5191125" cy="2695575"/>
                  <wp:effectExtent l="0" t="0" r="0" b="0"/>
                  <wp:docPr id="4" name="Picture 4" descr="Figure A.2 Proportion of the population, by remoteness area and Indigenous status, June 2016&#10;&#10;More details can be found within the text surrounding this imag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1125" cy="269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06F3" w:rsidRPr="00176D3F" w14:paraId="4F6B2FC9" w14:textId="77777777" w:rsidTr="00BF03F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EA7AA" w14:textId="38E1D562" w:rsidR="00D06388" w:rsidRPr="00C71128" w:rsidRDefault="00D06388" w:rsidP="00F9198B">
            <w:pPr>
              <w:pStyle w:val="Note"/>
              <w:rPr>
                <w:iCs/>
              </w:rPr>
            </w:pPr>
            <w:r w:rsidRPr="00693DE0">
              <w:rPr>
                <w:rStyle w:val="NoteLabel"/>
              </w:rPr>
              <w:t>a</w:t>
            </w:r>
            <w:r w:rsidRPr="00BF6A25">
              <w:rPr>
                <w:rStyle w:val="NoteLabel"/>
              </w:rPr>
              <w:t xml:space="preserve"> </w:t>
            </w:r>
            <w:r w:rsidRPr="00E80AFB">
              <w:t>See table </w:t>
            </w:r>
            <w:proofErr w:type="spellStart"/>
            <w:r w:rsidRPr="00E80AFB">
              <w:t>A.</w:t>
            </w:r>
            <w:r w:rsidR="00A9365B">
              <w:t>3</w:t>
            </w:r>
            <w:proofErr w:type="spellEnd"/>
            <w:r w:rsidRPr="00E80AFB">
              <w:t xml:space="preserve"> for detailed definitions, footnotes and caveats</w:t>
            </w:r>
            <w:r>
              <w:t>.</w:t>
            </w:r>
          </w:p>
          <w:p w14:paraId="04230B0A" w14:textId="503BA1BD" w:rsidR="00B206F3" w:rsidRPr="00176D3F" w:rsidRDefault="00B206F3" w:rsidP="008A41A6">
            <w:pPr>
              <w:pStyle w:val="Source"/>
            </w:pPr>
            <w:r>
              <w:rPr>
                <w:i/>
              </w:rPr>
              <w:t>S</w:t>
            </w:r>
            <w:r w:rsidRPr="00784A05">
              <w:rPr>
                <w:i/>
              </w:rPr>
              <w:t>ource</w:t>
            </w:r>
            <w:r w:rsidR="00647837">
              <w:t xml:space="preserve">: </w:t>
            </w:r>
            <w:r w:rsidR="00D35002" w:rsidRPr="00D35002">
              <w:t xml:space="preserve">ABS </w:t>
            </w:r>
            <w:r w:rsidR="008A41A6">
              <w:t>(</w:t>
            </w:r>
            <w:r w:rsidR="00D35002" w:rsidRPr="00D35002">
              <w:t>2018</w:t>
            </w:r>
            <w:r w:rsidR="008A41A6">
              <w:t>)</w:t>
            </w:r>
            <w:r w:rsidR="00D35002" w:rsidRPr="00D35002">
              <w:t xml:space="preserve"> </w:t>
            </w:r>
            <w:r w:rsidR="00D35002" w:rsidRPr="00841699">
              <w:rPr>
                <w:i/>
              </w:rPr>
              <w:t>Estimates of Aboriginal and Torres Strait Islander Australians, June 2016</w:t>
            </w:r>
            <w:r w:rsidR="00D35002" w:rsidRPr="00D35002">
              <w:t>, Cat.</w:t>
            </w:r>
            <w:r w:rsidR="00EA3640">
              <w:t> </w:t>
            </w:r>
            <w:r w:rsidR="00D35002" w:rsidRPr="00D35002">
              <w:t>no.</w:t>
            </w:r>
            <w:r w:rsidR="00EA3640">
              <w:t> </w:t>
            </w:r>
            <w:r w:rsidR="00D35002" w:rsidRPr="002D774D">
              <w:t>3238.0.55.001</w:t>
            </w:r>
            <w:r w:rsidR="00750155" w:rsidRPr="002D774D">
              <w:t>;</w:t>
            </w:r>
            <w:r w:rsidR="00D35002" w:rsidRPr="0017107A">
              <w:t xml:space="preserve"> </w:t>
            </w:r>
            <w:r w:rsidRPr="0017107A">
              <w:t xml:space="preserve">table </w:t>
            </w:r>
            <w:proofErr w:type="spellStart"/>
            <w:r w:rsidRPr="0017107A">
              <w:t>A.</w:t>
            </w:r>
            <w:r w:rsidR="00A9365B">
              <w:t>3</w:t>
            </w:r>
            <w:proofErr w:type="spellEnd"/>
            <w:r w:rsidRPr="0017107A">
              <w:t>.</w:t>
            </w:r>
          </w:p>
        </w:tc>
      </w:tr>
      <w:tr w:rsidR="00B206F3" w14:paraId="695ABE3F" w14:textId="77777777" w:rsidTr="00BF03F5">
        <w:tc>
          <w:tcPr>
            <w:tcW w:w="5000" w:type="pct"/>
            <w:tcBorders>
              <w:top w:val="nil"/>
              <w:left w:val="nil"/>
              <w:bottom w:val="single" w:sz="6" w:space="0" w:color="78A22F"/>
              <w:right w:val="nil"/>
            </w:tcBorders>
            <w:shd w:val="clear" w:color="auto" w:fill="auto"/>
          </w:tcPr>
          <w:p w14:paraId="5E1511DA" w14:textId="77777777" w:rsidR="00B206F3" w:rsidRDefault="00B206F3" w:rsidP="00BF03F5">
            <w:pPr>
              <w:pStyle w:val="Figurespace"/>
              <w:keepNext w:val="0"/>
            </w:pPr>
          </w:p>
        </w:tc>
      </w:tr>
    </w:tbl>
    <w:p w14:paraId="6224F257" w14:textId="28534B0F" w:rsidR="004A3A4A" w:rsidRPr="00012CEB" w:rsidRDefault="004A3A4A" w:rsidP="004A3A4A">
      <w:pPr>
        <w:pStyle w:val="BodyText"/>
      </w:pPr>
      <w:r>
        <w:t xml:space="preserve">Aboriginal and Torres Strait Islander people as a proportion of the population differed across states and territories. </w:t>
      </w:r>
      <w:r w:rsidRPr="00185FF7">
        <w:t>The NT had the highest proportion (</w:t>
      </w:r>
      <w:r>
        <w:t>30</w:t>
      </w:r>
      <w:r w:rsidRPr="00185FF7">
        <w:t xml:space="preserve"> per cent) </w:t>
      </w:r>
      <w:r>
        <w:t>while</w:t>
      </w:r>
      <w:r w:rsidRPr="00185FF7">
        <w:t xml:space="preserve"> Victoria had the lowest (</w:t>
      </w:r>
      <w:r>
        <w:t>1 </w:t>
      </w:r>
      <w:r w:rsidRPr="00185FF7">
        <w:t>per</w:t>
      </w:r>
      <w:r>
        <w:t> </w:t>
      </w:r>
      <w:r w:rsidRPr="00185FF7">
        <w:t xml:space="preserve">cent) (figure </w:t>
      </w:r>
      <w:proofErr w:type="spellStart"/>
      <w:r w:rsidR="0083075C">
        <w:t>A.</w:t>
      </w:r>
      <w:r>
        <w:t>3</w:t>
      </w:r>
      <w:proofErr w:type="spellEnd"/>
      <w:r>
        <w:t>).</w:t>
      </w:r>
      <w:r w:rsidRPr="004D42D7">
        <w:t xml:space="preserve"> </w:t>
      </w:r>
    </w:p>
    <w:p w14:paraId="3C07671E" w14:textId="04B52990" w:rsidR="00B206F3" w:rsidRDefault="00B206F3" w:rsidP="003910F6">
      <w:pPr>
        <w:pStyle w:val="BoxSpaceAbove"/>
      </w:pPr>
    </w:p>
    <w:tbl>
      <w:tblPr>
        <w:tblW w:w="5000" w:type="pct"/>
        <w:tblBorders>
          <w:top w:val="single" w:sz="6" w:space="0" w:color="78A22F"/>
          <w:left w:val="single" w:sz="6" w:space="0" w:color="78A22F"/>
          <w:bottom w:val="single" w:sz="6" w:space="0" w:color="78A22F"/>
          <w:right w:val="single" w:sz="6" w:space="0" w:color="78A22F"/>
        </w:tblBorders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8789"/>
      </w:tblGrid>
      <w:tr w:rsidR="00B206F3" w14:paraId="770A6830" w14:textId="77777777" w:rsidTr="00BF03F5">
        <w:tc>
          <w:tcPr>
            <w:tcW w:w="5000" w:type="pct"/>
            <w:tcBorders>
              <w:top w:val="single" w:sz="6" w:space="0" w:color="78A22F"/>
              <w:left w:val="nil"/>
              <w:bottom w:val="nil"/>
              <w:right w:val="nil"/>
            </w:tcBorders>
            <w:shd w:val="clear" w:color="auto" w:fill="auto"/>
          </w:tcPr>
          <w:p w14:paraId="030BCED5" w14:textId="16F2E027" w:rsidR="00B206F3" w:rsidRPr="00176D3F" w:rsidRDefault="00B206F3">
            <w:pPr>
              <w:pStyle w:val="FigureTitle"/>
            </w:pPr>
            <w:r w:rsidRPr="00784A05">
              <w:rPr>
                <w:b w:val="0"/>
              </w:rPr>
              <w:t xml:space="preserve">Figure </w:t>
            </w:r>
            <w:proofErr w:type="spellStart"/>
            <w:r w:rsidR="0083075C">
              <w:rPr>
                <w:b w:val="0"/>
              </w:rPr>
              <w:t>A.</w:t>
            </w:r>
            <w:r w:rsidR="0058496C">
              <w:rPr>
                <w:b w:val="0"/>
              </w:rPr>
              <w:t>3</w:t>
            </w:r>
            <w:proofErr w:type="spellEnd"/>
            <w:r w:rsidRPr="00C620E7">
              <w:tab/>
            </w:r>
            <w:r w:rsidR="00A42969">
              <w:t>Aboriginal and Torres Strait Islander</w:t>
            </w:r>
            <w:r w:rsidR="005E1A1D">
              <w:t xml:space="preserve"> people</w:t>
            </w:r>
            <w:r w:rsidR="00FB3CC2">
              <w:t xml:space="preserve"> as a proportion of the population in each State and Territory</w:t>
            </w:r>
            <w:r w:rsidR="00D3020F">
              <w:t xml:space="preserve">, </w:t>
            </w:r>
            <w:r w:rsidR="00D35002">
              <w:t xml:space="preserve">June </w:t>
            </w:r>
            <w:r w:rsidR="00D3020F">
              <w:t>2016</w:t>
            </w:r>
            <w:r w:rsidR="007B0E3D" w:rsidRPr="003C2B01">
              <w:rPr>
                <w:rStyle w:val="NoteLabel"/>
                <w:b/>
              </w:rPr>
              <w:t>a</w:t>
            </w:r>
          </w:p>
        </w:tc>
      </w:tr>
      <w:tr w:rsidR="00B206F3" w14:paraId="2F392B4E" w14:textId="77777777" w:rsidTr="00BF03F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54BFD16" w14:textId="4515D314" w:rsidR="00B206F3" w:rsidRDefault="00EF1A68" w:rsidP="003910F6">
            <w:pPr>
              <w:pStyle w:val="Figure"/>
            </w:pPr>
            <w:r w:rsidRPr="00EF1A68">
              <w:rPr>
                <w:noProof/>
              </w:rPr>
              <w:drawing>
                <wp:inline distT="0" distB="0" distL="0" distR="0" wp14:anchorId="3DEBEC2C" wp14:editId="714F8C51">
                  <wp:extent cx="5362575" cy="2695575"/>
                  <wp:effectExtent l="0" t="0" r="0" b="0"/>
                  <wp:docPr id="9" name="Picture 9" descr="Figure A.3 Aboriginal and Torres Strait Islander people as a proportion of the population in each State and Territory, June 2016&#10;&#10;More details can be found within the text surrounding this image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2575" cy="269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06F3" w:rsidRPr="00176D3F" w14:paraId="70B6FACF" w14:textId="77777777" w:rsidTr="00BF03F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3F21E8" w14:textId="595EDEB6" w:rsidR="007B0E3D" w:rsidRPr="007B0E3D" w:rsidRDefault="007B0E3D" w:rsidP="007B0E3D">
            <w:pPr>
              <w:pStyle w:val="Note"/>
            </w:pPr>
            <w:r>
              <w:rPr>
                <w:rStyle w:val="NoteLabel"/>
              </w:rPr>
              <w:t>a</w:t>
            </w:r>
            <w:r>
              <w:t xml:space="preserve"> </w:t>
            </w:r>
            <w:r w:rsidRPr="00E80AFB">
              <w:t>See table </w:t>
            </w:r>
            <w:proofErr w:type="spellStart"/>
            <w:r w:rsidRPr="00E80AFB">
              <w:t>A.</w:t>
            </w:r>
            <w:r w:rsidR="00A9365B">
              <w:t>3</w:t>
            </w:r>
            <w:proofErr w:type="spellEnd"/>
            <w:r w:rsidRPr="00E80AFB">
              <w:t xml:space="preserve"> for detailed definitions, footnotes and caveats</w:t>
            </w:r>
            <w:r>
              <w:t>.</w:t>
            </w:r>
          </w:p>
          <w:p w14:paraId="7404A190" w14:textId="1679DBC0" w:rsidR="00B206F3" w:rsidRPr="00176D3F" w:rsidRDefault="00D3020F" w:rsidP="008A41A6">
            <w:pPr>
              <w:pStyle w:val="Source"/>
            </w:pPr>
            <w:r>
              <w:rPr>
                <w:i/>
              </w:rPr>
              <w:t>S</w:t>
            </w:r>
            <w:r w:rsidRPr="00784A05">
              <w:rPr>
                <w:i/>
              </w:rPr>
              <w:t>ource</w:t>
            </w:r>
            <w:r w:rsidRPr="00176D3F">
              <w:t xml:space="preserve">: </w:t>
            </w:r>
            <w:r>
              <w:t xml:space="preserve">ABS </w:t>
            </w:r>
            <w:r w:rsidR="008A41A6">
              <w:t>(</w:t>
            </w:r>
            <w:r>
              <w:t>201</w:t>
            </w:r>
            <w:r w:rsidR="00D35002">
              <w:t>9</w:t>
            </w:r>
            <w:r w:rsidR="008A41A6">
              <w:t>)</w:t>
            </w:r>
            <w:r>
              <w:t xml:space="preserve"> </w:t>
            </w:r>
            <w:r w:rsidRPr="009D66E0">
              <w:rPr>
                <w:i/>
              </w:rPr>
              <w:t>Estimates of Aboriginal and Torres Strait Islander Australians</w:t>
            </w:r>
            <w:r>
              <w:t xml:space="preserve">, Cat. no. </w:t>
            </w:r>
            <w:r w:rsidRPr="009D66E0">
              <w:t>3238.0.55.001</w:t>
            </w:r>
            <w:r w:rsidRPr="009A47D9">
              <w:t xml:space="preserve">; table </w:t>
            </w:r>
            <w:proofErr w:type="spellStart"/>
            <w:r w:rsidRPr="009A47D9">
              <w:t>A.</w:t>
            </w:r>
            <w:r w:rsidR="00A9365B">
              <w:t>3</w:t>
            </w:r>
            <w:proofErr w:type="spellEnd"/>
            <w:r w:rsidRPr="009A47D9">
              <w:t>.</w:t>
            </w:r>
          </w:p>
        </w:tc>
      </w:tr>
      <w:tr w:rsidR="00B206F3" w14:paraId="1DA46CB9" w14:textId="77777777" w:rsidTr="00BF03F5">
        <w:tc>
          <w:tcPr>
            <w:tcW w:w="5000" w:type="pct"/>
            <w:tcBorders>
              <w:top w:val="nil"/>
              <w:left w:val="nil"/>
              <w:bottom w:val="single" w:sz="6" w:space="0" w:color="78A22F"/>
              <w:right w:val="nil"/>
            </w:tcBorders>
            <w:shd w:val="clear" w:color="auto" w:fill="auto"/>
          </w:tcPr>
          <w:p w14:paraId="36C0CDD0" w14:textId="77777777" w:rsidR="00B206F3" w:rsidRDefault="00B206F3" w:rsidP="003910F6">
            <w:pPr>
              <w:pStyle w:val="Figurespace"/>
            </w:pPr>
          </w:p>
        </w:tc>
      </w:tr>
      <w:tr w:rsidR="00B206F3" w:rsidRPr="000863A5" w14:paraId="363D388D" w14:textId="77777777" w:rsidTr="00BF03F5">
        <w:tc>
          <w:tcPr>
            <w:tcW w:w="5000" w:type="pct"/>
            <w:tcBorders>
              <w:top w:val="single" w:sz="6" w:space="0" w:color="78A22F"/>
              <w:left w:val="nil"/>
              <w:bottom w:val="nil"/>
              <w:right w:val="nil"/>
            </w:tcBorders>
          </w:tcPr>
          <w:p w14:paraId="47EBA59C" w14:textId="35081F87" w:rsidR="00B206F3" w:rsidRPr="00626D32" w:rsidRDefault="00B206F3" w:rsidP="003910F6">
            <w:pPr>
              <w:pStyle w:val="BoxSpaceBelow"/>
            </w:pPr>
          </w:p>
        </w:tc>
      </w:tr>
    </w:tbl>
    <w:p w14:paraId="0E9466B5" w14:textId="77777777" w:rsidR="00923FDC" w:rsidRDefault="00923FDC" w:rsidP="00923FDC">
      <w:pPr>
        <w:pStyle w:val="Heading3"/>
        <w:jc w:val="both"/>
      </w:pPr>
      <w:r>
        <w:t>The Aboriginal and Torres Strait Islander</w:t>
      </w:r>
      <w:r w:rsidRPr="00B67282">
        <w:t xml:space="preserve"> population</w:t>
      </w:r>
      <w:r>
        <w:t xml:space="preserve"> is younger than the non-Indigenous population</w:t>
      </w:r>
    </w:p>
    <w:p w14:paraId="6E34F070" w14:textId="77777777" w:rsidR="00923FDC" w:rsidRDefault="00923FDC" w:rsidP="00923FDC">
      <w:pPr>
        <w:pStyle w:val="BodyText"/>
      </w:pPr>
      <w:r>
        <w:t>The</w:t>
      </w:r>
      <w:r w:rsidRPr="003E31AA">
        <w:t xml:space="preserve"> Aboriginal and Torres Strait Islander population</w:t>
      </w:r>
      <w:r>
        <w:t xml:space="preserve"> has a younger </w:t>
      </w:r>
      <w:r w:rsidRPr="003E31AA">
        <w:t xml:space="preserve">age structure </w:t>
      </w:r>
      <w:r>
        <w:t>than</w:t>
      </w:r>
      <w:r w:rsidRPr="003E31AA">
        <w:t xml:space="preserve"> the non</w:t>
      </w:r>
      <w:r w:rsidRPr="003E31AA">
        <w:noBreakHyphen/>
        <w:t>Indigenous population</w:t>
      </w:r>
      <w:r>
        <w:t xml:space="preserve"> in Australia.</w:t>
      </w:r>
      <w:r>
        <w:rPr>
          <w:rStyle w:val="FootnoteReference"/>
        </w:rPr>
        <w:footnoteReference w:id="1"/>
      </w:r>
      <w:r>
        <w:t xml:space="preserve"> As at June 2016: </w:t>
      </w:r>
    </w:p>
    <w:p w14:paraId="7FF8EBD9" w14:textId="7D1CBC89" w:rsidR="00923FDC" w:rsidRPr="003E31AA" w:rsidRDefault="00923FDC" w:rsidP="00923FDC">
      <w:pPr>
        <w:pStyle w:val="ListBullet"/>
      </w:pPr>
      <w:r>
        <w:t>34 </w:t>
      </w:r>
      <w:r w:rsidRPr="003E31AA">
        <w:t xml:space="preserve">per cent </w:t>
      </w:r>
      <w:r>
        <w:t xml:space="preserve">of </w:t>
      </w:r>
      <w:r w:rsidRPr="003E31AA">
        <w:t xml:space="preserve">Aboriginal and Torres Strait Islander </w:t>
      </w:r>
      <w:r>
        <w:t>people were under 15 years old, compared with 18</w:t>
      </w:r>
      <w:r w:rsidRPr="003E31AA">
        <w:t xml:space="preserve"> per cent </w:t>
      </w:r>
      <w:r>
        <w:t>of</w:t>
      </w:r>
      <w:r w:rsidRPr="003E31AA">
        <w:t xml:space="preserve"> non</w:t>
      </w:r>
      <w:r>
        <w:noBreakHyphen/>
      </w:r>
      <w:r w:rsidRPr="003E31AA">
        <w:t xml:space="preserve">Indigenous </w:t>
      </w:r>
      <w:r>
        <w:t>people</w:t>
      </w:r>
      <w:r w:rsidRPr="003E31AA">
        <w:t xml:space="preserve"> (figure</w:t>
      </w:r>
      <w:r>
        <w:t> </w:t>
      </w:r>
      <w:proofErr w:type="spellStart"/>
      <w:r>
        <w:t>A.</w:t>
      </w:r>
      <w:r w:rsidR="006B5942">
        <w:t>4</w:t>
      </w:r>
      <w:proofErr w:type="spellEnd"/>
      <w:r w:rsidRPr="003E31AA">
        <w:t xml:space="preserve">) </w:t>
      </w:r>
    </w:p>
    <w:p w14:paraId="0B7CEB15" w14:textId="3C96E799" w:rsidR="00923FDC" w:rsidRPr="002C4E19" w:rsidRDefault="00923FDC" w:rsidP="00923FDC">
      <w:pPr>
        <w:pStyle w:val="ListBullet"/>
      </w:pPr>
      <w:r>
        <w:t>about 1 per cent</w:t>
      </w:r>
      <w:r w:rsidRPr="002C4E19">
        <w:t xml:space="preserve"> of </w:t>
      </w:r>
      <w:r>
        <w:t>Aboriginal and Torres Strait Islander</w:t>
      </w:r>
      <w:r w:rsidRPr="002C4E19">
        <w:t xml:space="preserve"> </w:t>
      </w:r>
      <w:r>
        <w:t>people</w:t>
      </w:r>
      <w:r w:rsidRPr="002C4E19">
        <w:t xml:space="preserve"> </w:t>
      </w:r>
      <w:r>
        <w:t xml:space="preserve">were </w:t>
      </w:r>
      <w:r w:rsidRPr="002C4E19">
        <w:t>age</w:t>
      </w:r>
      <w:r>
        <w:t>d </w:t>
      </w:r>
      <w:r w:rsidRPr="002C4E19">
        <w:t>75</w:t>
      </w:r>
      <w:r>
        <w:t> </w:t>
      </w:r>
      <w:r w:rsidRPr="002C4E19">
        <w:t>years</w:t>
      </w:r>
      <w:r>
        <w:t xml:space="preserve"> </w:t>
      </w:r>
      <w:r w:rsidR="00662973">
        <w:t>or</w:t>
      </w:r>
      <w:r>
        <w:t xml:space="preserve"> over, compared with 7</w:t>
      </w:r>
      <w:r w:rsidRPr="002C4E19">
        <w:t xml:space="preserve"> per cent </w:t>
      </w:r>
      <w:r>
        <w:t>of</w:t>
      </w:r>
      <w:r w:rsidRPr="002C4E19">
        <w:t xml:space="preserve"> non</w:t>
      </w:r>
      <w:r w:rsidRPr="002C4E19">
        <w:noBreakHyphen/>
        <w:t xml:space="preserve">Indigenous </w:t>
      </w:r>
      <w:r>
        <w:t>people</w:t>
      </w:r>
      <w:r w:rsidRPr="002C4E19">
        <w:t xml:space="preserve"> (figure</w:t>
      </w:r>
      <w:r>
        <w:t xml:space="preserve"> </w:t>
      </w:r>
      <w:proofErr w:type="spellStart"/>
      <w:r>
        <w:t>A.</w:t>
      </w:r>
      <w:r w:rsidR="006B5942">
        <w:t>4</w:t>
      </w:r>
      <w:proofErr w:type="spellEnd"/>
      <w:r w:rsidRPr="002C4E19">
        <w:t xml:space="preserve">) </w:t>
      </w:r>
    </w:p>
    <w:p w14:paraId="525332DC" w14:textId="7BD58858" w:rsidR="00923FDC" w:rsidRDefault="00923FDC" w:rsidP="005845D4">
      <w:pPr>
        <w:pStyle w:val="ListBullet"/>
      </w:pPr>
      <w:r w:rsidRPr="000F2FF4">
        <w:t xml:space="preserve">the median age </w:t>
      </w:r>
      <w:r>
        <w:t xml:space="preserve">(midpoint) </w:t>
      </w:r>
      <w:r w:rsidRPr="000F2FF4">
        <w:t xml:space="preserve">of </w:t>
      </w:r>
      <w:r>
        <w:t xml:space="preserve">Aboriginal and Torres Strait Islander people was </w:t>
      </w:r>
      <w:r w:rsidRPr="005845D4">
        <w:t>2</w:t>
      </w:r>
      <w:r w:rsidR="00B141FE" w:rsidRPr="005845D4">
        <w:t>3</w:t>
      </w:r>
      <w:r>
        <w:t xml:space="preserve"> </w:t>
      </w:r>
      <w:r w:rsidRPr="000F2FF4">
        <w:t>years, co</w:t>
      </w:r>
      <w:r>
        <w:t>mpared with 38</w:t>
      </w:r>
      <w:r w:rsidRPr="000F2FF4">
        <w:t xml:space="preserve"> years for non</w:t>
      </w:r>
      <w:r w:rsidRPr="000F2FF4">
        <w:noBreakHyphen/>
        <w:t xml:space="preserve">Indigenous </w:t>
      </w:r>
      <w:r>
        <w:t xml:space="preserve">people </w:t>
      </w:r>
      <w:r w:rsidRPr="000F2FF4">
        <w:t>(table</w:t>
      </w:r>
      <w:r>
        <w:t> </w:t>
      </w:r>
      <w:proofErr w:type="spellStart"/>
      <w:r w:rsidRPr="000F2FF4">
        <w:t>A</w:t>
      </w:r>
      <w:r w:rsidR="006B7B29">
        <w:t>.1</w:t>
      </w:r>
      <w:proofErr w:type="spellEnd"/>
      <w:r w:rsidRPr="000F2FF4">
        <w:t>).</w:t>
      </w:r>
    </w:p>
    <w:p w14:paraId="5CD2FE88" w14:textId="0428BA87" w:rsidR="00923FDC" w:rsidRDefault="00923FDC" w:rsidP="00923FDC">
      <w:pPr>
        <w:pStyle w:val="BoxSpaceAbove"/>
      </w:pPr>
    </w:p>
    <w:tbl>
      <w:tblPr>
        <w:tblW w:w="5000" w:type="pct"/>
        <w:tblBorders>
          <w:top w:val="single" w:sz="6" w:space="0" w:color="78A22F"/>
          <w:left w:val="single" w:sz="6" w:space="0" w:color="78A22F"/>
          <w:bottom w:val="single" w:sz="6" w:space="0" w:color="78A22F"/>
          <w:right w:val="single" w:sz="6" w:space="0" w:color="78A22F"/>
        </w:tblBorders>
        <w:tblCellMar>
          <w:left w:w="142" w:type="dxa"/>
          <w:right w:w="142" w:type="dxa"/>
        </w:tblCellMar>
        <w:tblLook w:val="0000" w:firstRow="0" w:lastRow="0" w:firstColumn="0" w:lastColumn="0" w:noHBand="0" w:noVBand="0"/>
        <w:tblDescription w:val="Table used for design layout."/>
      </w:tblPr>
      <w:tblGrid>
        <w:gridCol w:w="8789"/>
      </w:tblGrid>
      <w:tr w:rsidR="00923FDC" w14:paraId="11057DF0" w14:textId="77777777" w:rsidTr="005D2A39">
        <w:trPr>
          <w:tblHeader/>
        </w:trPr>
        <w:tc>
          <w:tcPr>
            <w:tcW w:w="5000" w:type="pct"/>
            <w:tcBorders>
              <w:top w:val="single" w:sz="6" w:space="0" w:color="78A22F"/>
              <w:left w:val="nil"/>
              <w:bottom w:val="nil"/>
              <w:right w:val="nil"/>
            </w:tcBorders>
            <w:shd w:val="clear" w:color="auto" w:fill="auto"/>
          </w:tcPr>
          <w:p w14:paraId="257B94BB" w14:textId="1E5F5F5F" w:rsidR="00923FDC" w:rsidRPr="00176D3F" w:rsidRDefault="00923FDC" w:rsidP="00F27EE2">
            <w:pPr>
              <w:pStyle w:val="FigureTitle"/>
            </w:pPr>
            <w:r w:rsidRPr="00784A05">
              <w:rPr>
                <w:b w:val="0"/>
              </w:rPr>
              <w:t xml:space="preserve">Figure </w:t>
            </w:r>
            <w:proofErr w:type="spellStart"/>
            <w:r w:rsidR="0083075C">
              <w:rPr>
                <w:b w:val="0"/>
              </w:rPr>
              <w:t>A.</w:t>
            </w:r>
            <w:r w:rsidR="006B5942">
              <w:rPr>
                <w:b w:val="0"/>
              </w:rPr>
              <w:t>4</w:t>
            </w:r>
            <w:proofErr w:type="spellEnd"/>
            <w:r>
              <w:tab/>
            </w:r>
            <w:r w:rsidRPr="003E31AA">
              <w:t>Proportion of the population</w:t>
            </w:r>
            <w:r>
              <w:t>, by</w:t>
            </w:r>
            <w:r w:rsidRPr="003E31AA">
              <w:t xml:space="preserve"> age </w:t>
            </w:r>
            <w:r>
              <w:t>group and Indigenous status, June 2016</w:t>
            </w:r>
            <w:r w:rsidRPr="00693DE0">
              <w:rPr>
                <w:rStyle w:val="NoteLabel"/>
                <w:b/>
              </w:rPr>
              <w:t>a</w:t>
            </w:r>
          </w:p>
        </w:tc>
      </w:tr>
      <w:tr w:rsidR="00923FDC" w14:paraId="234AD401" w14:textId="77777777" w:rsidTr="005D2A3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tbl>
            <w:tblPr>
              <w:tblW w:w="8504" w:type="dxa"/>
              <w:jc w:val="center"/>
              <w:tblBorders>
                <w:top w:val="single" w:sz="6" w:space="0" w:color="8064A2" w:themeColor="accent4"/>
                <w:bottom w:val="single" w:sz="6" w:space="0" w:color="8064A2" w:themeColor="accent4"/>
              </w:tblBorders>
              <w:tblCellMar>
                <w:top w:w="28" w:type="dxa"/>
                <w:left w:w="0" w:type="dxa"/>
                <w:right w:w="0" w:type="dxa"/>
              </w:tblCellMar>
              <w:tblLook w:val="0000" w:firstRow="0" w:lastRow="0" w:firstColumn="0" w:lastColumn="0" w:noHBand="0" w:noVBand="0"/>
              <w:tblDescription w:val="Nested table used for design layout."/>
            </w:tblPr>
            <w:tblGrid>
              <w:gridCol w:w="8504"/>
            </w:tblGrid>
            <w:tr w:rsidR="00923FDC" w:rsidRPr="00B1465D" w14:paraId="62FE6E8C" w14:textId="77777777" w:rsidTr="005D2A39">
              <w:trPr>
                <w:tblHeader/>
                <w:jc w:val="center"/>
              </w:trPr>
              <w:tc>
                <w:tcPr>
                  <w:tcW w:w="5000" w:type="pct"/>
                  <w:tcBorders>
                    <w:top w:val="nil"/>
                    <w:bottom w:val="nil"/>
                  </w:tcBorders>
                </w:tcPr>
                <w:p w14:paraId="1ABD15EA" w14:textId="222280C5" w:rsidR="00923FDC" w:rsidRPr="00B1465D" w:rsidRDefault="00E7239F" w:rsidP="005D2A39">
                  <w:pPr>
                    <w:pStyle w:val="Figure"/>
                    <w:spacing w:before="6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4" w:name="_GoBack"/>
                  <w:r w:rsidRPr="00E7239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243A118" wp14:editId="7962A9D0">
                        <wp:extent cx="5362575" cy="2619375"/>
                        <wp:effectExtent l="0" t="0" r="0" b="0"/>
                        <wp:docPr id="3" name="Picture 3" descr="Figure A.4 Proportion of the population, by age group and Indigenous status, June 2016&#10;&#10;More details can be found within the text surrounding this image.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62575" cy="2619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4"/>
                </w:p>
              </w:tc>
            </w:tr>
          </w:tbl>
          <w:p w14:paraId="55E3E812" w14:textId="77777777" w:rsidR="00923FDC" w:rsidRDefault="00923FDC" w:rsidP="005D2A39">
            <w:pPr>
              <w:pStyle w:val="Figure"/>
            </w:pPr>
          </w:p>
        </w:tc>
      </w:tr>
      <w:tr w:rsidR="00923FDC" w:rsidRPr="00176D3F" w14:paraId="7C5FD894" w14:textId="77777777" w:rsidTr="005D2A3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B3FF8F" w14:textId="77777777" w:rsidR="00923FDC" w:rsidRPr="00176D3F" w:rsidRDefault="00923FDC" w:rsidP="005D2A39">
            <w:pPr>
              <w:pStyle w:val="Note"/>
            </w:pPr>
            <w:r w:rsidRPr="00234C0B">
              <w:rPr>
                <w:rStyle w:val="NoteLabel"/>
              </w:rPr>
              <w:t xml:space="preserve">a </w:t>
            </w:r>
            <w:r w:rsidRPr="00234C0B">
              <w:t>See table </w:t>
            </w:r>
            <w:proofErr w:type="spellStart"/>
            <w:r w:rsidRPr="00234C0B">
              <w:t>A.1</w:t>
            </w:r>
            <w:proofErr w:type="spellEnd"/>
            <w:r w:rsidRPr="00234C0B">
              <w:t xml:space="preserve"> for detailed definitions, footnotes and caveats.</w:t>
            </w:r>
          </w:p>
        </w:tc>
      </w:tr>
      <w:tr w:rsidR="00923FDC" w:rsidRPr="00176D3F" w14:paraId="3F5A841F" w14:textId="77777777" w:rsidTr="005D2A3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04987C" w14:textId="256A7ACA" w:rsidR="00923FDC" w:rsidRPr="00176D3F" w:rsidRDefault="00923FDC" w:rsidP="00422E7B">
            <w:pPr>
              <w:pStyle w:val="Source"/>
            </w:pPr>
            <w:r w:rsidRPr="00234C0B">
              <w:rPr>
                <w:i/>
              </w:rPr>
              <w:t>Source</w:t>
            </w:r>
            <w:r w:rsidR="00422E7B">
              <w:t xml:space="preserve">: ABS </w:t>
            </w:r>
            <w:r w:rsidR="00484171">
              <w:t>(</w:t>
            </w:r>
            <w:r w:rsidRPr="00234C0B">
              <w:t>2018</w:t>
            </w:r>
            <w:r w:rsidR="00484171">
              <w:t>)</w:t>
            </w:r>
            <w:r w:rsidRPr="00234C0B">
              <w:t xml:space="preserve"> </w:t>
            </w:r>
            <w:r w:rsidRPr="00841699">
              <w:rPr>
                <w:i/>
              </w:rPr>
              <w:t>Estimates of Aboriginal and Torres Strait Islander Australians, June 2016</w:t>
            </w:r>
            <w:r w:rsidRPr="00234C0B">
              <w:t xml:space="preserve">, Cat. no. 3238.0.55.001; table </w:t>
            </w:r>
            <w:proofErr w:type="spellStart"/>
            <w:r w:rsidRPr="00234C0B">
              <w:t>A.1</w:t>
            </w:r>
            <w:proofErr w:type="spellEnd"/>
            <w:r w:rsidRPr="00234C0B">
              <w:t>.</w:t>
            </w:r>
          </w:p>
        </w:tc>
      </w:tr>
      <w:tr w:rsidR="00923FDC" w14:paraId="13F43ED7" w14:textId="77777777" w:rsidTr="005D2A39">
        <w:tc>
          <w:tcPr>
            <w:tcW w:w="5000" w:type="pct"/>
            <w:tcBorders>
              <w:top w:val="nil"/>
              <w:left w:val="nil"/>
              <w:bottom w:val="single" w:sz="6" w:space="0" w:color="78A22F"/>
              <w:right w:val="nil"/>
            </w:tcBorders>
            <w:shd w:val="clear" w:color="auto" w:fill="auto"/>
          </w:tcPr>
          <w:p w14:paraId="0E8B6026" w14:textId="77777777" w:rsidR="00923FDC" w:rsidRDefault="00923FDC" w:rsidP="005D2A39">
            <w:pPr>
              <w:pStyle w:val="Figurespace"/>
            </w:pPr>
          </w:p>
        </w:tc>
      </w:tr>
      <w:tr w:rsidR="00923FDC" w:rsidRPr="000863A5" w14:paraId="64D587CE" w14:textId="77777777" w:rsidTr="005D2A39">
        <w:tc>
          <w:tcPr>
            <w:tcW w:w="5000" w:type="pct"/>
            <w:tcBorders>
              <w:top w:val="single" w:sz="6" w:space="0" w:color="78A22F"/>
              <w:left w:val="nil"/>
              <w:bottom w:val="nil"/>
              <w:right w:val="nil"/>
            </w:tcBorders>
          </w:tcPr>
          <w:p w14:paraId="1C1B77F4" w14:textId="2988798D" w:rsidR="00923FDC" w:rsidRPr="00626D32" w:rsidRDefault="00923FDC" w:rsidP="005D2A39">
            <w:pPr>
              <w:pStyle w:val="BoxSpaceBelow"/>
            </w:pPr>
          </w:p>
        </w:tc>
      </w:tr>
    </w:tbl>
    <w:p w14:paraId="05987CC0" w14:textId="77777777" w:rsidR="00B504B6" w:rsidRPr="00776F2E" w:rsidRDefault="00284909" w:rsidP="00832D1E">
      <w:pPr>
        <w:pStyle w:val="Heading3"/>
        <w:jc w:val="both"/>
      </w:pPr>
      <w:r>
        <w:t>At the time of the 2016 Census,</w:t>
      </w:r>
      <w:r w:rsidRPr="00776F2E">
        <w:t xml:space="preserve"> </w:t>
      </w:r>
      <w:r>
        <w:t>one in ten</w:t>
      </w:r>
      <w:r w:rsidRPr="00284909">
        <w:t xml:space="preserve"> Aboriginal and Torres Strait Islander people spoke an Aboriginal and Torres Strait Islander language at home </w:t>
      </w:r>
    </w:p>
    <w:p w14:paraId="45F67EC8" w14:textId="5B11818A" w:rsidR="00A02BC1" w:rsidRDefault="004D176C" w:rsidP="00FA7533">
      <w:pPr>
        <w:pStyle w:val="BodyText"/>
      </w:pPr>
      <w:r>
        <w:t xml:space="preserve">More than 250 </w:t>
      </w:r>
      <w:r w:rsidR="00EA68B7">
        <w:t>Aboriginal and Torres Strait Islander</w:t>
      </w:r>
      <w:r w:rsidR="00B504B6" w:rsidRPr="00776F2E">
        <w:t xml:space="preserve"> </w:t>
      </w:r>
      <w:r>
        <w:t>languages</w:t>
      </w:r>
      <w:r w:rsidR="00E3183D">
        <w:t>,</w:t>
      </w:r>
      <w:r>
        <w:t xml:space="preserve"> including 800 dialects</w:t>
      </w:r>
      <w:r w:rsidR="00E3183D">
        <w:t>,</w:t>
      </w:r>
      <w:r>
        <w:t xml:space="preserve"> existed at the time of </w:t>
      </w:r>
      <w:r w:rsidR="00B504B6" w:rsidRPr="00776F2E">
        <w:t>European settlement</w:t>
      </w:r>
      <w:r w:rsidR="00F9198B">
        <w:t xml:space="preserve"> — </w:t>
      </w:r>
      <w:r w:rsidR="00B504B6" w:rsidRPr="00FB4E59">
        <w:t xml:space="preserve">but today </w:t>
      </w:r>
      <w:r w:rsidR="00616007" w:rsidRPr="00FB4E59">
        <w:t xml:space="preserve">only </w:t>
      </w:r>
      <w:r w:rsidR="00F11132">
        <w:t>about</w:t>
      </w:r>
      <w:r w:rsidR="00616007" w:rsidRPr="00FB4E59">
        <w:t xml:space="preserve"> 120 languages are still spoken </w:t>
      </w:r>
      <w:r w:rsidR="00337356" w:rsidRPr="00337356">
        <w:rPr>
          <w:szCs w:val="24"/>
        </w:rPr>
        <w:t>(</w:t>
      </w:r>
      <w:proofErr w:type="spellStart"/>
      <w:r w:rsidR="00337356" w:rsidRPr="00337356">
        <w:rPr>
          <w:szCs w:val="24"/>
        </w:rPr>
        <w:t>AIATSIS</w:t>
      </w:r>
      <w:proofErr w:type="spellEnd"/>
      <w:r w:rsidR="00337356" w:rsidRPr="00337356">
        <w:rPr>
          <w:szCs w:val="24"/>
        </w:rPr>
        <w:t> </w:t>
      </w:r>
      <w:proofErr w:type="spellStart"/>
      <w:r w:rsidR="00337356" w:rsidRPr="00337356">
        <w:rPr>
          <w:szCs w:val="24"/>
        </w:rPr>
        <w:t>nd</w:t>
      </w:r>
      <w:proofErr w:type="spellEnd"/>
      <w:r w:rsidR="00337356" w:rsidRPr="00337356">
        <w:rPr>
          <w:szCs w:val="24"/>
        </w:rPr>
        <w:t xml:space="preserve">; </w:t>
      </w:r>
      <w:proofErr w:type="spellStart"/>
      <w:r w:rsidR="00337356" w:rsidRPr="00337356">
        <w:rPr>
          <w:szCs w:val="24"/>
        </w:rPr>
        <w:t>DITRDC</w:t>
      </w:r>
      <w:proofErr w:type="spellEnd"/>
      <w:r w:rsidR="00337356" w:rsidRPr="00337356">
        <w:rPr>
          <w:szCs w:val="24"/>
        </w:rPr>
        <w:t xml:space="preserve">, </w:t>
      </w:r>
      <w:proofErr w:type="spellStart"/>
      <w:r w:rsidR="00337356" w:rsidRPr="00337356">
        <w:rPr>
          <w:szCs w:val="24"/>
        </w:rPr>
        <w:t>AIATSIS</w:t>
      </w:r>
      <w:proofErr w:type="spellEnd"/>
      <w:r w:rsidR="00337356" w:rsidRPr="00337356">
        <w:rPr>
          <w:szCs w:val="24"/>
        </w:rPr>
        <w:t xml:space="preserve"> and ANU 2020, 2020; Marmion, Obata and Troy 2014)</w:t>
      </w:r>
      <w:r w:rsidR="00616007" w:rsidRPr="00FB4E59">
        <w:t>.</w:t>
      </w:r>
    </w:p>
    <w:p w14:paraId="1C6A9EDE" w14:textId="3358443A" w:rsidR="00171D2C" w:rsidRDefault="003B3574" w:rsidP="003B3574">
      <w:pPr>
        <w:pStyle w:val="BodyText"/>
      </w:pPr>
      <w:r>
        <w:t>Languages are much more than a communication tool</w:t>
      </w:r>
      <w:r w:rsidR="00C43D49">
        <w:t xml:space="preserve"> and a</w:t>
      </w:r>
      <w:r>
        <w:t>re integral to maintaining the identity and strength of people and culture</w:t>
      </w:r>
      <w:r w:rsidR="00C43D49">
        <w:t>. When</w:t>
      </w:r>
      <w:r>
        <w:t xml:space="preserve"> a language is no longer spoken it disconnects people from their </w:t>
      </w:r>
      <w:r w:rsidR="00C43D49">
        <w:t xml:space="preserve">past, and </w:t>
      </w:r>
      <w:r>
        <w:t>knowledge, tradition</w:t>
      </w:r>
      <w:r w:rsidR="0083075C">
        <w:t>s</w:t>
      </w:r>
      <w:r>
        <w:t xml:space="preserve"> and culture</w:t>
      </w:r>
      <w:r w:rsidR="0083075C">
        <w:t>s</w:t>
      </w:r>
      <w:r>
        <w:t xml:space="preserve"> become harder to express and pass on </w:t>
      </w:r>
      <w:r w:rsidR="00337356" w:rsidRPr="00337356">
        <w:rPr>
          <w:szCs w:val="24"/>
        </w:rPr>
        <w:t>(</w:t>
      </w:r>
      <w:proofErr w:type="spellStart"/>
      <w:r w:rsidR="00337356" w:rsidRPr="00337356">
        <w:rPr>
          <w:szCs w:val="24"/>
        </w:rPr>
        <w:t>DITRDC</w:t>
      </w:r>
      <w:proofErr w:type="spellEnd"/>
      <w:r w:rsidR="00337356" w:rsidRPr="00337356">
        <w:rPr>
          <w:szCs w:val="24"/>
        </w:rPr>
        <w:t xml:space="preserve">, </w:t>
      </w:r>
      <w:proofErr w:type="spellStart"/>
      <w:r w:rsidR="00337356" w:rsidRPr="00337356">
        <w:rPr>
          <w:szCs w:val="24"/>
        </w:rPr>
        <w:t>AIATSIS</w:t>
      </w:r>
      <w:proofErr w:type="spellEnd"/>
      <w:r w:rsidR="00337356" w:rsidRPr="00337356">
        <w:rPr>
          <w:szCs w:val="24"/>
        </w:rPr>
        <w:t xml:space="preserve"> and </w:t>
      </w:r>
      <w:proofErr w:type="spellStart"/>
      <w:r w:rsidR="00337356" w:rsidRPr="00337356">
        <w:rPr>
          <w:szCs w:val="24"/>
        </w:rPr>
        <w:t>ANU</w:t>
      </w:r>
      <w:proofErr w:type="spellEnd"/>
      <w:r w:rsidR="00337356" w:rsidRPr="00337356">
        <w:rPr>
          <w:szCs w:val="24"/>
        </w:rPr>
        <w:t> 2020)</w:t>
      </w:r>
      <w:r>
        <w:t xml:space="preserve">. </w:t>
      </w:r>
      <w:r w:rsidR="00720E6C">
        <w:t xml:space="preserve">Aboriginal and Torres Strait Islander languages are no exception. </w:t>
      </w:r>
      <w:r w:rsidR="004012DC">
        <w:t>The</w:t>
      </w:r>
      <w:r w:rsidR="001A46C6">
        <w:t xml:space="preserve"> revitalisation and mainten</w:t>
      </w:r>
      <w:r w:rsidR="00BA13E5">
        <w:t>a</w:t>
      </w:r>
      <w:r w:rsidR="001A46C6">
        <w:t>nce</w:t>
      </w:r>
      <w:r w:rsidR="00C43D49">
        <w:t xml:space="preserve"> of Aboriginal and Torres Strait Islander languages</w:t>
      </w:r>
      <w:r w:rsidR="001A46C6">
        <w:t xml:space="preserve"> </w:t>
      </w:r>
      <w:r w:rsidR="00625670">
        <w:t xml:space="preserve">is </w:t>
      </w:r>
      <w:r w:rsidR="001A46C6">
        <w:t>crucial to preserving and strengthening</w:t>
      </w:r>
      <w:r w:rsidR="006F3E6B">
        <w:t xml:space="preserve"> Aboriginal and Torres Strait Islander </w:t>
      </w:r>
      <w:r w:rsidR="00BA13E5" w:rsidRPr="00A22A96">
        <w:t>culture</w:t>
      </w:r>
      <w:r w:rsidR="006F3E6B" w:rsidRPr="00A22A96">
        <w:t>s</w:t>
      </w:r>
      <w:r w:rsidR="00F500DF" w:rsidRPr="00A22A96">
        <w:t xml:space="preserve">, </w:t>
      </w:r>
      <w:r w:rsidR="00171D2C" w:rsidRPr="00A22A96">
        <w:t>which</w:t>
      </w:r>
      <w:r w:rsidR="006F3E6B" w:rsidRPr="00A22A96">
        <w:t xml:space="preserve"> is</w:t>
      </w:r>
      <w:r w:rsidR="006351A5" w:rsidRPr="00A22A96">
        <w:t xml:space="preserve"> </w:t>
      </w:r>
      <w:r w:rsidR="00171D2C" w:rsidRPr="00A22A96">
        <w:t xml:space="preserve">ultimately </w:t>
      </w:r>
      <w:r w:rsidR="006351A5" w:rsidRPr="00A22A96">
        <w:t>linked</w:t>
      </w:r>
      <w:r w:rsidR="004012DC" w:rsidRPr="00A22A96">
        <w:t xml:space="preserve"> </w:t>
      </w:r>
      <w:r w:rsidR="006351A5" w:rsidRPr="00A22A96">
        <w:t xml:space="preserve">to </w:t>
      </w:r>
      <w:r w:rsidR="00E3183D" w:rsidRPr="00A22A96">
        <w:t xml:space="preserve">the </w:t>
      </w:r>
      <w:r w:rsidR="008F5DC1" w:rsidRPr="00A22A96">
        <w:t xml:space="preserve">wellbeing </w:t>
      </w:r>
      <w:r w:rsidR="00E3183D" w:rsidRPr="00A22A96">
        <w:t>of Aboriginal and Torres Strait Islander people</w:t>
      </w:r>
      <w:r w:rsidR="00CF1881">
        <w:t xml:space="preserve"> (see s</w:t>
      </w:r>
      <w:r w:rsidR="004F3BC8">
        <w:t>ection 5.5</w:t>
      </w:r>
      <w:r w:rsidR="00D85786">
        <w:t xml:space="preserve"> </w:t>
      </w:r>
      <w:r w:rsidR="00D85786" w:rsidRPr="008916C2">
        <w:rPr>
          <w:i/>
        </w:rPr>
        <w:t>Indigenous language revitalisation and maintenance</w:t>
      </w:r>
      <w:r w:rsidR="00CF1881">
        <w:t>)</w:t>
      </w:r>
      <w:r w:rsidR="004F3BC8" w:rsidRPr="00A22A96">
        <w:t>.</w:t>
      </w:r>
    </w:p>
    <w:p w14:paraId="415D66D1" w14:textId="0C0898E7" w:rsidR="0082524C" w:rsidRDefault="00CF1881" w:rsidP="00FA7533">
      <w:pPr>
        <w:pStyle w:val="BodyText"/>
      </w:pPr>
      <w:r>
        <w:t xml:space="preserve">According to </w:t>
      </w:r>
      <w:r w:rsidR="00662973">
        <w:t>the 2016</w:t>
      </w:r>
      <w:r>
        <w:t xml:space="preserve"> Census of Population and Housing</w:t>
      </w:r>
      <w:r w:rsidR="0082524C">
        <w:t xml:space="preserve">, 10 per cent of Aboriginal and Torres Strait Islander people spoke an Aboriginal and Torres Strait Islander language at home (figure </w:t>
      </w:r>
      <w:proofErr w:type="spellStart"/>
      <w:r w:rsidR="0082524C">
        <w:t>A.</w:t>
      </w:r>
      <w:r w:rsidR="00F11530">
        <w:t>5</w:t>
      </w:r>
      <w:proofErr w:type="spellEnd"/>
      <w:r w:rsidR="0082524C">
        <w:t xml:space="preserve">). This proportion varied across states and territories. The NT had the </w:t>
      </w:r>
      <w:r w:rsidR="0082524C">
        <w:lastRenderedPageBreak/>
        <w:t>highest proportion (66 per cent)</w:t>
      </w:r>
      <w:r w:rsidR="00F9198B">
        <w:t xml:space="preserve">, while </w:t>
      </w:r>
      <w:r w:rsidR="0082524C">
        <w:t>Tasmania had the lowest (</w:t>
      </w:r>
      <w:r w:rsidR="005362E3">
        <w:t>less than 1</w:t>
      </w:r>
      <w:r w:rsidR="0082524C">
        <w:t xml:space="preserve"> per cent) (figure</w:t>
      </w:r>
      <w:r w:rsidR="00841699">
        <w:t> </w:t>
      </w:r>
      <w:proofErr w:type="spellStart"/>
      <w:r w:rsidR="0083075C">
        <w:t>A.</w:t>
      </w:r>
      <w:r w:rsidR="006B5942">
        <w:t>5</w:t>
      </w:r>
      <w:proofErr w:type="spellEnd"/>
      <w:r w:rsidR="0082524C">
        <w:t>).</w:t>
      </w:r>
    </w:p>
    <w:p w14:paraId="373E344C" w14:textId="140A1FED" w:rsidR="00B206F3" w:rsidRDefault="00B206F3" w:rsidP="00832D1E">
      <w:pPr>
        <w:pStyle w:val="BodyText"/>
      </w:pPr>
    </w:p>
    <w:tbl>
      <w:tblPr>
        <w:tblW w:w="5000" w:type="pct"/>
        <w:tblBorders>
          <w:top w:val="single" w:sz="6" w:space="0" w:color="78A22F"/>
          <w:left w:val="single" w:sz="6" w:space="0" w:color="78A22F"/>
          <w:bottom w:val="single" w:sz="6" w:space="0" w:color="78A22F"/>
          <w:right w:val="single" w:sz="6" w:space="0" w:color="78A22F"/>
        </w:tblBorders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8789"/>
      </w:tblGrid>
      <w:tr w:rsidR="00B206F3" w14:paraId="217D69C0" w14:textId="77777777" w:rsidTr="00BF03F5">
        <w:tc>
          <w:tcPr>
            <w:tcW w:w="5000" w:type="pct"/>
            <w:tcBorders>
              <w:top w:val="single" w:sz="6" w:space="0" w:color="78A22F"/>
              <w:left w:val="nil"/>
              <w:bottom w:val="nil"/>
              <w:right w:val="nil"/>
            </w:tcBorders>
            <w:shd w:val="clear" w:color="auto" w:fill="auto"/>
          </w:tcPr>
          <w:p w14:paraId="68690F50" w14:textId="3FE772A1" w:rsidR="00B206F3" w:rsidRPr="00176D3F" w:rsidRDefault="00B206F3" w:rsidP="00CF1881">
            <w:pPr>
              <w:pStyle w:val="FigureTitle"/>
            </w:pPr>
            <w:r w:rsidRPr="00784A05">
              <w:rPr>
                <w:b w:val="0"/>
              </w:rPr>
              <w:t xml:space="preserve">Figure </w:t>
            </w:r>
            <w:proofErr w:type="spellStart"/>
            <w:r w:rsidR="0083075C">
              <w:rPr>
                <w:b w:val="0"/>
              </w:rPr>
              <w:t>A.</w:t>
            </w:r>
            <w:r w:rsidR="006B5942">
              <w:rPr>
                <w:b w:val="0"/>
              </w:rPr>
              <w:t>5</w:t>
            </w:r>
            <w:proofErr w:type="spellEnd"/>
            <w:r>
              <w:tab/>
            </w:r>
            <w:r w:rsidRPr="00905D60">
              <w:t xml:space="preserve">Language spoken at home by </w:t>
            </w:r>
            <w:r w:rsidR="00B80219">
              <w:t>Aboriginal and Torres Strait Islander</w:t>
            </w:r>
            <w:r w:rsidRPr="00905D60">
              <w:t xml:space="preserve"> </w:t>
            </w:r>
            <w:r w:rsidR="00FB4E59">
              <w:t>people</w:t>
            </w:r>
            <w:r w:rsidRPr="00905D60">
              <w:t>, 201</w:t>
            </w:r>
            <w:r w:rsidR="00A5638B">
              <w:t>6</w:t>
            </w:r>
            <w:r w:rsidRPr="003C2B01">
              <w:rPr>
                <w:rStyle w:val="NoteLabel"/>
                <w:b/>
              </w:rPr>
              <w:t>a</w:t>
            </w:r>
          </w:p>
        </w:tc>
      </w:tr>
      <w:tr w:rsidR="00B206F3" w14:paraId="5A01E9C7" w14:textId="77777777" w:rsidTr="00BF03F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34E9DA0" w14:textId="673AE32D" w:rsidR="00B206F3" w:rsidRDefault="008569E0" w:rsidP="003910F6">
            <w:pPr>
              <w:pStyle w:val="Figure"/>
            </w:pPr>
            <w:r w:rsidRPr="008569E0">
              <w:rPr>
                <w:noProof/>
              </w:rPr>
              <w:drawing>
                <wp:inline distT="0" distB="0" distL="0" distR="0" wp14:anchorId="2F5CE079" wp14:editId="0AB212B8">
                  <wp:extent cx="5362575" cy="2695575"/>
                  <wp:effectExtent l="0" t="0" r="0" b="0"/>
                  <wp:docPr id="2" name="Picture 2" descr="Figure A.5 Language spoken at home by Aboriginal and Torres Strait Islander people, 2016&#10;&#10;More details can be found within the text surrounding this image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2575" cy="269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06F3" w:rsidRPr="00176D3F" w14:paraId="39BF211D" w14:textId="77777777" w:rsidTr="00BF03F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724B4A" w14:textId="5919FAEC" w:rsidR="00B206F3" w:rsidRPr="00176D3F" w:rsidRDefault="007B0E3D" w:rsidP="00CF1881">
            <w:pPr>
              <w:pStyle w:val="Note"/>
            </w:pPr>
            <w:r>
              <w:rPr>
                <w:rStyle w:val="NoteLabel"/>
              </w:rPr>
              <w:t>a</w:t>
            </w:r>
            <w:r>
              <w:t xml:space="preserve"> </w:t>
            </w:r>
            <w:r w:rsidRPr="00E80AFB">
              <w:t>See table </w:t>
            </w:r>
            <w:proofErr w:type="spellStart"/>
            <w:r w:rsidRPr="00E80AFB">
              <w:t>A.</w:t>
            </w:r>
            <w:r w:rsidR="00A9365B">
              <w:t>5</w:t>
            </w:r>
            <w:proofErr w:type="spellEnd"/>
            <w:r w:rsidRPr="00E80AFB">
              <w:t xml:space="preserve"> for detailed definitions, footnotes and caveats</w:t>
            </w:r>
            <w:r>
              <w:t>.</w:t>
            </w:r>
            <w:r w:rsidR="00D06388">
              <w:t xml:space="preserve"> </w:t>
            </w:r>
          </w:p>
        </w:tc>
      </w:tr>
      <w:tr w:rsidR="00B206F3" w:rsidRPr="00176D3F" w14:paraId="0B90F174" w14:textId="77777777" w:rsidTr="00BF03F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661718" w14:textId="54BC0C58" w:rsidR="00B206F3" w:rsidRPr="00176D3F" w:rsidRDefault="00B206F3" w:rsidP="0043508C">
            <w:pPr>
              <w:pStyle w:val="Source"/>
            </w:pPr>
            <w:r>
              <w:rPr>
                <w:i/>
              </w:rPr>
              <w:t>S</w:t>
            </w:r>
            <w:r w:rsidRPr="00784A05">
              <w:rPr>
                <w:i/>
              </w:rPr>
              <w:t>ource</w:t>
            </w:r>
            <w:r w:rsidRPr="00176D3F">
              <w:t xml:space="preserve">: </w:t>
            </w:r>
            <w:r w:rsidRPr="00905D60">
              <w:t>ABS (unpublished) C</w:t>
            </w:r>
            <w:r>
              <w:t>ensus of Population and Housing</w:t>
            </w:r>
            <w:r w:rsidR="005362E3">
              <w:t xml:space="preserve"> 2016</w:t>
            </w:r>
            <w:r w:rsidRPr="00905D60">
              <w:t xml:space="preserve">; table </w:t>
            </w:r>
            <w:proofErr w:type="spellStart"/>
            <w:r w:rsidRPr="00905D60">
              <w:t>A.</w:t>
            </w:r>
            <w:r w:rsidR="00A9365B">
              <w:t>5</w:t>
            </w:r>
            <w:proofErr w:type="spellEnd"/>
            <w:r w:rsidRPr="00905D60">
              <w:t>.</w:t>
            </w:r>
          </w:p>
        </w:tc>
      </w:tr>
      <w:tr w:rsidR="00B206F3" w14:paraId="50BF6685" w14:textId="77777777" w:rsidTr="00B141FE">
        <w:tc>
          <w:tcPr>
            <w:tcW w:w="5000" w:type="pct"/>
            <w:tcBorders>
              <w:top w:val="nil"/>
              <w:left w:val="nil"/>
              <w:bottom w:val="single" w:sz="6" w:space="0" w:color="78A22F"/>
              <w:right w:val="nil"/>
            </w:tcBorders>
            <w:shd w:val="clear" w:color="auto" w:fill="auto"/>
          </w:tcPr>
          <w:p w14:paraId="528B9AD3" w14:textId="77777777" w:rsidR="00B206F3" w:rsidRDefault="00B206F3" w:rsidP="003910F6">
            <w:pPr>
              <w:pStyle w:val="Figurespace"/>
            </w:pPr>
          </w:p>
        </w:tc>
      </w:tr>
      <w:tr w:rsidR="00B141FE" w:rsidRPr="00626D32" w14:paraId="2BC67CA2" w14:textId="77777777" w:rsidTr="00B141FE">
        <w:tc>
          <w:tcPr>
            <w:tcW w:w="5000" w:type="pct"/>
            <w:tcBorders>
              <w:top w:val="single" w:sz="6" w:space="0" w:color="78A22F"/>
              <w:left w:val="nil"/>
              <w:bottom w:val="nil"/>
              <w:right w:val="nil"/>
            </w:tcBorders>
            <w:shd w:val="clear" w:color="auto" w:fill="auto"/>
          </w:tcPr>
          <w:p w14:paraId="03E964A3" w14:textId="77777777" w:rsidR="00B141FE" w:rsidRPr="00626D32" w:rsidRDefault="00B141FE" w:rsidP="00B141FE">
            <w:pPr>
              <w:pStyle w:val="BoxSpaceBelow"/>
            </w:pPr>
          </w:p>
        </w:tc>
      </w:tr>
    </w:tbl>
    <w:p w14:paraId="232C439A" w14:textId="09487E48" w:rsidR="004271D8" w:rsidRDefault="004271D8" w:rsidP="004271D8">
      <w:pPr>
        <w:pStyle w:val="BodyText"/>
      </w:pPr>
      <w:r w:rsidRPr="00DB7A3E">
        <w:t xml:space="preserve">The proportion of Aboriginal and Torres Strait Islander </w:t>
      </w:r>
      <w:r>
        <w:t>people</w:t>
      </w:r>
      <w:r w:rsidRPr="00DB7A3E">
        <w:t xml:space="preserve"> who spoke an Aboriginal and Torres Strait Islander language at home also differed across remoteness areas and age groups. Very remote areas had the highest proportion</w:t>
      </w:r>
      <w:r>
        <w:t xml:space="preserve"> of Indigenous language speaker</w:t>
      </w:r>
      <w:r w:rsidRPr="00DB7A3E">
        <w:t>s</w:t>
      </w:r>
      <w:r>
        <w:t xml:space="preserve"> (6</w:t>
      </w:r>
      <w:r w:rsidR="005362E3">
        <w:t>3</w:t>
      </w:r>
      <w:r>
        <w:t> per</w:t>
      </w:r>
      <w:r w:rsidR="00042454">
        <w:t> </w:t>
      </w:r>
      <w:r>
        <w:t>cent)</w:t>
      </w:r>
      <w:r w:rsidR="005362E3">
        <w:t>,</w:t>
      </w:r>
      <w:r w:rsidRPr="00DB7A3E">
        <w:t xml:space="preserve"> </w:t>
      </w:r>
      <w:r w:rsidR="005362E3">
        <w:t xml:space="preserve">followed by remote areas (21 per cent), </w:t>
      </w:r>
      <w:r w:rsidR="00C52D1E">
        <w:t xml:space="preserve">while </w:t>
      </w:r>
      <w:r w:rsidR="005362E3">
        <w:t xml:space="preserve">less than </w:t>
      </w:r>
      <w:r w:rsidR="003F0CC4">
        <w:t>2</w:t>
      </w:r>
      <w:r w:rsidR="005362E3">
        <w:t xml:space="preserve"> per</w:t>
      </w:r>
      <w:r w:rsidR="005362E3" w:rsidRPr="00DB7A3E">
        <w:t xml:space="preserve"> </w:t>
      </w:r>
      <w:r w:rsidR="005362E3">
        <w:t xml:space="preserve">cent of Aboriginal and Torres Strait Islander people </w:t>
      </w:r>
      <w:r w:rsidR="00F9198B">
        <w:t xml:space="preserve">in major cities or regional areas </w:t>
      </w:r>
      <w:r w:rsidR="00C52D1E">
        <w:t xml:space="preserve">spoke </w:t>
      </w:r>
      <w:r w:rsidR="005362E3">
        <w:t xml:space="preserve">an Indigenous language at home </w:t>
      </w:r>
      <w:r w:rsidRPr="00DB7A3E">
        <w:t>(figure</w:t>
      </w:r>
      <w:r>
        <w:t xml:space="preserve"> </w:t>
      </w:r>
      <w:proofErr w:type="spellStart"/>
      <w:r w:rsidR="0083075C">
        <w:t>A.</w:t>
      </w:r>
      <w:r w:rsidR="00F314A4">
        <w:t>6</w:t>
      </w:r>
      <w:proofErr w:type="spellEnd"/>
      <w:r w:rsidR="00B141FE">
        <w:t>).</w:t>
      </w:r>
    </w:p>
    <w:p w14:paraId="742A2550" w14:textId="44BF7130" w:rsidR="00B206F3" w:rsidRDefault="004271D8" w:rsidP="0043508C">
      <w:pPr>
        <w:pStyle w:val="BodyText"/>
      </w:pPr>
      <w:r w:rsidRPr="004271D8">
        <w:t xml:space="preserve">The majority of Aboriginal and Torres Strait Islander people who spoke an Indigenous language at home also spoke English well or very well (85 per cent). However, 11 per cent </w:t>
      </w:r>
      <w:r w:rsidR="00CF1881" w:rsidRPr="004271D8">
        <w:t xml:space="preserve">of Indigenous language speakers said they did not speak English well or at all </w:t>
      </w:r>
      <w:r w:rsidR="00CF1881">
        <w:t xml:space="preserve">— ranging from about 3–4 per cent in major cities and inner regional areas, to 13 per cent in very remote areas </w:t>
      </w:r>
      <w:r w:rsidR="00CF1881" w:rsidRPr="004271D8">
        <w:t xml:space="preserve">(figure </w:t>
      </w:r>
      <w:proofErr w:type="spellStart"/>
      <w:r w:rsidR="0083075C">
        <w:t>A.</w:t>
      </w:r>
      <w:r w:rsidR="00CF1881">
        <w:t>7</w:t>
      </w:r>
      <w:proofErr w:type="spellEnd"/>
      <w:r w:rsidR="00CF1881" w:rsidRPr="004271D8">
        <w:t xml:space="preserve">). </w:t>
      </w:r>
    </w:p>
    <w:p w14:paraId="0FE65B03" w14:textId="77777777" w:rsidR="00E70BBE" w:rsidRDefault="00E70BBE" w:rsidP="00720E6C">
      <w:pPr>
        <w:pStyle w:val="BoxSpaceAbove"/>
      </w:pPr>
    </w:p>
    <w:tbl>
      <w:tblPr>
        <w:tblW w:w="5000" w:type="pct"/>
        <w:tblBorders>
          <w:top w:val="single" w:sz="6" w:space="0" w:color="78A22F"/>
          <w:left w:val="single" w:sz="6" w:space="0" w:color="78A22F"/>
          <w:bottom w:val="single" w:sz="6" w:space="0" w:color="78A22F"/>
          <w:right w:val="single" w:sz="6" w:space="0" w:color="78A22F"/>
        </w:tblBorders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8789"/>
      </w:tblGrid>
      <w:tr w:rsidR="00B206F3" w14:paraId="553AC61B" w14:textId="77777777" w:rsidTr="00BF03F5">
        <w:tc>
          <w:tcPr>
            <w:tcW w:w="5000" w:type="pct"/>
            <w:tcBorders>
              <w:top w:val="single" w:sz="6" w:space="0" w:color="78A22F"/>
              <w:left w:val="nil"/>
              <w:bottom w:val="nil"/>
              <w:right w:val="nil"/>
            </w:tcBorders>
            <w:shd w:val="clear" w:color="auto" w:fill="auto"/>
          </w:tcPr>
          <w:p w14:paraId="133E39C4" w14:textId="39587A5C" w:rsidR="00B206F3" w:rsidRPr="00176D3F" w:rsidRDefault="00B206F3" w:rsidP="00287213">
            <w:pPr>
              <w:pStyle w:val="FigureTitle"/>
            </w:pPr>
            <w:r w:rsidRPr="00784A05">
              <w:rPr>
                <w:b w:val="0"/>
              </w:rPr>
              <w:t xml:space="preserve">Figure </w:t>
            </w:r>
            <w:proofErr w:type="spellStart"/>
            <w:r w:rsidR="0083075C">
              <w:rPr>
                <w:b w:val="0"/>
              </w:rPr>
              <w:t>A.</w:t>
            </w:r>
            <w:r w:rsidR="00F314A4">
              <w:rPr>
                <w:b w:val="0"/>
              </w:rPr>
              <w:t>6</w:t>
            </w:r>
            <w:proofErr w:type="spellEnd"/>
            <w:r>
              <w:tab/>
            </w:r>
            <w:r w:rsidR="00FB4E59">
              <w:t xml:space="preserve">Proportion of </w:t>
            </w:r>
            <w:r w:rsidR="00B80219">
              <w:t>Aboriginal and Torres Strait Islander</w:t>
            </w:r>
            <w:r w:rsidRPr="00FA7533">
              <w:t xml:space="preserve"> </w:t>
            </w:r>
            <w:r w:rsidR="00FB4E59">
              <w:t>people</w:t>
            </w:r>
            <w:r w:rsidRPr="00FA7533">
              <w:t xml:space="preserve"> who spoke an Indigenous language at home, by remoteness area and age, 201</w:t>
            </w:r>
            <w:r w:rsidR="00287213">
              <w:t>6</w:t>
            </w:r>
            <w:r w:rsidRPr="003C2B01">
              <w:rPr>
                <w:rStyle w:val="NoteLabel"/>
                <w:b/>
              </w:rPr>
              <w:t>a</w:t>
            </w:r>
          </w:p>
        </w:tc>
      </w:tr>
      <w:tr w:rsidR="00B206F3" w14:paraId="7B721AC9" w14:textId="77777777" w:rsidTr="00BF03F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ACED299" w14:textId="2FAA834A" w:rsidR="00B206F3" w:rsidRDefault="00FB4478" w:rsidP="003910F6">
            <w:pPr>
              <w:pStyle w:val="Figure"/>
            </w:pPr>
            <w:r w:rsidRPr="00FB4478">
              <w:rPr>
                <w:noProof/>
              </w:rPr>
              <w:drawing>
                <wp:inline distT="0" distB="0" distL="0" distR="0" wp14:anchorId="0A9A27A3" wp14:editId="3B7B6A0D">
                  <wp:extent cx="5362575" cy="2628900"/>
                  <wp:effectExtent l="0" t="0" r="0" b="0"/>
                  <wp:docPr id="13" name="Picture 13" descr="Figure A.6 Proportion of Aboriginal and Torres Strait Islander people who spoke an Indigenous language at home, by remoteness area and age, 2016 &#10;&#10;More details can be found within the text surrounding this imag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2575" cy="262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06F3" w:rsidRPr="00176D3F" w14:paraId="6D36AB13" w14:textId="77777777" w:rsidTr="00BF03F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7A7DBD" w14:textId="2463E640" w:rsidR="00B206F3" w:rsidRPr="00176D3F" w:rsidRDefault="00D06388" w:rsidP="00CF1881">
            <w:pPr>
              <w:pStyle w:val="Note"/>
            </w:pPr>
            <w:r>
              <w:rPr>
                <w:rStyle w:val="NoteLabel"/>
              </w:rPr>
              <w:t>a</w:t>
            </w:r>
            <w:r>
              <w:t xml:space="preserve"> </w:t>
            </w:r>
            <w:r w:rsidRPr="00E80AFB">
              <w:t>See table </w:t>
            </w:r>
            <w:proofErr w:type="spellStart"/>
            <w:r w:rsidRPr="00E80AFB">
              <w:t>A.</w:t>
            </w:r>
            <w:r w:rsidR="00A9365B">
              <w:t>8</w:t>
            </w:r>
            <w:proofErr w:type="spellEnd"/>
            <w:r w:rsidR="00A9365B" w:rsidRPr="00E80AFB">
              <w:t xml:space="preserve"> </w:t>
            </w:r>
            <w:r w:rsidRPr="00E80AFB">
              <w:t>for detailed definitions, footnotes and caveats</w:t>
            </w:r>
            <w:r>
              <w:t xml:space="preserve">. </w:t>
            </w:r>
          </w:p>
        </w:tc>
      </w:tr>
      <w:tr w:rsidR="00B206F3" w:rsidRPr="00176D3F" w14:paraId="7BC68F08" w14:textId="77777777" w:rsidTr="00BD5DDD">
        <w:trPr>
          <w:trHeight w:val="35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4DFBED" w14:textId="2784DAFA" w:rsidR="00B206F3" w:rsidRPr="00176D3F" w:rsidRDefault="00B206F3" w:rsidP="003910F6">
            <w:pPr>
              <w:pStyle w:val="Source"/>
            </w:pPr>
            <w:r>
              <w:rPr>
                <w:i/>
              </w:rPr>
              <w:t>S</w:t>
            </w:r>
            <w:r w:rsidRPr="00784A05">
              <w:rPr>
                <w:i/>
              </w:rPr>
              <w:t>ource</w:t>
            </w:r>
            <w:r w:rsidRPr="00176D3F">
              <w:t xml:space="preserve">: </w:t>
            </w:r>
            <w:r w:rsidR="00287213">
              <w:t>ABS (unpublished) 2016</w:t>
            </w:r>
            <w:r w:rsidRPr="00FA7533">
              <w:t xml:space="preserve"> Census of Population and Housing; table </w:t>
            </w:r>
            <w:proofErr w:type="spellStart"/>
            <w:r w:rsidRPr="00FA7533">
              <w:t>A.</w:t>
            </w:r>
            <w:r w:rsidR="00A9365B">
              <w:t>8</w:t>
            </w:r>
            <w:proofErr w:type="spellEnd"/>
            <w:r w:rsidRPr="00FA7533">
              <w:t xml:space="preserve">. </w:t>
            </w:r>
          </w:p>
        </w:tc>
      </w:tr>
      <w:tr w:rsidR="00B206F3" w14:paraId="0189FA67" w14:textId="77777777" w:rsidTr="00BF03F5">
        <w:tc>
          <w:tcPr>
            <w:tcW w:w="5000" w:type="pct"/>
            <w:tcBorders>
              <w:top w:val="nil"/>
              <w:left w:val="nil"/>
              <w:bottom w:val="single" w:sz="6" w:space="0" w:color="78A22F"/>
              <w:right w:val="nil"/>
            </w:tcBorders>
            <w:shd w:val="clear" w:color="auto" w:fill="auto"/>
          </w:tcPr>
          <w:p w14:paraId="0B6A213E" w14:textId="77777777" w:rsidR="00B206F3" w:rsidRDefault="00B206F3" w:rsidP="003910F6">
            <w:pPr>
              <w:pStyle w:val="Figurespace"/>
            </w:pPr>
          </w:p>
        </w:tc>
      </w:tr>
      <w:tr w:rsidR="00B206F3" w:rsidRPr="000863A5" w14:paraId="3C4650C0" w14:textId="77777777" w:rsidTr="00BF03F5">
        <w:tc>
          <w:tcPr>
            <w:tcW w:w="5000" w:type="pct"/>
            <w:tcBorders>
              <w:top w:val="single" w:sz="6" w:space="0" w:color="78A22F"/>
              <w:left w:val="nil"/>
              <w:bottom w:val="nil"/>
              <w:right w:val="nil"/>
            </w:tcBorders>
          </w:tcPr>
          <w:p w14:paraId="255801B5" w14:textId="1F1EE59A" w:rsidR="00B206F3" w:rsidRPr="00626D32" w:rsidRDefault="00B206F3" w:rsidP="003910F6">
            <w:pPr>
              <w:pStyle w:val="BoxSpaceBelow"/>
            </w:pPr>
          </w:p>
        </w:tc>
      </w:tr>
    </w:tbl>
    <w:p w14:paraId="7094AC7A" w14:textId="77777777" w:rsidR="00552E1D" w:rsidRPr="007749BB" w:rsidRDefault="00552E1D" w:rsidP="007B7F59"/>
    <w:tbl>
      <w:tblPr>
        <w:tblW w:w="5000" w:type="pct"/>
        <w:tblBorders>
          <w:top w:val="single" w:sz="6" w:space="0" w:color="78A22F"/>
          <w:left w:val="single" w:sz="6" w:space="0" w:color="78A22F"/>
          <w:bottom w:val="single" w:sz="6" w:space="0" w:color="78A22F"/>
          <w:right w:val="single" w:sz="6" w:space="0" w:color="78A22F"/>
        </w:tblBorders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8789"/>
      </w:tblGrid>
      <w:tr w:rsidR="00552E1D" w14:paraId="14724B30" w14:textId="77777777" w:rsidTr="00BF03F5">
        <w:tc>
          <w:tcPr>
            <w:tcW w:w="5000" w:type="pct"/>
            <w:tcBorders>
              <w:top w:val="single" w:sz="6" w:space="0" w:color="78A22F"/>
              <w:left w:val="nil"/>
              <w:bottom w:val="nil"/>
              <w:right w:val="nil"/>
            </w:tcBorders>
            <w:shd w:val="clear" w:color="auto" w:fill="auto"/>
          </w:tcPr>
          <w:p w14:paraId="12A9BADC" w14:textId="127E0226" w:rsidR="00552E1D" w:rsidRPr="00176D3F" w:rsidRDefault="00552E1D" w:rsidP="00287213">
            <w:pPr>
              <w:pStyle w:val="FigureTitle"/>
            </w:pPr>
            <w:r w:rsidRPr="00784A05">
              <w:rPr>
                <w:b w:val="0"/>
              </w:rPr>
              <w:t xml:space="preserve">Figure </w:t>
            </w:r>
            <w:proofErr w:type="spellStart"/>
            <w:r w:rsidR="0083075C">
              <w:rPr>
                <w:b w:val="0"/>
              </w:rPr>
              <w:t>A.</w:t>
            </w:r>
            <w:r w:rsidR="00F11530">
              <w:rPr>
                <w:b w:val="0"/>
              </w:rPr>
              <w:t>7</w:t>
            </w:r>
            <w:proofErr w:type="spellEnd"/>
            <w:r>
              <w:tab/>
            </w:r>
            <w:r w:rsidR="00B80219">
              <w:t>Aboriginal and Torres Strait Islander</w:t>
            </w:r>
            <w:r w:rsidRPr="00960C99">
              <w:t xml:space="preserve"> </w:t>
            </w:r>
            <w:r w:rsidR="00D02D28">
              <w:t>people</w:t>
            </w:r>
            <w:r w:rsidRPr="00960C99">
              <w:t xml:space="preserve"> who spoke an Indigenous language at home, by remoteness area and English</w:t>
            </w:r>
            <w:r w:rsidR="009B0691">
              <w:t xml:space="preserve"> proficiency</w:t>
            </w:r>
            <w:r w:rsidRPr="00960C99">
              <w:t>, 201</w:t>
            </w:r>
            <w:r w:rsidR="00287213">
              <w:t>6</w:t>
            </w:r>
            <w:r w:rsidR="007707C0" w:rsidRPr="006B7BE3">
              <w:rPr>
                <w:rStyle w:val="NoteLabel"/>
                <w:b/>
              </w:rPr>
              <w:t>a</w:t>
            </w:r>
          </w:p>
        </w:tc>
      </w:tr>
      <w:tr w:rsidR="00552E1D" w14:paraId="4A912BD7" w14:textId="77777777" w:rsidTr="00BF03F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FBB2BED" w14:textId="00BAF33C" w:rsidR="00552E1D" w:rsidRDefault="00FB4478" w:rsidP="003910F6">
            <w:pPr>
              <w:pStyle w:val="Figure"/>
            </w:pPr>
            <w:r w:rsidRPr="00FB4478">
              <w:rPr>
                <w:noProof/>
              </w:rPr>
              <w:drawing>
                <wp:inline distT="0" distB="0" distL="0" distR="0" wp14:anchorId="7DF32543" wp14:editId="1F11E458">
                  <wp:extent cx="5362575" cy="2590800"/>
                  <wp:effectExtent l="0" t="0" r="0" b="0"/>
                  <wp:docPr id="14" name="Picture 14" descr="Figure A.7 Aboriginal and Torres Strait Islander people who spoke an Indigenous language at home, by remoteness area and English proficiency, 2016&#10;&#10;More details can be found within the text surrounding this imag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2575" cy="259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45D4" w:rsidRPr="00176D3F" w14:paraId="4950351C" w14:textId="77777777" w:rsidTr="00BF03F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A24BC" w14:textId="27D74075" w:rsidR="005845D4" w:rsidRPr="00176D3F" w:rsidRDefault="005845D4" w:rsidP="005845D4">
            <w:pPr>
              <w:pStyle w:val="Source"/>
            </w:pPr>
            <w:r>
              <w:rPr>
                <w:rStyle w:val="NoteLabel"/>
              </w:rPr>
              <w:t>a</w:t>
            </w:r>
            <w:r>
              <w:t xml:space="preserve"> </w:t>
            </w:r>
            <w:r w:rsidRPr="00E80AFB">
              <w:t>See table </w:t>
            </w:r>
            <w:proofErr w:type="spellStart"/>
            <w:r w:rsidRPr="00E80AFB">
              <w:t>A.</w:t>
            </w:r>
            <w:r>
              <w:t>8</w:t>
            </w:r>
            <w:proofErr w:type="spellEnd"/>
            <w:r w:rsidRPr="00E80AFB">
              <w:t xml:space="preserve"> for detailed definitions, footnotes and caveats</w:t>
            </w:r>
            <w:r>
              <w:t xml:space="preserve">. </w:t>
            </w:r>
          </w:p>
        </w:tc>
      </w:tr>
      <w:tr w:rsidR="005845D4" w14:paraId="4B29B1DD" w14:textId="77777777" w:rsidTr="00E7396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1253E8" w14:textId="07D09E86" w:rsidR="005845D4" w:rsidRDefault="005845D4" w:rsidP="005845D4">
            <w:pPr>
              <w:pStyle w:val="Source"/>
            </w:pPr>
            <w:r w:rsidRPr="005845D4">
              <w:rPr>
                <w:i/>
              </w:rPr>
              <w:t>Source</w:t>
            </w:r>
            <w:r w:rsidRPr="00176D3F">
              <w:t xml:space="preserve">: </w:t>
            </w:r>
            <w:r>
              <w:t>ABS (unpublished) 2016</w:t>
            </w:r>
            <w:r w:rsidRPr="00FA7533">
              <w:t xml:space="preserve"> Census of Population and Housing; table </w:t>
            </w:r>
            <w:proofErr w:type="spellStart"/>
            <w:r w:rsidRPr="00FA7533">
              <w:t>A.</w:t>
            </w:r>
            <w:r>
              <w:t>8</w:t>
            </w:r>
            <w:proofErr w:type="spellEnd"/>
            <w:r w:rsidRPr="00FA7533">
              <w:t xml:space="preserve">. </w:t>
            </w:r>
          </w:p>
        </w:tc>
      </w:tr>
      <w:tr w:rsidR="005845D4" w:rsidRPr="000863A5" w14:paraId="2898E751" w14:textId="77777777" w:rsidTr="00BD5DDD">
        <w:trPr>
          <w:trHeight w:val="164"/>
        </w:trPr>
        <w:tc>
          <w:tcPr>
            <w:tcW w:w="5000" w:type="pct"/>
            <w:tcBorders>
              <w:top w:val="nil"/>
              <w:left w:val="nil"/>
              <w:bottom w:val="single" w:sz="6" w:space="0" w:color="78A22F"/>
              <w:right w:val="nil"/>
            </w:tcBorders>
            <w:shd w:val="clear" w:color="auto" w:fill="auto"/>
          </w:tcPr>
          <w:p w14:paraId="1999492C" w14:textId="29415905" w:rsidR="005845D4" w:rsidRPr="00626D32" w:rsidRDefault="005845D4" w:rsidP="00BD5DDD">
            <w:pPr>
              <w:pStyle w:val="Figurespace"/>
            </w:pPr>
          </w:p>
        </w:tc>
      </w:tr>
      <w:tr w:rsidR="005845D4" w:rsidRPr="000863A5" w14:paraId="1277C211" w14:textId="77777777" w:rsidTr="00BD5DDD">
        <w:tc>
          <w:tcPr>
            <w:tcW w:w="5000" w:type="pct"/>
            <w:tcBorders>
              <w:top w:val="single" w:sz="6" w:space="0" w:color="78A22F"/>
              <w:left w:val="nil"/>
              <w:bottom w:val="nil"/>
              <w:right w:val="nil"/>
            </w:tcBorders>
            <w:shd w:val="clear" w:color="auto" w:fill="auto"/>
          </w:tcPr>
          <w:p w14:paraId="60D625DF" w14:textId="77777777" w:rsidR="005845D4" w:rsidRPr="00626D32" w:rsidRDefault="005845D4" w:rsidP="005845D4">
            <w:pPr>
              <w:pStyle w:val="BoxSpaceBelow"/>
            </w:pPr>
          </w:p>
        </w:tc>
      </w:tr>
    </w:tbl>
    <w:p w14:paraId="3FA5802D" w14:textId="403E83BB" w:rsidR="001E6702" w:rsidRDefault="00F74CF1" w:rsidP="007C78FC">
      <w:pPr>
        <w:pStyle w:val="Heading3"/>
        <w:jc w:val="both"/>
      </w:pPr>
      <w:r>
        <w:lastRenderedPageBreak/>
        <w:t>Improving quality of</w:t>
      </w:r>
      <w:r w:rsidR="0083075C">
        <w:t>,</w:t>
      </w:r>
      <w:r>
        <w:t xml:space="preserve"> and access to</w:t>
      </w:r>
      <w:r w:rsidR="0083075C">
        <w:t>,</w:t>
      </w:r>
      <w:r>
        <w:t xml:space="preserve"> data for assessing local needs and planning local solutions is a key f</w:t>
      </w:r>
      <w:r w:rsidR="001E6702">
        <w:t xml:space="preserve">uture </w:t>
      </w:r>
      <w:r>
        <w:t xml:space="preserve">development for </w:t>
      </w:r>
      <w:r w:rsidR="008C5062">
        <w:t xml:space="preserve">data on </w:t>
      </w:r>
      <w:r>
        <w:t xml:space="preserve">Aboriginal and Torres Strait Islander </w:t>
      </w:r>
      <w:r w:rsidR="008C5062">
        <w:t>people</w:t>
      </w:r>
    </w:p>
    <w:p w14:paraId="4B330BC0" w14:textId="12268473" w:rsidR="00FB0397" w:rsidRDefault="00DD5FA2" w:rsidP="00FB0397">
      <w:pPr>
        <w:pStyle w:val="BodyText"/>
      </w:pPr>
      <w:r>
        <w:t>Like all Australians, the</w:t>
      </w:r>
      <w:r w:rsidR="00FB0397" w:rsidRPr="00744659">
        <w:t xml:space="preserve"> needs of Aboriginal and Torres Strait Islander </w:t>
      </w:r>
      <w:r w:rsidR="00FB0397">
        <w:t>people</w:t>
      </w:r>
      <w:r w:rsidR="00FB0397" w:rsidRPr="00744659">
        <w:t xml:space="preserve"> </w:t>
      </w:r>
      <w:r w:rsidR="00FB0397">
        <w:t xml:space="preserve">are diverse, </w:t>
      </w:r>
      <w:r w:rsidR="00FB0397" w:rsidRPr="00744659">
        <w:t>differ</w:t>
      </w:r>
      <w:r w:rsidR="00FB0397">
        <w:t>ing</w:t>
      </w:r>
      <w:r w:rsidR="00FB0397" w:rsidRPr="00744659">
        <w:t xml:space="preserve"> across </w:t>
      </w:r>
      <w:r w:rsidR="00FB0397">
        <w:t>communities</w:t>
      </w:r>
      <w:r w:rsidR="00FB0397" w:rsidRPr="00744659">
        <w:t xml:space="preserve"> and regions. </w:t>
      </w:r>
      <w:r w:rsidR="00FB0397">
        <w:t>A</w:t>
      </w:r>
      <w:r w:rsidR="00FB0397" w:rsidRPr="00744659">
        <w:t xml:space="preserve">ccess to reliable data is vital </w:t>
      </w:r>
      <w:r w:rsidR="00FB0397">
        <w:t>for</w:t>
      </w:r>
      <w:r w:rsidR="00FB0397" w:rsidRPr="00744659">
        <w:t xml:space="preserve"> </w:t>
      </w:r>
      <w:r w:rsidR="0083075C">
        <w:t>shared decision</w:t>
      </w:r>
      <w:r w:rsidR="0083075C">
        <w:noBreakHyphen/>
      </w:r>
      <w:r w:rsidR="008C5062">
        <w:t>making</w:t>
      </w:r>
      <w:r w:rsidR="00FB0397">
        <w:t xml:space="preserve">. </w:t>
      </w:r>
      <w:r w:rsidR="00FB0397" w:rsidRPr="00744659">
        <w:t>Reliable data that are eas</w:t>
      </w:r>
      <w:r w:rsidR="005C7A59">
        <w:t>ily</w:t>
      </w:r>
      <w:r w:rsidR="00FB0397" w:rsidRPr="00744659">
        <w:t xml:space="preserve"> access</w:t>
      </w:r>
      <w:r w:rsidR="005C7A59">
        <w:t>ed</w:t>
      </w:r>
      <w:r w:rsidR="00FB0397" w:rsidRPr="00744659">
        <w:t xml:space="preserve"> and </w:t>
      </w:r>
      <w:r w:rsidR="005C7A59">
        <w:t>understood</w:t>
      </w:r>
      <w:r w:rsidR="00FB0397" w:rsidRPr="00744659">
        <w:t xml:space="preserve"> empower communities to advocate for the</w:t>
      </w:r>
      <w:r w:rsidR="004D0991">
        <w:t>ir</w:t>
      </w:r>
      <w:r w:rsidR="00FB0397" w:rsidRPr="00744659">
        <w:t xml:space="preserve"> needs</w:t>
      </w:r>
      <w:r w:rsidR="005C7A59">
        <w:t>,</w:t>
      </w:r>
      <w:r w:rsidR="00FB0397" w:rsidRPr="00744659">
        <w:t xml:space="preserve"> and assist governments</w:t>
      </w:r>
      <w:r w:rsidR="005C7A59">
        <w:t xml:space="preserve"> and others </w:t>
      </w:r>
      <w:r w:rsidR="0083075C">
        <w:t xml:space="preserve">to </w:t>
      </w:r>
      <w:r w:rsidR="00F9198B">
        <w:t>mak</w:t>
      </w:r>
      <w:r w:rsidR="0083075C">
        <w:t xml:space="preserve">e </w:t>
      </w:r>
      <w:r w:rsidR="00FB0397" w:rsidRPr="00744659">
        <w:t>more informed decisions and improve efficiency and accountability</w:t>
      </w:r>
      <w:r w:rsidR="00B6379A">
        <w:t xml:space="preserve"> </w:t>
      </w:r>
      <w:r w:rsidR="00337356" w:rsidRPr="00337356">
        <w:rPr>
          <w:szCs w:val="24"/>
        </w:rPr>
        <w:t>(PC 2017, p. 61)</w:t>
      </w:r>
      <w:r w:rsidR="00FB0397" w:rsidRPr="00744659">
        <w:t>.</w:t>
      </w:r>
    </w:p>
    <w:p w14:paraId="00569095" w14:textId="6851E01D" w:rsidR="008C5062" w:rsidRDefault="006909BA" w:rsidP="00FB0397">
      <w:pPr>
        <w:pStyle w:val="BodyText"/>
      </w:pPr>
      <w:r>
        <w:t xml:space="preserve">Initiatives to </w:t>
      </w:r>
      <w:r>
        <w:rPr>
          <w:color w:val="000000" w:themeColor="text1"/>
        </w:rPr>
        <w:t xml:space="preserve">provide </w:t>
      </w:r>
      <w:r>
        <w:t>Aboriginal and Torres Strait Islander people with improved access to, use</w:t>
      </w:r>
      <w:r w:rsidR="00CF1881">
        <w:t xml:space="preserve"> of</w:t>
      </w:r>
      <w:r>
        <w:t xml:space="preserve"> and oversight of</w:t>
      </w:r>
      <w:r w:rsidR="008C5062">
        <w:t>,</w:t>
      </w:r>
      <w:r>
        <w:t xml:space="preserve"> databases containing information about themselves and their ancestors contribute to addressing this need (section 5.4</w:t>
      </w:r>
      <w:r w:rsidR="009C55AE">
        <w:t xml:space="preserve"> </w:t>
      </w:r>
      <w:r w:rsidR="009C55AE" w:rsidRPr="008916C2">
        <w:rPr>
          <w:i/>
        </w:rPr>
        <w:t>Case studies in governance</w:t>
      </w:r>
      <w:r>
        <w:t>).</w:t>
      </w:r>
    </w:p>
    <w:p w14:paraId="13F550B7" w14:textId="77777777" w:rsidR="008C5062" w:rsidRDefault="006909BA" w:rsidP="00FB0397">
      <w:pPr>
        <w:pStyle w:val="BodyText"/>
      </w:pPr>
      <w:r>
        <w:t>However, e</w:t>
      </w:r>
      <w:r w:rsidR="00FB0397">
        <w:t>xisting data sets</w:t>
      </w:r>
      <w:r w:rsidR="0053214A">
        <w:t xml:space="preserve"> are limited in </w:t>
      </w:r>
      <w:r w:rsidR="004D0991">
        <w:t xml:space="preserve">their effectiveness for smaller regions in </w:t>
      </w:r>
      <w:r w:rsidR="0053214A">
        <w:t xml:space="preserve">several ways. </w:t>
      </w:r>
      <w:r w:rsidR="00DD5FA2">
        <w:t>For example, l</w:t>
      </w:r>
      <w:r w:rsidR="0053214A">
        <w:t xml:space="preserve">arge data sets </w:t>
      </w:r>
      <w:r w:rsidR="00DD5FA2">
        <w:t xml:space="preserve">can: </w:t>
      </w:r>
    </w:p>
    <w:p w14:paraId="452632E1" w14:textId="77777777" w:rsidR="008C5062" w:rsidRDefault="00DD5FA2" w:rsidP="00720E6C">
      <w:pPr>
        <w:pStyle w:val="ListBullet"/>
      </w:pPr>
      <w:r w:rsidRPr="00DD5FA2">
        <w:t>under</w:t>
      </w:r>
      <w:r>
        <w:noBreakHyphen/>
      </w:r>
      <w:r w:rsidRPr="00DD5FA2">
        <w:t>identif</w:t>
      </w:r>
      <w:r>
        <w:t xml:space="preserve">y </w:t>
      </w:r>
      <w:r w:rsidRPr="00DD5FA2">
        <w:t>Aboriginal and Torres Strait Islander people and capture</w:t>
      </w:r>
      <w:r>
        <w:t xml:space="preserve"> only</w:t>
      </w:r>
      <w:r w:rsidRPr="00DD5FA2">
        <w:t xml:space="preserve"> relatively homogenous information</w:t>
      </w:r>
    </w:p>
    <w:p w14:paraId="657AC4FF" w14:textId="77777777" w:rsidR="00FB0397" w:rsidRDefault="00D91A9C" w:rsidP="00720E6C">
      <w:pPr>
        <w:pStyle w:val="ListBullet"/>
      </w:pPr>
      <w:r>
        <w:t>provide information that is</w:t>
      </w:r>
      <w:r w:rsidR="00DD5FA2">
        <w:t xml:space="preserve"> </w:t>
      </w:r>
      <w:r w:rsidR="00DD5FA2" w:rsidRPr="00792C05">
        <w:t>reliabl</w:t>
      </w:r>
      <w:r>
        <w:t>e only</w:t>
      </w:r>
      <w:r w:rsidR="00DD5FA2">
        <w:t xml:space="preserve"> </w:t>
      </w:r>
      <w:r w:rsidR="00DD5FA2" w:rsidRPr="00792C05">
        <w:t>at higher levels of aggregation</w:t>
      </w:r>
      <w:r w:rsidR="00DD5FA2">
        <w:t xml:space="preserve"> </w:t>
      </w:r>
      <w:r>
        <w:t>and not necessarily relevant</w:t>
      </w:r>
      <w:r w:rsidRPr="00792C05">
        <w:t xml:space="preserve"> for </w:t>
      </w:r>
      <w:r>
        <w:t xml:space="preserve">particular communities or regions, even where the data </w:t>
      </w:r>
      <w:r w:rsidR="008C5062">
        <w:t>are</w:t>
      </w:r>
      <w:r>
        <w:t xml:space="preserve"> </w:t>
      </w:r>
      <w:r w:rsidRPr="00792C05">
        <w:t>specific to Aboriginal an</w:t>
      </w:r>
      <w:r>
        <w:t>d Torres Strait Islander people.</w:t>
      </w:r>
    </w:p>
    <w:p w14:paraId="31E46632" w14:textId="77777777" w:rsidR="00D91A9C" w:rsidRDefault="00D91A9C" w:rsidP="00FB0397">
      <w:pPr>
        <w:pStyle w:val="BodyText"/>
      </w:pPr>
      <w:r>
        <w:t xml:space="preserve">Furthermore, </w:t>
      </w:r>
      <w:r w:rsidRPr="00D91A9C">
        <w:t>large data sets are</w:t>
      </w:r>
      <w:r>
        <w:t xml:space="preserve"> not always easily </w:t>
      </w:r>
      <w:r w:rsidRPr="005A7C06">
        <w:t>access</w:t>
      </w:r>
      <w:r>
        <w:t xml:space="preserve">ible </w:t>
      </w:r>
      <w:r w:rsidRPr="005A7C06">
        <w:t>in format</w:t>
      </w:r>
      <w:r w:rsidR="00F9717D">
        <w:t>s</w:t>
      </w:r>
      <w:r w:rsidRPr="005A7C06">
        <w:t xml:space="preserve"> that can be readily understood</w:t>
      </w:r>
      <w:r>
        <w:t xml:space="preserve">, </w:t>
      </w:r>
      <w:r w:rsidR="00F9198B">
        <w:t xml:space="preserve">while data </w:t>
      </w:r>
      <w:r w:rsidR="008C5062">
        <w:t xml:space="preserve">for small areas are </w:t>
      </w:r>
      <w:r w:rsidR="00F9717D">
        <w:t xml:space="preserve">often </w:t>
      </w:r>
      <w:r w:rsidRPr="00D91A9C">
        <w:t>subject to confidentiality requirement</w:t>
      </w:r>
      <w:r w:rsidR="008C5062">
        <w:t>s</w:t>
      </w:r>
      <w:r w:rsidRPr="00D91A9C">
        <w:t xml:space="preserve"> </w:t>
      </w:r>
      <w:r w:rsidR="008C5062">
        <w:t>which limits the available data</w:t>
      </w:r>
      <w:r>
        <w:rPr>
          <w:rStyle w:val="FootnoteReference"/>
        </w:rPr>
        <w:footnoteReference w:id="2"/>
      </w:r>
      <w:r w:rsidRPr="00D91A9C">
        <w:t>.</w:t>
      </w:r>
      <w:r w:rsidR="00F9717D">
        <w:t xml:space="preserve"> </w:t>
      </w:r>
    </w:p>
    <w:p w14:paraId="223153CC" w14:textId="55BDD673" w:rsidR="00F14B68" w:rsidRPr="001E6702" w:rsidRDefault="00F14B68" w:rsidP="00F14B68">
      <w:pPr>
        <w:pStyle w:val="BodyText"/>
      </w:pPr>
      <w:r>
        <w:t xml:space="preserve">Shared access to data and information at a regional level is one of the priority reform areas in the </w:t>
      </w:r>
      <w:r w:rsidRPr="0083075C">
        <w:t>National Agreement on Closing the Gap</w:t>
      </w:r>
      <w:r>
        <w:t>.</w:t>
      </w:r>
      <w:r w:rsidR="002117D4">
        <w:t xml:space="preserve"> This includes shared access to location</w:t>
      </w:r>
      <w:r w:rsidR="001752D9">
        <w:noBreakHyphen/>
      </w:r>
      <w:r w:rsidR="002117D4">
        <w:t xml:space="preserve">specific data and information, recognising that disaggregated data and information is most useful to Aboriginal and Torres Strait Islander organisations and communities for </w:t>
      </w:r>
      <w:r w:rsidR="008C5062">
        <w:t xml:space="preserve">local </w:t>
      </w:r>
      <w:r w:rsidR="0083075C">
        <w:t>decision-</w:t>
      </w:r>
      <w:r w:rsidR="002117D4">
        <w:t xml:space="preserve">making </w:t>
      </w:r>
      <w:r w:rsidR="00337356" w:rsidRPr="00337356">
        <w:rPr>
          <w:szCs w:val="24"/>
        </w:rPr>
        <w:t>(Australian Government and Coalition of Peaks 2020)</w:t>
      </w:r>
      <w:r w:rsidR="002117D4">
        <w:t xml:space="preserve">. </w:t>
      </w:r>
    </w:p>
    <w:p w14:paraId="59688576" w14:textId="77777777" w:rsidR="00B504B6" w:rsidRPr="00B3131A" w:rsidRDefault="00B504B6" w:rsidP="001E6702">
      <w:pPr>
        <w:pStyle w:val="Heading3"/>
      </w:pPr>
      <w:r w:rsidRPr="00B3131A">
        <w:t xml:space="preserve">Attachment tables </w:t>
      </w:r>
    </w:p>
    <w:p w14:paraId="19D4DD3B" w14:textId="1BA0823B" w:rsidR="00A62A69" w:rsidRDefault="00B504B6" w:rsidP="00F9717D">
      <w:pPr>
        <w:pStyle w:val="BodyText"/>
      </w:pPr>
      <w:r w:rsidRPr="00B3131A">
        <w:t xml:space="preserve">Attachment tables are identified in references throughout this appendix by an ‘A’ prefix (for example, </w:t>
      </w:r>
      <w:r w:rsidR="00BF03F5">
        <w:t>‘</w:t>
      </w:r>
      <w:r w:rsidRPr="00B3131A">
        <w:t>table</w:t>
      </w:r>
      <w:r w:rsidR="00BF03F5">
        <w:t> </w:t>
      </w:r>
      <w:proofErr w:type="spellStart"/>
      <w:r w:rsidRPr="00B3131A">
        <w:t>A.2</w:t>
      </w:r>
      <w:proofErr w:type="spellEnd"/>
      <w:r w:rsidR="00BF03F5">
        <w:t>’</w:t>
      </w:r>
      <w:r w:rsidRPr="00B3131A">
        <w:t xml:space="preserve">). </w:t>
      </w:r>
      <w:r w:rsidR="00BF03F5">
        <w:t>These tables can be found on the web page (</w:t>
      </w:r>
      <w:r w:rsidR="00BF03F5" w:rsidRPr="00B4020B">
        <w:rPr>
          <w:szCs w:val="24"/>
          <w:u w:val="single"/>
        </w:rPr>
        <w:t>www.pc.gov.au/</w:t>
      </w:r>
      <w:proofErr w:type="spellStart"/>
      <w:r w:rsidR="00BF03F5" w:rsidRPr="00B4020B">
        <w:rPr>
          <w:szCs w:val="24"/>
          <w:u w:val="single"/>
        </w:rPr>
        <w:t>oid2020</w:t>
      </w:r>
      <w:proofErr w:type="spellEnd"/>
      <w:r w:rsidR="00BF03F5" w:rsidRPr="00435A2D">
        <w:t>)</w:t>
      </w:r>
      <w:r w:rsidR="00BF03F5">
        <w:t>.</w:t>
      </w:r>
    </w:p>
    <w:p w14:paraId="1637E05A" w14:textId="77777777" w:rsidR="00F056FC" w:rsidRPr="00656AB5" w:rsidRDefault="00342EE7" w:rsidP="00342EE7">
      <w:pPr>
        <w:pStyle w:val="Heading3"/>
      </w:pPr>
      <w:r>
        <w:t>References</w:t>
      </w:r>
    </w:p>
    <w:p w14:paraId="345FC95B" w14:textId="5078A1D5" w:rsidR="00A34303" w:rsidRPr="00135F5E" w:rsidRDefault="00A34303" w:rsidP="00A34303">
      <w:pPr>
        <w:pStyle w:val="Reference"/>
        <w:rPr>
          <w:sz w:val="20"/>
        </w:rPr>
      </w:pPr>
      <w:r w:rsidRPr="00135F5E">
        <w:rPr>
          <w:sz w:val="20"/>
        </w:rPr>
        <w:t xml:space="preserve">ABS (Australian Bureau of Statistics) 2018, </w:t>
      </w:r>
      <w:r w:rsidRPr="00135F5E">
        <w:rPr>
          <w:i/>
          <w:iCs/>
          <w:sz w:val="20"/>
        </w:rPr>
        <w:t>Estimates of Aboriginal and Torres Strait Islander Australians, June 2016</w:t>
      </w:r>
      <w:r w:rsidRPr="00135F5E">
        <w:rPr>
          <w:sz w:val="20"/>
        </w:rPr>
        <w:t>, 31 August, Cat. no. 3238.0.55.001, Canberra.</w:t>
      </w:r>
    </w:p>
    <w:p w14:paraId="59BC680C" w14:textId="77777777" w:rsidR="00A34303" w:rsidRPr="00135F5E" w:rsidRDefault="00A34303" w:rsidP="00A34303">
      <w:pPr>
        <w:pStyle w:val="Reference"/>
        <w:rPr>
          <w:sz w:val="20"/>
        </w:rPr>
      </w:pPr>
      <w:proofErr w:type="spellStart"/>
      <w:r w:rsidRPr="00135F5E">
        <w:rPr>
          <w:sz w:val="20"/>
        </w:rPr>
        <w:lastRenderedPageBreak/>
        <w:t>AIATSIS</w:t>
      </w:r>
      <w:proofErr w:type="spellEnd"/>
      <w:r w:rsidRPr="00135F5E">
        <w:rPr>
          <w:sz w:val="20"/>
        </w:rPr>
        <w:t xml:space="preserve"> (Australian Institute of Aboriginal and Torres Strait Islander Studies) </w:t>
      </w:r>
      <w:proofErr w:type="spellStart"/>
      <w:r w:rsidRPr="00135F5E">
        <w:rPr>
          <w:sz w:val="20"/>
        </w:rPr>
        <w:t>nd</w:t>
      </w:r>
      <w:proofErr w:type="spellEnd"/>
      <w:r w:rsidRPr="00135F5E">
        <w:rPr>
          <w:sz w:val="20"/>
        </w:rPr>
        <w:t xml:space="preserve">, </w:t>
      </w:r>
      <w:r w:rsidRPr="00135F5E">
        <w:rPr>
          <w:i/>
          <w:iCs/>
          <w:sz w:val="20"/>
        </w:rPr>
        <w:t>Indigenous Australian Languages - Celebrating 2019 International Year of Indigenous Languages</w:t>
      </w:r>
      <w:r w:rsidRPr="00135F5E">
        <w:rPr>
          <w:sz w:val="20"/>
        </w:rPr>
        <w:t>, Indigenous Australian Languages, https://aiatsis.gov.au/explore/articles/indigenous-australian-languages (accessed 20 July 2020).</w:t>
      </w:r>
    </w:p>
    <w:p w14:paraId="2BF072D8" w14:textId="77777777" w:rsidR="00A34303" w:rsidRPr="00135F5E" w:rsidRDefault="00A34303" w:rsidP="00A34303">
      <w:pPr>
        <w:pStyle w:val="Reference"/>
        <w:rPr>
          <w:sz w:val="20"/>
        </w:rPr>
      </w:pPr>
      <w:r w:rsidRPr="00135F5E">
        <w:rPr>
          <w:sz w:val="20"/>
        </w:rPr>
        <w:t xml:space="preserve">Australian Government and Coalition of Peaks 2020, </w:t>
      </w:r>
      <w:r w:rsidRPr="00135F5E">
        <w:rPr>
          <w:i/>
          <w:iCs/>
          <w:sz w:val="20"/>
        </w:rPr>
        <w:t>National Agreement on Closing the Gap</w:t>
      </w:r>
      <w:r w:rsidRPr="00135F5E">
        <w:rPr>
          <w:sz w:val="20"/>
        </w:rPr>
        <w:t>, Canberra.</w:t>
      </w:r>
    </w:p>
    <w:p w14:paraId="4272A42E" w14:textId="77777777" w:rsidR="00A34303" w:rsidRPr="00135F5E" w:rsidRDefault="00A34303" w:rsidP="00A34303">
      <w:pPr>
        <w:pStyle w:val="Reference"/>
        <w:rPr>
          <w:sz w:val="20"/>
        </w:rPr>
      </w:pPr>
      <w:proofErr w:type="spellStart"/>
      <w:r w:rsidRPr="00135F5E">
        <w:rPr>
          <w:sz w:val="20"/>
        </w:rPr>
        <w:t>DITRDC</w:t>
      </w:r>
      <w:proofErr w:type="spellEnd"/>
      <w:r w:rsidRPr="00135F5E">
        <w:rPr>
          <w:sz w:val="20"/>
        </w:rPr>
        <w:t xml:space="preserve">, </w:t>
      </w:r>
      <w:proofErr w:type="spellStart"/>
      <w:r w:rsidRPr="00135F5E">
        <w:rPr>
          <w:sz w:val="20"/>
        </w:rPr>
        <w:t>AIATSIS</w:t>
      </w:r>
      <w:proofErr w:type="spellEnd"/>
      <w:r w:rsidRPr="00135F5E">
        <w:rPr>
          <w:sz w:val="20"/>
        </w:rPr>
        <w:t xml:space="preserve"> and </w:t>
      </w:r>
      <w:proofErr w:type="spellStart"/>
      <w:r w:rsidRPr="00135F5E">
        <w:rPr>
          <w:sz w:val="20"/>
        </w:rPr>
        <w:t>ANU</w:t>
      </w:r>
      <w:proofErr w:type="spellEnd"/>
      <w:r w:rsidRPr="00135F5E">
        <w:rPr>
          <w:sz w:val="20"/>
        </w:rPr>
        <w:t xml:space="preserve"> (Department of Infrastructure, Transport, Regional Development and Communications, Australian Institute of Aboriginal and Torres Strait Islander Studies and Australian National University) 2020, </w:t>
      </w:r>
      <w:r w:rsidRPr="00135F5E">
        <w:rPr>
          <w:i/>
          <w:iCs/>
          <w:sz w:val="20"/>
        </w:rPr>
        <w:t>National Indigenous Languages Report 2020</w:t>
      </w:r>
      <w:r w:rsidRPr="00135F5E">
        <w:rPr>
          <w:sz w:val="20"/>
        </w:rPr>
        <w:t>, Australian Government, Canberra, ACT.</w:t>
      </w:r>
    </w:p>
    <w:p w14:paraId="43115F23" w14:textId="77777777" w:rsidR="00A34303" w:rsidRPr="00135F5E" w:rsidRDefault="00A34303" w:rsidP="00A34303">
      <w:pPr>
        <w:pStyle w:val="Reference"/>
        <w:rPr>
          <w:sz w:val="20"/>
        </w:rPr>
      </w:pPr>
      <w:r w:rsidRPr="00135F5E">
        <w:rPr>
          <w:sz w:val="20"/>
        </w:rPr>
        <w:t xml:space="preserve">Marmion, D., Obata, K. and Troy, J. 2014, </w:t>
      </w:r>
      <w:r w:rsidRPr="00135F5E">
        <w:rPr>
          <w:i/>
          <w:iCs/>
          <w:sz w:val="20"/>
        </w:rPr>
        <w:t>Community, Identity and Wellbeing: The Report of the Second National Indigenous Languages Survey</w:t>
      </w:r>
      <w:r w:rsidRPr="00135F5E">
        <w:rPr>
          <w:sz w:val="20"/>
        </w:rPr>
        <w:t>, Australian Institute of Aboriginal and Torres Strait Islander Studies, Canberra.</w:t>
      </w:r>
    </w:p>
    <w:p w14:paraId="0C7BA72C" w14:textId="77777777" w:rsidR="00A34303" w:rsidRPr="00135F5E" w:rsidRDefault="00A34303" w:rsidP="00A34303">
      <w:pPr>
        <w:pStyle w:val="Reference"/>
        <w:rPr>
          <w:sz w:val="20"/>
        </w:rPr>
      </w:pPr>
      <w:r w:rsidRPr="00135F5E">
        <w:rPr>
          <w:sz w:val="20"/>
        </w:rPr>
        <w:t xml:space="preserve">PC (Productivity Commission) 2017, </w:t>
      </w:r>
      <w:r w:rsidRPr="00135F5E">
        <w:rPr>
          <w:i/>
          <w:iCs/>
          <w:sz w:val="20"/>
        </w:rPr>
        <w:t>Data Availability and Use</w:t>
      </w:r>
      <w:r w:rsidRPr="00135F5E">
        <w:rPr>
          <w:sz w:val="20"/>
        </w:rPr>
        <w:t>, Report No. 82, Canberra.</w:t>
      </w:r>
    </w:p>
    <w:p w14:paraId="4A41F3D8" w14:textId="18F6D5E6" w:rsidR="00342EE7" w:rsidRPr="00841699" w:rsidRDefault="00342EE7" w:rsidP="00A34303">
      <w:pPr>
        <w:pStyle w:val="Reference"/>
      </w:pPr>
    </w:p>
    <w:sectPr w:rsidR="00342EE7" w:rsidRPr="00841699" w:rsidSect="00991C11">
      <w:headerReference w:type="even" r:id="rId15"/>
      <w:headerReference w:type="default" r:id="rId16"/>
      <w:footerReference w:type="even" r:id="rId17"/>
      <w:footerReference w:type="default" r:id="rId18"/>
      <w:pgSz w:w="11907" w:h="16840" w:code="9"/>
      <w:pgMar w:top="1900" w:right="1304" w:bottom="1247" w:left="1814" w:header="1701" w:footer="397" w:gutter="0"/>
      <w:pgNumType w:start="1" w:chapStyle="1" w:chapSep="period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A6E758" w14:textId="77777777" w:rsidR="00A9365B" w:rsidRDefault="00A9365B">
      <w:r>
        <w:separator/>
      </w:r>
    </w:p>
  </w:endnote>
  <w:endnote w:type="continuationSeparator" w:id="0">
    <w:p w14:paraId="118C75E4" w14:textId="77777777" w:rsidR="00A9365B" w:rsidRDefault="00A9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"/>
      <w:gridCol w:w="7767"/>
      <w:gridCol w:w="510"/>
    </w:tblGrid>
    <w:tr w:rsidR="00A9365B" w14:paraId="7B57E95F" w14:textId="77777777" w:rsidTr="003910F6">
      <w:trPr>
        <w:trHeight w:hRule="exact" w:val="567"/>
      </w:trPr>
      <w:tc>
        <w:tcPr>
          <w:tcW w:w="510" w:type="dxa"/>
        </w:tcPr>
        <w:p w14:paraId="2F8B4C43" w14:textId="77777777" w:rsidR="00A9365B" w:rsidRPr="00A24443" w:rsidRDefault="00A9365B" w:rsidP="00720677">
          <w:pPr>
            <w:pStyle w:val="Footer"/>
            <w:tabs>
              <w:tab w:val="left" w:pos="0"/>
            </w:tabs>
            <w:ind w:right="0"/>
            <w:rPr>
              <w:rStyle w:val="PageNumber"/>
              <w:caps w:val="0"/>
            </w:rPr>
          </w:pPr>
          <w:proofErr w:type="spellStart"/>
          <w:r>
            <w:rPr>
              <w:rStyle w:val="PageNumber"/>
              <w:caps w:val="0"/>
            </w:rPr>
            <w:t>A.</w:t>
          </w:r>
          <w:proofErr w:type="spellEnd"/>
          <w:r w:rsidRPr="00A24443">
            <w:rPr>
              <w:rStyle w:val="PageNumber"/>
              <w:caps w:val="0"/>
            </w:rPr>
            <w:fldChar w:fldCharType="begin"/>
          </w:r>
          <w:r w:rsidRPr="00A24443">
            <w:rPr>
              <w:rStyle w:val="PageNumber"/>
              <w:caps w:val="0"/>
            </w:rPr>
            <w:instrText xml:space="preserve">PAGE  </w:instrText>
          </w:r>
          <w:r w:rsidRPr="00A24443">
            <w:rPr>
              <w:rStyle w:val="PageNumber"/>
              <w:caps w:val="0"/>
            </w:rPr>
            <w:fldChar w:fldCharType="separate"/>
          </w:r>
          <w:r w:rsidR="00E7239F">
            <w:rPr>
              <w:rStyle w:val="PageNumber"/>
              <w:caps w:val="0"/>
              <w:noProof/>
            </w:rPr>
            <w:t>4</w:t>
          </w:r>
          <w:r w:rsidRPr="00A24443">
            <w:rPr>
              <w:rStyle w:val="PageNumber"/>
              <w:caps w:val="0"/>
            </w:rPr>
            <w:fldChar w:fldCharType="end"/>
          </w:r>
        </w:p>
      </w:tc>
      <w:tc>
        <w:tcPr>
          <w:tcW w:w="7767" w:type="dxa"/>
        </w:tcPr>
        <w:p w14:paraId="0DF96F79" w14:textId="7817BFBD" w:rsidR="00A9365B" w:rsidRPr="0013739A" w:rsidRDefault="0083075C" w:rsidP="003910F6">
          <w:pPr>
            <w:pStyle w:val="Footer"/>
            <w:rPr>
              <w:rFonts w:cs="Arial"/>
            </w:rPr>
          </w:pPr>
          <w:r>
            <w:rPr>
              <w:rFonts w:cs="Arial"/>
            </w:rPr>
            <w:t>Overcoming Indigenous Disadvantage 2020</w:t>
          </w:r>
          <w:bookmarkStart w:id="5" w:name="DraftReportEven"/>
          <w:bookmarkEnd w:id="5"/>
        </w:p>
      </w:tc>
      <w:tc>
        <w:tcPr>
          <w:tcW w:w="510" w:type="dxa"/>
        </w:tcPr>
        <w:p w14:paraId="35363339" w14:textId="77777777" w:rsidR="00A9365B" w:rsidRDefault="00A9365B" w:rsidP="0019293B">
          <w:pPr>
            <w:pStyle w:val="Footer"/>
          </w:pPr>
        </w:p>
      </w:tc>
    </w:tr>
  </w:tbl>
  <w:p w14:paraId="76A0CF47" w14:textId="77777777" w:rsidR="00A9365B" w:rsidRDefault="00A9365B" w:rsidP="0019293B">
    <w:pPr>
      <w:pStyle w:val="FooterEn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"/>
      <w:gridCol w:w="7767"/>
      <w:gridCol w:w="510"/>
    </w:tblGrid>
    <w:tr w:rsidR="0083075C" w14:paraId="4982A670" w14:textId="77777777" w:rsidTr="005F48ED">
      <w:trPr>
        <w:trHeight w:hRule="exact" w:val="567"/>
      </w:trPr>
      <w:tc>
        <w:tcPr>
          <w:tcW w:w="510" w:type="dxa"/>
        </w:tcPr>
        <w:p w14:paraId="4F15F060" w14:textId="77777777" w:rsidR="0083075C" w:rsidRDefault="0083075C">
          <w:pPr>
            <w:pStyle w:val="Footer"/>
            <w:ind w:right="360" w:firstLine="360"/>
          </w:pPr>
        </w:p>
      </w:tc>
      <w:tc>
        <w:tcPr>
          <w:tcW w:w="7767" w:type="dxa"/>
        </w:tcPr>
        <w:p w14:paraId="17B375B5" w14:textId="6B86B92D" w:rsidR="0083075C" w:rsidRPr="00BA5B14" w:rsidRDefault="0083075C" w:rsidP="0013739A">
          <w:pPr>
            <w:pStyle w:val="Footer"/>
            <w:jc w:val="right"/>
            <w:rPr>
              <w:rFonts w:cs="Arial"/>
            </w:rPr>
          </w:pPr>
          <w:r>
            <w:rPr>
              <w:rFonts w:cs="Arial"/>
            </w:rPr>
            <w:t>Aboriginal and Torres Strait Islander population and language use</w:t>
          </w:r>
        </w:p>
      </w:tc>
      <w:tc>
        <w:tcPr>
          <w:tcW w:w="510" w:type="dxa"/>
        </w:tcPr>
        <w:p w14:paraId="5AB76AA2" w14:textId="19CDDCFC" w:rsidR="0083075C" w:rsidRPr="00A24443" w:rsidRDefault="0083075C">
          <w:pPr>
            <w:pStyle w:val="Footer"/>
            <w:jc w:val="right"/>
            <w:rPr>
              <w:caps w:val="0"/>
            </w:rPr>
          </w:pPr>
          <w:proofErr w:type="spellStart"/>
          <w:r>
            <w:rPr>
              <w:rStyle w:val="PageNumber"/>
              <w:caps w:val="0"/>
            </w:rPr>
            <w:t>A.</w:t>
          </w:r>
          <w:proofErr w:type="spellEnd"/>
          <w:r w:rsidRPr="00A24443">
            <w:rPr>
              <w:rStyle w:val="PageNumber"/>
              <w:caps w:val="0"/>
            </w:rPr>
            <w:fldChar w:fldCharType="begin"/>
          </w:r>
          <w:r w:rsidRPr="00A24443">
            <w:rPr>
              <w:rStyle w:val="PageNumber"/>
              <w:caps w:val="0"/>
            </w:rPr>
            <w:instrText xml:space="preserve">PAGE  </w:instrText>
          </w:r>
          <w:r w:rsidRPr="00A24443">
            <w:rPr>
              <w:rStyle w:val="PageNumber"/>
              <w:caps w:val="0"/>
            </w:rPr>
            <w:fldChar w:fldCharType="separate"/>
          </w:r>
          <w:r w:rsidR="00E7239F">
            <w:rPr>
              <w:rStyle w:val="PageNumber"/>
              <w:caps w:val="0"/>
              <w:noProof/>
            </w:rPr>
            <w:t>3</w:t>
          </w:r>
          <w:r w:rsidRPr="00A24443">
            <w:rPr>
              <w:rStyle w:val="PageNumber"/>
              <w:caps w:val="0"/>
            </w:rPr>
            <w:fldChar w:fldCharType="end"/>
          </w:r>
        </w:p>
      </w:tc>
    </w:tr>
  </w:tbl>
  <w:p w14:paraId="3437EB82" w14:textId="77777777" w:rsidR="0083075C" w:rsidRDefault="0083075C">
    <w:pPr>
      <w:pStyle w:val="FooterEnd"/>
    </w:pPr>
  </w:p>
  <w:p w14:paraId="1A173767" w14:textId="77777777" w:rsidR="00A9365B" w:rsidRDefault="00A9365B">
    <w:pPr>
      <w:pStyle w:val="FooterEn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69519" w14:textId="77777777" w:rsidR="00A9365B" w:rsidRDefault="00A9365B">
      <w:r>
        <w:separator/>
      </w:r>
    </w:p>
  </w:footnote>
  <w:footnote w:type="continuationSeparator" w:id="0">
    <w:p w14:paraId="0AF31DF2" w14:textId="77777777" w:rsidR="00A9365B" w:rsidRDefault="00A9365B">
      <w:r>
        <w:continuationSeparator/>
      </w:r>
    </w:p>
  </w:footnote>
  <w:footnote w:id="1">
    <w:p w14:paraId="15EDECE9" w14:textId="4BD2120B" w:rsidR="00A9365B" w:rsidRDefault="00A9365B" w:rsidP="00923FDC">
      <w:pPr>
        <w:pStyle w:val="FootnoteText"/>
      </w:pPr>
      <w:r>
        <w:rPr>
          <w:rStyle w:val="FootnoteReference"/>
        </w:rPr>
        <w:footnoteRef/>
      </w:r>
      <w:r>
        <w:tab/>
        <w:t xml:space="preserve">Population estimates for Aboriginal and Torres Strait </w:t>
      </w:r>
      <w:r w:rsidR="0083075C">
        <w:t>Islander people in this R</w:t>
      </w:r>
      <w:r>
        <w:t>eport are based on 2016 Census of Population and Housing counts, adjusted for net undercount as measured by the ABS Post Enumeration Survey (A</w:t>
      </w:r>
      <w:r w:rsidR="0083075C">
        <w:t>BS</w:t>
      </w:r>
      <w:r>
        <w:t xml:space="preserve"> 2018).</w:t>
      </w:r>
    </w:p>
  </w:footnote>
  <w:footnote w:id="2">
    <w:p w14:paraId="63A65F83" w14:textId="77777777" w:rsidR="00A9365B" w:rsidRDefault="00A9365B">
      <w:pPr>
        <w:pStyle w:val="FootnoteText"/>
      </w:pPr>
      <w:r>
        <w:rPr>
          <w:rStyle w:val="FootnoteReference"/>
        </w:rPr>
        <w:footnoteRef/>
      </w:r>
      <w:r>
        <w:tab/>
        <w:t>M</w:t>
      </w:r>
      <w:r w:rsidRPr="00D91A9C">
        <w:t xml:space="preserve">easures to </w:t>
      </w:r>
      <w:proofErr w:type="spellStart"/>
      <w:r w:rsidRPr="00D91A9C">
        <w:t>confidentialise</w:t>
      </w:r>
      <w:proofErr w:type="spellEnd"/>
      <w:r w:rsidRPr="00D91A9C">
        <w:t xml:space="preserve"> data</w:t>
      </w:r>
      <w:r>
        <w:t>,</w:t>
      </w:r>
      <w:r w:rsidRPr="00D91A9C">
        <w:t xml:space="preserve"> such as perturbation or not publishing small cells</w:t>
      </w:r>
      <w:r>
        <w:t>,</w:t>
      </w:r>
      <w:r w:rsidRPr="00D91A9C">
        <w:t xml:space="preserve"> can lead to data that is difficult to understand or use at </w:t>
      </w:r>
      <w:r>
        <w:t xml:space="preserve">the </w:t>
      </w:r>
      <w:r w:rsidRPr="00D91A9C">
        <w:t>local level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5"/>
      <w:gridCol w:w="6634"/>
    </w:tblGrid>
    <w:tr w:rsidR="00A9365B" w14:paraId="15C7FB83" w14:textId="77777777">
      <w:tc>
        <w:tcPr>
          <w:tcW w:w="2155" w:type="dxa"/>
          <w:tcBorders>
            <w:top w:val="single" w:sz="24" w:space="0" w:color="auto"/>
          </w:tcBorders>
        </w:tcPr>
        <w:p w14:paraId="33A251AF" w14:textId="77777777" w:rsidR="00A9365B" w:rsidRDefault="00A9365B" w:rsidP="0019293B">
          <w:pPr>
            <w:pStyle w:val="HeaderEven"/>
          </w:pPr>
        </w:p>
      </w:tc>
      <w:tc>
        <w:tcPr>
          <w:tcW w:w="6634" w:type="dxa"/>
          <w:tcBorders>
            <w:top w:val="single" w:sz="6" w:space="0" w:color="auto"/>
          </w:tcBorders>
        </w:tcPr>
        <w:p w14:paraId="41AC9B20" w14:textId="1F538568" w:rsidR="00A9365B" w:rsidRDefault="00A9365B" w:rsidP="00996792">
          <w:pPr>
            <w:pStyle w:val="HeaderEven"/>
          </w:pPr>
        </w:p>
      </w:tc>
    </w:tr>
  </w:tbl>
  <w:p w14:paraId="34087EBF" w14:textId="77777777" w:rsidR="00A9365B" w:rsidRDefault="00A9365B" w:rsidP="0019293B">
    <w:pPr>
      <w:pStyle w:val="HeaderEn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34"/>
      <w:gridCol w:w="2155"/>
    </w:tblGrid>
    <w:tr w:rsidR="00A9365B" w14:paraId="546F3C61" w14:textId="77777777">
      <w:tc>
        <w:tcPr>
          <w:tcW w:w="6634" w:type="dxa"/>
          <w:tcBorders>
            <w:top w:val="single" w:sz="6" w:space="0" w:color="auto"/>
          </w:tcBorders>
        </w:tcPr>
        <w:p w14:paraId="422C6CFC" w14:textId="2758E0B9" w:rsidR="00A9365B" w:rsidRDefault="00A9365B" w:rsidP="00996792">
          <w:pPr>
            <w:pStyle w:val="HeaderOdd"/>
            <w:tabs>
              <w:tab w:val="clear" w:pos="4394"/>
              <w:tab w:val="clear" w:pos="8789"/>
              <w:tab w:val="left" w:pos="2144"/>
            </w:tabs>
          </w:pPr>
        </w:p>
      </w:tc>
      <w:tc>
        <w:tcPr>
          <w:tcW w:w="2155" w:type="dxa"/>
          <w:tcBorders>
            <w:top w:val="single" w:sz="24" w:space="0" w:color="auto"/>
          </w:tcBorders>
        </w:tcPr>
        <w:p w14:paraId="3D5DD989" w14:textId="77777777" w:rsidR="00A9365B" w:rsidRDefault="00A9365B" w:rsidP="00E669E2">
          <w:pPr>
            <w:pStyle w:val="HeaderOdd"/>
          </w:pPr>
        </w:p>
      </w:tc>
    </w:tr>
  </w:tbl>
  <w:p w14:paraId="4A6C2663" w14:textId="77777777" w:rsidR="00A9365B" w:rsidRDefault="00A9365B" w:rsidP="00E669E2">
    <w:pPr>
      <w:pStyle w:val="HeaderEn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BA294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D84BB9"/>
    <w:multiLevelType w:val="hybridMultilevel"/>
    <w:tmpl w:val="5F24570C"/>
    <w:lvl w:ilvl="0" w:tplc="6C209310">
      <w:start w:val="1"/>
      <w:numFmt w:val="bullet"/>
      <w:pStyle w:val="Jurisdictioncommentslistbullet"/>
      <w:lvlText w:val=""/>
      <w:lvlJc w:val="left"/>
      <w:pPr>
        <w:tabs>
          <w:tab w:val="num" w:pos="318"/>
        </w:tabs>
        <w:ind w:left="318" w:hanging="318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A7C39"/>
    <w:multiLevelType w:val="singleLevel"/>
    <w:tmpl w:val="4438961C"/>
    <w:lvl w:ilvl="0">
      <w:numFmt w:val="bullet"/>
      <w:pStyle w:val="ListBullet2"/>
      <w:lvlText w:val="–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6214B87"/>
    <w:multiLevelType w:val="singleLevel"/>
    <w:tmpl w:val="AB185BC4"/>
    <w:lvl w:ilvl="0">
      <w:numFmt w:val="bullet"/>
      <w:pStyle w:val="BoxListBullet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E116344"/>
    <w:multiLevelType w:val="multilevel"/>
    <w:tmpl w:val="3B188B36"/>
    <w:lvl w:ilvl="0">
      <w:start w:val="1"/>
      <w:numFmt w:val="decimal"/>
      <w:pStyle w:val="Box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BoxListNumber2"/>
      <w:lvlText w:val="(%2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ED95F65"/>
    <w:multiLevelType w:val="multilevel"/>
    <w:tmpl w:val="C444122C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2">
      <w:start w:val="1"/>
      <w:numFmt w:val="lowerRoman"/>
      <w:pStyle w:val="ListNumber3"/>
      <w:lvlText w:val="(%3)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1CE45D8"/>
    <w:multiLevelType w:val="singleLevel"/>
    <w:tmpl w:val="650622E4"/>
    <w:lvl w:ilvl="0">
      <w:numFmt w:val="bullet"/>
      <w:pStyle w:val="SideNoteBullet"/>
      <w:lvlText w:val="–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8" w15:restartNumberingAfterBreak="0">
    <w:nsid w:val="1452415F"/>
    <w:multiLevelType w:val="hybridMultilevel"/>
    <w:tmpl w:val="11042038"/>
    <w:lvl w:ilvl="0" w:tplc="CC683DAA">
      <w:start w:val="1"/>
      <w:numFmt w:val="bullet"/>
      <w:pStyle w:val="KeyPointsListBullet2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FF358D"/>
    <w:multiLevelType w:val="singleLevel"/>
    <w:tmpl w:val="4146A198"/>
    <w:lvl w:ilvl="0">
      <w:start w:val="1"/>
      <w:numFmt w:val="bullet"/>
      <w:pStyle w:val="RecB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18"/>
      </w:rPr>
    </w:lvl>
  </w:abstractNum>
  <w:abstractNum w:abstractNumId="10" w15:restartNumberingAfterBreak="0">
    <w:nsid w:val="2B466A13"/>
    <w:multiLevelType w:val="hybridMultilevel"/>
    <w:tmpl w:val="3E0CC5BA"/>
    <w:lvl w:ilvl="0" w:tplc="2B829644">
      <w:numFmt w:val="bullet"/>
      <w:pStyle w:val="BoxQuoteBullet"/>
      <w:lvlText w:val=""/>
      <w:lvlJc w:val="left"/>
      <w:pPr>
        <w:ind w:left="1004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E90CE4"/>
    <w:multiLevelType w:val="singleLevel"/>
    <w:tmpl w:val="52F61D9A"/>
    <w:lvl w:ilvl="0">
      <w:start w:val="1"/>
      <w:numFmt w:val="bullet"/>
      <w:pStyle w:val="Box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</w:abstractNum>
  <w:abstractNum w:abstractNumId="12" w15:restartNumberingAfterBreak="0">
    <w:nsid w:val="4C2B5347"/>
    <w:multiLevelType w:val="hybridMultilevel"/>
    <w:tmpl w:val="8B002072"/>
    <w:lvl w:ilvl="0" w:tplc="720CA4D2">
      <w:start w:val="1"/>
      <w:numFmt w:val="bullet"/>
      <w:pStyle w:val="InformationRequest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82D6E"/>
    <w:multiLevelType w:val="singleLevel"/>
    <w:tmpl w:val="315ABD1E"/>
    <w:lvl w:ilvl="0"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18"/>
      </w:rPr>
    </w:lvl>
  </w:abstractNum>
  <w:abstractNum w:abstractNumId="14" w15:restartNumberingAfterBreak="0">
    <w:nsid w:val="543E1FD6"/>
    <w:multiLevelType w:val="singleLevel"/>
    <w:tmpl w:val="039AA380"/>
    <w:lvl w:ilvl="0">
      <w:start w:val="1"/>
      <w:numFmt w:val="bullet"/>
      <w:pStyle w:val="Table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sz w:val="18"/>
      </w:rPr>
    </w:lvl>
  </w:abstractNum>
  <w:abstractNum w:abstractNumId="15" w15:restartNumberingAfterBreak="0">
    <w:nsid w:val="56107838"/>
    <w:multiLevelType w:val="singleLevel"/>
    <w:tmpl w:val="775A3F3A"/>
    <w:lvl w:ilvl="0">
      <w:start w:val="1"/>
      <w:numFmt w:val="bullet"/>
      <w:pStyle w:val="Quote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18"/>
      </w:rPr>
    </w:lvl>
  </w:abstractNum>
  <w:abstractNum w:abstractNumId="16" w15:restartNumberingAfterBreak="0">
    <w:nsid w:val="592D6D4E"/>
    <w:multiLevelType w:val="hybridMultilevel"/>
    <w:tmpl w:val="0C44FF7A"/>
    <w:lvl w:ilvl="0" w:tplc="B4385E08">
      <w:start w:val="1"/>
      <w:numFmt w:val="bullet"/>
      <w:pStyle w:val="BoxListBullet3"/>
      <w:lvlText w:val=""/>
      <w:lvlJc w:val="left"/>
      <w:pPr>
        <w:ind w:left="1287" w:hanging="360"/>
      </w:pPr>
      <w:rPr>
        <w:rFonts w:ascii="MT Extra" w:hAnsi="MT Extra" w:hint="default"/>
        <w:b w:val="0"/>
        <w:i w:val="0"/>
        <w:sz w:val="16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0A27097"/>
    <w:multiLevelType w:val="hybridMultilevel"/>
    <w:tmpl w:val="39D64E4A"/>
    <w:lvl w:ilvl="0" w:tplc="FEF6E6BE">
      <w:start w:val="1"/>
      <w:numFmt w:val="bullet"/>
      <w:pStyle w:val="KeyPointsList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516F3"/>
    <w:multiLevelType w:val="singleLevel"/>
    <w:tmpl w:val="C05AE1DC"/>
    <w:lvl w:ilvl="0">
      <w:start w:val="1"/>
      <w:numFmt w:val="bullet"/>
      <w:pStyle w:val="ListBullet3"/>
      <w:lvlText w:val=""/>
      <w:lvlJc w:val="left"/>
      <w:pPr>
        <w:tabs>
          <w:tab w:val="num" w:pos="1021"/>
        </w:tabs>
        <w:ind w:left="1021" w:hanging="341"/>
      </w:pPr>
      <w:rPr>
        <w:rFonts w:ascii="MT Extra" w:hAnsi="MT Extra" w:hint="default"/>
        <w:b w:val="0"/>
        <w:i w:val="0"/>
        <w:sz w:val="16"/>
      </w:rPr>
    </w:lvl>
  </w:abstractNum>
  <w:abstractNum w:abstractNumId="19" w15:restartNumberingAfterBreak="0">
    <w:nsid w:val="7A1373DF"/>
    <w:multiLevelType w:val="singleLevel"/>
    <w:tmpl w:val="66CC34AA"/>
    <w:lvl w:ilvl="0">
      <w:start w:val="1"/>
      <w:numFmt w:val="bullet"/>
      <w:pStyle w:val="Finding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18"/>
      </w:rPr>
    </w:lvl>
  </w:abstractNum>
  <w:abstractNum w:abstractNumId="20" w15:restartNumberingAfterBreak="0">
    <w:nsid w:val="7BFA7D75"/>
    <w:multiLevelType w:val="singleLevel"/>
    <w:tmpl w:val="B4C476FC"/>
    <w:lvl w:ilvl="0">
      <w:start w:val="1"/>
      <w:numFmt w:val="bullet"/>
      <w:pStyle w:val="Rec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18"/>
      </w:rPr>
    </w:lvl>
  </w:abstractNum>
  <w:num w:numId="1">
    <w:abstractNumId w:val="11"/>
  </w:num>
  <w:num w:numId="2">
    <w:abstractNumId w:val="4"/>
  </w:num>
  <w:num w:numId="3">
    <w:abstractNumId w:val="19"/>
  </w:num>
  <w:num w:numId="4">
    <w:abstractNumId w:val="2"/>
  </w:num>
  <w:num w:numId="5">
    <w:abstractNumId w:val="13"/>
  </w:num>
  <w:num w:numId="6">
    <w:abstractNumId w:val="3"/>
  </w:num>
  <w:num w:numId="7">
    <w:abstractNumId w:val="18"/>
  </w:num>
  <w:num w:numId="8">
    <w:abstractNumId w:val="15"/>
  </w:num>
  <w:num w:numId="9">
    <w:abstractNumId w:val="20"/>
  </w:num>
  <w:num w:numId="10">
    <w:abstractNumId w:val="9"/>
  </w:num>
  <w:num w:numId="11">
    <w:abstractNumId w:val="7"/>
  </w:num>
  <w:num w:numId="12">
    <w:abstractNumId w:val="14"/>
  </w:num>
  <w:num w:numId="13">
    <w:abstractNumId w:val="6"/>
  </w:num>
  <w:num w:numId="14">
    <w:abstractNumId w:val="5"/>
  </w:num>
  <w:num w:numId="15">
    <w:abstractNumId w:val="10"/>
  </w:num>
  <w:num w:numId="16">
    <w:abstractNumId w:val="12"/>
  </w:num>
  <w:num w:numId="17">
    <w:abstractNumId w:val="16"/>
  </w:num>
  <w:num w:numId="18">
    <w:abstractNumId w:val="17"/>
  </w:num>
  <w:num w:numId="19">
    <w:abstractNumId w:val="8"/>
  </w:num>
  <w:num w:numId="20">
    <w:abstractNumId w:val="1"/>
    <w:lvlOverride w:ilvl="0">
      <w:lvl w:ilvl="0">
        <w:start w:val="1"/>
        <w:numFmt w:val="bullet"/>
        <w:lvlText w:val=""/>
        <w:legacy w:legacy="1" w:legacySpace="0" w:legacyIndent="340"/>
        <w:lvlJc w:val="left"/>
        <w:pPr>
          <w:ind w:left="340" w:hanging="340"/>
        </w:pPr>
        <w:rPr>
          <w:rFonts w:ascii="Symbol" w:hAnsi="Symbol" w:hint="default"/>
          <w:sz w:val="18"/>
        </w:rPr>
      </w:lvl>
    </w:lvlOverride>
  </w:num>
  <w:num w:numId="21">
    <w:abstractNumId w:val="0"/>
  </w:num>
  <w:num w:numId="22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  <w:sz w:val="18"/>
        </w:rPr>
      </w:lvl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attachedTemplate r:id="rId1"/>
  <w:linkStyle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lickAndTypeStyle w:val="BodyText"/>
  <w:evenAndOddHeaders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endixNumber" w:val="A"/>
    <w:docVar w:name="FindingOptions" w:val="1"/>
    <w:docVar w:name="RecOptions" w:val="111"/>
    <w:docVar w:name="ShortChapterTitle" w:val="Aboriginal and Torres Strait Islander population and language use"/>
    <w:docVar w:name="ShortReportTitle" w:val="Overcoming Indigenous Disadvantage 2020"/>
  </w:docVars>
  <w:rsids>
    <w:rsidRoot w:val="003C3CD1"/>
    <w:rsid w:val="00002484"/>
    <w:rsid w:val="00007282"/>
    <w:rsid w:val="0001168D"/>
    <w:rsid w:val="00012CEB"/>
    <w:rsid w:val="0001519A"/>
    <w:rsid w:val="000227D5"/>
    <w:rsid w:val="000242E4"/>
    <w:rsid w:val="000245AA"/>
    <w:rsid w:val="00034230"/>
    <w:rsid w:val="0003664B"/>
    <w:rsid w:val="0004111F"/>
    <w:rsid w:val="00042454"/>
    <w:rsid w:val="00052375"/>
    <w:rsid w:val="000565B3"/>
    <w:rsid w:val="00056D1A"/>
    <w:rsid w:val="0007150B"/>
    <w:rsid w:val="00076511"/>
    <w:rsid w:val="00076D61"/>
    <w:rsid w:val="00081209"/>
    <w:rsid w:val="00086CEC"/>
    <w:rsid w:val="000938F5"/>
    <w:rsid w:val="00096E55"/>
    <w:rsid w:val="000B601B"/>
    <w:rsid w:val="000C207E"/>
    <w:rsid w:val="000C6A6A"/>
    <w:rsid w:val="000C7E13"/>
    <w:rsid w:val="000D1C15"/>
    <w:rsid w:val="000E7CF9"/>
    <w:rsid w:val="000F0035"/>
    <w:rsid w:val="000F2FF4"/>
    <w:rsid w:val="000F3CD8"/>
    <w:rsid w:val="000F420B"/>
    <w:rsid w:val="00102B6F"/>
    <w:rsid w:val="00110116"/>
    <w:rsid w:val="00120072"/>
    <w:rsid w:val="0012368F"/>
    <w:rsid w:val="0012602E"/>
    <w:rsid w:val="00126EB8"/>
    <w:rsid w:val="001274D4"/>
    <w:rsid w:val="0012773B"/>
    <w:rsid w:val="00127929"/>
    <w:rsid w:val="00133AB3"/>
    <w:rsid w:val="00135F5E"/>
    <w:rsid w:val="001363AA"/>
    <w:rsid w:val="00137405"/>
    <w:rsid w:val="00140A33"/>
    <w:rsid w:val="001502D5"/>
    <w:rsid w:val="001507CF"/>
    <w:rsid w:val="00154FCA"/>
    <w:rsid w:val="001603FE"/>
    <w:rsid w:val="00164BD7"/>
    <w:rsid w:val="001679C3"/>
    <w:rsid w:val="00170948"/>
    <w:rsid w:val="0017107A"/>
    <w:rsid w:val="00171D2C"/>
    <w:rsid w:val="001752D9"/>
    <w:rsid w:val="00181F90"/>
    <w:rsid w:val="001829E7"/>
    <w:rsid w:val="00183E82"/>
    <w:rsid w:val="00185152"/>
    <w:rsid w:val="00185497"/>
    <w:rsid w:val="00185A86"/>
    <w:rsid w:val="00185FF7"/>
    <w:rsid w:val="00186315"/>
    <w:rsid w:val="001878BB"/>
    <w:rsid w:val="00190A57"/>
    <w:rsid w:val="00191AE0"/>
    <w:rsid w:val="0019293B"/>
    <w:rsid w:val="0019426B"/>
    <w:rsid w:val="001A46C6"/>
    <w:rsid w:val="001B2E6D"/>
    <w:rsid w:val="001B71EB"/>
    <w:rsid w:val="001C0865"/>
    <w:rsid w:val="001C3ABA"/>
    <w:rsid w:val="001C3D67"/>
    <w:rsid w:val="001C57E1"/>
    <w:rsid w:val="001C64F9"/>
    <w:rsid w:val="001D0222"/>
    <w:rsid w:val="001D0DE1"/>
    <w:rsid w:val="001D4A85"/>
    <w:rsid w:val="001D6952"/>
    <w:rsid w:val="001E118C"/>
    <w:rsid w:val="001E2BBB"/>
    <w:rsid w:val="001E6702"/>
    <w:rsid w:val="001E78D8"/>
    <w:rsid w:val="001E7BE8"/>
    <w:rsid w:val="001F0248"/>
    <w:rsid w:val="001F1D93"/>
    <w:rsid w:val="001F3EB3"/>
    <w:rsid w:val="001F4F86"/>
    <w:rsid w:val="00202C2C"/>
    <w:rsid w:val="002066D6"/>
    <w:rsid w:val="0020783A"/>
    <w:rsid w:val="002117D4"/>
    <w:rsid w:val="002135AB"/>
    <w:rsid w:val="002144BE"/>
    <w:rsid w:val="002168DE"/>
    <w:rsid w:val="00234FD8"/>
    <w:rsid w:val="002370E7"/>
    <w:rsid w:val="00242279"/>
    <w:rsid w:val="0024501D"/>
    <w:rsid w:val="00245C82"/>
    <w:rsid w:val="002600D1"/>
    <w:rsid w:val="00260373"/>
    <w:rsid w:val="00265B59"/>
    <w:rsid w:val="00266DE4"/>
    <w:rsid w:val="00270033"/>
    <w:rsid w:val="00272474"/>
    <w:rsid w:val="00280AE5"/>
    <w:rsid w:val="00281311"/>
    <w:rsid w:val="0028277B"/>
    <w:rsid w:val="00284909"/>
    <w:rsid w:val="00287213"/>
    <w:rsid w:val="0028796C"/>
    <w:rsid w:val="00291341"/>
    <w:rsid w:val="00291B40"/>
    <w:rsid w:val="00294672"/>
    <w:rsid w:val="0029613E"/>
    <w:rsid w:val="002A6147"/>
    <w:rsid w:val="002B4008"/>
    <w:rsid w:val="002B423C"/>
    <w:rsid w:val="002B4AC8"/>
    <w:rsid w:val="002B5889"/>
    <w:rsid w:val="002B6330"/>
    <w:rsid w:val="002C4E19"/>
    <w:rsid w:val="002C5437"/>
    <w:rsid w:val="002C544F"/>
    <w:rsid w:val="002D0E8E"/>
    <w:rsid w:val="002D774D"/>
    <w:rsid w:val="00300AA7"/>
    <w:rsid w:val="00301189"/>
    <w:rsid w:val="00310C7E"/>
    <w:rsid w:val="0031275E"/>
    <w:rsid w:val="0031645A"/>
    <w:rsid w:val="0031721B"/>
    <w:rsid w:val="00323E09"/>
    <w:rsid w:val="00332B2E"/>
    <w:rsid w:val="00333932"/>
    <w:rsid w:val="00333976"/>
    <w:rsid w:val="00334B6A"/>
    <w:rsid w:val="00337356"/>
    <w:rsid w:val="00340E59"/>
    <w:rsid w:val="00342EE7"/>
    <w:rsid w:val="00350032"/>
    <w:rsid w:val="003518AA"/>
    <w:rsid w:val="00352165"/>
    <w:rsid w:val="00353182"/>
    <w:rsid w:val="003565D9"/>
    <w:rsid w:val="003602E1"/>
    <w:rsid w:val="003645F6"/>
    <w:rsid w:val="0037026F"/>
    <w:rsid w:val="00371240"/>
    <w:rsid w:val="00371BAA"/>
    <w:rsid w:val="00374731"/>
    <w:rsid w:val="00376E59"/>
    <w:rsid w:val="003910F6"/>
    <w:rsid w:val="003919F9"/>
    <w:rsid w:val="003935B4"/>
    <w:rsid w:val="003945B9"/>
    <w:rsid w:val="003A3C73"/>
    <w:rsid w:val="003A5FD9"/>
    <w:rsid w:val="003B08ED"/>
    <w:rsid w:val="003B3310"/>
    <w:rsid w:val="003B3574"/>
    <w:rsid w:val="003C0F2D"/>
    <w:rsid w:val="003C2B01"/>
    <w:rsid w:val="003C38B5"/>
    <w:rsid w:val="003C3B53"/>
    <w:rsid w:val="003C3CD1"/>
    <w:rsid w:val="003C5D99"/>
    <w:rsid w:val="003C5DE5"/>
    <w:rsid w:val="003E2F59"/>
    <w:rsid w:val="003E31AA"/>
    <w:rsid w:val="003E5031"/>
    <w:rsid w:val="003F0789"/>
    <w:rsid w:val="003F0CC4"/>
    <w:rsid w:val="004012DC"/>
    <w:rsid w:val="004013DA"/>
    <w:rsid w:val="00401882"/>
    <w:rsid w:val="004022CA"/>
    <w:rsid w:val="0040617D"/>
    <w:rsid w:val="004100C8"/>
    <w:rsid w:val="00411DBD"/>
    <w:rsid w:val="00412ACE"/>
    <w:rsid w:val="0041758A"/>
    <w:rsid w:val="00422680"/>
    <w:rsid w:val="00422E7B"/>
    <w:rsid w:val="0042432F"/>
    <w:rsid w:val="004271D8"/>
    <w:rsid w:val="00431249"/>
    <w:rsid w:val="0043194A"/>
    <w:rsid w:val="0043222C"/>
    <w:rsid w:val="00434C19"/>
    <w:rsid w:val="0043508C"/>
    <w:rsid w:val="00446A62"/>
    <w:rsid w:val="00450810"/>
    <w:rsid w:val="00455011"/>
    <w:rsid w:val="00457E70"/>
    <w:rsid w:val="00460FA7"/>
    <w:rsid w:val="00473432"/>
    <w:rsid w:val="00477144"/>
    <w:rsid w:val="00482E3C"/>
    <w:rsid w:val="00483486"/>
    <w:rsid w:val="00484171"/>
    <w:rsid w:val="00491380"/>
    <w:rsid w:val="004914A1"/>
    <w:rsid w:val="0049218F"/>
    <w:rsid w:val="0049459F"/>
    <w:rsid w:val="004962B9"/>
    <w:rsid w:val="004A34E7"/>
    <w:rsid w:val="004A38DD"/>
    <w:rsid w:val="004A3A4A"/>
    <w:rsid w:val="004B02C5"/>
    <w:rsid w:val="004B43AE"/>
    <w:rsid w:val="004C1F36"/>
    <w:rsid w:val="004C30ED"/>
    <w:rsid w:val="004C621F"/>
    <w:rsid w:val="004C6AA9"/>
    <w:rsid w:val="004D0991"/>
    <w:rsid w:val="004D176C"/>
    <w:rsid w:val="004D42D7"/>
    <w:rsid w:val="004D5675"/>
    <w:rsid w:val="004E3886"/>
    <w:rsid w:val="004E778E"/>
    <w:rsid w:val="004F1982"/>
    <w:rsid w:val="004F2246"/>
    <w:rsid w:val="004F3BC8"/>
    <w:rsid w:val="004F56C3"/>
    <w:rsid w:val="00501A84"/>
    <w:rsid w:val="00503BF6"/>
    <w:rsid w:val="00513A86"/>
    <w:rsid w:val="00523639"/>
    <w:rsid w:val="00523F09"/>
    <w:rsid w:val="005244F6"/>
    <w:rsid w:val="00527A02"/>
    <w:rsid w:val="005312B5"/>
    <w:rsid w:val="00531FE5"/>
    <w:rsid w:val="0053214A"/>
    <w:rsid w:val="00533583"/>
    <w:rsid w:val="005362E3"/>
    <w:rsid w:val="005402FA"/>
    <w:rsid w:val="0054725F"/>
    <w:rsid w:val="00552E1D"/>
    <w:rsid w:val="005558F4"/>
    <w:rsid w:val="00556772"/>
    <w:rsid w:val="00556A1D"/>
    <w:rsid w:val="00564271"/>
    <w:rsid w:val="00565575"/>
    <w:rsid w:val="00581B1C"/>
    <w:rsid w:val="00583C39"/>
    <w:rsid w:val="005845D4"/>
    <w:rsid w:val="0058496C"/>
    <w:rsid w:val="00587F28"/>
    <w:rsid w:val="005909CF"/>
    <w:rsid w:val="00591E71"/>
    <w:rsid w:val="005A0D41"/>
    <w:rsid w:val="005A1AC6"/>
    <w:rsid w:val="005A3A3D"/>
    <w:rsid w:val="005B15CE"/>
    <w:rsid w:val="005C56E3"/>
    <w:rsid w:val="005C7A59"/>
    <w:rsid w:val="005D2A39"/>
    <w:rsid w:val="005D48D3"/>
    <w:rsid w:val="005D762E"/>
    <w:rsid w:val="005E1A1D"/>
    <w:rsid w:val="005E729F"/>
    <w:rsid w:val="006013F4"/>
    <w:rsid w:val="0060266D"/>
    <w:rsid w:val="00606103"/>
    <w:rsid w:val="00607BF1"/>
    <w:rsid w:val="00611928"/>
    <w:rsid w:val="00615847"/>
    <w:rsid w:val="00616007"/>
    <w:rsid w:val="00625670"/>
    <w:rsid w:val="00625EB5"/>
    <w:rsid w:val="00630D4D"/>
    <w:rsid w:val="00631910"/>
    <w:rsid w:val="00632A74"/>
    <w:rsid w:val="006332B6"/>
    <w:rsid w:val="006351A5"/>
    <w:rsid w:val="00647837"/>
    <w:rsid w:val="00647D5D"/>
    <w:rsid w:val="00656AB5"/>
    <w:rsid w:val="00662973"/>
    <w:rsid w:val="00664027"/>
    <w:rsid w:val="00666E81"/>
    <w:rsid w:val="006671D7"/>
    <w:rsid w:val="00673B50"/>
    <w:rsid w:val="00677380"/>
    <w:rsid w:val="00683BBD"/>
    <w:rsid w:val="00684F23"/>
    <w:rsid w:val="00685159"/>
    <w:rsid w:val="00687897"/>
    <w:rsid w:val="006909BA"/>
    <w:rsid w:val="006A281D"/>
    <w:rsid w:val="006A3C7B"/>
    <w:rsid w:val="006A4655"/>
    <w:rsid w:val="006A7138"/>
    <w:rsid w:val="006B0B8E"/>
    <w:rsid w:val="006B2B3C"/>
    <w:rsid w:val="006B5942"/>
    <w:rsid w:val="006B7793"/>
    <w:rsid w:val="006B7B29"/>
    <w:rsid w:val="006B7BE3"/>
    <w:rsid w:val="006C1D81"/>
    <w:rsid w:val="006C7038"/>
    <w:rsid w:val="006D2F54"/>
    <w:rsid w:val="006E0E0A"/>
    <w:rsid w:val="006E554B"/>
    <w:rsid w:val="006E73EF"/>
    <w:rsid w:val="006F1FFB"/>
    <w:rsid w:val="006F3E6B"/>
    <w:rsid w:val="00704CB8"/>
    <w:rsid w:val="007107ED"/>
    <w:rsid w:val="007119C7"/>
    <w:rsid w:val="007127F6"/>
    <w:rsid w:val="00714D4D"/>
    <w:rsid w:val="007202FF"/>
    <w:rsid w:val="00720677"/>
    <w:rsid w:val="00720E6C"/>
    <w:rsid w:val="00730077"/>
    <w:rsid w:val="00732B71"/>
    <w:rsid w:val="00742C17"/>
    <w:rsid w:val="007430B9"/>
    <w:rsid w:val="007466C2"/>
    <w:rsid w:val="00750155"/>
    <w:rsid w:val="00754678"/>
    <w:rsid w:val="007604BB"/>
    <w:rsid w:val="00760F4F"/>
    <w:rsid w:val="007617A3"/>
    <w:rsid w:val="007707C0"/>
    <w:rsid w:val="007749BB"/>
    <w:rsid w:val="00776F2E"/>
    <w:rsid w:val="00777CF4"/>
    <w:rsid w:val="007809D4"/>
    <w:rsid w:val="00785232"/>
    <w:rsid w:val="00785A98"/>
    <w:rsid w:val="007A21EB"/>
    <w:rsid w:val="007A3B5E"/>
    <w:rsid w:val="007B0E3D"/>
    <w:rsid w:val="007B1A93"/>
    <w:rsid w:val="007B411E"/>
    <w:rsid w:val="007B7D08"/>
    <w:rsid w:val="007B7F59"/>
    <w:rsid w:val="007C36C9"/>
    <w:rsid w:val="007C78FC"/>
    <w:rsid w:val="007D6401"/>
    <w:rsid w:val="007E01E4"/>
    <w:rsid w:val="007E384C"/>
    <w:rsid w:val="007E479E"/>
    <w:rsid w:val="007F33EB"/>
    <w:rsid w:val="007F7107"/>
    <w:rsid w:val="00800AD3"/>
    <w:rsid w:val="00800D4C"/>
    <w:rsid w:val="00802170"/>
    <w:rsid w:val="00806349"/>
    <w:rsid w:val="0081030F"/>
    <w:rsid w:val="0082087D"/>
    <w:rsid w:val="0082524C"/>
    <w:rsid w:val="0083075C"/>
    <w:rsid w:val="00832D1E"/>
    <w:rsid w:val="00835771"/>
    <w:rsid w:val="00836A8D"/>
    <w:rsid w:val="00841613"/>
    <w:rsid w:val="00841699"/>
    <w:rsid w:val="008427DC"/>
    <w:rsid w:val="00842933"/>
    <w:rsid w:val="008569E0"/>
    <w:rsid w:val="0086082C"/>
    <w:rsid w:val="00864ADC"/>
    <w:rsid w:val="008719A4"/>
    <w:rsid w:val="00880153"/>
    <w:rsid w:val="00880F97"/>
    <w:rsid w:val="0088133A"/>
    <w:rsid w:val="008916C2"/>
    <w:rsid w:val="0089285E"/>
    <w:rsid w:val="0089436C"/>
    <w:rsid w:val="008A41A6"/>
    <w:rsid w:val="008A43E3"/>
    <w:rsid w:val="008A6F17"/>
    <w:rsid w:val="008C3B0C"/>
    <w:rsid w:val="008C5062"/>
    <w:rsid w:val="008D2A8D"/>
    <w:rsid w:val="008D365C"/>
    <w:rsid w:val="008D6F38"/>
    <w:rsid w:val="008F25A7"/>
    <w:rsid w:val="008F5DC1"/>
    <w:rsid w:val="008F6884"/>
    <w:rsid w:val="00900CA2"/>
    <w:rsid w:val="009030BF"/>
    <w:rsid w:val="00904483"/>
    <w:rsid w:val="00905D60"/>
    <w:rsid w:val="0091032F"/>
    <w:rsid w:val="00914368"/>
    <w:rsid w:val="009165CE"/>
    <w:rsid w:val="00917BBB"/>
    <w:rsid w:val="00923FDC"/>
    <w:rsid w:val="009270C5"/>
    <w:rsid w:val="00931076"/>
    <w:rsid w:val="009345D9"/>
    <w:rsid w:val="00934B15"/>
    <w:rsid w:val="00940C87"/>
    <w:rsid w:val="00942B62"/>
    <w:rsid w:val="0094389D"/>
    <w:rsid w:val="00944EB1"/>
    <w:rsid w:val="00945FD8"/>
    <w:rsid w:val="009516EC"/>
    <w:rsid w:val="0095323B"/>
    <w:rsid w:val="00956A0C"/>
    <w:rsid w:val="00956BD9"/>
    <w:rsid w:val="00960C99"/>
    <w:rsid w:val="00962489"/>
    <w:rsid w:val="00963795"/>
    <w:rsid w:val="00990C2C"/>
    <w:rsid w:val="00991C11"/>
    <w:rsid w:val="00996792"/>
    <w:rsid w:val="009A47D9"/>
    <w:rsid w:val="009A545E"/>
    <w:rsid w:val="009A5622"/>
    <w:rsid w:val="009A7365"/>
    <w:rsid w:val="009B0691"/>
    <w:rsid w:val="009C55AE"/>
    <w:rsid w:val="009D21E5"/>
    <w:rsid w:val="009D3266"/>
    <w:rsid w:val="009D66E0"/>
    <w:rsid w:val="009D7AC7"/>
    <w:rsid w:val="009E177E"/>
    <w:rsid w:val="009E1844"/>
    <w:rsid w:val="009F0D1B"/>
    <w:rsid w:val="009F12A7"/>
    <w:rsid w:val="009F696D"/>
    <w:rsid w:val="009F6BC6"/>
    <w:rsid w:val="00A02BC1"/>
    <w:rsid w:val="00A145BA"/>
    <w:rsid w:val="00A17328"/>
    <w:rsid w:val="00A22A96"/>
    <w:rsid w:val="00A23A20"/>
    <w:rsid w:val="00A25217"/>
    <w:rsid w:val="00A268B9"/>
    <w:rsid w:val="00A26C83"/>
    <w:rsid w:val="00A2703A"/>
    <w:rsid w:val="00A33DFF"/>
    <w:rsid w:val="00A34303"/>
    <w:rsid w:val="00A348A0"/>
    <w:rsid w:val="00A35115"/>
    <w:rsid w:val="00A36D9A"/>
    <w:rsid w:val="00A42969"/>
    <w:rsid w:val="00A46153"/>
    <w:rsid w:val="00A46E8F"/>
    <w:rsid w:val="00A5213F"/>
    <w:rsid w:val="00A554AB"/>
    <w:rsid w:val="00A5638B"/>
    <w:rsid w:val="00A57062"/>
    <w:rsid w:val="00A62A69"/>
    <w:rsid w:val="00A6568D"/>
    <w:rsid w:val="00A70E6F"/>
    <w:rsid w:val="00A7368E"/>
    <w:rsid w:val="00A7673D"/>
    <w:rsid w:val="00A8498C"/>
    <w:rsid w:val="00A92B53"/>
    <w:rsid w:val="00A9365B"/>
    <w:rsid w:val="00A94FA6"/>
    <w:rsid w:val="00AA26C2"/>
    <w:rsid w:val="00AA49A0"/>
    <w:rsid w:val="00AA6710"/>
    <w:rsid w:val="00AB0681"/>
    <w:rsid w:val="00AC052C"/>
    <w:rsid w:val="00AC310A"/>
    <w:rsid w:val="00AD520B"/>
    <w:rsid w:val="00AE08AB"/>
    <w:rsid w:val="00AE2261"/>
    <w:rsid w:val="00AF63FB"/>
    <w:rsid w:val="00B00960"/>
    <w:rsid w:val="00B0490A"/>
    <w:rsid w:val="00B10393"/>
    <w:rsid w:val="00B10583"/>
    <w:rsid w:val="00B141FE"/>
    <w:rsid w:val="00B14370"/>
    <w:rsid w:val="00B206F3"/>
    <w:rsid w:val="00B3131A"/>
    <w:rsid w:val="00B33F65"/>
    <w:rsid w:val="00B41883"/>
    <w:rsid w:val="00B425C3"/>
    <w:rsid w:val="00B440AD"/>
    <w:rsid w:val="00B479BB"/>
    <w:rsid w:val="00B47B00"/>
    <w:rsid w:val="00B504B6"/>
    <w:rsid w:val="00B53E7E"/>
    <w:rsid w:val="00B54055"/>
    <w:rsid w:val="00B6342E"/>
    <w:rsid w:val="00B6379A"/>
    <w:rsid w:val="00B67282"/>
    <w:rsid w:val="00B7113F"/>
    <w:rsid w:val="00B73E69"/>
    <w:rsid w:val="00B75451"/>
    <w:rsid w:val="00B80219"/>
    <w:rsid w:val="00B81859"/>
    <w:rsid w:val="00B83D00"/>
    <w:rsid w:val="00B92DB1"/>
    <w:rsid w:val="00BA02C2"/>
    <w:rsid w:val="00BA13E5"/>
    <w:rsid w:val="00BA6696"/>
    <w:rsid w:val="00BA6CF1"/>
    <w:rsid w:val="00BA73B6"/>
    <w:rsid w:val="00BA7E27"/>
    <w:rsid w:val="00BB2603"/>
    <w:rsid w:val="00BB4FCD"/>
    <w:rsid w:val="00BC04E9"/>
    <w:rsid w:val="00BC4107"/>
    <w:rsid w:val="00BD13EA"/>
    <w:rsid w:val="00BD2F25"/>
    <w:rsid w:val="00BD5DDD"/>
    <w:rsid w:val="00BE3808"/>
    <w:rsid w:val="00BF03F5"/>
    <w:rsid w:val="00BF1D6E"/>
    <w:rsid w:val="00BF6A25"/>
    <w:rsid w:val="00BF6EEF"/>
    <w:rsid w:val="00BF705A"/>
    <w:rsid w:val="00C00B28"/>
    <w:rsid w:val="00C062E9"/>
    <w:rsid w:val="00C07B64"/>
    <w:rsid w:val="00C102DF"/>
    <w:rsid w:val="00C121DC"/>
    <w:rsid w:val="00C13721"/>
    <w:rsid w:val="00C14FE4"/>
    <w:rsid w:val="00C2435E"/>
    <w:rsid w:val="00C3066D"/>
    <w:rsid w:val="00C30D38"/>
    <w:rsid w:val="00C430D9"/>
    <w:rsid w:val="00C43D49"/>
    <w:rsid w:val="00C5223E"/>
    <w:rsid w:val="00C52416"/>
    <w:rsid w:val="00C52D1E"/>
    <w:rsid w:val="00C543F4"/>
    <w:rsid w:val="00C57F4E"/>
    <w:rsid w:val="00C620E7"/>
    <w:rsid w:val="00C6291C"/>
    <w:rsid w:val="00C633CB"/>
    <w:rsid w:val="00C71128"/>
    <w:rsid w:val="00C736B7"/>
    <w:rsid w:val="00C75725"/>
    <w:rsid w:val="00C81D4A"/>
    <w:rsid w:val="00C82350"/>
    <w:rsid w:val="00C85D7A"/>
    <w:rsid w:val="00C8762C"/>
    <w:rsid w:val="00C92F17"/>
    <w:rsid w:val="00C9375C"/>
    <w:rsid w:val="00CA00F9"/>
    <w:rsid w:val="00CA2961"/>
    <w:rsid w:val="00CA4ADC"/>
    <w:rsid w:val="00CA58CC"/>
    <w:rsid w:val="00CB50D7"/>
    <w:rsid w:val="00CB7177"/>
    <w:rsid w:val="00CB74A7"/>
    <w:rsid w:val="00CB7B58"/>
    <w:rsid w:val="00CC1998"/>
    <w:rsid w:val="00CC4946"/>
    <w:rsid w:val="00CC5236"/>
    <w:rsid w:val="00CC6330"/>
    <w:rsid w:val="00CD02FA"/>
    <w:rsid w:val="00CD1B73"/>
    <w:rsid w:val="00CD421C"/>
    <w:rsid w:val="00CD59C5"/>
    <w:rsid w:val="00CD6586"/>
    <w:rsid w:val="00CF0E92"/>
    <w:rsid w:val="00CF1881"/>
    <w:rsid w:val="00D0285D"/>
    <w:rsid w:val="00D02D28"/>
    <w:rsid w:val="00D06388"/>
    <w:rsid w:val="00D1502B"/>
    <w:rsid w:val="00D15D59"/>
    <w:rsid w:val="00D15EB0"/>
    <w:rsid w:val="00D20A12"/>
    <w:rsid w:val="00D270A4"/>
    <w:rsid w:val="00D3020F"/>
    <w:rsid w:val="00D30C77"/>
    <w:rsid w:val="00D310F4"/>
    <w:rsid w:val="00D31A0C"/>
    <w:rsid w:val="00D31FE9"/>
    <w:rsid w:val="00D32357"/>
    <w:rsid w:val="00D34E1B"/>
    <w:rsid w:val="00D35002"/>
    <w:rsid w:val="00D376BA"/>
    <w:rsid w:val="00D45634"/>
    <w:rsid w:val="00D5568A"/>
    <w:rsid w:val="00D63D73"/>
    <w:rsid w:val="00D64452"/>
    <w:rsid w:val="00D66E1E"/>
    <w:rsid w:val="00D74785"/>
    <w:rsid w:val="00D75722"/>
    <w:rsid w:val="00D80CF5"/>
    <w:rsid w:val="00D80DB9"/>
    <w:rsid w:val="00D85786"/>
    <w:rsid w:val="00D91A9C"/>
    <w:rsid w:val="00DA5BBA"/>
    <w:rsid w:val="00DA5E68"/>
    <w:rsid w:val="00DB05AB"/>
    <w:rsid w:val="00DB0F8B"/>
    <w:rsid w:val="00DB26D2"/>
    <w:rsid w:val="00DB40CB"/>
    <w:rsid w:val="00DB67C9"/>
    <w:rsid w:val="00DB7A3E"/>
    <w:rsid w:val="00DC0C95"/>
    <w:rsid w:val="00DC5095"/>
    <w:rsid w:val="00DC6459"/>
    <w:rsid w:val="00DD09DF"/>
    <w:rsid w:val="00DD5FA2"/>
    <w:rsid w:val="00DD6580"/>
    <w:rsid w:val="00DD67B9"/>
    <w:rsid w:val="00DD6C2A"/>
    <w:rsid w:val="00DF39ED"/>
    <w:rsid w:val="00DF3A60"/>
    <w:rsid w:val="00E01666"/>
    <w:rsid w:val="00E03C01"/>
    <w:rsid w:val="00E17C72"/>
    <w:rsid w:val="00E21FC6"/>
    <w:rsid w:val="00E24D14"/>
    <w:rsid w:val="00E303F4"/>
    <w:rsid w:val="00E3183D"/>
    <w:rsid w:val="00E321C3"/>
    <w:rsid w:val="00E33F5D"/>
    <w:rsid w:val="00E431A9"/>
    <w:rsid w:val="00E450D0"/>
    <w:rsid w:val="00E669E2"/>
    <w:rsid w:val="00E7045C"/>
    <w:rsid w:val="00E70BBE"/>
    <w:rsid w:val="00E7239F"/>
    <w:rsid w:val="00E76135"/>
    <w:rsid w:val="00E81861"/>
    <w:rsid w:val="00E82F4F"/>
    <w:rsid w:val="00E834F3"/>
    <w:rsid w:val="00EA26BC"/>
    <w:rsid w:val="00EA27B8"/>
    <w:rsid w:val="00EA2B7B"/>
    <w:rsid w:val="00EA3640"/>
    <w:rsid w:val="00EA68B7"/>
    <w:rsid w:val="00EB372A"/>
    <w:rsid w:val="00EC2844"/>
    <w:rsid w:val="00EC4344"/>
    <w:rsid w:val="00EC5500"/>
    <w:rsid w:val="00EC6F19"/>
    <w:rsid w:val="00ED18F8"/>
    <w:rsid w:val="00ED595E"/>
    <w:rsid w:val="00ED6677"/>
    <w:rsid w:val="00ED6E52"/>
    <w:rsid w:val="00EE7715"/>
    <w:rsid w:val="00EF1A68"/>
    <w:rsid w:val="00EF27C1"/>
    <w:rsid w:val="00EF5DFF"/>
    <w:rsid w:val="00EF6C6C"/>
    <w:rsid w:val="00F056FC"/>
    <w:rsid w:val="00F10476"/>
    <w:rsid w:val="00F11132"/>
    <w:rsid w:val="00F11530"/>
    <w:rsid w:val="00F135D8"/>
    <w:rsid w:val="00F14B68"/>
    <w:rsid w:val="00F155CC"/>
    <w:rsid w:val="00F27EE2"/>
    <w:rsid w:val="00F304B0"/>
    <w:rsid w:val="00F31299"/>
    <w:rsid w:val="00F314A4"/>
    <w:rsid w:val="00F3227A"/>
    <w:rsid w:val="00F3534A"/>
    <w:rsid w:val="00F500DF"/>
    <w:rsid w:val="00F51609"/>
    <w:rsid w:val="00F53F4C"/>
    <w:rsid w:val="00F545C6"/>
    <w:rsid w:val="00F5615B"/>
    <w:rsid w:val="00F74CF1"/>
    <w:rsid w:val="00F81006"/>
    <w:rsid w:val="00F85325"/>
    <w:rsid w:val="00F90F28"/>
    <w:rsid w:val="00F9198B"/>
    <w:rsid w:val="00F94DCE"/>
    <w:rsid w:val="00F9717D"/>
    <w:rsid w:val="00FA7533"/>
    <w:rsid w:val="00FB0397"/>
    <w:rsid w:val="00FB3CC2"/>
    <w:rsid w:val="00FB4478"/>
    <w:rsid w:val="00FB4E20"/>
    <w:rsid w:val="00FB4E49"/>
    <w:rsid w:val="00FB4E59"/>
    <w:rsid w:val="00FD1D09"/>
    <w:rsid w:val="00FD22B1"/>
    <w:rsid w:val="00FD3A6F"/>
    <w:rsid w:val="00FD4A47"/>
    <w:rsid w:val="00FD5E0E"/>
    <w:rsid w:val="00FE5397"/>
    <w:rsid w:val="00FE5EEE"/>
    <w:rsid w:val="00FE7FE0"/>
    <w:rsid w:val="00FF009B"/>
    <w:rsid w:val="00FF3848"/>
    <w:rsid w:val="00FF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."/>
  <w:listSeparator w:val=","/>
  <w14:docId w14:val="67D8C4CE"/>
  <w15:docId w15:val="{D7161AA2-926E-4435-8911-82D1663B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7239F"/>
    <w:rPr>
      <w:sz w:val="24"/>
      <w:szCs w:val="24"/>
    </w:rPr>
  </w:style>
  <w:style w:type="paragraph" w:styleId="Heading1">
    <w:name w:val="heading 1"/>
    <w:basedOn w:val="BodyText"/>
    <w:next w:val="BodyText"/>
    <w:rsid w:val="00E7239F"/>
    <w:pPr>
      <w:keepNext/>
      <w:spacing w:before="160" w:after="1360" w:line="600" w:lineRule="exact"/>
      <w:ind w:left="907" w:hanging="907"/>
      <w:jc w:val="left"/>
      <w:outlineLvl w:val="0"/>
    </w:pPr>
    <w:rPr>
      <w:sz w:val="52"/>
    </w:rPr>
  </w:style>
  <w:style w:type="paragraph" w:styleId="Heading2">
    <w:name w:val="heading 2"/>
    <w:basedOn w:val="Chapter"/>
    <w:next w:val="BodyText"/>
    <w:qFormat/>
    <w:rsid w:val="00E7239F"/>
    <w:pPr>
      <w:spacing w:before="600" w:after="0" w:line="400" w:lineRule="exact"/>
      <w:ind w:left="907" w:hanging="907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Heading2"/>
    <w:next w:val="BodyText"/>
    <w:link w:val="Heading3Char"/>
    <w:qFormat/>
    <w:rsid w:val="00E7239F"/>
    <w:pPr>
      <w:spacing w:before="560" w:line="320" w:lineRule="exact"/>
      <w:ind w:left="0" w:firstLine="0"/>
      <w:outlineLvl w:val="2"/>
    </w:pPr>
    <w:rPr>
      <w:sz w:val="26"/>
    </w:rPr>
  </w:style>
  <w:style w:type="paragraph" w:styleId="Heading4">
    <w:name w:val="heading 4"/>
    <w:basedOn w:val="Heading3"/>
    <w:next w:val="BodyText"/>
    <w:qFormat/>
    <w:rsid w:val="00E7239F"/>
    <w:pPr>
      <w:spacing w:before="480"/>
      <w:outlineLvl w:val="3"/>
    </w:pPr>
    <w:rPr>
      <w:b w:val="0"/>
      <w:sz w:val="24"/>
    </w:rPr>
  </w:style>
  <w:style w:type="paragraph" w:styleId="Heading5">
    <w:name w:val="heading 5"/>
    <w:basedOn w:val="Heading4"/>
    <w:next w:val="BodyText"/>
    <w:link w:val="Heading5Char"/>
    <w:qFormat/>
    <w:rsid w:val="00E7239F"/>
    <w:pPr>
      <w:outlineLvl w:val="4"/>
    </w:pPr>
    <w:rPr>
      <w:i/>
      <w:sz w:val="22"/>
    </w:rPr>
  </w:style>
  <w:style w:type="paragraph" w:styleId="Heading6">
    <w:name w:val="heading 6"/>
    <w:basedOn w:val="BodyText"/>
    <w:next w:val="BodyText"/>
    <w:rsid w:val="00E7239F"/>
    <w:pPr>
      <w:spacing w:after="60"/>
      <w:jc w:val="left"/>
      <w:outlineLvl w:val="5"/>
    </w:pPr>
    <w:rPr>
      <w:i/>
      <w:sz w:val="22"/>
    </w:rPr>
  </w:style>
  <w:style w:type="paragraph" w:styleId="Heading7">
    <w:name w:val="heading 7"/>
    <w:basedOn w:val="BodyText"/>
    <w:next w:val="BodyText"/>
    <w:rsid w:val="00E7239F"/>
    <w:pPr>
      <w:spacing w:after="60" w:line="240" w:lineRule="auto"/>
      <w:jc w:val="left"/>
      <w:outlineLvl w:val="6"/>
    </w:pPr>
    <w:rPr>
      <w:rFonts w:ascii="Arial" w:hAnsi="Arial"/>
      <w:sz w:val="20"/>
    </w:rPr>
  </w:style>
  <w:style w:type="paragraph" w:styleId="Heading8">
    <w:name w:val="heading 8"/>
    <w:basedOn w:val="BodyText"/>
    <w:next w:val="BodyText"/>
    <w:rsid w:val="00E7239F"/>
    <w:pPr>
      <w:spacing w:after="60" w:line="240" w:lineRule="auto"/>
      <w:jc w:val="left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BodyText"/>
    <w:next w:val="BodyText"/>
    <w:rsid w:val="00E7239F"/>
    <w:pPr>
      <w:spacing w:after="60" w:line="240" w:lineRule="auto"/>
      <w:jc w:val="left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  <w:rsid w:val="00E7239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7239F"/>
  </w:style>
  <w:style w:type="paragraph" w:styleId="BodyText">
    <w:name w:val="Body Text"/>
    <w:link w:val="BodyTextChar"/>
    <w:qFormat/>
    <w:rsid w:val="00E7239F"/>
    <w:pPr>
      <w:spacing w:before="240" w:line="300" w:lineRule="atLeast"/>
      <w:jc w:val="both"/>
    </w:pPr>
    <w:rPr>
      <w:sz w:val="24"/>
    </w:rPr>
  </w:style>
  <w:style w:type="paragraph" w:styleId="Footer">
    <w:name w:val="footer"/>
    <w:basedOn w:val="BodyText"/>
    <w:link w:val="FooterChar"/>
    <w:rsid w:val="00E7239F"/>
    <w:pPr>
      <w:spacing w:before="80" w:line="200" w:lineRule="exact"/>
      <w:ind w:right="6"/>
      <w:jc w:val="left"/>
    </w:pPr>
    <w:rPr>
      <w:rFonts w:ascii="Arial" w:hAnsi="Arial"/>
      <w:caps/>
      <w:spacing w:val="-4"/>
      <w:sz w:val="16"/>
    </w:rPr>
  </w:style>
  <w:style w:type="paragraph" w:customStyle="1" w:styleId="FooterEnd">
    <w:name w:val="Footer End"/>
    <w:basedOn w:val="Footer"/>
    <w:rsid w:val="00E7239F"/>
    <w:pPr>
      <w:spacing w:before="0" w:line="20" w:lineRule="exact"/>
    </w:pPr>
  </w:style>
  <w:style w:type="paragraph" w:styleId="Header">
    <w:name w:val="header"/>
    <w:basedOn w:val="BodyText"/>
    <w:rsid w:val="00E7239F"/>
    <w:pPr>
      <w:tabs>
        <w:tab w:val="center" w:pos="4394"/>
        <w:tab w:val="right" w:pos="8789"/>
      </w:tabs>
      <w:spacing w:before="0" w:line="240" w:lineRule="atLeast"/>
      <w:jc w:val="left"/>
    </w:pPr>
    <w:rPr>
      <w:rFonts w:ascii="Arial" w:hAnsi="Arial"/>
      <w:caps/>
    </w:rPr>
  </w:style>
  <w:style w:type="paragraph" w:customStyle="1" w:styleId="HeaderEnd">
    <w:name w:val="Header End"/>
    <w:basedOn w:val="Header"/>
    <w:autoRedefine/>
    <w:rsid w:val="00E7239F"/>
    <w:pPr>
      <w:spacing w:line="20" w:lineRule="exact"/>
    </w:pPr>
    <w:rPr>
      <w:sz w:val="16"/>
    </w:rPr>
  </w:style>
  <w:style w:type="paragraph" w:customStyle="1" w:styleId="HeaderEven">
    <w:name w:val="Header Even"/>
    <w:basedOn w:val="Header"/>
    <w:semiHidden/>
    <w:rsid w:val="00E7239F"/>
  </w:style>
  <w:style w:type="paragraph" w:customStyle="1" w:styleId="HeaderOdd">
    <w:name w:val="Header Odd"/>
    <w:basedOn w:val="Header"/>
    <w:semiHidden/>
    <w:rsid w:val="00E7239F"/>
  </w:style>
  <w:style w:type="character" w:styleId="PageNumber">
    <w:name w:val="page number"/>
    <w:basedOn w:val="DefaultParagraphFont"/>
    <w:rsid w:val="00E7239F"/>
    <w:rPr>
      <w:rFonts w:ascii="Arial" w:hAnsi="Arial"/>
      <w:b/>
      <w:sz w:val="16"/>
    </w:rPr>
  </w:style>
  <w:style w:type="paragraph" w:customStyle="1" w:styleId="Abbreviation">
    <w:name w:val="Abbreviation"/>
    <w:basedOn w:val="BodyText"/>
    <w:rsid w:val="00E7239F"/>
    <w:pPr>
      <w:spacing w:before="120"/>
      <w:ind w:left="2381" w:hanging="2381"/>
      <w:jc w:val="left"/>
    </w:pPr>
  </w:style>
  <w:style w:type="paragraph" w:customStyle="1" w:styleId="Box">
    <w:name w:val="Box"/>
    <w:basedOn w:val="BodyText"/>
    <w:qFormat/>
    <w:rsid w:val="00E7239F"/>
    <w:pPr>
      <w:keepNext/>
      <w:spacing w:before="120" w:line="260" w:lineRule="atLeast"/>
    </w:pPr>
    <w:rPr>
      <w:rFonts w:ascii="Arial" w:hAnsi="Arial"/>
      <w:sz w:val="20"/>
    </w:rPr>
  </w:style>
  <w:style w:type="paragraph" w:customStyle="1" w:styleId="BoxContinued">
    <w:name w:val="Box Continued"/>
    <w:basedOn w:val="BodyText"/>
    <w:next w:val="BodyText"/>
    <w:semiHidden/>
    <w:rsid w:val="00E7239F"/>
    <w:pPr>
      <w:spacing w:before="180" w:line="220" w:lineRule="exact"/>
      <w:jc w:val="right"/>
    </w:pPr>
    <w:rPr>
      <w:rFonts w:ascii="Arial" w:hAnsi="Arial"/>
      <w:sz w:val="18"/>
    </w:rPr>
  </w:style>
  <w:style w:type="paragraph" w:customStyle="1" w:styleId="BoxHeading1">
    <w:name w:val="Box Heading 1"/>
    <w:basedOn w:val="BodyText"/>
    <w:next w:val="Box"/>
    <w:rsid w:val="00E7239F"/>
    <w:pPr>
      <w:keepNext/>
      <w:spacing w:before="200" w:line="280" w:lineRule="atLeast"/>
    </w:pPr>
    <w:rPr>
      <w:rFonts w:ascii="Arial" w:hAnsi="Arial"/>
      <w:b/>
      <w:sz w:val="22"/>
    </w:rPr>
  </w:style>
  <w:style w:type="paragraph" w:customStyle="1" w:styleId="BoxHeading2">
    <w:name w:val="Box Heading 2"/>
    <w:basedOn w:val="BoxHeading1"/>
    <w:next w:val="Normal"/>
    <w:rsid w:val="00E7239F"/>
    <w:rPr>
      <w:b w:val="0"/>
      <w:i/>
    </w:rPr>
  </w:style>
  <w:style w:type="paragraph" w:customStyle="1" w:styleId="BoxListBullet">
    <w:name w:val="Box List Bullet"/>
    <w:basedOn w:val="BodyText"/>
    <w:rsid w:val="00E7239F"/>
    <w:pPr>
      <w:keepNext/>
      <w:numPr>
        <w:numId w:val="1"/>
      </w:numPr>
      <w:spacing w:before="100" w:line="260" w:lineRule="atLeast"/>
    </w:pPr>
    <w:rPr>
      <w:rFonts w:ascii="Arial" w:hAnsi="Arial"/>
      <w:sz w:val="20"/>
    </w:rPr>
  </w:style>
  <w:style w:type="paragraph" w:customStyle="1" w:styleId="BoxListBullet2">
    <w:name w:val="Box List Bullet 2"/>
    <w:basedOn w:val="BoxListBullet"/>
    <w:rsid w:val="00E7239F"/>
    <w:pPr>
      <w:numPr>
        <w:numId w:val="2"/>
      </w:numPr>
      <w:ind w:left="568" w:hanging="284"/>
    </w:pPr>
  </w:style>
  <w:style w:type="paragraph" w:customStyle="1" w:styleId="BoxListNumber">
    <w:name w:val="Box List Number"/>
    <w:basedOn w:val="BodyText"/>
    <w:rsid w:val="00E7239F"/>
    <w:pPr>
      <w:keepNext/>
      <w:numPr>
        <w:numId w:val="14"/>
      </w:numPr>
      <w:spacing w:before="100" w:line="260" w:lineRule="atLeast"/>
    </w:pPr>
    <w:rPr>
      <w:rFonts w:ascii="Arial" w:hAnsi="Arial"/>
      <w:sz w:val="20"/>
    </w:rPr>
  </w:style>
  <w:style w:type="paragraph" w:customStyle="1" w:styleId="BoxListNumber2">
    <w:name w:val="Box List Number 2"/>
    <w:basedOn w:val="BoxListNumber"/>
    <w:rsid w:val="00E7239F"/>
    <w:pPr>
      <w:numPr>
        <w:ilvl w:val="1"/>
      </w:numPr>
      <w:ind w:left="681" w:hanging="397"/>
    </w:pPr>
  </w:style>
  <w:style w:type="paragraph" w:customStyle="1" w:styleId="BoxQuote">
    <w:name w:val="Box Quote"/>
    <w:basedOn w:val="BodyText"/>
    <w:next w:val="Box"/>
    <w:qFormat/>
    <w:rsid w:val="00E7239F"/>
    <w:pPr>
      <w:keepNext/>
      <w:spacing w:before="60" w:line="240" w:lineRule="exact"/>
      <w:ind w:left="284"/>
    </w:pPr>
    <w:rPr>
      <w:rFonts w:ascii="Arial" w:hAnsi="Arial"/>
      <w:sz w:val="18"/>
    </w:rPr>
  </w:style>
  <w:style w:type="paragraph" w:customStyle="1" w:styleId="Note">
    <w:name w:val="Note"/>
    <w:basedOn w:val="BodyText"/>
    <w:next w:val="BodyText"/>
    <w:rsid w:val="00E7239F"/>
    <w:pPr>
      <w:keepLines/>
      <w:spacing w:before="80" w:line="220" w:lineRule="exact"/>
    </w:pPr>
    <w:rPr>
      <w:rFonts w:ascii="Arial" w:hAnsi="Arial"/>
      <w:sz w:val="18"/>
    </w:rPr>
  </w:style>
  <w:style w:type="paragraph" w:customStyle="1" w:styleId="Source">
    <w:name w:val="Source"/>
    <w:basedOn w:val="Normal"/>
    <w:next w:val="BodyText"/>
    <w:rsid w:val="00E7239F"/>
    <w:pPr>
      <w:keepLines/>
      <w:spacing w:before="80" w:line="220" w:lineRule="exact"/>
      <w:jc w:val="both"/>
    </w:pPr>
    <w:rPr>
      <w:rFonts w:ascii="Arial" w:hAnsi="Arial"/>
      <w:sz w:val="18"/>
      <w:szCs w:val="20"/>
    </w:rPr>
  </w:style>
  <w:style w:type="paragraph" w:customStyle="1" w:styleId="BoxSource">
    <w:name w:val="Box Source"/>
    <w:basedOn w:val="Source"/>
    <w:next w:val="BodyText"/>
    <w:rsid w:val="00E7239F"/>
    <w:pPr>
      <w:spacing w:before="120"/>
    </w:pPr>
  </w:style>
  <w:style w:type="paragraph" w:customStyle="1" w:styleId="BoxSpaceAbove">
    <w:name w:val="Box Space Above"/>
    <w:basedOn w:val="BodyText"/>
    <w:rsid w:val="00E7239F"/>
    <w:pPr>
      <w:keepNext/>
      <w:spacing w:before="360" w:line="80" w:lineRule="exact"/>
      <w:jc w:val="left"/>
    </w:pPr>
  </w:style>
  <w:style w:type="paragraph" w:styleId="Caption">
    <w:name w:val="caption"/>
    <w:basedOn w:val="Normal"/>
    <w:next w:val="BodyText"/>
    <w:rsid w:val="00E7239F"/>
    <w:pPr>
      <w:keepNext/>
      <w:keepLines/>
      <w:spacing w:before="360" w:after="80" w:line="280" w:lineRule="exact"/>
      <w:ind w:left="1474" w:hanging="1474"/>
    </w:pPr>
    <w:rPr>
      <w:rFonts w:ascii="Arial" w:hAnsi="Arial"/>
      <w:b/>
    </w:rPr>
  </w:style>
  <w:style w:type="paragraph" w:customStyle="1" w:styleId="BoxTitle">
    <w:name w:val="Box Title"/>
    <w:basedOn w:val="Caption"/>
    <w:next w:val="BoxSubtitle"/>
    <w:rsid w:val="00E7239F"/>
    <w:pPr>
      <w:spacing w:before="120" w:after="0"/>
    </w:pPr>
  </w:style>
  <w:style w:type="paragraph" w:customStyle="1" w:styleId="BoxSubtitle">
    <w:name w:val="Box Subtitle"/>
    <w:basedOn w:val="BoxTitle"/>
    <w:next w:val="Normal"/>
    <w:rsid w:val="00E7239F"/>
    <w:pPr>
      <w:spacing w:after="80" w:line="200" w:lineRule="exact"/>
      <w:ind w:firstLine="0"/>
    </w:pPr>
    <w:rPr>
      <w:b w:val="0"/>
      <w:sz w:val="20"/>
    </w:rPr>
  </w:style>
  <w:style w:type="paragraph" w:customStyle="1" w:styleId="Chapter">
    <w:name w:val="Chapter"/>
    <w:basedOn w:val="Heading1"/>
    <w:next w:val="BodyText"/>
    <w:semiHidden/>
    <w:rsid w:val="00E7239F"/>
    <w:pPr>
      <w:ind w:left="0" w:firstLine="0"/>
      <w:outlineLvl w:val="9"/>
    </w:pPr>
  </w:style>
  <w:style w:type="paragraph" w:customStyle="1" w:styleId="ChapterSummary">
    <w:name w:val="Chapter Summary"/>
    <w:basedOn w:val="BodyText"/>
    <w:rsid w:val="00E7239F"/>
    <w:pPr>
      <w:spacing w:line="280" w:lineRule="atLeast"/>
      <w:ind w:left="907"/>
    </w:pPr>
    <w:rPr>
      <w:rFonts w:ascii="Arial" w:hAnsi="Arial"/>
      <w:b/>
      <w:sz w:val="20"/>
    </w:rPr>
  </w:style>
  <w:style w:type="character" w:styleId="CommentReference">
    <w:name w:val="annotation reference"/>
    <w:basedOn w:val="DefaultParagraphFont"/>
    <w:semiHidden/>
    <w:rsid w:val="00E7239F"/>
    <w:rPr>
      <w:b/>
      <w:vanish/>
      <w:color w:val="FF00FF"/>
      <w:sz w:val="20"/>
    </w:rPr>
  </w:style>
  <w:style w:type="paragraph" w:styleId="CommentText">
    <w:name w:val="annotation text"/>
    <w:basedOn w:val="Normal"/>
    <w:link w:val="CommentTextChar"/>
    <w:semiHidden/>
    <w:rsid w:val="00E7239F"/>
    <w:pPr>
      <w:spacing w:before="120" w:line="240" w:lineRule="atLeast"/>
      <w:ind w:left="567" w:hanging="567"/>
    </w:pPr>
    <w:rPr>
      <w:sz w:val="20"/>
    </w:rPr>
  </w:style>
  <w:style w:type="paragraph" w:customStyle="1" w:styleId="Continued">
    <w:name w:val="Continued"/>
    <w:basedOn w:val="BoxContinued"/>
    <w:next w:val="BodyText"/>
    <w:rsid w:val="00E7239F"/>
  </w:style>
  <w:style w:type="character" w:customStyle="1" w:styleId="DocumentInfo">
    <w:name w:val="Document Info"/>
    <w:basedOn w:val="DefaultParagraphFont"/>
    <w:semiHidden/>
    <w:rsid w:val="00E7239F"/>
    <w:rPr>
      <w:rFonts w:ascii="Arial" w:hAnsi="Arial"/>
      <w:sz w:val="14"/>
    </w:rPr>
  </w:style>
  <w:style w:type="character" w:customStyle="1" w:styleId="DraftingNote">
    <w:name w:val="Drafting Note"/>
    <w:basedOn w:val="DefaultParagraphFont"/>
    <w:rsid w:val="00E7239F"/>
    <w:rPr>
      <w:b/>
      <w:color w:val="FF0000"/>
      <w:sz w:val="24"/>
      <w:u w:val="dotted"/>
    </w:rPr>
  </w:style>
  <w:style w:type="paragraph" w:customStyle="1" w:styleId="Figure">
    <w:name w:val="Figure"/>
    <w:basedOn w:val="BodyText"/>
    <w:rsid w:val="00E7239F"/>
    <w:pPr>
      <w:keepNext/>
      <w:spacing w:before="120" w:after="120" w:line="240" w:lineRule="atLeast"/>
      <w:jc w:val="center"/>
    </w:pPr>
  </w:style>
  <w:style w:type="paragraph" w:customStyle="1" w:styleId="FigureTitle">
    <w:name w:val="Figure Title"/>
    <w:basedOn w:val="Caption"/>
    <w:next w:val="Subtitle"/>
    <w:rsid w:val="00E7239F"/>
    <w:pPr>
      <w:spacing w:before="120"/>
    </w:pPr>
  </w:style>
  <w:style w:type="paragraph" w:styleId="Subtitle">
    <w:name w:val="Subtitle"/>
    <w:basedOn w:val="Caption"/>
    <w:link w:val="SubtitleChar"/>
    <w:qFormat/>
    <w:rsid w:val="00E7239F"/>
    <w:pPr>
      <w:spacing w:before="0" w:line="200" w:lineRule="exact"/>
      <w:ind w:firstLine="0"/>
    </w:pPr>
    <w:rPr>
      <w:b w:val="0"/>
      <w:sz w:val="20"/>
    </w:rPr>
  </w:style>
  <w:style w:type="paragraph" w:customStyle="1" w:styleId="Finding">
    <w:name w:val="Finding"/>
    <w:basedOn w:val="BodyText"/>
    <w:rsid w:val="00E7239F"/>
    <w:pPr>
      <w:keepLines/>
      <w:spacing w:before="120" w:line="280" w:lineRule="atLeast"/>
    </w:pPr>
    <w:rPr>
      <w:rFonts w:ascii="Arial" w:hAnsi="Arial"/>
      <w:sz w:val="22"/>
    </w:rPr>
  </w:style>
  <w:style w:type="paragraph" w:customStyle="1" w:styleId="FindingBullet">
    <w:name w:val="Finding Bullet"/>
    <w:basedOn w:val="Finding"/>
    <w:rsid w:val="00E7239F"/>
    <w:pPr>
      <w:numPr>
        <w:numId w:val="3"/>
      </w:numPr>
      <w:spacing w:before="80"/>
    </w:pPr>
  </w:style>
  <w:style w:type="paragraph" w:customStyle="1" w:styleId="FindingNoTitle">
    <w:name w:val="Finding NoTitle"/>
    <w:basedOn w:val="Finding"/>
    <w:semiHidden/>
    <w:rsid w:val="00E7239F"/>
    <w:pPr>
      <w:spacing w:before="240"/>
    </w:pPr>
  </w:style>
  <w:style w:type="paragraph" w:customStyle="1" w:styleId="RecTitle">
    <w:name w:val="Rec Title"/>
    <w:basedOn w:val="BodyText"/>
    <w:next w:val="Rec"/>
    <w:qFormat/>
    <w:rsid w:val="00E7239F"/>
    <w:pPr>
      <w:keepNext/>
      <w:keepLines/>
      <w:spacing w:line="280" w:lineRule="atLeast"/>
    </w:pPr>
    <w:rPr>
      <w:rFonts w:ascii="Arial" w:hAnsi="Arial"/>
      <w:caps/>
      <w:sz w:val="18"/>
    </w:rPr>
  </w:style>
  <w:style w:type="paragraph" w:customStyle="1" w:styleId="FindingTitle">
    <w:name w:val="Finding Title"/>
    <w:basedOn w:val="RecTitle"/>
    <w:next w:val="Finding"/>
    <w:rsid w:val="00E7239F"/>
  </w:style>
  <w:style w:type="character" w:styleId="FootnoteReference">
    <w:name w:val="footnote reference"/>
    <w:basedOn w:val="DefaultParagraphFont"/>
    <w:semiHidden/>
    <w:rsid w:val="00E7239F"/>
    <w:rPr>
      <w:rFonts w:ascii="Times New Roman" w:hAnsi="Times New Roman"/>
      <w:position w:val="6"/>
      <w:sz w:val="20"/>
      <w:vertAlign w:val="baseline"/>
    </w:rPr>
  </w:style>
  <w:style w:type="paragraph" w:styleId="FootnoteText">
    <w:name w:val="footnote text"/>
    <w:basedOn w:val="BodyText"/>
    <w:link w:val="FootnoteTextChar"/>
    <w:rsid w:val="00E7239F"/>
    <w:pPr>
      <w:tabs>
        <w:tab w:val="left" w:pos="284"/>
      </w:tabs>
      <w:spacing w:before="80" w:line="240" w:lineRule="exact"/>
      <w:ind w:left="284" w:hanging="284"/>
    </w:pPr>
    <w:rPr>
      <w:sz w:val="20"/>
    </w:rPr>
  </w:style>
  <w:style w:type="paragraph" w:customStyle="1" w:styleId="InformationRequest">
    <w:name w:val="Information Request"/>
    <w:basedOn w:val="Finding"/>
    <w:next w:val="BodyText"/>
    <w:rsid w:val="00E7239F"/>
    <w:rPr>
      <w:i/>
    </w:rPr>
  </w:style>
  <w:style w:type="paragraph" w:customStyle="1" w:styleId="Jurisdictioncommentsbodytext">
    <w:name w:val="Jurisdiction comments body text"/>
    <w:rsid w:val="00E7239F"/>
    <w:pPr>
      <w:spacing w:after="140"/>
      <w:jc w:val="both"/>
    </w:pPr>
    <w:rPr>
      <w:rFonts w:ascii="Arial" w:hAnsi="Arial"/>
      <w:sz w:val="24"/>
      <w:lang w:eastAsia="en-US"/>
    </w:rPr>
  </w:style>
  <w:style w:type="paragraph" w:customStyle="1" w:styleId="Jurisdictioncommentsheading">
    <w:name w:val="Jurisdiction comments heading"/>
    <w:rsid w:val="00E7239F"/>
    <w:pPr>
      <w:spacing w:after="140" w:line="320" w:lineRule="atLeast"/>
      <w:jc w:val="both"/>
    </w:pPr>
    <w:rPr>
      <w:rFonts w:ascii="Arial" w:hAnsi="Arial"/>
      <w:b/>
      <w:sz w:val="24"/>
      <w:lang w:eastAsia="en-US"/>
    </w:rPr>
  </w:style>
  <w:style w:type="paragraph" w:customStyle="1" w:styleId="Jurisdictioncommentslistbullet">
    <w:name w:val="Jurisdiction comments list bullet"/>
    <w:rsid w:val="00E7239F"/>
    <w:pPr>
      <w:numPr>
        <w:numId w:val="4"/>
      </w:numPr>
      <w:spacing w:after="140"/>
      <w:jc w:val="both"/>
    </w:pPr>
    <w:rPr>
      <w:rFonts w:ascii="Arial" w:hAnsi="Arial"/>
      <w:sz w:val="24"/>
      <w:lang w:eastAsia="en-US"/>
    </w:rPr>
  </w:style>
  <w:style w:type="paragraph" w:styleId="ListBullet">
    <w:name w:val="List Bullet"/>
    <w:basedOn w:val="BodyText"/>
    <w:link w:val="ListBulletChar"/>
    <w:rsid w:val="00E7239F"/>
    <w:pPr>
      <w:numPr>
        <w:numId w:val="5"/>
      </w:numPr>
      <w:spacing w:before="120"/>
    </w:pPr>
  </w:style>
  <w:style w:type="paragraph" w:styleId="ListBullet2">
    <w:name w:val="List Bullet 2"/>
    <w:basedOn w:val="BodyText"/>
    <w:rsid w:val="00E7239F"/>
    <w:pPr>
      <w:numPr>
        <w:numId w:val="6"/>
      </w:numPr>
      <w:spacing w:before="120"/>
    </w:pPr>
  </w:style>
  <w:style w:type="paragraph" w:styleId="ListBullet3">
    <w:name w:val="List Bullet 3"/>
    <w:basedOn w:val="BodyText"/>
    <w:rsid w:val="00E7239F"/>
    <w:pPr>
      <w:numPr>
        <w:numId w:val="7"/>
      </w:numPr>
      <w:spacing w:before="120"/>
      <w:ind w:left="1020" w:hanging="340"/>
    </w:pPr>
  </w:style>
  <w:style w:type="paragraph" w:styleId="ListNumber">
    <w:name w:val="List Number"/>
    <w:basedOn w:val="BodyText"/>
    <w:rsid w:val="00E7239F"/>
    <w:pPr>
      <w:numPr>
        <w:numId w:val="13"/>
      </w:numPr>
      <w:spacing w:before="120"/>
    </w:pPr>
  </w:style>
  <w:style w:type="paragraph" w:styleId="ListNumber2">
    <w:name w:val="List Number 2"/>
    <w:basedOn w:val="ListNumber"/>
    <w:rsid w:val="00E7239F"/>
    <w:pPr>
      <w:numPr>
        <w:ilvl w:val="1"/>
      </w:numPr>
    </w:pPr>
  </w:style>
  <w:style w:type="paragraph" w:styleId="ListNumber3">
    <w:name w:val="List Number 3"/>
    <w:basedOn w:val="ListNumber2"/>
    <w:rsid w:val="00E7239F"/>
    <w:pPr>
      <w:numPr>
        <w:ilvl w:val="2"/>
      </w:numPr>
    </w:pPr>
  </w:style>
  <w:style w:type="character" w:customStyle="1" w:styleId="NoteLabel">
    <w:name w:val="Note Label"/>
    <w:basedOn w:val="DefaultParagraphFont"/>
    <w:rsid w:val="00E7239F"/>
    <w:rPr>
      <w:rFonts w:ascii="Arial" w:hAnsi="Arial"/>
      <w:b/>
      <w:position w:val="6"/>
      <w:sz w:val="18"/>
    </w:rPr>
  </w:style>
  <w:style w:type="paragraph" w:customStyle="1" w:styleId="PartDivider">
    <w:name w:val="Part Divider"/>
    <w:basedOn w:val="BodyText"/>
    <w:next w:val="BodyText"/>
    <w:semiHidden/>
    <w:rsid w:val="00E7239F"/>
    <w:pPr>
      <w:spacing w:before="0" w:line="40" w:lineRule="exact"/>
      <w:jc w:val="right"/>
    </w:pPr>
    <w:rPr>
      <w:smallCaps/>
      <w:sz w:val="16"/>
    </w:rPr>
  </w:style>
  <w:style w:type="paragraph" w:customStyle="1" w:styleId="PartNumber">
    <w:name w:val="Part Number"/>
    <w:basedOn w:val="BodyText"/>
    <w:next w:val="BodyText"/>
    <w:semiHidden/>
    <w:rsid w:val="00E7239F"/>
    <w:pPr>
      <w:spacing w:before="4000" w:line="320" w:lineRule="exact"/>
      <w:ind w:left="6634"/>
      <w:jc w:val="right"/>
    </w:pPr>
    <w:rPr>
      <w:smallCaps/>
      <w:spacing w:val="60"/>
      <w:sz w:val="32"/>
    </w:rPr>
  </w:style>
  <w:style w:type="paragraph" w:customStyle="1" w:styleId="PartTitle">
    <w:name w:val="Part Title"/>
    <w:basedOn w:val="BodyText"/>
    <w:semiHidden/>
    <w:rsid w:val="00E7239F"/>
    <w:pPr>
      <w:spacing w:before="160" w:after="1360" w:line="520" w:lineRule="exact"/>
      <w:ind w:right="2381"/>
      <w:jc w:val="right"/>
    </w:pPr>
    <w:rPr>
      <w:smallCaps/>
      <w:sz w:val="52"/>
    </w:rPr>
  </w:style>
  <w:style w:type="paragraph" w:styleId="Quote">
    <w:name w:val="Quote"/>
    <w:basedOn w:val="BodyText"/>
    <w:next w:val="BodyText"/>
    <w:qFormat/>
    <w:rsid w:val="00E7239F"/>
    <w:pPr>
      <w:spacing w:before="120" w:line="280" w:lineRule="exact"/>
      <w:ind w:left="340"/>
    </w:pPr>
    <w:rPr>
      <w:sz w:val="22"/>
    </w:rPr>
  </w:style>
  <w:style w:type="paragraph" w:customStyle="1" w:styleId="QuoteBullet">
    <w:name w:val="Quote Bullet"/>
    <w:basedOn w:val="Quote"/>
    <w:rsid w:val="00E7239F"/>
    <w:pPr>
      <w:numPr>
        <w:numId w:val="8"/>
      </w:numPr>
    </w:pPr>
  </w:style>
  <w:style w:type="paragraph" w:customStyle="1" w:styleId="Rec">
    <w:name w:val="Rec"/>
    <w:basedOn w:val="BodyText"/>
    <w:qFormat/>
    <w:rsid w:val="00E7239F"/>
    <w:pPr>
      <w:keepLines/>
      <w:spacing w:before="120" w:line="280" w:lineRule="atLeast"/>
    </w:pPr>
    <w:rPr>
      <w:rFonts w:ascii="Arial" w:hAnsi="Arial"/>
      <w:sz w:val="22"/>
    </w:rPr>
  </w:style>
  <w:style w:type="paragraph" w:customStyle="1" w:styleId="RecBullet">
    <w:name w:val="Rec Bullet"/>
    <w:basedOn w:val="Rec"/>
    <w:rsid w:val="00E7239F"/>
    <w:pPr>
      <w:numPr>
        <w:numId w:val="9"/>
      </w:numPr>
      <w:spacing w:before="80"/>
    </w:pPr>
  </w:style>
  <w:style w:type="paragraph" w:customStyle="1" w:styleId="RecB">
    <w:name w:val="RecB"/>
    <w:basedOn w:val="Normal"/>
    <w:semiHidden/>
    <w:rsid w:val="00E7239F"/>
    <w:pPr>
      <w:keepLines/>
      <w:pBdr>
        <w:left w:val="single" w:sz="24" w:space="12" w:color="C0C0C0"/>
      </w:pBdr>
      <w:spacing w:before="180" w:line="320" w:lineRule="atLeast"/>
      <w:jc w:val="both"/>
    </w:pPr>
    <w:rPr>
      <w:b/>
      <w:i/>
      <w:szCs w:val="20"/>
    </w:rPr>
  </w:style>
  <w:style w:type="paragraph" w:customStyle="1" w:styleId="RecBBullet">
    <w:name w:val="RecB Bullet"/>
    <w:basedOn w:val="RecB"/>
    <w:semiHidden/>
    <w:rsid w:val="00E7239F"/>
    <w:pPr>
      <w:numPr>
        <w:numId w:val="10"/>
      </w:numPr>
      <w:spacing w:before="80"/>
    </w:pPr>
  </w:style>
  <w:style w:type="paragraph" w:customStyle="1" w:styleId="RecBNoTitle">
    <w:name w:val="RecB NoTitle"/>
    <w:basedOn w:val="RecB"/>
    <w:semiHidden/>
    <w:rsid w:val="00E7239F"/>
    <w:pPr>
      <w:spacing w:before="240"/>
    </w:pPr>
  </w:style>
  <w:style w:type="paragraph" w:customStyle="1" w:styleId="Reference">
    <w:name w:val="Reference"/>
    <w:basedOn w:val="BodyText"/>
    <w:rsid w:val="00E7239F"/>
    <w:pPr>
      <w:spacing w:before="120"/>
      <w:ind w:left="340" w:hanging="340"/>
    </w:pPr>
  </w:style>
  <w:style w:type="paragraph" w:customStyle="1" w:styleId="SequenceInfo">
    <w:name w:val="Sequence Info"/>
    <w:basedOn w:val="BodyText"/>
    <w:semiHidden/>
    <w:rsid w:val="00E7239F"/>
    <w:rPr>
      <w:vanish/>
      <w:sz w:val="16"/>
    </w:rPr>
  </w:style>
  <w:style w:type="paragraph" w:customStyle="1" w:styleId="SideNote">
    <w:name w:val="Side Note"/>
    <w:basedOn w:val="BodyText"/>
    <w:next w:val="BodyText"/>
    <w:semiHidden/>
    <w:rsid w:val="00E7239F"/>
    <w:pPr>
      <w:keepNext/>
      <w:keepLines/>
      <w:framePr w:w="2155" w:hSpace="227" w:vSpace="181" w:wrap="around" w:vAnchor="text" w:hAnchor="page" w:xAlign="outside" w:y="1"/>
      <w:jc w:val="left"/>
    </w:pPr>
    <w:rPr>
      <w:i/>
    </w:rPr>
  </w:style>
  <w:style w:type="paragraph" w:customStyle="1" w:styleId="SideNoteBullet">
    <w:name w:val="Side Note Bullet"/>
    <w:basedOn w:val="SideNote"/>
    <w:next w:val="BodyText"/>
    <w:semiHidden/>
    <w:rsid w:val="00E7239F"/>
    <w:pPr>
      <w:framePr w:wrap="around"/>
      <w:numPr>
        <w:numId w:val="11"/>
      </w:numPr>
      <w:tabs>
        <w:tab w:val="left" w:pos="227"/>
      </w:tabs>
    </w:pPr>
  </w:style>
  <w:style w:type="paragraph" w:customStyle="1" w:styleId="SideNoteGraphic">
    <w:name w:val="Side Note Graphic"/>
    <w:basedOn w:val="SideNote"/>
    <w:next w:val="BodyText"/>
    <w:semiHidden/>
    <w:rsid w:val="00E7239F"/>
    <w:pPr>
      <w:framePr w:wrap="around"/>
    </w:pPr>
  </w:style>
  <w:style w:type="paragraph" w:customStyle="1" w:styleId="TableBodyText">
    <w:name w:val="Table Body Text"/>
    <w:basedOn w:val="BodyText"/>
    <w:rsid w:val="00E7239F"/>
    <w:pPr>
      <w:keepNext/>
      <w:keepLines/>
      <w:spacing w:before="0" w:after="40" w:line="200" w:lineRule="atLeast"/>
      <w:ind w:left="6" w:right="113"/>
      <w:jc w:val="right"/>
    </w:pPr>
    <w:rPr>
      <w:rFonts w:ascii="Arial" w:hAnsi="Arial"/>
      <w:sz w:val="18"/>
    </w:rPr>
  </w:style>
  <w:style w:type="paragraph" w:customStyle="1" w:styleId="TableBullet">
    <w:name w:val="Table Bullet"/>
    <w:basedOn w:val="TableBodyText"/>
    <w:rsid w:val="00E7239F"/>
    <w:pPr>
      <w:numPr>
        <w:numId w:val="12"/>
      </w:numPr>
      <w:jc w:val="left"/>
    </w:pPr>
  </w:style>
  <w:style w:type="paragraph" w:customStyle="1" w:styleId="TableColumnHeading">
    <w:name w:val="Table Column Heading"/>
    <w:basedOn w:val="TableBodyText"/>
    <w:rsid w:val="00E7239F"/>
    <w:pPr>
      <w:spacing w:before="80" w:after="80"/>
    </w:pPr>
    <w:rPr>
      <w:i/>
    </w:rPr>
  </w:style>
  <w:style w:type="paragraph" w:styleId="TOC2">
    <w:name w:val="toc 2"/>
    <w:basedOn w:val="TOC1"/>
    <w:rsid w:val="00E7239F"/>
    <w:pPr>
      <w:ind w:left="1134" w:hanging="624"/>
    </w:pPr>
    <w:rPr>
      <w:b w:val="0"/>
    </w:rPr>
  </w:style>
  <w:style w:type="paragraph" w:styleId="TOC3">
    <w:name w:val="toc 3"/>
    <w:basedOn w:val="TOC2"/>
    <w:rsid w:val="00E7239F"/>
    <w:pPr>
      <w:spacing w:before="60"/>
      <w:ind w:left="1190" w:hanging="680"/>
    </w:pPr>
  </w:style>
  <w:style w:type="paragraph" w:styleId="TableofFigures">
    <w:name w:val="table of figures"/>
    <w:basedOn w:val="TOC3"/>
    <w:next w:val="BodyText"/>
    <w:semiHidden/>
    <w:rsid w:val="00E7239F"/>
    <w:pPr>
      <w:ind w:left="737" w:hanging="737"/>
    </w:pPr>
  </w:style>
  <w:style w:type="paragraph" w:customStyle="1" w:styleId="TableTitle">
    <w:name w:val="Table Title"/>
    <w:basedOn w:val="Caption"/>
    <w:next w:val="Subtitle"/>
    <w:qFormat/>
    <w:rsid w:val="00E7239F"/>
    <w:pPr>
      <w:spacing w:before="120"/>
    </w:pPr>
  </w:style>
  <w:style w:type="paragraph" w:customStyle="1" w:styleId="TableUnitsRow">
    <w:name w:val="Table Units Row"/>
    <w:basedOn w:val="TableBodyText"/>
    <w:rsid w:val="00E7239F"/>
    <w:pPr>
      <w:spacing w:before="40"/>
    </w:pPr>
  </w:style>
  <w:style w:type="paragraph" w:styleId="TOC1">
    <w:name w:val="toc 1"/>
    <w:basedOn w:val="Normal"/>
    <w:next w:val="TOC2"/>
    <w:link w:val="TOC1Char"/>
    <w:rsid w:val="00E7239F"/>
    <w:pPr>
      <w:tabs>
        <w:tab w:val="right" w:pos="8789"/>
      </w:tabs>
      <w:spacing w:before="120" w:line="320" w:lineRule="exact"/>
      <w:ind w:left="510" w:right="851" w:hanging="510"/>
    </w:pPr>
    <w:rPr>
      <w:rFonts w:ascii="Arial" w:hAnsi="Arial"/>
      <w:b/>
      <w:sz w:val="26"/>
      <w:szCs w:val="26"/>
      <w:lang w:eastAsia="en-US"/>
    </w:rPr>
  </w:style>
  <w:style w:type="paragraph" w:styleId="TOC4">
    <w:name w:val="toc 4"/>
    <w:basedOn w:val="TOC3"/>
    <w:semiHidden/>
    <w:rsid w:val="00E7239F"/>
    <w:pPr>
      <w:ind w:left="1191" w:firstLine="0"/>
    </w:pPr>
  </w:style>
  <w:style w:type="paragraph" w:customStyle="1" w:styleId="RecBBullet2">
    <w:name w:val="RecB Bullet 2"/>
    <w:basedOn w:val="ListBullet2"/>
    <w:semiHidden/>
    <w:rsid w:val="00E7239F"/>
    <w:pPr>
      <w:pBdr>
        <w:left w:val="single" w:sz="24" w:space="29" w:color="C0C0C0"/>
      </w:pBdr>
    </w:pPr>
    <w:rPr>
      <w:b/>
      <w:i/>
    </w:rPr>
  </w:style>
  <w:style w:type="paragraph" w:styleId="BalloonText">
    <w:name w:val="Balloon Text"/>
    <w:basedOn w:val="Normal"/>
    <w:link w:val="BalloonTextChar"/>
    <w:rsid w:val="00E723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239F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E7239F"/>
    <w:rPr>
      <w:rFonts w:ascii="Arial" w:hAnsi="Arial"/>
      <w:szCs w:val="24"/>
    </w:rPr>
  </w:style>
  <w:style w:type="paragraph" w:customStyle="1" w:styleId="BoxListBullet3">
    <w:name w:val="Box List Bullet 3"/>
    <w:basedOn w:val="ListBullet3"/>
    <w:rsid w:val="00E7239F"/>
    <w:pPr>
      <w:numPr>
        <w:numId w:val="17"/>
      </w:numPr>
      <w:tabs>
        <w:tab w:val="left" w:pos="907"/>
      </w:tabs>
      <w:spacing w:before="60" w:line="260" w:lineRule="atLeast"/>
      <w:ind w:left="907" w:hanging="340"/>
    </w:pPr>
    <w:rPr>
      <w:rFonts w:ascii="Arial" w:hAnsi="Arial"/>
      <w:sz w:val="20"/>
    </w:rPr>
  </w:style>
  <w:style w:type="character" w:styleId="Emphasis">
    <w:name w:val="Emphasis"/>
    <w:basedOn w:val="DefaultParagraphFont"/>
    <w:rsid w:val="00E7239F"/>
    <w:rPr>
      <w:i/>
      <w:iCs/>
    </w:rPr>
  </w:style>
  <w:style w:type="paragraph" w:customStyle="1" w:styleId="BoxQuoteBullet">
    <w:name w:val="Box Quote Bullet"/>
    <w:basedOn w:val="BoxQuote"/>
    <w:next w:val="Box"/>
    <w:rsid w:val="00E7239F"/>
    <w:pPr>
      <w:numPr>
        <w:numId w:val="15"/>
      </w:numPr>
      <w:ind w:left="568" w:hanging="284"/>
    </w:pPr>
  </w:style>
  <w:style w:type="paragraph" w:customStyle="1" w:styleId="InformationRequestBullet">
    <w:name w:val="Information Request Bullet"/>
    <w:basedOn w:val="ListBullet"/>
    <w:next w:val="BodyText"/>
    <w:rsid w:val="00E7239F"/>
    <w:pPr>
      <w:numPr>
        <w:numId w:val="16"/>
      </w:numPr>
      <w:spacing w:before="80" w:line="280" w:lineRule="atLeast"/>
      <w:ind w:left="357" w:hanging="357"/>
    </w:pPr>
    <w:rPr>
      <w:rFonts w:ascii="Arial" w:hAnsi="Arial"/>
      <w:i/>
      <w:sz w:val="22"/>
    </w:rPr>
  </w:style>
  <w:style w:type="paragraph" w:customStyle="1" w:styleId="BoxSpaceBelow">
    <w:name w:val="Box Space Below"/>
    <w:basedOn w:val="Box"/>
    <w:rsid w:val="00E7239F"/>
    <w:pPr>
      <w:keepNext w:val="0"/>
      <w:spacing w:before="60" w:after="60" w:line="80" w:lineRule="exact"/>
    </w:pPr>
    <w:rPr>
      <w:sz w:val="14"/>
    </w:rPr>
  </w:style>
  <w:style w:type="paragraph" w:styleId="CommentSubject">
    <w:name w:val="annotation subject"/>
    <w:basedOn w:val="CommentText"/>
    <w:next w:val="CommentText"/>
    <w:link w:val="CommentSubjectChar"/>
    <w:rsid w:val="00CD421C"/>
    <w:pPr>
      <w:spacing w:before="0" w:line="240" w:lineRule="auto"/>
      <w:ind w:left="0" w:firstLine="0"/>
    </w:pPr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D421C"/>
    <w:rPr>
      <w:szCs w:val="24"/>
    </w:rPr>
  </w:style>
  <w:style w:type="character" w:customStyle="1" w:styleId="CommentSubjectChar">
    <w:name w:val="Comment Subject Char"/>
    <w:basedOn w:val="CommentTextChar"/>
    <w:link w:val="CommentSubject"/>
    <w:rsid w:val="00CD421C"/>
    <w:rPr>
      <w:b/>
      <w:bCs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342EE7"/>
    <w:pPr>
      <w:spacing w:after="240"/>
      <w:ind w:left="720" w:hanging="720"/>
    </w:pPr>
  </w:style>
  <w:style w:type="paragraph" w:styleId="Revision">
    <w:name w:val="Revision"/>
    <w:hidden/>
    <w:uiPriority w:val="99"/>
    <w:semiHidden/>
    <w:rsid w:val="000E7CF9"/>
    <w:rPr>
      <w:sz w:val="26"/>
      <w:szCs w:val="24"/>
    </w:rPr>
  </w:style>
  <w:style w:type="paragraph" w:customStyle="1" w:styleId="KeyPointsListBullet">
    <w:name w:val="Key Points List Bullet"/>
    <w:basedOn w:val="Normal"/>
    <w:qFormat/>
    <w:rsid w:val="00E7239F"/>
    <w:pPr>
      <w:keepNext/>
      <w:numPr>
        <w:numId w:val="18"/>
      </w:numPr>
      <w:spacing w:before="100" w:line="260" w:lineRule="atLeast"/>
      <w:ind w:left="357" w:hanging="357"/>
      <w:jc w:val="both"/>
    </w:pPr>
    <w:rPr>
      <w:rFonts w:ascii="Arial" w:hAnsi="Arial"/>
      <w:sz w:val="20"/>
      <w:szCs w:val="20"/>
      <w:lang w:eastAsia="en-US"/>
    </w:rPr>
  </w:style>
  <w:style w:type="paragraph" w:customStyle="1" w:styleId="KeyPointsListBullet2">
    <w:name w:val="Key Points List Bullet 2"/>
    <w:basedOn w:val="BoxListBullet2"/>
    <w:rsid w:val="00E7239F"/>
    <w:pPr>
      <w:numPr>
        <w:numId w:val="19"/>
      </w:numPr>
      <w:ind w:left="568" w:hanging="284"/>
    </w:pPr>
  </w:style>
  <w:style w:type="paragraph" w:customStyle="1" w:styleId="InformationRequestTitle">
    <w:name w:val="Information Request Title"/>
    <w:basedOn w:val="FindingTitle"/>
    <w:next w:val="InformationRequest"/>
    <w:rsid w:val="00E7239F"/>
    <w:rPr>
      <w:i/>
    </w:rPr>
  </w:style>
  <w:style w:type="paragraph" w:customStyle="1" w:styleId="Space">
    <w:name w:val="Space"/>
    <w:basedOn w:val="Normal"/>
    <w:rsid w:val="00E7239F"/>
    <w:pPr>
      <w:keepNext/>
      <w:spacing w:line="120" w:lineRule="exact"/>
      <w:jc w:val="both"/>
    </w:pPr>
    <w:rPr>
      <w:rFonts w:ascii="Arial" w:hAnsi="Arial"/>
      <w:sz w:val="20"/>
      <w:szCs w:val="20"/>
    </w:rPr>
  </w:style>
  <w:style w:type="paragraph" w:customStyle="1" w:styleId="Heading1nochapterno">
    <w:name w:val="Heading 1 (no chapter no.)"/>
    <w:basedOn w:val="Heading1"/>
    <w:rsid w:val="00E7239F"/>
    <w:pPr>
      <w:spacing w:before="0"/>
      <w:ind w:left="0" w:firstLine="0"/>
    </w:pPr>
  </w:style>
  <w:style w:type="paragraph" w:customStyle="1" w:styleId="Heading2nosectionno">
    <w:name w:val="Heading 2 (no section no.)"/>
    <w:basedOn w:val="Heading2"/>
    <w:rsid w:val="00E7239F"/>
    <w:pPr>
      <w:ind w:left="0" w:firstLine="0"/>
    </w:pPr>
  </w:style>
  <w:style w:type="character" w:customStyle="1" w:styleId="Heading5Char">
    <w:name w:val="Heading 5 Char"/>
    <w:basedOn w:val="DefaultParagraphFont"/>
    <w:link w:val="Heading5"/>
    <w:rsid w:val="00E7239F"/>
    <w:rPr>
      <w:rFonts w:ascii="Arial" w:hAnsi="Arial"/>
      <w:i/>
      <w:sz w:val="22"/>
    </w:rPr>
  </w:style>
  <w:style w:type="paragraph" w:customStyle="1" w:styleId="Figurespace">
    <w:name w:val="Figure space"/>
    <w:basedOn w:val="Box"/>
    <w:rsid w:val="00E7239F"/>
    <w:pPr>
      <w:spacing w:before="0" w:line="120" w:lineRule="exact"/>
    </w:pPr>
  </w:style>
  <w:style w:type="paragraph" w:customStyle="1" w:styleId="FooterDraftReport">
    <w:name w:val="FooterDraftReport"/>
    <w:basedOn w:val="Footer"/>
    <w:link w:val="FooterDraftReportChar"/>
    <w:rsid w:val="00E7239F"/>
    <w:pPr>
      <w:spacing w:before="40"/>
    </w:pPr>
    <w:rPr>
      <w:rFonts w:cs="Arial"/>
      <w:color w:val="808080"/>
      <w14:textFill>
        <w14:solidFill>
          <w14:srgbClr w14:val="808080">
            <w14:lumMod w14:val="50000"/>
            <w14:lumOff w14:val="50000"/>
            <w14:lumMod w14:val="50000"/>
            <w14:lumOff w14:val="50000"/>
            <w14:lumMod w14:val="50000"/>
          </w14:srgbClr>
        </w14:solidFill>
      </w14:textFill>
    </w:rPr>
  </w:style>
  <w:style w:type="character" w:customStyle="1" w:styleId="BodyTextChar">
    <w:name w:val="Body Text Char"/>
    <w:basedOn w:val="DefaultParagraphFont"/>
    <w:link w:val="BodyText"/>
    <w:rsid w:val="00E7239F"/>
    <w:rPr>
      <w:sz w:val="24"/>
    </w:rPr>
  </w:style>
  <w:style w:type="character" w:customStyle="1" w:styleId="FooterChar">
    <w:name w:val="Footer Char"/>
    <w:basedOn w:val="BodyTextChar"/>
    <w:link w:val="Footer"/>
    <w:rsid w:val="00E7239F"/>
    <w:rPr>
      <w:rFonts w:ascii="Arial" w:hAnsi="Arial"/>
      <w:caps/>
      <w:spacing w:val="-4"/>
      <w:sz w:val="16"/>
    </w:rPr>
  </w:style>
  <w:style w:type="character" w:customStyle="1" w:styleId="FooterDraftReportChar">
    <w:name w:val="FooterDraftReport Char"/>
    <w:basedOn w:val="FooterChar"/>
    <w:link w:val="FooterDraftReport"/>
    <w:rsid w:val="00E7239F"/>
    <w:rPr>
      <w:rFonts w:ascii="Arial" w:hAnsi="Arial" w:cs="Arial"/>
      <w:caps/>
      <w:color w:val="808080"/>
      <w:spacing w:val="-4"/>
      <w:sz w:val="16"/>
      <w14:textFill>
        <w14:solidFill>
          <w14:srgbClr w14:val="808080">
            <w14:lumMod w14:val="50000"/>
            <w14:lumOff w14:val="50000"/>
            <w14:lumMod w14:val="50000"/>
            <w14:lumOff w14:val="50000"/>
            <w14:lumMod w14:val="50000"/>
          </w14:srgbClr>
        </w14:solidFill>
      </w14:textFill>
    </w:rPr>
  </w:style>
  <w:style w:type="table" w:styleId="TableGrid">
    <w:name w:val="Table Grid"/>
    <w:basedOn w:val="TableNormal"/>
    <w:rsid w:val="00E72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C1Char">
    <w:name w:val="TOC 1 Char"/>
    <w:basedOn w:val="DefaultParagraphFont"/>
    <w:link w:val="TOC1"/>
    <w:rsid w:val="00E7239F"/>
    <w:rPr>
      <w:rFonts w:ascii="Arial" w:hAnsi="Arial"/>
      <w:b/>
      <w:sz w:val="26"/>
      <w:szCs w:val="26"/>
      <w:lang w:eastAsia="en-US"/>
    </w:rPr>
  </w:style>
  <w:style w:type="character" w:styleId="Hyperlink">
    <w:name w:val="Hyperlink"/>
    <w:basedOn w:val="DefaultParagraphFont"/>
    <w:unhideWhenUsed/>
    <w:rsid w:val="006B779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779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A62A69"/>
    <w:rPr>
      <w:rFonts w:ascii="Arial" w:hAnsi="Arial"/>
      <w:b/>
      <w:sz w:val="26"/>
    </w:rPr>
  </w:style>
  <w:style w:type="character" w:customStyle="1" w:styleId="ListBulletChar">
    <w:name w:val="List Bullet Char"/>
    <w:basedOn w:val="DefaultParagraphFont"/>
    <w:link w:val="ListBullet"/>
    <w:rsid w:val="004D0991"/>
    <w:rPr>
      <w:sz w:val="24"/>
    </w:rPr>
  </w:style>
  <w:style w:type="character" w:customStyle="1" w:styleId="FootnoteTextChar">
    <w:name w:val="Footnote Text Char"/>
    <w:basedOn w:val="DefaultParagraphFont"/>
    <w:link w:val="FootnoteText"/>
    <w:rsid w:val="004D099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C5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1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office\template2010\si\chapt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306F5-C21B-4C47-B42A-4D00B900F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chapter</Template>
  <TotalTime>60</TotalTime>
  <Pages>8</Pages>
  <Words>1578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Overcoming Indigenous Disadvantage Report 2020</vt:lpstr>
    </vt:vector>
  </TitlesOfParts>
  <Company>Productivity Commission</Company>
  <LinksUpToDate>false</LinksUpToDate>
  <CharactersWithSpaces>10585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Overcoming Indigenous Disadvantage Report 2020</dc:title>
  <dc:subject/>
  <dc:creator>Steering Committee for the Review of Government Service Provision</dc:creator>
  <cp:keywords/>
  <dc:description/>
  <cp:lastModifiedBy>McDonald, Andrew</cp:lastModifiedBy>
  <cp:revision>24</cp:revision>
  <cp:lastPrinted>2020-10-26T07:30:00Z</cp:lastPrinted>
  <dcterms:created xsi:type="dcterms:W3CDTF">2020-11-05T22:11:00Z</dcterms:created>
  <dcterms:modified xsi:type="dcterms:W3CDTF">2020-11-20T04:03:00Z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zotero-version="5.0.81"&gt;&lt;session id="NIV6OZov"/&gt;&lt;style id="http://www.zotero.org/styles/Productivity-Commission" hasBibliography="1" bibliographyStyleHasBeenSet="1"/&gt;&lt;prefs&gt;&lt;pref name="fieldType" value="Field"/&gt;&lt;pref name="storeRefe</vt:lpwstr>
  </property>
  <property fmtid="{D5CDD505-2E9C-101B-9397-08002B2CF9AE}" pid="3" name="ZOTERO_PREF_2">
    <vt:lpwstr>rences" value="true"/&gt;&lt;pref name="automaticJournalAbbreviations" value="true"/&gt;&lt;/prefs&gt;&lt;/data&gt;</vt:lpwstr>
  </property>
</Properties>
</file>