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4F3C3" w14:textId="77777777" w:rsidR="00A33DFF" w:rsidRDefault="00DB1DCF" w:rsidP="00DB1DCF">
      <w:pPr>
        <w:pStyle w:val="Heading1"/>
        <w:spacing w:before="0"/>
      </w:pPr>
      <w:bookmarkStart w:id="0" w:name="ChapterNumber"/>
      <w:bookmarkStart w:id="1" w:name="_GoBack"/>
      <w:bookmarkEnd w:id="1"/>
      <w:r>
        <w:t>1</w:t>
      </w:r>
      <w:bookmarkEnd w:id="0"/>
      <w:r>
        <w:tab/>
      </w:r>
      <w:bookmarkStart w:id="2" w:name="ChapterTitle"/>
      <w:r>
        <w:t>About this report</w:t>
      </w:r>
      <w:bookmarkEnd w:id="2"/>
    </w:p>
    <w:p w14:paraId="59187840" w14:textId="77777777" w:rsidR="00AE7384" w:rsidRPr="004F38CB" w:rsidRDefault="00AE7384">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372B87" w:rsidRPr="00372B87" w14:paraId="53332FE1" w14:textId="77777777" w:rsidTr="009F68F2">
        <w:tc>
          <w:tcPr>
            <w:tcW w:w="8789" w:type="dxa"/>
            <w:tcBorders>
              <w:top w:val="single" w:sz="6" w:space="0" w:color="78A22F"/>
              <w:left w:val="nil"/>
              <w:bottom w:val="nil"/>
              <w:right w:val="nil"/>
            </w:tcBorders>
            <w:shd w:val="clear" w:color="auto" w:fill="F2F2F2"/>
          </w:tcPr>
          <w:p w14:paraId="1ACA051F" w14:textId="77777777" w:rsidR="00AE7384" w:rsidRPr="00372B87" w:rsidRDefault="00AA0C23" w:rsidP="009F68F2">
            <w:pPr>
              <w:pStyle w:val="BoxTitle"/>
              <w:jc w:val="both"/>
            </w:pPr>
            <w:r>
              <w:t xml:space="preserve">In this report we use the term </w:t>
            </w:r>
            <w:r w:rsidR="006E7A98">
              <w:t>‘</w:t>
            </w:r>
            <w:r>
              <w:t>A</w:t>
            </w:r>
            <w:r w:rsidR="00AE7384" w:rsidRPr="00372B87">
              <w:t xml:space="preserve">boriginal and Torres Strait Islander </w:t>
            </w:r>
            <w:r>
              <w:t>people</w:t>
            </w:r>
            <w:r w:rsidR="006E7A98">
              <w:t>’</w:t>
            </w:r>
          </w:p>
        </w:tc>
      </w:tr>
      <w:tr w:rsidR="00372B87" w:rsidRPr="00372B87" w14:paraId="1661C64E" w14:textId="77777777" w:rsidTr="009F68F2">
        <w:trPr>
          <w:cantSplit/>
        </w:trPr>
        <w:tc>
          <w:tcPr>
            <w:tcW w:w="8789" w:type="dxa"/>
            <w:tcBorders>
              <w:top w:val="nil"/>
              <w:left w:val="nil"/>
              <w:bottom w:val="nil"/>
              <w:right w:val="nil"/>
            </w:tcBorders>
            <w:shd w:val="clear" w:color="auto" w:fill="F2F2F2"/>
          </w:tcPr>
          <w:p w14:paraId="6DC0BEBA" w14:textId="464B66D5" w:rsidR="00AE7384" w:rsidRPr="00372B87" w:rsidRDefault="00077B73" w:rsidP="00B050B0">
            <w:pPr>
              <w:pStyle w:val="Box"/>
            </w:pPr>
            <w:r>
              <w:t>T</w:t>
            </w:r>
            <w:r w:rsidR="00AE7384" w:rsidRPr="00372B87">
              <w:t xml:space="preserve">his report generally uses the term ‘Aboriginal and Torres Strait Islander </w:t>
            </w:r>
            <w:r w:rsidR="00B64EEE">
              <w:t>people</w:t>
            </w:r>
            <w:r w:rsidR="00B64EEE" w:rsidRPr="00372B87">
              <w:t xml:space="preserve">’ </w:t>
            </w:r>
            <w:r w:rsidR="00AE7384" w:rsidRPr="00372B87">
              <w:t xml:space="preserve">to describe </w:t>
            </w:r>
            <w:r w:rsidR="00BC1C5C">
              <w:t>F</w:t>
            </w:r>
            <w:r w:rsidR="00AE7384" w:rsidRPr="00372B87">
              <w:t xml:space="preserve">irst </w:t>
            </w:r>
            <w:r w:rsidR="00BC1C5C">
              <w:t>P</w:t>
            </w:r>
            <w:r w:rsidR="00AE7384" w:rsidRPr="00372B87">
              <w:t xml:space="preserve">eoples </w:t>
            </w:r>
            <w:r w:rsidR="00BC1C5C">
              <w:t>of Australia</w:t>
            </w:r>
            <w:r w:rsidR="00BC1C5C" w:rsidRPr="00372B87">
              <w:t xml:space="preserve"> </w:t>
            </w:r>
            <w:r w:rsidR="00AE7384" w:rsidRPr="00372B87">
              <w:t>and ‘non</w:t>
            </w:r>
            <w:r w:rsidR="00E4541B">
              <w:noBreakHyphen/>
            </w:r>
            <w:r w:rsidR="00AE7384" w:rsidRPr="00372B87">
              <w:t xml:space="preserve">Indigenous </w:t>
            </w:r>
            <w:r w:rsidR="00B64EEE">
              <w:t>people</w:t>
            </w:r>
            <w:r w:rsidR="00B64EEE" w:rsidRPr="00372B87">
              <w:t xml:space="preserve">’ </w:t>
            </w:r>
            <w:r w:rsidR="00AE7384" w:rsidRPr="00372B87">
              <w:t>to refer to Australians of other backgrounds.</w:t>
            </w:r>
          </w:p>
        </w:tc>
      </w:tr>
      <w:tr w:rsidR="00372B87" w:rsidRPr="00372B87" w14:paraId="108C4921" w14:textId="77777777" w:rsidTr="009F68F2">
        <w:trPr>
          <w:cantSplit/>
        </w:trPr>
        <w:tc>
          <w:tcPr>
            <w:tcW w:w="8789" w:type="dxa"/>
            <w:tcBorders>
              <w:top w:val="nil"/>
              <w:left w:val="nil"/>
              <w:bottom w:val="single" w:sz="6" w:space="0" w:color="78A22F"/>
              <w:right w:val="nil"/>
            </w:tcBorders>
            <w:shd w:val="clear" w:color="auto" w:fill="F2F2F2"/>
          </w:tcPr>
          <w:p w14:paraId="400164FE" w14:textId="77777777" w:rsidR="00AE7384" w:rsidRPr="00372B87" w:rsidRDefault="00AE7384">
            <w:pPr>
              <w:pStyle w:val="Box"/>
              <w:spacing w:before="0" w:line="120" w:lineRule="exact"/>
            </w:pPr>
          </w:p>
        </w:tc>
      </w:tr>
      <w:tr w:rsidR="00372B87" w:rsidRPr="00372B87" w14:paraId="18DE8893" w14:textId="77777777" w:rsidTr="009F68F2">
        <w:tc>
          <w:tcPr>
            <w:tcW w:w="8789" w:type="dxa"/>
            <w:tcBorders>
              <w:top w:val="single" w:sz="6" w:space="0" w:color="78A22F"/>
              <w:left w:val="nil"/>
              <w:bottom w:val="nil"/>
              <w:right w:val="nil"/>
            </w:tcBorders>
          </w:tcPr>
          <w:p w14:paraId="70DE3D32" w14:textId="77777777" w:rsidR="00AE7384" w:rsidRPr="00372B87" w:rsidRDefault="00AE7384" w:rsidP="00B31E15">
            <w:pPr>
              <w:pStyle w:val="BoxSpaceBelow"/>
              <w:rPr>
                <w:color w:val="00B050"/>
              </w:rPr>
            </w:pPr>
          </w:p>
        </w:tc>
      </w:tr>
    </w:tbl>
    <w:p w14:paraId="2C2A27FA" w14:textId="77777777" w:rsidR="0034653D" w:rsidRDefault="001F1CD5" w:rsidP="00C531FB">
      <w:pPr>
        <w:pStyle w:val="BodyText"/>
      </w:pPr>
      <w:bookmarkStart w:id="3" w:name="begin"/>
      <w:bookmarkEnd w:id="3"/>
      <w:r w:rsidRPr="00372B87">
        <w:t xml:space="preserve">This is the </w:t>
      </w:r>
      <w:r w:rsidR="00077B73">
        <w:t>eight</w:t>
      </w:r>
      <w:r w:rsidR="00A34363">
        <w:t>h</w:t>
      </w:r>
      <w:r w:rsidR="009A586E" w:rsidRPr="00372B87">
        <w:t xml:space="preserve"> </w:t>
      </w:r>
      <w:r w:rsidRPr="00372B87">
        <w:t xml:space="preserve">report in the Overcoming Indigenous Disadvantage (OID) series. </w:t>
      </w:r>
      <w:r w:rsidR="00B24489" w:rsidRPr="00F52FB7">
        <w:t xml:space="preserve">The information in this report provides a high level view of the wellbeing of Aboriginal and Torres Strait Islander </w:t>
      </w:r>
      <w:r w:rsidR="000F2139">
        <w:t>people</w:t>
      </w:r>
      <w:r w:rsidR="00B24489" w:rsidRPr="00F52FB7">
        <w:t xml:space="preserve">. It identifies where progress is being made and draws attention to where more </w:t>
      </w:r>
      <w:r w:rsidR="00AE5F45">
        <w:t xml:space="preserve">work </w:t>
      </w:r>
      <w:r w:rsidR="00B24489" w:rsidRPr="00F52FB7">
        <w:t>is needed.</w:t>
      </w:r>
      <w:r w:rsidR="009C0A18">
        <w:t xml:space="preserve"> </w:t>
      </w:r>
    </w:p>
    <w:p w14:paraId="684C5A9D" w14:textId="4EB6859C" w:rsidR="00DB26D2" w:rsidRPr="003A317F" w:rsidRDefault="001F1CD5" w:rsidP="00C531FB">
      <w:pPr>
        <w:pStyle w:val="BodyText"/>
        <w:rPr>
          <w:color w:val="000000" w:themeColor="text1"/>
        </w:rPr>
      </w:pPr>
      <w:r w:rsidRPr="00087E18">
        <w:t>Section</w:t>
      </w:r>
      <w:r w:rsidR="00E4541B">
        <w:t> </w:t>
      </w:r>
      <w:r w:rsidRPr="00087E18">
        <w:t xml:space="preserve">1.1 </w:t>
      </w:r>
      <w:r w:rsidR="0094285E">
        <w:t xml:space="preserve">outlines </w:t>
      </w:r>
      <w:r w:rsidR="001252EE">
        <w:t>what is in this edition of the</w:t>
      </w:r>
      <w:r w:rsidR="0094285E">
        <w:t xml:space="preserve"> OID report</w:t>
      </w:r>
      <w:r w:rsidR="0034653D">
        <w:t>. S</w:t>
      </w:r>
      <w:r w:rsidRPr="003A317F">
        <w:rPr>
          <w:color w:val="000000" w:themeColor="text1"/>
        </w:rPr>
        <w:t>ection</w:t>
      </w:r>
      <w:r w:rsidR="0034653D">
        <w:rPr>
          <w:color w:val="000000" w:themeColor="text1"/>
        </w:rPr>
        <w:t>s</w:t>
      </w:r>
      <w:r w:rsidR="00E4541B">
        <w:rPr>
          <w:color w:val="000000" w:themeColor="text1"/>
        </w:rPr>
        <w:t> </w:t>
      </w:r>
      <w:r w:rsidRPr="003A317F">
        <w:rPr>
          <w:color w:val="000000" w:themeColor="text1"/>
        </w:rPr>
        <w:t>1.</w:t>
      </w:r>
      <w:r w:rsidR="00077B73">
        <w:rPr>
          <w:color w:val="000000" w:themeColor="text1"/>
        </w:rPr>
        <w:t>2</w:t>
      </w:r>
      <w:r w:rsidR="0034653D">
        <w:rPr>
          <w:color w:val="000000" w:themeColor="text1"/>
        </w:rPr>
        <w:t xml:space="preserve"> and</w:t>
      </w:r>
      <w:r w:rsidR="00E4541B">
        <w:rPr>
          <w:color w:val="000000" w:themeColor="text1"/>
        </w:rPr>
        <w:t> </w:t>
      </w:r>
      <w:r w:rsidR="0034653D">
        <w:rPr>
          <w:color w:val="000000" w:themeColor="text1"/>
        </w:rPr>
        <w:t>1.3 provide context for the material in this report</w:t>
      </w:r>
      <w:r w:rsidR="006E7A98">
        <w:rPr>
          <w:color w:val="000000" w:themeColor="text1"/>
        </w:rPr>
        <w:t>:</w:t>
      </w:r>
      <w:r w:rsidR="0034653D">
        <w:rPr>
          <w:color w:val="000000" w:themeColor="text1"/>
        </w:rPr>
        <w:t xml:space="preserve"> section</w:t>
      </w:r>
      <w:r w:rsidR="00E4541B">
        <w:rPr>
          <w:color w:val="000000" w:themeColor="text1"/>
        </w:rPr>
        <w:t> </w:t>
      </w:r>
      <w:r w:rsidR="0034653D">
        <w:rPr>
          <w:color w:val="000000" w:themeColor="text1"/>
        </w:rPr>
        <w:t>1.2</w:t>
      </w:r>
      <w:r w:rsidR="00077B73" w:rsidRPr="003A317F">
        <w:rPr>
          <w:color w:val="000000" w:themeColor="text1"/>
        </w:rPr>
        <w:t xml:space="preserve"> </w:t>
      </w:r>
      <w:r w:rsidR="0094285E">
        <w:rPr>
          <w:color w:val="000000" w:themeColor="text1"/>
        </w:rPr>
        <w:t xml:space="preserve">provides </w:t>
      </w:r>
      <w:r w:rsidRPr="003A317F">
        <w:rPr>
          <w:color w:val="000000" w:themeColor="text1"/>
        </w:rPr>
        <w:t>a brief historical narrative</w:t>
      </w:r>
      <w:r w:rsidR="0034653D">
        <w:rPr>
          <w:color w:val="000000" w:themeColor="text1"/>
        </w:rPr>
        <w:t xml:space="preserve"> from colonisation to the current day</w:t>
      </w:r>
      <w:r w:rsidRPr="003A317F">
        <w:rPr>
          <w:color w:val="000000" w:themeColor="text1"/>
        </w:rPr>
        <w:t xml:space="preserve"> </w:t>
      </w:r>
      <w:r w:rsidR="0034653D">
        <w:rPr>
          <w:color w:val="000000" w:themeColor="text1"/>
        </w:rPr>
        <w:t>and s</w:t>
      </w:r>
      <w:r w:rsidR="00247ABF">
        <w:rPr>
          <w:color w:val="000000" w:themeColor="text1"/>
        </w:rPr>
        <w:t>ection</w:t>
      </w:r>
      <w:r w:rsidR="00E4541B">
        <w:rPr>
          <w:color w:val="000000" w:themeColor="text1"/>
        </w:rPr>
        <w:t> </w:t>
      </w:r>
      <w:r w:rsidR="00247ABF">
        <w:rPr>
          <w:color w:val="000000" w:themeColor="text1"/>
        </w:rPr>
        <w:t xml:space="preserve">1.3 provides a </w:t>
      </w:r>
      <w:r w:rsidR="0034653D">
        <w:rPr>
          <w:color w:val="000000" w:themeColor="text1"/>
        </w:rPr>
        <w:t xml:space="preserve">short </w:t>
      </w:r>
      <w:r w:rsidR="00247ABF">
        <w:rPr>
          <w:color w:val="000000" w:themeColor="text1"/>
        </w:rPr>
        <w:t>p</w:t>
      </w:r>
      <w:r w:rsidR="00247ABF" w:rsidRPr="00247ABF">
        <w:rPr>
          <w:color w:val="000000" w:themeColor="text1"/>
        </w:rPr>
        <w:t>rofile of the Aboriginal and Torres Strait Islander population</w:t>
      </w:r>
      <w:r w:rsidR="0034653D">
        <w:rPr>
          <w:color w:val="000000" w:themeColor="text1"/>
        </w:rPr>
        <w:t xml:space="preserve"> today</w:t>
      </w:r>
      <w:r w:rsidR="00247ABF">
        <w:rPr>
          <w:color w:val="000000" w:themeColor="text1"/>
        </w:rPr>
        <w:t>.</w:t>
      </w:r>
    </w:p>
    <w:p w14:paraId="543D2D19" w14:textId="12236D6F" w:rsidR="001F1CD5" w:rsidRPr="00434B81" w:rsidRDefault="00DB1DCF">
      <w:pPr>
        <w:pStyle w:val="Heading2"/>
      </w:pPr>
      <w:r>
        <w:t>1.</w:t>
      </w:r>
      <w:r w:rsidR="00E4541B">
        <w:rPr>
          <w:noProof/>
        </w:rPr>
        <w:t>1</w:t>
      </w:r>
      <w:r w:rsidR="009C0A18">
        <w:tab/>
      </w:r>
      <w:r w:rsidR="008A72BC">
        <w:t>About this edition of the OID report</w:t>
      </w:r>
    </w:p>
    <w:p w14:paraId="49F7FFC8" w14:textId="77777777" w:rsidR="004D7C96" w:rsidRPr="00434B81" w:rsidRDefault="00962AE9" w:rsidP="004D7C96">
      <w:pPr>
        <w:pStyle w:val="BodyText"/>
      </w:pPr>
      <w:r>
        <w:t>The Council of Australian Governments (</w:t>
      </w:r>
      <w:r w:rsidR="00A34363">
        <w:t>COAG</w:t>
      </w:r>
      <w:r>
        <w:t>) commissioned the OID report in 2002</w:t>
      </w:r>
      <w:r w:rsidRPr="008B547C">
        <w:rPr>
          <w:rStyle w:val="FootnoteReference"/>
        </w:rPr>
        <w:footnoteReference w:id="1"/>
      </w:r>
      <w:r>
        <w:t>, and</w:t>
      </w:r>
      <w:r w:rsidR="00A34363">
        <w:t xml:space="preserve"> nominated </w:t>
      </w:r>
      <w:r w:rsidR="004D7C96" w:rsidRPr="00434B81">
        <w:t>two</w:t>
      </w:r>
      <w:r w:rsidR="00A34363">
        <w:t xml:space="preserve"> core</w:t>
      </w:r>
      <w:r w:rsidR="00077B73" w:rsidRPr="00434B81">
        <w:t xml:space="preserve"> </w:t>
      </w:r>
      <w:r w:rsidR="004D7C96" w:rsidRPr="00434B81">
        <w:t>objectives for the report:</w:t>
      </w:r>
    </w:p>
    <w:p w14:paraId="4A1C847B" w14:textId="77777777" w:rsidR="004D7C96" w:rsidRPr="00434B81" w:rsidRDefault="004D7C96" w:rsidP="004D7C96">
      <w:pPr>
        <w:pStyle w:val="ListBullet"/>
      </w:pPr>
      <w:r w:rsidRPr="00434B81">
        <w:t xml:space="preserve">to inform Australian governments about whether policy programs and interventions are achieving improved outcomes for Aboriginal and Torres Strait Islander </w:t>
      </w:r>
      <w:r w:rsidR="00077B73">
        <w:t>people</w:t>
      </w:r>
    </w:p>
    <w:p w14:paraId="431340F2" w14:textId="77777777" w:rsidR="004D7C96" w:rsidRPr="00434B81" w:rsidRDefault="004D7C96" w:rsidP="004D7C96">
      <w:pPr>
        <w:pStyle w:val="ListBullet"/>
      </w:pPr>
      <w:r w:rsidRPr="00434B81">
        <w:t xml:space="preserve">to be meaningful to Aboriginal and Torres Strait Islander </w:t>
      </w:r>
      <w:r w:rsidR="00077B73">
        <w:t>people</w:t>
      </w:r>
      <w:r w:rsidRPr="00434B81">
        <w:t xml:space="preserve">. </w:t>
      </w:r>
    </w:p>
    <w:p w14:paraId="54AF4AB8" w14:textId="77777777" w:rsidR="0094285E" w:rsidRDefault="0094285E" w:rsidP="00B24489">
      <w:pPr>
        <w:pStyle w:val="BodyText"/>
      </w:pPr>
      <w:r>
        <w:t>The report therefore aims to be more than a collection of data</w:t>
      </w:r>
      <w:r w:rsidR="006E7A98">
        <w:t>:</w:t>
      </w:r>
      <w:r>
        <w:t xml:space="preserve"> it aims to </w:t>
      </w:r>
      <w:r w:rsidR="006E7A98">
        <w:t xml:space="preserve">be </w:t>
      </w:r>
      <w:r>
        <w:t>a practical tool for both government agencies and Aboriginal and Torres Strait Islander people and organisations.</w:t>
      </w:r>
    </w:p>
    <w:p w14:paraId="63D267A2" w14:textId="77777777" w:rsidR="00E002FA" w:rsidRPr="00242193" w:rsidRDefault="00B24489" w:rsidP="00CD6AA1">
      <w:pPr>
        <w:pStyle w:val="BodyText"/>
      </w:pPr>
      <w:r>
        <w:t>This</w:t>
      </w:r>
      <w:r w:rsidR="00811E61">
        <w:t xml:space="preserve"> edition of the </w:t>
      </w:r>
      <w:r w:rsidR="00E002FA" w:rsidRPr="00AA55E0">
        <w:t xml:space="preserve">report </w:t>
      </w:r>
      <w:r>
        <w:t xml:space="preserve">seeks to </w:t>
      </w:r>
      <w:r w:rsidR="008E5C9E" w:rsidRPr="00AA55E0">
        <w:t>identify</w:t>
      </w:r>
      <w:r w:rsidR="008E5C9E">
        <w:t xml:space="preserve"> the </w:t>
      </w:r>
      <w:r w:rsidR="008E5C9E" w:rsidRPr="00AA55E0">
        <w:t xml:space="preserve">significant </w:t>
      </w:r>
      <w:r w:rsidR="008E5C9E">
        <w:t xml:space="preserve">strengths of, and </w:t>
      </w:r>
      <w:r w:rsidR="008E5C9E" w:rsidRPr="00AA55E0">
        <w:t>sources of wellbeing</w:t>
      </w:r>
      <w:r w:rsidR="008E5C9E">
        <w:t xml:space="preserve"> for, </w:t>
      </w:r>
      <w:r w:rsidR="008E5C9E" w:rsidRPr="00AA55E0">
        <w:t xml:space="preserve">Aboriginal and Torres Strait Islander </w:t>
      </w:r>
      <w:r w:rsidR="008E5C9E">
        <w:t xml:space="preserve">people </w:t>
      </w:r>
      <w:r w:rsidR="006E7A98">
        <w:t xml:space="preserve">—  </w:t>
      </w:r>
      <w:r w:rsidR="008E5C9E">
        <w:t xml:space="preserve">and </w:t>
      </w:r>
      <w:r w:rsidR="006E7A98">
        <w:t xml:space="preserve">to </w:t>
      </w:r>
      <w:r>
        <w:t>illustrate</w:t>
      </w:r>
      <w:r w:rsidR="00E002FA" w:rsidRPr="00AA55E0">
        <w:t xml:space="preserve"> the nature of the disadvantage </w:t>
      </w:r>
      <w:r w:rsidR="006E7A98">
        <w:t>they experience</w:t>
      </w:r>
      <w:r w:rsidR="008E5C9E">
        <w:t>, focusing on the</w:t>
      </w:r>
      <w:r w:rsidR="00811E61">
        <w:t xml:space="preserve"> key structural and systemic </w:t>
      </w:r>
      <w:r w:rsidR="009A6B25">
        <w:t>barriers</w:t>
      </w:r>
      <w:r w:rsidR="00811E61">
        <w:t xml:space="preserve"> that contribute to this disadv</w:t>
      </w:r>
      <w:r>
        <w:t>an</w:t>
      </w:r>
      <w:r w:rsidR="00811E61">
        <w:t>tage</w:t>
      </w:r>
      <w:r w:rsidR="008E5C9E">
        <w:t xml:space="preserve">. </w:t>
      </w:r>
      <w:r w:rsidRPr="00F52FB7">
        <w:t>The framework of indicators</w:t>
      </w:r>
      <w:r w:rsidR="008D52CC">
        <w:t xml:space="preserve"> focuses on</w:t>
      </w:r>
      <w:r w:rsidRPr="00F52FB7">
        <w:t xml:space="preserve"> </w:t>
      </w:r>
      <w:r w:rsidR="008A72BC">
        <w:t xml:space="preserve">some of the </w:t>
      </w:r>
      <w:r w:rsidRPr="00F52FB7">
        <w:t xml:space="preserve">factors that </w:t>
      </w:r>
      <w:r w:rsidR="008E5C9E" w:rsidRPr="00F52FB7">
        <w:t>contribute</w:t>
      </w:r>
      <w:r w:rsidR="008E5C9E">
        <w:t>d</w:t>
      </w:r>
      <w:r w:rsidR="008E5C9E" w:rsidRPr="00F52FB7">
        <w:t xml:space="preserve"> to </w:t>
      </w:r>
      <w:r w:rsidR="008E5C9E">
        <w:t xml:space="preserve">their </w:t>
      </w:r>
      <w:r w:rsidR="008E5C9E" w:rsidRPr="00F52FB7">
        <w:t xml:space="preserve">wellbeing </w:t>
      </w:r>
      <w:r w:rsidR="008E5C9E">
        <w:t xml:space="preserve">or that </w:t>
      </w:r>
      <w:r w:rsidR="00574701">
        <w:t xml:space="preserve">cause </w:t>
      </w:r>
      <w:r w:rsidR="000F2139">
        <w:t xml:space="preserve">the </w:t>
      </w:r>
      <w:r w:rsidR="00574701">
        <w:t xml:space="preserve">disadvantage </w:t>
      </w:r>
      <w:r w:rsidR="008A72BC">
        <w:t xml:space="preserve">they </w:t>
      </w:r>
      <w:r w:rsidR="000F2139">
        <w:t>experience</w:t>
      </w:r>
      <w:r w:rsidR="006E7A98">
        <w:t>,</w:t>
      </w:r>
      <w:r w:rsidR="000F2139">
        <w:t xml:space="preserve"> </w:t>
      </w:r>
      <w:r w:rsidRPr="00F52FB7">
        <w:t>th</w:t>
      </w:r>
      <w:r w:rsidR="00574701">
        <w:t>e</w:t>
      </w:r>
      <w:r w:rsidRPr="00F52FB7">
        <w:t xml:space="preserve">se </w:t>
      </w:r>
      <w:r w:rsidR="00574701">
        <w:t xml:space="preserve">factors </w:t>
      </w:r>
      <w:r w:rsidR="008D52CC">
        <w:t>were</w:t>
      </w:r>
      <w:r w:rsidR="006E7A98">
        <w:t xml:space="preserve"> selected based</w:t>
      </w:r>
      <w:r w:rsidR="00574701">
        <w:t xml:space="preserve"> on </w:t>
      </w:r>
      <w:r w:rsidRPr="00F52FB7">
        <w:t xml:space="preserve">evidence, logic and </w:t>
      </w:r>
      <w:r w:rsidR="00574701">
        <w:t xml:space="preserve">where </w:t>
      </w:r>
      <w:r w:rsidRPr="00F52FB7">
        <w:t>experience suggest</w:t>
      </w:r>
      <w:r w:rsidR="00574701">
        <w:t>s</w:t>
      </w:r>
      <w:r w:rsidRPr="00F52FB7">
        <w:t xml:space="preserve"> that targeted policies will have the greatest impact.</w:t>
      </w:r>
      <w:r w:rsidRPr="00B24489">
        <w:t xml:space="preserve"> </w:t>
      </w:r>
      <w:r>
        <w:t>T</w:t>
      </w:r>
      <w:r w:rsidR="00574701">
        <w:t xml:space="preserve">he </w:t>
      </w:r>
      <w:r w:rsidR="0035741B">
        <w:t>indicators are</w:t>
      </w:r>
      <w:r w:rsidR="00574701">
        <w:t xml:space="preserve"> supplemented by additional </w:t>
      </w:r>
      <w:r w:rsidR="00574701">
        <w:lastRenderedPageBreak/>
        <w:t xml:space="preserve">research on </w:t>
      </w:r>
      <w:r w:rsidR="00574701" w:rsidRPr="00574701">
        <w:t>structural and syst</w:t>
      </w:r>
      <w:r w:rsidR="00574701">
        <w:t>emic barriers that contribute to</w:t>
      </w:r>
      <w:r w:rsidR="00B050B0">
        <w:t>,</w:t>
      </w:r>
      <w:r w:rsidR="00574701" w:rsidRPr="00574701">
        <w:t xml:space="preserve"> </w:t>
      </w:r>
      <w:r w:rsidR="000F2139">
        <w:t>or maintain</w:t>
      </w:r>
      <w:r w:rsidR="00B050B0">
        <w:t>,</w:t>
      </w:r>
      <w:r w:rsidR="000F2139">
        <w:t xml:space="preserve"> the </w:t>
      </w:r>
      <w:r w:rsidR="00574701" w:rsidRPr="00574701">
        <w:t>disadvantage</w:t>
      </w:r>
      <w:r w:rsidR="00574701">
        <w:t xml:space="preserve"> </w:t>
      </w:r>
      <w:r w:rsidR="000F2139">
        <w:t xml:space="preserve">experienced </w:t>
      </w:r>
      <w:r w:rsidR="00B050B0">
        <w:t>by Aboriginal and Torres Strait Islander people</w:t>
      </w:r>
      <w:r w:rsidR="006E7A98">
        <w:t>,</w:t>
      </w:r>
      <w:r w:rsidR="00B050B0">
        <w:t xml:space="preserve"> </w:t>
      </w:r>
      <w:r w:rsidR="00574701">
        <w:t>and</w:t>
      </w:r>
      <w:r w:rsidR="006E7A98">
        <w:t xml:space="preserve"> </w:t>
      </w:r>
      <w:r w:rsidR="00B050B0">
        <w:t xml:space="preserve">where </w:t>
      </w:r>
      <w:r w:rsidR="00574701">
        <w:t>government</w:t>
      </w:r>
      <w:r w:rsidR="000F2139">
        <w:t>s</w:t>
      </w:r>
      <w:r w:rsidR="00574701">
        <w:t xml:space="preserve"> </w:t>
      </w:r>
      <w:r w:rsidR="000F2139">
        <w:t>may have a role in removing</w:t>
      </w:r>
      <w:r w:rsidR="00B050B0">
        <w:t xml:space="preserve"> barriers</w:t>
      </w:r>
      <w:r w:rsidR="00574701">
        <w:t>.</w:t>
      </w:r>
    </w:p>
    <w:p w14:paraId="19DE962F" w14:textId="2449BF06" w:rsidR="00E002FA" w:rsidRPr="0043323E" w:rsidRDefault="0043323E" w:rsidP="00E002FA">
      <w:pPr>
        <w:pStyle w:val="BodyText"/>
      </w:pPr>
      <w:r>
        <w:t>T</w:t>
      </w:r>
      <w:r w:rsidR="00E002FA" w:rsidRPr="0043323E">
        <w:t xml:space="preserve">his report concentrates on outcomes at the </w:t>
      </w:r>
      <w:r w:rsidR="00A312AC">
        <w:t>n</w:t>
      </w:r>
      <w:r w:rsidR="00E002FA" w:rsidRPr="0043323E">
        <w:t>ational</w:t>
      </w:r>
      <w:r w:rsidR="00A312AC">
        <w:t>,</w:t>
      </w:r>
      <w:r w:rsidR="00E002FA" w:rsidRPr="0043323E">
        <w:t xml:space="preserve"> </w:t>
      </w:r>
      <w:r w:rsidR="00A76C75">
        <w:t>s</w:t>
      </w:r>
      <w:r w:rsidR="00E002FA" w:rsidRPr="0043323E">
        <w:t xml:space="preserve">tate </w:t>
      </w:r>
      <w:r w:rsidR="00FD1542">
        <w:t>and</w:t>
      </w:r>
      <w:r w:rsidR="00A312AC">
        <w:t xml:space="preserve"> </w:t>
      </w:r>
      <w:r w:rsidR="00A76C75">
        <w:t>t</w:t>
      </w:r>
      <w:r w:rsidR="00E002FA" w:rsidRPr="0043323E">
        <w:t xml:space="preserve">erritory level. </w:t>
      </w:r>
      <w:r>
        <w:t>While a</w:t>
      </w:r>
      <w:r w:rsidR="00E002FA" w:rsidRPr="0043323E">
        <w:t xml:space="preserve"> focus on what is happening at the aggregate level is important, to help ensure </w:t>
      </w:r>
      <w:r w:rsidR="006E7A98">
        <w:t xml:space="preserve">that </w:t>
      </w:r>
      <w:r w:rsidR="00E002FA" w:rsidRPr="0043323E">
        <w:t xml:space="preserve">the underlying </w:t>
      </w:r>
      <w:r w:rsidR="008E5C9E" w:rsidRPr="0043323E">
        <w:t xml:space="preserve">foundations of wellbeing </w:t>
      </w:r>
      <w:r w:rsidR="008E5C9E">
        <w:t xml:space="preserve">and </w:t>
      </w:r>
      <w:r w:rsidR="00E002FA" w:rsidRPr="0043323E">
        <w:t>causes of disadvantage are being addressed</w:t>
      </w:r>
      <w:r>
        <w:t xml:space="preserve"> at a broader policy level, it has some limitations</w:t>
      </w:r>
      <w:r w:rsidR="00E002FA" w:rsidRPr="0043323E">
        <w:t>.</w:t>
      </w:r>
    </w:p>
    <w:p w14:paraId="0B3444DF" w14:textId="6C16D5CA" w:rsidR="00E002FA" w:rsidRPr="00802BA5" w:rsidRDefault="00E002FA" w:rsidP="00802BA5">
      <w:pPr>
        <w:pStyle w:val="ListBullet"/>
      </w:pPr>
      <w:r w:rsidRPr="0043323E">
        <w:t xml:space="preserve">Aboriginal and Torres Strait Islander cultures and experiences </w:t>
      </w:r>
      <w:r w:rsidR="0043323E">
        <w:t>are diverse</w:t>
      </w:r>
      <w:r w:rsidR="006E7A98">
        <w:t xml:space="preserve"> — </w:t>
      </w:r>
      <w:r w:rsidR="0043323E">
        <w:t>and</w:t>
      </w:r>
      <w:r w:rsidRPr="0043323E">
        <w:t xml:space="preserve"> outcomes can vary markedly by </w:t>
      </w:r>
      <w:r w:rsidR="00D308D0">
        <w:t xml:space="preserve">readily measured factors such as </w:t>
      </w:r>
      <w:r w:rsidRPr="0043323E">
        <w:t>geography, age, sex</w:t>
      </w:r>
      <w:r w:rsidR="00D308D0">
        <w:t xml:space="preserve"> and</w:t>
      </w:r>
      <w:r w:rsidRPr="0043323E">
        <w:t xml:space="preserve"> employment </w:t>
      </w:r>
      <w:r w:rsidR="00096873" w:rsidRPr="0043323E">
        <w:t>status</w:t>
      </w:r>
      <w:r w:rsidR="00D308D0">
        <w:t>,</w:t>
      </w:r>
      <w:r w:rsidR="00096873" w:rsidRPr="0043323E">
        <w:t xml:space="preserve"> </w:t>
      </w:r>
      <w:r w:rsidRPr="0043323E">
        <w:t xml:space="preserve">and other </w:t>
      </w:r>
      <w:r w:rsidR="00D308D0">
        <w:t xml:space="preserve">less easily measured </w:t>
      </w:r>
      <w:r w:rsidRPr="0043323E">
        <w:t>factors</w:t>
      </w:r>
      <w:r w:rsidR="00D308D0">
        <w:t xml:space="preserve"> such as connection to Country</w:t>
      </w:r>
      <w:r w:rsidR="00AA0C23">
        <w:t>. T</w:t>
      </w:r>
      <w:r w:rsidR="00A76C75">
        <w:t>hroughout this R</w:t>
      </w:r>
      <w:r w:rsidRPr="0043323E">
        <w:t xml:space="preserve">eport, outcomes are presented by remoteness and other </w:t>
      </w:r>
      <w:r w:rsidR="00D308D0">
        <w:t xml:space="preserve">measured </w:t>
      </w:r>
      <w:r w:rsidRPr="0043323E">
        <w:t>characteristics wherever possible</w:t>
      </w:r>
      <w:r w:rsidR="00AA0C23">
        <w:t>.</w:t>
      </w:r>
      <w:r w:rsidRPr="00802BA5">
        <w:t xml:space="preserve"> </w:t>
      </w:r>
    </w:p>
    <w:p w14:paraId="6F42D089" w14:textId="13742FE6" w:rsidR="0043323E" w:rsidRPr="00802BA5" w:rsidRDefault="0043323E" w:rsidP="00802BA5">
      <w:pPr>
        <w:pStyle w:val="ListBullet"/>
      </w:pPr>
      <w:r w:rsidRPr="00802BA5">
        <w:t>The strengths and needs of the Aboriginal and Torres Strait Islander population differ across sub</w:t>
      </w:r>
      <w:r w:rsidR="00E4541B">
        <w:noBreakHyphen/>
      </w:r>
      <w:r w:rsidRPr="00802BA5">
        <w:t>groups and regions</w:t>
      </w:r>
      <w:r w:rsidR="006E7A98">
        <w:t>;</w:t>
      </w:r>
      <w:r w:rsidRPr="00802BA5">
        <w:t xml:space="preserve"> </w:t>
      </w:r>
      <w:r w:rsidR="00DF77D9">
        <w:t>this means that</w:t>
      </w:r>
      <w:r w:rsidR="005B7902" w:rsidRPr="00802BA5">
        <w:t xml:space="preserve"> </w:t>
      </w:r>
      <w:r w:rsidRPr="00802BA5">
        <w:t xml:space="preserve">there are significant differences within and between Aboriginal </w:t>
      </w:r>
      <w:r w:rsidR="005B7902" w:rsidRPr="00802BA5">
        <w:t>people</w:t>
      </w:r>
      <w:r w:rsidRPr="00802BA5">
        <w:t xml:space="preserve"> and Torres Strait Islander </w:t>
      </w:r>
      <w:r w:rsidR="005B7902" w:rsidRPr="00802BA5">
        <w:t>people</w:t>
      </w:r>
      <w:r w:rsidRPr="00802BA5">
        <w:t>. The relatively small number of Torres Strait Islander people makes it difficult to report about them separately, but available data are summarised in chapter 12</w:t>
      </w:r>
      <w:r w:rsidR="00DF77D9">
        <w:t xml:space="preserve"> </w:t>
      </w:r>
      <w:r w:rsidR="00DF77D9" w:rsidRPr="00952AD8">
        <w:rPr>
          <w:i/>
        </w:rPr>
        <w:t>Outcomes for Torres Strait Islander people</w:t>
      </w:r>
      <w:r w:rsidR="00DF77D9">
        <w:t>.</w:t>
      </w:r>
    </w:p>
    <w:p w14:paraId="71471A71" w14:textId="7B248ECC" w:rsidR="0043323E" w:rsidRDefault="0043323E">
      <w:pPr>
        <w:pStyle w:val="BodyText"/>
      </w:pPr>
      <w:r w:rsidRPr="00802BA5">
        <w:t xml:space="preserve">Given </w:t>
      </w:r>
      <w:r>
        <w:t>these limitations</w:t>
      </w:r>
      <w:r w:rsidRPr="00802BA5">
        <w:t>,</w:t>
      </w:r>
      <w:r w:rsidR="00F51DC8">
        <w:rPr>
          <w:color w:val="FF0000"/>
        </w:rPr>
        <w:t xml:space="preserve"> </w:t>
      </w:r>
      <w:r w:rsidRPr="00802BA5">
        <w:t>access to reliable data at</w:t>
      </w:r>
      <w:r w:rsidR="006E7A98">
        <w:t xml:space="preserve"> the</w:t>
      </w:r>
      <w:r w:rsidRPr="00802BA5">
        <w:t xml:space="preserve"> local level is </w:t>
      </w:r>
      <w:r w:rsidR="005B7902">
        <w:t>needed</w:t>
      </w:r>
      <w:r>
        <w:t xml:space="preserve"> to</w:t>
      </w:r>
      <w:r w:rsidRPr="00802BA5">
        <w:t xml:space="preserve"> ensure</w:t>
      </w:r>
      <w:r w:rsidR="006E7A98">
        <w:t xml:space="preserve"> that</w:t>
      </w:r>
      <w:r w:rsidRPr="00802BA5">
        <w:t xml:space="preserve"> good decisions can be made across regions</w:t>
      </w:r>
      <w:r>
        <w:t xml:space="preserve"> and local levels</w:t>
      </w:r>
      <w:r w:rsidR="006E7A98">
        <w:t>.</w:t>
      </w:r>
      <w:r w:rsidR="006E7A98" w:rsidRPr="008B547C">
        <w:rPr>
          <w:rStyle w:val="FootnoteReference"/>
        </w:rPr>
        <w:footnoteReference w:id="2"/>
      </w:r>
      <w:r w:rsidR="005B7902">
        <w:t xml:space="preserve"> </w:t>
      </w:r>
      <w:r w:rsidRPr="00802BA5">
        <w:t>Reliable data that are easy to access and understand can empower communities to advocate for the local needs of their communities and assist governments</w:t>
      </w:r>
      <w:r w:rsidR="00B12977">
        <w:t xml:space="preserve"> in making</w:t>
      </w:r>
      <w:r w:rsidRPr="00802BA5">
        <w:t xml:space="preserve"> more informed decisions and </w:t>
      </w:r>
      <w:r w:rsidR="00B12977">
        <w:t>improving their</w:t>
      </w:r>
      <w:r w:rsidRPr="00802BA5">
        <w:t xml:space="preserve"> efficiency and accountability</w:t>
      </w:r>
      <w:r w:rsidR="007D4833">
        <w:t xml:space="preserve"> </w:t>
      </w:r>
      <w:r w:rsidR="00271273" w:rsidRPr="00271273">
        <w:rPr>
          <w:szCs w:val="24"/>
        </w:rPr>
        <w:t>(PC 2017, 2020)</w:t>
      </w:r>
      <w:r w:rsidRPr="00802BA5">
        <w:t>.</w:t>
      </w:r>
      <w:r w:rsidR="00F51DC8" w:rsidRPr="00F51DC8">
        <w:t xml:space="preserve"> </w:t>
      </w:r>
      <w:r w:rsidR="00F51DC8">
        <w:t xml:space="preserve">Developing data sets that can be used by regions and </w:t>
      </w:r>
      <w:r w:rsidR="003E1F27">
        <w:t xml:space="preserve">local </w:t>
      </w:r>
      <w:r w:rsidR="00F51DC8">
        <w:t xml:space="preserve">communities </w:t>
      </w:r>
      <w:r w:rsidR="008E5C9E">
        <w:t xml:space="preserve">to identify local needs and make decisions is </w:t>
      </w:r>
      <w:r w:rsidR="00B12977">
        <w:t>key to</w:t>
      </w:r>
      <w:r w:rsidR="00F51DC8">
        <w:t xml:space="preserve"> reporting on </w:t>
      </w:r>
      <w:r w:rsidR="00D308D0">
        <w:t xml:space="preserve">what contributes to the wellbeing of </w:t>
      </w:r>
      <w:r w:rsidR="00F51DC8" w:rsidRPr="0043323E">
        <w:t xml:space="preserve">Aboriginal and Torres Strait Islander </w:t>
      </w:r>
      <w:r w:rsidR="00F51DC8">
        <w:t>people.</w:t>
      </w:r>
      <w:r w:rsidR="005B7902">
        <w:t xml:space="preserve"> </w:t>
      </w:r>
    </w:p>
    <w:p w14:paraId="4FCE58DC" w14:textId="3A2A98C7" w:rsidR="008A72BC" w:rsidRPr="001165E5" w:rsidRDefault="001252EE">
      <w:pPr>
        <w:pStyle w:val="BodyText"/>
      </w:pPr>
      <w:r>
        <w:t xml:space="preserve">But data alone cannot tell the </w:t>
      </w:r>
      <w:r w:rsidR="00B12977">
        <w:t xml:space="preserve">full </w:t>
      </w:r>
      <w:r>
        <w:t>story of Aboriginal and Torres Strait Islander people</w:t>
      </w:r>
      <w:r w:rsidR="003E1F27">
        <w:t>’</w:t>
      </w:r>
      <w:r w:rsidR="00B12977">
        <w:t>s wellbeing</w:t>
      </w:r>
      <w:r>
        <w:t xml:space="preserve">. </w:t>
      </w:r>
      <w:r w:rsidR="00A02656">
        <w:t xml:space="preserve">From </w:t>
      </w:r>
      <w:r>
        <w:t>2005</w:t>
      </w:r>
      <w:r w:rsidR="00A02656">
        <w:t xml:space="preserve"> to 2016</w:t>
      </w:r>
      <w:r>
        <w:t>, case studies on ‘Things that work’</w:t>
      </w:r>
      <w:r w:rsidR="00952AD8">
        <w:t>,</w:t>
      </w:r>
      <w:r>
        <w:t xml:space="preserve"> </w:t>
      </w:r>
      <w:r w:rsidRPr="00C71594">
        <w:t>which highlight programs or services making a difference</w:t>
      </w:r>
      <w:r w:rsidR="00952AD8">
        <w:t>,</w:t>
      </w:r>
      <w:r w:rsidR="00B12977">
        <w:t xml:space="preserve"> </w:t>
      </w:r>
      <w:r w:rsidR="003E1F27">
        <w:t>were</w:t>
      </w:r>
      <w:r w:rsidR="00A76C75">
        <w:t xml:space="preserve"> included in the R</w:t>
      </w:r>
      <w:r w:rsidR="00B12977" w:rsidRPr="00C71594">
        <w:t>eport</w:t>
      </w:r>
      <w:r w:rsidR="00C71594" w:rsidRPr="00802BA5">
        <w:t>. For this edition</w:t>
      </w:r>
      <w:r w:rsidR="00B12977">
        <w:t>,</w:t>
      </w:r>
      <w:r w:rsidRPr="00C71594">
        <w:t xml:space="preserve"> the case studies are focused on </w:t>
      </w:r>
      <w:r w:rsidR="008A72BC" w:rsidRPr="00C71594">
        <w:t>governance</w:t>
      </w:r>
      <w:r w:rsidRPr="00C71594">
        <w:t xml:space="preserve">, </w:t>
      </w:r>
      <w:r w:rsidR="00C71594" w:rsidRPr="00802BA5">
        <w:t xml:space="preserve">with a specific focus on </w:t>
      </w:r>
      <w:r w:rsidR="008A72BC" w:rsidRPr="00C71594">
        <w:t>identify</w:t>
      </w:r>
      <w:r w:rsidR="00C71594" w:rsidRPr="00802BA5">
        <w:t>ing</w:t>
      </w:r>
      <w:r w:rsidR="008A72BC" w:rsidRPr="00C71594">
        <w:t xml:space="preserve"> arrangements that support </w:t>
      </w:r>
      <w:r w:rsidR="00A76C75">
        <w:t>shared decision-</w:t>
      </w:r>
      <w:r w:rsidR="00C71594" w:rsidRPr="00802BA5">
        <w:t xml:space="preserve">making between </w:t>
      </w:r>
      <w:r w:rsidR="008A72BC" w:rsidRPr="00C71594">
        <w:t xml:space="preserve">Aboriginal and </w:t>
      </w:r>
      <w:r w:rsidR="00C71594" w:rsidRPr="00802BA5">
        <w:t>Torres Strait Islander people and</w:t>
      </w:r>
      <w:r w:rsidR="008A72BC" w:rsidRPr="00C71594">
        <w:t xml:space="preserve"> Australian governments in areas that affect </w:t>
      </w:r>
      <w:r w:rsidR="00C71594" w:rsidRPr="00802BA5">
        <w:t>Aboriginal and Torres Strait Islander people</w:t>
      </w:r>
      <w:r w:rsidR="008A72BC" w:rsidRPr="00C71594">
        <w:t xml:space="preserve"> and contribute to their overall wellbeing.</w:t>
      </w:r>
      <w:r w:rsidR="00A76C75">
        <w:t xml:space="preserve"> This focus on shared decision-</w:t>
      </w:r>
      <w:r w:rsidR="00C71594" w:rsidRPr="00802BA5">
        <w:t xml:space="preserve">making recognises </w:t>
      </w:r>
      <w:r w:rsidR="00D15B51">
        <w:t xml:space="preserve">that </w:t>
      </w:r>
      <w:r w:rsidR="00C71594" w:rsidRPr="00802BA5">
        <w:t xml:space="preserve">it </w:t>
      </w:r>
      <w:r w:rsidR="00B12977">
        <w:t>critically underpins</w:t>
      </w:r>
      <w:r w:rsidR="00D15B51">
        <w:t xml:space="preserve"> </w:t>
      </w:r>
      <w:r w:rsidR="00C71594" w:rsidRPr="00802BA5">
        <w:t>improved outcomes for Aboriginal and Torres Strait Islander people.</w:t>
      </w:r>
    </w:p>
    <w:p w14:paraId="3A33DAD8" w14:textId="741C3095" w:rsidR="003729DA" w:rsidRDefault="00951C36" w:rsidP="00026E02">
      <w:pPr>
        <w:pStyle w:val="Heading2"/>
      </w:pPr>
      <w:r>
        <w:lastRenderedPageBreak/>
        <w:t>1.</w:t>
      </w:r>
      <w:r w:rsidR="00E4541B">
        <w:rPr>
          <w:noProof/>
        </w:rPr>
        <w:t>2</w:t>
      </w:r>
      <w:r>
        <w:tab/>
      </w:r>
      <w:r w:rsidR="003729DA" w:rsidRPr="00372E05">
        <w:t xml:space="preserve">The </w:t>
      </w:r>
      <w:r w:rsidR="00C71594">
        <w:t>historical context</w:t>
      </w:r>
      <w:r w:rsidR="00446BC7">
        <w:t xml:space="preserve"> </w:t>
      </w:r>
    </w:p>
    <w:p w14:paraId="725F7206" w14:textId="77777777" w:rsidR="00952B35" w:rsidRPr="001445C6" w:rsidRDefault="00952B35" w:rsidP="008F5EE2">
      <w:pPr>
        <w:pStyle w:val="Heading3"/>
      </w:pPr>
      <w:r w:rsidRPr="001445C6">
        <w:t>Aboriginal and Torres Strait Islander people</w:t>
      </w:r>
      <w:r w:rsidR="00633AB8" w:rsidRPr="001445C6">
        <w:t xml:space="preserve"> thrived for thousands of years before colonisation</w:t>
      </w:r>
    </w:p>
    <w:p w14:paraId="52A63D0D" w14:textId="6FE4E912" w:rsidR="00FC4937" w:rsidRPr="001445C6" w:rsidRDefault="00F06D3E" w:rsidP="00FC4937">
      <w:pPr>
        <w:pStyle w:val="BodyText"/>
      </w:pPr>
      <w:r w:rsidRPr="001445C6">
        <w:t xml:space="preserve">Aboriginal people have lived in Australia for some 40 000 to 60 000 years, with the Torres Strait Islands settled </w:t>
      </w:r>
      <w:r w:rsidR="00B12977">
        <w:t>about</w:t>
      </w:r>
      <w:r w:rsidR="00B12977" w:rsidRPr="001445C6">
        <w:t xml:space="preserve"> </w:t>
      </w:r>
      <w:r w:rsidRPr="001445C6">
        <w:t xml:space="preserve">10 000 years ago </w:t>
      </w:r>
      <w:r w:rsidRPr="001445C6">
        <w:rPr>
          <w:szCs w:val="24"/>
        </w:rPr>
        <w:t>(</w:t>
      </w:r>
      <w:proofErr w:type="spellStart"/>
      <w:r w:rsidRPr="001445C6">
        <w:rPr>
          <w:szCs w:val="24"/>
        </w:rPr>
        <w:t>AIATSIS</w:t>
      </w:r>
      <w:proofErr w:type="spellEnd"/>
      <w:r w:rsidRPr="001445C6">
        <w:rPr>
          <w:szCs w:val="24"/>
        </w:rPr>
        <w:t> 2008)</w:t>
      </w:r>
      <w:r w:rsidRPr="001445C6">
        <w:t xml:space="preserve">. It is estimated that, prior to European settlement, there were some 250 distinct nations, with different languages and social systems. </w:t>
      </w:r>
    </w:p>
    <w:p w14:paraId="4E80F2B7" w14:textId="35BEE1E2" w:rsidR="008E62A1" w:rsidRPr="001445C6" w:rsidRDefault="00952B35" w:rsidP="003729DA">
      <w:pPr>
        <w:pStyle w:val="BodyText"/>
      </w:pPr>
      <w:r w:rsidRPr="001445C6">
        <w:t xml:space="preserve">Before colonisation, Aboriginal and Torres Strait Islander people thrived and their cultures were strong and well developed </w:t>
      </w:r>
      <w:r w:rsidR="00532835" w:rsidRPr="00532835">
        <w:rPr>
          <w:szCs w:val="24"/>
        </w:rPr>
        <w:t>(</w:t>
      </w:r>
      <w:proofErr w:type="spellStart"/>
      <w:r w:rsidR="00532835" w:rsidRPr="00532835">
        <w:rPr>
          <w:szCs w:val="24"/>
        </w:rPr>
        <w:t>AIATSIS</w:t>
      </w:r>
      <w:proofErr w:type="spellEnd"/>
      <w:r w:rsidR="00532835" w:rsidRPr="00532835">
        <w:rPr>
          <w:szCs w:val="24"/>
        </w:rPr>
        <w:t xml:space="preserve"> 2008; </w:t>
      </w:r>
      <w:proofErr w:type="spellStart"/>
      <w:r w:rsidR="00532835" w:rsidRPr="00532835">
        <w:rPr>
          <w:szCs w:val="24"/>
        </w:rPr>
        <w:t>VPSC</w:t>
      </w:r>
      <w:proofErr w:type="spellEnd"/>
      <w:r w:rsidR="00532835" w:rsidRPr="00532835">
        <w:rPr>
          <w:szCs w:val="24"/>
        </w:rPr>
        <w:t> 2020)</w:t>
      </w:r>
      <w:r w:rsidRPr="001445C6">
        <w:t xml:space="preserve">. </w:t>
      </w:r>
      <w:r w:rsidR="00D308D0" w:rsidRPr="001445C6">
        <w:t>T</w:t>
      </w:r>
      <w:r w:rsidRPr="001445C6">
        <w:t>hey had</w:t>
      </w:r>
      <w:r w:rsidR="00D308D0" w:rsidRPr="001445C6">
        <w:t>:</w:t>
      </w:r>
      <w:r w:rsidRPr="001445C6">
        <w:t xml:space="preserve"> complex kinship structures</w:t>
      </w:r>
      <w:r w:rsidR="00D308D0" w:rsidRPr="001445C6">
        <w:t>;</w:t>
      </w:r>
      <w:r w:rsidRPr="001445C6">
        <w:t xml:space="preserve"> rules for community interactions</w:t>
      </w:r>
      <w:r w:rsidR="00D308D0" w:rsidRPr="001445C6">
        <w:t>;</w:t>
      </w:r>
      <w:r w:rsidRPr="001445C6">
        <w:t xml:space="preserve"> defined roles relating to law, education, spiritual development and resource management; language</w:t>
      </w:r>
      <w:r w:rsidR="00A76C75">
        <w:t>s</w:t>
      </w:r>
      <w:r w:rsidRPr="001445C6">
        <w:t>, ceremonies, customs and traditions</w:t>
      </w:r>
      <w:r w:rsidR="00B12977">
        <w:t>;</w:t>
      </w:r>
      <w:r w:rsidRPr="001445C6">
        <w:t xml:space="preserve"> and extensive knowledge of their environment </w:t>
      </w:r>
      <w:r w:rsidR="00532835" w:rsidRPr="00532835">
        <w:rPr>
          <w:szCs w:val="24"/>
        </w:rPr>
        <w:t>(</w:t>
      </w:r>
      <w:proofErr w:type="spellStart"/>
      <w:r w:rsidR="00532835" w:rsidRPr="00532835">
        <w:rPr>
          <w:szCs w:val="24"/>
        </w:rPr>
        <w:t>AIATSIS</w:t>
      </w:r>
      <w:proofErr w:type="spellEnd"/>
      <w:r w:rsidR="00532835" w:rsidRPr="00532835">
        <w:rPr>
          <w:szCs w:val="24"/>
        </w:rPr>
        <w:t xml:space="preserve"> 2008; </w:t>
      </w:r>
      <w:proofErr w:type="spellStart"/>
      <w:r w:rsidR="00532835" w:rsidRPr="00532835">
        <w:rPr>
          <w:szCs w:val="24"/>
        </w:rPr>
        <w:t>VPSC</w:t>
      </w:r>
      <w:proofErr w:type="spellEnd"/>
      <w:r w:rsidR="00532835" w:rsidRPr="00532835">
        <w:rPr>
          <w:szCs w:val="24"/>
        </w:rPr>
        <w:t> 2020)</w:t>
      </w:r>
      <w:r w:rsidR="00532835">
        <w:t>.</w:t>
      </w:r>
    </w:p>
    <w:p w14:paraId="43EC2BE6" w14:textId="77777777" w:rsidR="00566C94" w:rsidRPr="001445C6" w:rsidRDefault="00566C94" w:rsidP="00566C94">
      <w:pPr>
        <w:pStyle w:val="Heading3"/>
      </w:pPr>
      <w:r w:rsidRPr="001445C6">
        <w:t>The history since colonisation</w:t>
      </w:r>
      <w:r w:rsidR="00B12977">
        <w:t>,</w:t>
      </w:r>
      <w:r w:rsidRPr="001445C6">
        <w:t xml:space="preserve"> and the effect it has had on Aboriginal and Torres Strait Islander people</w:t>
      </w:r>
      <w:r w:rsidR="00B12977">
        <w:t>,</w:t>
      </w:r>
      <w:r w:rsidRPr="001445C6">
        <w:t xml:space="preserve"> needs to be acknowledged</w:t>
      </w:r>
    </w:p>
    <w:p w14:paraId="565CF317" w14:textId="258F41F3" w:rsidR="003729DA" w:rsidRPr="001445C6" w:rsidRDefault="003729DA" w:rsidP="003729DA">
      <w:pPr>
        <w:pStyle w:val="BodyText"/>
      </w:pPr>
      <w:r w:rsidRPr="001445C6">
        <w:t xml:space="preserve">Many readers will be familiar with </w:t>
      </w:r>
      <w:r w:rsidR="008E62A1" w:rsidRPr="001445C6">
        <w:t xml:space="preserve">Australian </w:t>
      </w:r>
      <w:r w:rsidRPr="001445C6">
        <w:t xml:space="preserve">history since European settlement, and will be conscious of the importance of seeing the </w:t>
      </w:r>
      <w:r w:rsidR="008E62A1" w:rsidRPr="001445C6">
        <w:t>current wellbeing of Aboriginal and Torres Strait Islander people</w:t>
      </w:r>
      <w:r w:rsidR="00A76C75">
        <w:t xml:space="preserve"> in this R</w:t>
      </w:r>
      <w:r w:rsidRPr="001445C6">
        <w:t xml:space="preserve">eport in the context of that history. For other readers, the following material provides a very brief introduction to a complex and sometimes contentious subject. For readers interested in exploring the historical context further, the reference list </w:t>
      </w:r>
      <w:r w:rsidR="00D15B51" w:rsidRPr="001445C6">
        <w:t xml:space="preserve">in this chapter </w:t>
      </w:r>
      <w:r w:rsidRPr="001445C6">
        <w:t>provides a range of</w:t>
      </w:r>
      <w:r w:rsidR="00412313" w:rsidRPr="001445C6">
        <w:t xml:space="preserve"> views on the impact of past events on Aboriginal and Torres Strait Islander </w:t>
      </w:r>
      <w:r w:rsidR="00AA0C23" w:rsidRPr="001445C6">
        <w:t xml:space="preserve">people </w:t>
      </w:r>
      <w:r w:rsidR="00412313" w:rsidRPr="001445C6">
        <w:t>living now</w:t>
      </w:r>
      <w:r w:rsidRPr="001445C6">
        <w:t>.</w:t>
      </w:r>
    </w:p>
    <w:p w14:paraId="46E69FB5" w14:textId="77777777" w:rsidR="00633AB8" w:rsidRPr="001445C6" w:rsidRDefault="00633AB8" w:rsidP="008F5EE2">
      <w:pPr>
        <w:pStyle w:val="Heading3"/>
      </w:pPr>
      <w:r w:rsidRPr="001445C6">
        <w:t>Initially</w:t>
      </w:r>
      <w:r w:rsidR="00B12977">
        <w:t>,</w:t>
      </w:r>
      <w:r w:rsidRPr="001445C6">
        <w:t xml:space="preserve"> colonisation bought dispossession of land</w:t>
      </w:r>
      <w:r w:rsidR="00446BC7" w:rsidRPr="001445C6">
        <w:t>s, and resistance could result in death</w:t>
      </w:r>
    </w:p>
    <w:p w14:paraId="1889C13E" w14:textId="77777777" w:rsidR="00566C94" w:rsidRPr="001445C6" w:rsidRDefault="003729DA" w:rsidP="00446BC7">
      <w:pPr>
        <w:pStyle w:val="BodyText"/>
      </w:pPr>
      <w:r w:rsidRPr="001445C6">
        <w:t>Attachment to the land was</w:t>
      </w:r>
      <w:r w:rsidR="00920ECA" w:rsidRPr="001445C6">
        <w:t>, and still is,</w:t>
      </w:r>
      <w:r w:rsidRPr="001445C6">
        <w:t xml:space="preserve"> a central element of traditional (and ongoing) Aboriginal and Torres Strait cultures, customs and laws. Yet, when the British established the penal colony of New South Wales in January 1788, the legal system operated as if </w:t>
      </w:r>
      <w:r w:rsidR="005D4C2C" w:rsidRPr="001445C6">
        <w:t xml:space="preserve">the land </w:t>
      </w:r>
      <w:r w:rsidRPr="001445C6">
        <w:t>belonged to no one</w:t>
      </w:r>
      <w:r w:rsidR="008D3D6A" w:rsidRPr="001445C6">
        <w:t>,</w:t>
      </w:r>
      <w:r w:rsidRPr="001445C6">
        <w:t xml:space="preserve"> and denied that Aboriginal and Torres Strait Islander people had sovereignty or property rights over the land.</w:t>
      </w:r>
      <w:r w:rsidR="00D26BB2" w:rsidRPr="001445C6">
        <w:t xml:space="preserve"> </w:t>
      </w:r>
      <w:r w:rsidR="00633AB8" w:rsidRPr="001445C6" w:rsidDel="00633AB8">
        <w:t xml:space="preserve"> </w:t>
      </w:r>
    </w:p>
    <w:p w14:paraId="77C71CDF" w14:textId="7288057B" w:rsidR="003729DA" w:rsidRPr="001445C6" w:rsidRDefault="003729DA" w:rsidP="0089720B">
      <w:pPr>
        <w:pStyle w:val="BodyText"/>
      </w:pPr>
      <w:r w:rsidRPr="001445C6">
        <w:t xml:space="preserve">The colonisation period </w:t>
      </w:r>
      <w:r w:rsidR="00B12977">
        <w:t>saw</w:t>
      </w:r>
      <w:r w:rsidRPr="001445C6">
        <w:t xml:space="preserve"> </w:t>
      </w:r>
      <w:r w:rsidR="00412313" w:rsidRPr="001445C6">
        <w:t xml:space="preserve">many Aboriginal </w:t>
      </w:r>
      <w:r w:rsidR="008D3D6A" w:rsidRPr="001445C6">
        <w:t xml:space="preserve">and Torres Strait Islander </w:t>
      </w:r>
      <w:r w:rsidR="00412313" w:rsidRPr="001445C6">
        <w:t xml:space="preserve">people dispossessed </w:t>
      </w:r>
      <w:r w:rsidRPr="001445C6">
        <w:t xml:space="preserve">of </w:t>
      </w:r>
      <w:r w:rsidR="00412313" w:rsidRPr="001445C6">
        <w:t xml:space="preserve">their traditional </w:t>
      </w:r>
      <w:r w:rsidRPr="001445C6">
        <w:t>land</w:t>
      </w:r>
      <w:r w:rsidR="00412313" w:rsidRPr="001445C6">
        <w:t>s</w:t>
      </w:r>
      <w:r w:rsidRPr="001445C6">
        <w:t xml:space="preserve">. Aboriginal people </w:t>
      </w:r>
      <w:r w:rsidR="0089720B" w:rsidRPr="001445C6">
        <w:t>did not accept their dispossession without resistance. This period of conflict between Aboriginal people and European settlers is sometimes refe</w:t>
      </w:r>
      <w:r w:rsidR="00566C94" w:rsidRPr="001445C6">
        <w:t>rred to as ‘the frontier wars’. There were over 300 massacres</w:t>
      </w:r>
      <w:r w:rsidR="00675983" w:rsidRPr="008B547C">
        <w:rPr>
          <w:rStyle w:val="FootnoteReference"/>
        </w:rPr>
        <w:footnoteReference w:id="3"/>
      </w:r>
      <w:r w:rsidR="00B12977">
        <w:t>,</w:t>
      </w:r>
      <w:r w:rsidR="00675983" w:rsidRPr="001445C6">
        <w:t xml:space="preserve"> </w:t>
      </w:r>
      <w:r w:rsidR="00566C94" w:rsidRPr="001445C6">
        <w:t>with more</w:t>
      </w:r>
      <w:r w:rsidR="0089720B" w:rsidRPr="001445C6">
        <w:t xml:space="preserve"> </w:t>
      </w:r>
      <w:r w:rsidR="0089720B" w:rsidRPr="001445C6">
        <w:lastRenderedPageBreak/>
        <w:t>than 8</w:t>
      </w:r>
      <w:r w:rsidR="0077691B">
        <w:t> </w:t>
      </w:r>
      <w:r w:rsidR="0089720B" w:rsidRPr="001445C6">
        <w:t>000 Aboriginal people and about 170 colonists</w:t>
      </w:r>
      <w:r w:rsidR="00B12977">
        <w:t xml:space="preserve"> </w:t>
      </w:r>
      <w:r w:rsidR="00B12977" w:rsidRPr="001445C6">
        <w:t>killed</w:t>
      </w:r>
      <w:r w:rsidR="00566C94" w:rsidRPr="001445C6">
        <w:t xml:space="preserve">. </w:t>
      </w:r>
      <w:r w:rsidR="0089720B" w:rsidRPr="001445C6">
        <w:t>One of the last documented massacres of Aboriginal people was the Coniston massacre, which occurred</w:t>
      </w:r>
      <w:r w:rsidR="00820840">
        <w:t xml:space="preserve"> over several weeks</w:t>
      </w:r>
      <w:r w:rsidR="0089720B" w:rsidRPr="001445C6">
        <w:t xml:space="preserve"> in </w:t>
      </w:r>
      <w:r w:rsidR="000E350A" w:rsidRPr="001445C6">
        <w:t>1928 in the Northern Territory</w:t>
      </w:r>
      <w:r w:rsidR="0089720B" w:rsidRPr="001445C6">
        <w:t xml:space="preserve"> </w:t>
      </w:r>
      <w:r w:rsidR="00271273" w:rsidRPr="00271273">
        <w:rPr>
          <w:szCs w:val="24"/>
        </w:rPr>
        <w:t xml:space="preserve">(Egan 1996; Elder 2003; </w:t>
      </w:r>
      <w:proofErr w:type="spellStart"/>
      <w:r w:rsidR="00271273" w:rsidRPr="00271273">
        <w:rPr>
          <w:szCs w:val="24"/>
        </w:rPr>
        <w:t>FaHCSIA</w:t>
      </w:r>
      <w:proofErr w:type="spellEnd"/>
      <w:r w:rsidR="00271273" w:rsidRPr="00271273">
        <w:rPr>
          <w:szCs w:val="24"/>
        </w:rPr>
        <w:t> 2012, p. 23; Read 2007; Reynolds 2006; Ryan et al. 2017)</w:t>
      </w:r>
      <w:r w:rsidR="009A1BDF">
        <w:t>.</w:t>
      </w:r>
    </w:p>
    <w:p w14:paraId="2CAB7D71" w14:textId="446A30A4" w:rsidR="003729DA" w:rsidRPr="001445C6" w:rsidRDefault="003729DA" w:rsidP="003729DA">
      <w:pPr>
        <w:pStyle w:val="BodyText"/>
      </w:pPr>
      <w:r w:rsidRPr="001445C6">
        <w:t xml:space="preserve">Dispossession, violence and the introduction of </w:t>
      </w:r>
      <w:r w:rsidR="00412313" w:rsidRPr="001445C6">
        <w:t xml:space="preserve">new </w:t>
      </w:r>
      <w:r w:rsidRPr="001445C6">
        <w:t>diseases had a devastating effect on local populations. Although it is difficult to estimate the size of pre</w:t>
      </w:r>
      <w:r w:rsidR="00E4541B">
        <w:noBreakHyphen/>
      </w:r>
      <w:r w:rsidRPr="001445C6">
        <w:t xml:space="preserve">settlement populations, researchers suggest that, in different locations across </w:t>
      </w:r>
      <w:r w:rsidR="00DE370C" w:rsidRPr="001445C6">
        <w:t xml:space="preserve">mainland </w:t>
      </w:r>
      <w:r w:rsidRPr="001445C6">
        <w:t xml:space="preserve">Australia, the number of Aboriginal people declined by between 30 and 80 per cent from the time of European settlement to the early </w:t>
      </w:r>
      <w:proofErr w:type="spellStart"/>
      <w:r w:rsidRPr="001445C6">
        <w:t>190</w:t>
      </w:r>
      <w:r w:rsidR="00F5642E" w:rsidRPr="001445C6">
        <w:t>0s</w:t>
      </w:r>
      <w:proofErr w:type="spellEnd"/>
      <w:r w:rsidR="00532835">
        <w:t xml:space="preserve"> </w:t>
      </w:r>
      <w:r w:rsidR="008B547C" w:rsidRPr="008B547C">
        <w:rPr>
          <w:szCs w:val="24"/>
        </w:rPr>
        <w:t xml:space="preserve">(Briscoe and Smith 2002; </w:t>
      </w:r>
      <w:proofErr w:type="spellStart"/>
      <w:r w:rsidR="008B547C" w:rsidRPr="008B547C">
        <w:rPr>
          <w:szCs w:val="24"/>
        </w:rPr>
        <w:t>Butlin</w:t>
      </w:r>
      <w:proofErr w:type="spellEnd"/>
      <w:r w:rsidR="008B547C" w:rsidRPr="008B547C">
        <w:rPr>
          <w:szCs w:val="24"/>
        </w:rPr>
        <w:t> 1983, pp. 119–148; Department of Aboriginal Affairs 1981; Diamond 1998, p. 320; Madden and Pulver 2009; Smith 1980, pp. 119–148)</w:t>
      </w:r>
      <w:r w:rsidR="00532835">
        <w:t>.</w:t>
      </w:r>
    </w:p>
    <w:p w14:paraId="49F81737" w14:textId="77777777" w:rsidR="00566C94" w:rsidRPr="001445C6" w:rsidRDefault="00A300C4" w:rsidP="008F5EE2">
      <w:pPr>
        <w:pStyle w:val="Heading3"/>
      </w:pPr>
      <w:r w:rsidRPr="001445C6">
        <w:t xml:space="preserve">From the late 1800s, </w:t>
      </w:r>
      <w:r w:rsidR="00566C94" w:rsidRPr="001445C6">
        <w:t>many Aboriginal people were required to live on reserves with limited freedom</w:t>
      </w:r>
      <w:r w:rsidRPr="001445C6">
        <w:t>s</w:t>
      </w:r>
      <w:r w:rsidR="00566C94" w:rsidRPr="001445C6">
        <w:t xml:space="preserve"> </w:t>
      </w:r>
    </w:p>
    <w:p w14:paraId="4D9F778A" w14:textId="0C0C744E" w:rsidR="003729DA" w:rsidRPr="001445C6" w:rsidRDefault="003729DA" w:rsidP="003729DA">
      <w:pPr>
        <w:pStyle w:val="BodyText"/>
      </w:pPr>
      <w:r w:rsidRPr="001445C6">
        <w:t>From 1860, ‘protective’ legislation (known as the ‘Aborigines Acts’) required many Aboriginal people to live on reserves. In practice, these laws placed almost unlimited discretion in the hands of reserve superintendents and police protectors — lives on the reserves were highly regulated and basic</w:t>
      </w:r>
      <w:r w:rsidR="005A7830" w:rsidRPr="001445C6">
        <w:t xml:space="preserve"> human rights were </w:t>
      </w:r>
      <w:r w:rsidR="002719CB" w:rsidRPr="001445C6">
        <w:t xml:space="preserve">denied </w:t>
      </w:r>
      <w:r w:rsidR="00532835" w:rsidRPr="00532835">
        <w:rPr>
          <w:szCs w:val="24"/>
        </w:rPr>
        <w:t>(Chesterman and Galligan 1997, p. 41; Cunneen 2001, pp. 57–58; Morris 1988, p. 50)</w:t>
      </w:r>
      <w:r w:rsidRPr="00532835">
        <w:t>.</w:t>
      </w:r>
      <w:r w:rsidRPr="001445C6">
        <w:t xml:space="preserve"> Aboriginal people living outside reserves were spared the worst of the reserve regime, but their rights were still limite</w:t>
      </w:r>
      <w:r w:rsidR="000275F2" w:rsidRPr="001445C6">
        <w:t xml:space="preserve">d </w:t>
      </w:r>
      <w:r w:rsidR="00C9775F" w:rsidRPr="00C9775F">
        <w:rPr>
          <w:szCs w:val="24"/>
        </w:rPr>
        <w:t>(</w:t>
      </w:r>
      <w:proofErr w:type="spellStart"/>
      <w:r w:rsidR="00C9775F" w:rsidRPr="00C9775F">
        <w:rPr>
          <w:szCs w:val="24"/>
        </w:rPr>
        <w:t>AIATSIS</w:t>
      </w:r>
      <w:proofErr w:type="spellEnd"/>
      <w:r w:rsidR="00C9775F" w:rsidRPr="00C9775F">
        <w:rPr>
          <w:szCs w:val="24"/>
        </w:rPr>
        <w:t> 2008; Blake 1998, p. 53)</w:t>
      </w:r>
      <w:r w:rsidR="000E352E">
        <w:t>.</w:t>
      </w:r>
      <w:r w:rsidR="00DE370C" w:rsidRPr="001445C6">
        <w:t xml:space="preserve"> </w:t>
      </w:r>
      <w:r w:rsidR="008F5EE2" w:rsidRPr="001445C6">
        <w:t xml:space="preserve">The first peoples of the </w:t>
      </w:r>
      <w:r w:rsidR="00DE370C" w:rsidRPr="001445C6">
        <w:t>Torres Strait Island</w:t>
      </w:r>
      <w:r w:rsidR="008F5EE2" w:rsidRPr="001445C6">
        <w:t>s</w:t>
      </w:r>
      <w:r w:rsidR="00DE370C" w:rsidRPr="001445C6">
        <w:t xml:space="preserve"> </w:t>
      </w:r>
      <w:r w:rsidR="008F5EE2" w:rsidRPr="001445C6">
        <w:t xml:space="preserve">also </w:t>
      </w:r>
      <w:r w:rsidR="00DE370C" w:rsidRPr="001445C6">
        <w:t xml:space="preserve">faced special laws </w:t>
      </w:r>
      <w:r w:rsidR="00B12977" w:rsidRPr="001445C6">
        <w:t xml:space="preserve">— </w:t>
      </w:r>
      <w:r w:rsidR="00DE370C" w:rsidRPr="001445C6">
        <w:t>including segregated cinemas, schools, churches and housing, travel restrictions</w:t>
      </w:r>
      <w:r w:rsidR="00B12977">
        <w:t>,</w:t>
      </w:r>
      <w:r w:rsidR="00DE370C" w:rsidRPr="001445C6">
        <w:t xml:space="preserve"> and poorer health and educational opportunities </w:t>
      </w:r>
      <w:r w:rsidR="00027B5B" w:rsidRPr="001445C6">
        <w:rPr>
          <w:szCs w:val="24"/>
        </w:rPr>
        <w:t>(</w:t>
      </w:r>
      <w:proofErr w:type="spellStart"/>
      <w:r w:rsidR="00027B5B" w:rsidRPr="001445C6">
        <w:rPr>
          <w:szCs w:val="24"/>
        </w:rPr>
        <w:t>AIATSIS</w:t>
      </w:r>
      <w:proofErr w:type="spellEnd"/>
      <w:r w:rsidR="00027B5B" w:rsidRPr="001445C6">
        <w:rPr>
          <w:szCs w:val="24"/>
        </w:rPr>
        <w:t> 2008)</w:t>
      </w:r>
      <w:r w:rsidR="00DE370C" w:rsidRPr="001445C6">
        <w:t xml:space="preserve">. </w:t>
      </w:r>
    </w:p>
    <w:p w14:paraId="79B9CBCF" w14:textId="236023E3" w:rsidR="003729DA" w:rsidRPr="001445C6" w:rsidRDefault="003729DA" w:rsidP="003729DA">
      <w:pPr>
        <w:pStyle w:val="BodyText"/>
      </w:pPr>
      <w:r w:rsidRPr="001445C6">
        <w:t xml:space="preserve">From the late 1800s through much of the twentieth century, governments in several jurisdictions controlled many Aboriginal people’s wages, pensions and endowments, with much of the money mismanaged or </w:t>
      </w:r>
      <w:r w:rsidR="008F5EE2" w:rsidRPr="001445C6">
        <w:t xml:space="preserve">taken </w:t>
      </w:r>
      <w:r w:rsidRPr="001445C6">
        <w:t xml:space="preserve">— </w:t>
      </w:r>
      <w:r w:rsidR="00B12977">
        <w:t>and now known as</w:t>
      </w:r>
      <w:r w:rsidRPr="001445C6">
        <w:t xml:space="preserve"> ‘</w:t>
      </w:r>
      <w:r w:rsidR="000275F2" w:rsidRPr="001445C6">
        <w:t xml:space="preserve">stolen wages’ </w:t>
      </w:r>
      <w:r w:rsidR="00C9775F" w:rsidRPr="00C9775F">
        <w:rPr>
          <w:szCs w:val="24"/>
        </w:rPr>
        <w:t>(</w:t>
      </w:r>
      <w:proofErr w:type="spellStart"/>
      <w:r w:rsidR="00C9775F" w:rsidRPr="00C9775F">
        <w:rPr>
          <w:szCs w:val="24"/>
        </w:rPr>
        <w:t>AIATSIS</w:t>
      </w:r>
      <w:proofErr w:type="spellEnd"/>
      <w:r w:rsidR="00C9775F" w:rsidRPr="00C9775F">
        <w:rPr>
          <w:szCs w:val="24"/>
        </w:rPr>
        <w:t> 2008, p. 122; Thornton and Luker 2009, p. 647)</w:t>
      </w:r>
      <w:r w:rsidRPr="001445C6">
        <w:t>. Some governments have since put in place reparation schemes,</w:t>
      </w:r>
      <w:r w:rsidR="00B8239C" w:rsidRPr="001445C6">
        <w:t xml:space="preserve"> </w:t>
      </w:r>
      <w:r w:rsidRPr="001445C6">
        <w:t>although the passage of time and lack of records ha</w:t>
      </w:r>
      <w:r w:rsidR="00DE370C" w:rsidRPr="001445C6">
        <w:t>ve</w:t>
      </w:r>
      <w:r w:rsidRPr="001445C6">
        <w:t xml:space="preserve"> made it very difficult to determine the full impact of ‘stolen wages’ or the true value of any compensation </w:t>
      </w:r>
      <w:r w:rsidR="00027B5B" w:rsidRPr="001445C6">
        <w:rPr>
          <w:szCs w:val="24"/>
        </w:rPr>
        <w:t>(Western Australia Stolen Wages Taskforce 2008)</w:t>
      </w:r>
      <w:r w:rsidRPr="001445C6">
        <w:t>.</w:t>
      </w:r>
      <w:r w:rsidR="00372E05" w:rsidRPr="001445C6">
        <w:t xml:space="preserve"> </w:t>
      </w:r>
      <w:r w:rsidR="00231222" w:rsidRPr="001445C6">
        <w:t>In 2019, Queensland became the first jurisdiction to settle (in</w:t>
      </w:r>
      <w:r w:rsidR="00B12977">
        <w:t xml:space="preserve"> </w:t>
      </w:r>
      <w:r w:rsidR="00231222" w:rsidRPr="001445C6">
        <w:t xml:space="preserve">principle) a class action suit, which </w:t>
      </w:r>
      <w:r w:rsidR="00B12977">
        <w:t xml:space="preserve">also </w:t>
      </w:r>
      <w:r w:rsidR="00231222" w:rsidRPr="001445C6">
        <w:t>makes it the first to recogni</w:t>
      </w:r>
      <w:r w:rsidR="00487B0B" w:rsidRPr="001445C6">
        <w:t>se</w:t>
      </w:r>
      <w:r w:rsidR="00B12977">
        <w:t xml:space="preserve"> that</w:t>
      </w:r>
      <w:r w:rsidR="00487B0B" w:rsidRPr="001445C6">
        <w:t xml:space="preserve"> the claims have legal merit</w:t>
      </w:r>
      <w:r w:rsidR="00611042">
        <w:t xml:space="preserve"> </w:t>
      </w:r>
      <w:r w:rsidR="00611042" w:rsidRPr="00611042">
        <w:rPr>
          <w:szCs w:val="24"/>
        </w:rPr>
        <w:t>(Queensland Government 2019)</w:t>
      </w:r>
      <w:r w:rsidR="00231222" w:rsidRPr="001445C6">
        <w:t>.</w:t>
      </w:r>
    </w:p>
    <w:p w14:paraId="67CCCCDE" w14:textId="77777777" w:rsidR="003F4012" w:rsidRPr="001445C6" w:rsidRDefault="00A300C4" w:rsidP="008F5EE2">
      <w:pPr>
        <w:pStyle w:val="Heading3"/>
      </w:pPr>
      <w:r w:rsidRPr="001445C6">
        <w:t>In the 1900s an assimilationist approach resulted in the</w:t>
      </w:r>
      <w:r w:rsidR="003F4012" w:rsidRPr="001445C6">
        <w:t xml:space="preserve"> forcible removal of </w:t>
      </w:r>
      <w:r w:rsidRPr="001445C6">
        <w:t xml:space="preserve">many </w:t>
      </w:r>
      <w:r w:rsidR="003F4012" w:rsidRPr="001445C6">
        <w:t>children</w:t>
      </w:r>
      <w:r w:rsidR="00635A93" w:rsidRPr="001445C6">
        <w:t xml:space="preserve"> from their families</w:t>
      </w:r>
      <w:r w:rsidR="003D796F">
        <w:t xml:space="preserve">, </w:t>
      </w:r>
      <w:r w:rsidR="003D796F" w:rsidRPr="001445C6">
        <w:t>traditional lands</w:t>
      </w:r>
      <w:r w:rsidRPr="001445C6">
        <w:t xml:space="preserve"> and culture</w:t>
      </w:r>
      <w:r w:rsidR="00635A93" w:rsidRPr="001445C6">
        <w:t>s</w:t>
      </w:r>
      <w:r w:rsidRPr="001445C6">
        <w:t>…</w:t>
      </w:r>
    </w:p>
    <w:p w14:paraId="36DC467A" w14:textId="2C236A0C" w:rsidR="003729DA" w:rsidRPr="001445C6" w:rsidRDefault="003729DA" w:rsidP="003729DA">
      <w:pPr>
        <w:pStyle w:val="BodyText"/>
      </w:pPr>
      <w:r w:rsidRPr="001445C6">
        <w:t>In the 1900s, governments adopted a more assimilationist approach, with</w:t>
      </w:r>
      <w:r w:rsidR="00E57DBC">
        <w:t xml:space="preserve"> the</w:t>
      </w:r>
      <w:r w:rsidRPr="001445C6">
        <w:t xml:space="preserve"> explicit goal of integrating Aboriginal and Torres Strait </w:t>
      </w:r>
      <w:r w:rsidR="00E674D6" w:rsidRPr="001445C6">
        <w:t>I</w:t>
      </w:r>
      <w:r w:rsidRPr="001445C6">
        <w:t>slander people into ‘mainstream’ society</w:t>
      </w:r>
      <w:r w:rsidR="00C9775F">
        <w:t xml:space="preserve"> </w:t>
      </w:r>
      <w:r w:rsidR="00E57DBC">
        <w:t>—</w:t>
      </w:r>
      <w:r w:rsidR="00C9775F">
        <w:t xml:space="preserve"> </w:t>
      </w:r>
      <w:r w:rsidRPr="001445C6">
        <w:t>initially focused on ‘the natives of Aboriginal origin but not of the full blood’</w:t>
      </w:r>
      <w:r w:rsidR="00E57DBC">
        <w:t>,</w:t>
      </w:r>
      <w:r w:rsidRPr="001445C6">
        <w:t xml:space="preserve"> and later </w:t>
      </w:r>
      <w:r w:rsidRPr="001445C6">
        <w:lastRenderedPageBreak/>
        <w:t>extended to all Abor</w:t>
      </w:r>
      <w:r w:rsidR="00E13E3A" w:rsidRPr="001445C6">
        <w:t xml:space="preserve">iginal </w:t>
      </w:r>
      <w:r w:rsidR="000400F5" w:rsidRPr="001445C6">
        <w:t xml:space="preserve">(and Torres Strait Islander) </w:t>
      </w:r>
      <w:r w:rsidR="002865DF" w:rsidRPr="001445C6">
        <w:t>people</w:t>
      </w:r>
      <w:r w:rsidR="00C9775F">
        <w:t xml:space="preserve"> </w:t>
      </w:r>
      <w:r w:rsidR="00C9775F" w:rsidRPr="00C9775F">
        <w:rPr>
          <w:szCs w:val="24"/>
        </w:rPr>
        <w:t>(Rowley 1978, pp. 320–321)</w:t>
      </w:r>
      <w:r w:rsidRPr="001445C6">
        <w:t>. The policy was defined at the 1961 Native Welfare Conference of Federal and State Ministers in these terms:</w:t>
      </w:r>
    </w:p>
    <w:p w14:paraId="3B888A64" w14:textId="471543C1" w:rsidR="003729DA" w:rsidRPr="001445C6" w:rsidRDefault="003729DA" w:rsidP="00E13E3A">
      <w:pPr>
        <w:pStyle w:val="Quote"/>
      </w:pPr>
      <w:r w:rsidRPr="001445C6">
        <w:t xml:space="preserve">The policy of assimilation means that all Aborigines </w:t>
      </w:r>
      <w:r w:rsidR="000400F5" w:rsidRPr="001445C6">
        <w:t xml:space="preserve">[sic] </w:t>
      </w:r>
      <w:r w:rsidRPr="001445C6">
        <w:t>and part</w:t>
      </w:r>
      <w:r w:rsidR="00E4541B">
        <w:noBreakHyphen/>
      </w:r>
      <w:r w:rsidRPr="001445C6">
        <w:t xml:space="preserve">Aborigines </w:t>
      </w:r>
      <w:r w:rsidR="000400F5" w:rsidRPr="001445C6">
        <w:t xml:space="preserve">[sic] </w:t>
      </w:r>
      <w:r w:rsidRPr="001445C6">
        <w:t xml:space="preserve">are expected to attain the same manner of living as other Australians and to live as members of a single Australian community, enjoying the same rights and privileges, accepting the same customs and influenced by the same beliefs as other </w:t>
      </w:r>
      <w:r w:rsidR="00031171" w:rsidRPr="001445C6">
        <w:t>Australi</w:t>
      </w:r>
      <w:r w:rsidR="007A48CF">
        <w:t xml:space="preserve">ans. </w:t>
      </w:r>
      <w:r w:rsidR="007A48CF" w:rsidRPr="007A48CF">
        <w:rPr>
          <w:szCs w:val="24"/>
        </w:rPr>
        <w:t>(Reynolds 1972, p. 175)</w:t>
      </w:r>
    </w:p>
    <w:p w14:paraId="0031F087" w14:textId="1323BF2E" w:rsidR="003729DA" w:rsidRPr="001445C6" w:rsidRDefault="003729DA" w:rsidP="00AE704E">
      <w:pPr>
        <w:pStyle w:val="BodyText"/>
      </w:pPr>
      <w:r w:rsidRPr="001445C6">
        <w:t xml:space="preserve">Removal of Aboriginal </w:t>
      </w:r>
      <w:r w:rsidR="00FB24D7" w:rsidRPr="001445C6">
        <w:t xml:space="preserve">and Torres Strait Islander </w:t>
      </w:r>
      <w:r w:rsidRPr="001445C6">
        <w:t xml:space="preserve">children from their families </w:t>
      </w:r>
      <w:r w:rsidR="00A0088C" w:rsidRPr="001445C6">
        <w:t xml:space="preserve">and traditional lands </w:t>
      </w:r>
      <w:r w:rsidRPr="001445C6">
        <w:t xml:space="preserve">became common. Between 10 and 30 per cent of Aboriginal and Torres Strait Islander children were forcibly removed from their families and communities between 1910 and 1970, </w:t>
      </w:r>
      <w:r w:rsidR="00E57DBC">
        <w:t xml:space="preserve">and are </w:t>
      </w:r>
      <w:r w:rsidR="00E674D6" w:rsidRPr="001445C6">
        <w:t>now referred to</w:t>
      </w:r>
      <w:r w:rsidRPr="001445C6">
        <w:t xml:space="preserve"> as ‘the </w:t>
      </w:r>
      <w:r w:rsidR="002C6DAB">
        <w:t>S</w:t>
      </w:r>
      <w:r w:rsidRPr="001445C6">
        <w:t>tol</w:t>
      </w:r>
      <w:r w:rsidR="002C6DAB">
        <w:t>en G</w:t>
      </w:r>
      <w:r w:rsidR="000E596F" w:rsidRPr="001445C6">
        <w:t>enerations’</w:t>
      </w:r>
      <w:r w:rsidR="00C9775F">
        <w:t xml:space="preserve"> </w:t>
      </w:r>
      <w:r w:rsidR="00C9775F" w:rsidRPr="00C9775F">
        <w:rPr>
          <w:szCs w:val="24"/>
        </w:rPr>
        <w:t>(</w:t>
      </w:r>
      <w:proofErr w:type="spellStart"/>
      <w:r w:rsidR="00C9775F" w:rsidRPr="00C9775F">
        <w:rPr>
          <w:szCs w:val="24"/>
        </w:rPr>
        <w:t>HREOC</w:t>
      </w:r>
      <w:proofErr w:type="spellEnd"/>
      <w:r w:rsidR="00C9775F" w:rsidRPr="00C9775F">
        <w:rPr>
          <w:szCs w:val="24"/>
        </w:rPr>
        <w:t> 1997, p. 31)</w:t>
      </w:r>
      <w:r w:rsidRPr="001445C6">
        <w:t>.</w:t>
      </w:r>
      <w:r w:rsidR="0014552A" w:rsidRPr="001445C6">
        <w:t xml:space="preserve"> </w:t>
      </w:r>
      <w:r w:rsidR="003F5CAE" w:rsidRPr="001445C6">
        <w:t xml:space="preserve">The impact of these removals on the </w:t>
      </w:r>
      <w:r w:rsidR="002C6DAB">
        <w:t>Stolen G</w:t>
      </w:r>
      <w:r w:rsidR="003F5CAE" w:rsidRPr="001445C6">
        <w:t>enerations and their descendants is ongoing</w:t>
      </w:r>
      <w:r w:rsidR="00FA773A" w:rsidRPr="001445C6">
        <w:t xml:space="preserve"> (total number of people affected is </w:t>
      </w:r>
      <w:r w:rsidR="005D27BB" w:rsidRPr="00AE704E">
        <w:rPr>
          <w:shd w:val="clear" w:color="auto" w:fill="FFFFFF" w:themeFill="background1"/>
        </w:rPr>
        <w:t xml:space="preserve">estimated to be </w:t>
      </w:r>
      <w:r w:rsidR="00FA773A" w:rsidRPr="00AE704E">
        <w:rPr>
          <w:shd w:val="clear" w:color="auto" w:fill="FFFFFF" w:themeFill="background1"/>
        </w:rPr>
        <w:t>about 1</w:t>
      </w:r>
      <w:r w:rsidR="001A6CA0" w:rsidRPr="00AE704E">
        <w:rPr>
          <w:shd w:val="clear" w:color="auto" w:fill="FFFFFF" w:themeFill="background1"/>
        </w:rPr>
        <w:t>50</w:t>
      </w:r>
      <w:r w:rsidR="00A02656" w:rsidRPr="00AE704E">
        <w:rPr>
          <w:shd w:val="clear" w:color="auto" w:fill="FFFFFF" w:themeFill="background1"/>
        </w:rPr>
        <w:t> </w:t>
      </w:r>
      <w:r w:rsidR="00FA773A" w:rsidRPr="00AE704E">
        <w:rPr>
          <w:shd w:val="clear" w:color="auto" w:fill="FFFFFF" w:themeFill="background1"/>
        </w:rPr>
        <w:t>000</w:t>
      </w:r>
      <w:r w:rsidR="004365EF" w:rsidRPr="008B547C">
        <w:rPr>
          <w:rStyle w:val="FootnoteReference"/>
        </w:rPr>
        <w:footnoteReference w:id="4"/>
      </w:r>
      <w:r w:rsidR="00FA773A" w:rsidRPr="001445C6">
        <w:t xml:space="preserve"> people aged 18 years or over)</w:t>
      </w:r>
      <w:r w:rsidR="003F5CAE" w:rsidRPr="001445C6">
        <w:t>, with the</w:t>
      </w:r>
      <w:r w:rsidR="00C56691" w:rsidRPr="001445C6">
        <w:t>ir</w:t>
      </w:r>
      <w:r w:rsidR="003F5CAE" w:rsidRPr="001445C6">
        <w:t xml:space="preserve"> experience of disadvantage greater than for other Aboriginal and Torres Strait Islander people</w:t>
      </w:r>
      <w:r w:rsidR="008C5103">
        <w:t xml:space="preserve"> </w:t>
      </w:r>
      <w:r w:rsidR="00234CC6" w:rsidRPr="00234CC6">
        <w:rPr>
          <w:szCs w:val="24"/>
        </w:rPr>
        <w:t>(AIHW 2018)</w:t>
      </w:r>
      <w:r w:rsidR="003F5CAE" w:rsidRPr="001445C6">
        <w:t>.</w:t>
      </w:r>
    </w:p>
    <w:p w14:paraId="16E5287D" w14:textId="77777777" w:rsidR="003F4012" w:rsidRPr="001445C6" w:rsidRDefault="00446BC7" w:rsidP="008F5EE2">
      <w:pPr>
        <w:pStyle w:val="Heading3"/>
      </w:pPr>
      <w:r w:rsidRPr="001445C6">
        <w:t>…b</w:t>
      </w:r>
      <w:r w:rsidR="00635A93" w:rsidRPr="001445C6">
        <w:t>u</w:t>
      </w:r>
      <w:r w:rsidR="003F4012" w:rsidRPr="001445C6">
        <w:t>t Aboriginal and Torres Strait Islander people did not passively accept these experience</w:t>
      </w:r>
      <w:r w:rsidR="00A300C4" w:rsidRPr="001445C6">
        <w:t>s</w:t>
      </w:r>
      <w:r w:rsidRPr="001445C6">
        <w:t>…</w:t>
      </w:r>
    </w:p>
    <w:p w14:paraId="704EF4C9" w14:textId="31137A56" w:rsidR="003F4012" w:rsidRPr="001445C6" w:rsidRDefault="003729DA" w:rsidP="003729DA">
      <w:pPr>
        <w:pStyle w:val="BodyText"/>
      </w:pPr>
      <w:r w:rsidRPr="001445C6">
        <w:t xml:space="preserve">Aboriginal </w:t>
      </w:r>
      <w:r w:rsidR="00FB24D7" w:rsidRPr="001445C6">
        <w:t xml:space="preserve">and Torres Strait Islander </w:t>
      </w:r>
      <w:r w:rsidRPr="001445C6">
        <w:t>people did not passively accept these experiences. Some directly petitioned governments — in 1935 and 1937, petitions were presented to the Commonwealth Government seeking representation in Parliament</w:t>
      </w:r>
      <w:r w:rsidR="00E57DBC">
        <w:t>,</w:t>
      </w:r>
      <w:r w:rsidRPr="001445C6">
        <w:t xml:space="preserve"> the establishment of a national department of native affairs</w:t>
      </w:r>
      <w:r w:rsidR="00E57DBC">
        <w:t>,</w:t>
      </w:r>
      <w:r w:rsidRPr="001445C6">
        <w:t xml:space="preserve"> and </w:t>
      </w:r>
      <w:r w:rsidR="00E57DBC">
        <w:t xml:space="preserve">the creation of </w:t>
      </w:r>
      <w:r w:rsidRPr="001445C6">
        <w:t xml:space="preserve">state advisory councils. </w:t>
      </w:r>
      <w:r w:rsidR="00E57DBC">
        <w:t xml:space="preserve">In the absence of </w:t>
      </w:r>
      <w:r w:rsidRPr="001445C6">
        <w:t>a response, Aborigin</w:t>
      </w:r>
      <w:r w:rsidR="006F785D" w:rsidRPr="001445C6">
        <w:t>al and Torres Strait Islander people</w:t>
      </w:r>
      <w:r w:rsidRPr="001445C6">
        <w:t xml:space="preserve"> from around Australia </w:t>
      </w:r>
      <w:r w:rsidR="00FA773A" w:rsidRPr="001445C6">
        <w:t>held a Day of Mourning</w:t>
      </w:r>
      <w:r w:rsidR="00E57DBC" w:rsidRPr="00E57DBC">
        <w:t xml:space="preserve"> </w:t>
      </w:r>
      <w:r w:rsidR="00E57DBC" w:rsidRPr="001445C6">
        <w:t>in 1938</w:t>
      </w:r>
      <w:r w:rsidR="00FA773A" w:rsidRPr="001445C6">
        <w:t xml:space="preserve">, which led to the establishment of the </w:t>
      </w:r>
      <w:r w:rsidR="0052758B" w:rsidRPr="0052758B">
        <w:t>National Abor</w:t>
      </w:r>
      <w:r w:rsidR="0052758B">
        <w:t>igines Day Observance Committee</w:t>
      </w:r>
      <w:r w:rsidR="00E13E3A" w:rsidRPr="001445C6">
        <w:t xml:space="preserve"> (</w:t>
      </w:r>
      <w:proofErr w:type="spellStart"/>
      <w:r w:rsidR="00E13E3A" w:rsidRPr="001445C6">
        <w:t>NADOC</w:t>
      </w:r>
      <w:proofErr w:type="spellEnd"/>
      <w:r w:rsidR="00E13E3A" w:rsidRPr="001445C6">
        <w:t>).</w:t>
      </w:r>
      <w:r w:rsidR="00E13E3A" w:rsidRPr="008B547C">
        <w:rPr>
          <w:rStyle w:val="FootnoteReference"/>
        </w:rPr>
        <w:footnoteReference w:id="5"/>
      </w:r>
      <w:r w:rsidR="00E13E3A" w:rsidRPr="001445C6">
        <w:t xml:space="preserve"> </w:t>
      </w:r>
      <w:r w:rsidRPr="001445C6">
        <w:t xml:space="preserve">In August 1963, </w:t>
      </w:r>
      <w:r w:rsidR="003E13C5" w:rsidRPr="001445C6">
        <w:t xml:space="preserve">the Yirrkala Bark </w:t>
      </w:r>
      <w:r w:rsidR="007134C6">
        <w:t>P</w:t>
      </w:r>
      <w:r w:rsidR="003E13C5" w:rsidRPr="001445C6">
        <w:t>etitions</w:t>
      </w:r>
      <w:r w:rsidRPr="001445C6">
        <w:t xml:space="preserve"> </w:t>
      </w:r>
      <w:r w:rsidR="008B547C" w:rsidRPr="008B547C">
        <w:rPr>
          <w:szCs w:val="24"/>
        </w:rPr>
        <w:t>(Yolngu People of Yirrkala 1963)</w:t>
      </w:r>
      <w:r w:rsidR="00C9775F">
        <w:t xml:space="preserve"> </w:t>
      </w:r>
      <w:r w:rsidR="003E13C5" w:rsidRPr="001445C6">
        <w:t xml:space="preserve">were </w:t>
      </w:r>
      <w:r w:rsidRPr="001445C6">
        <w:t xml:space="preserve">presented as a pair of bark paintings, </w:t>
      </w:r>
      <w:r w:rsidR="003E13C5" w:rsidRPr="001445C6">
        <w:t xml:space="preserve">written in both Yolngu </w:t>
      </w:r>
      <w:proofErr w:type="spellStart"/>
      <w:r w:rsidR="003E13C5" w:rsidRPr="001445C6">
        <w:t>Matha</w:t>
      </w:r>
      <w:proofErr w:type="spellEnd"/>
      <w:r w:rsidR="003E13C5" w:rsidRPr="001445C6">
        <w:t xml:space="preserve"> and English they were </w:t>
      </w:r>
      <w:r w:rsidRPr="001445C6">
        <w:t>signed by 131 clan leaders of the Yolngu region of the Northern Territory. The bark petitions are considered founding documents of Australia’s democrac</w:t>
      </w:r>
      <w:r w:rsidR="00130D35" w:rsidRPr="001445C6">
        <w:t>y</w:t>
      </w:r>
      <w:r w:rsidR="004E639A">
        <w:t>.</w:t>
      </w:r>
      <w:r w:rsidR="004A44A2" w:rsidRPr="004A44A2">
        <w:t xml:space="preserve"> </w:t>
      </w:r>
    </w:p>
    <w:p w14:paraId="2011C621" w14:textId="71045012" w:rsidR="003729DA" w:rsidRPr="001445C6" w:rsidRDefault="003729DA" w:rsidP="003729DA">
      <w:pPr>
        <w:pStyle w:val="BodyText"/>
      </w:pPr>
      <w:r w:rsidRPr="001445C6">
        <w:t xml:space="preserve">Other Aboriginal </w:t>
      </w:r>
      <w:r w:rsidR="00FB24D7" w:rsidRPr="001445C6">
        <w:t xml:space="preserve">and Torres Strait Islander </w:t>
      </w:r>
      <w:r w:rsidRPr="001445C6">
        <w:t>people took more direct action</w:t>
      </w:r>
      <w:r w:rsidR="007134C6">
        <w:t xml:space="preserve"> </w:t>
      </w:r>
      <w:r w:rsidR="007134C6" w:rsidRPr="001445C6">
        <w:t>—</w:t>
      </w:r>
      <w:r w:rsidRPr="001445C6">
        <w:t xml:space="preserve"> such as the ‘Gurindji Walk</w:t>
      </w:r>
      <w:r w:rsidR="00E4541B">
        <w:noBreakHyphen/>
      </w:r>
      <w:r w:rsidRPr="001445C6">
        <w:t>Off’ in 1966, when about 250 Aboriginal pastoral workers and their families walked off the Wave Hill Station in response to the low rates of pay and poor living conditions. The action developed as a wholesale rejection of the governmental and industrial framework applying to Aboriginal pastoral populations and included a demand for the return</w:t>
      </w:r>
      <w:r w:rsidR="00785AA0" w:rsidRPr="001445C6">
        <w:t xml:space="preserve"> of traditional lands</w:t>
      </w:r>
      <w:r w:rsidR="00876780">
        <w:t xml:space="preserve"> </w:t>
      </w:r>
      <w:r w:rsidR="00FC6FDA" w:rsidRPr="00FC6FDA">
        <w:rPr>
          <w:szCs w:val="24"/>
        </w:rPr>
        <w:t>(National Archives of Australia 1966)</w:t>
      </w:r>
      <w:r w:rsidRPr="001445C6">
        <w:t>.</w:t>
      </w:r>
    </w:p>
    <w:p w14:paraId="64EA9676" w14:textId="77777777" w:rsidR="003F4012" w:rsidRPr="001445C6" w:rsidRDefault="003F4012" w:rsidP="008F5EE2">
      <w:pPr>
        <w:pStyle w:val="Heading3"/>
      </w:pPr>
      <w:r w:rsidRPr="001445C6">
        <w:lastRenderedPageBreak/>
        <w:t>…and</w:t>
      </w:r>
      <w:r w:rsidR="00635A93" w:rsidRPr="001445C6">
        <w:t xml:space="preserve"> activism led to</w:t>
      </w:r>
      <w:r w:rsidRPr="001445C6">
        <w:t xml:space="preserve"> </w:t>
      </w:r>
      <w:r w:rsidR="00635A93" w:rsidRPr="001445C6">
        <w:t xml:space="preserve">increasing community concern and ultimately </w:t>
      </w:r>
      <w:r w:rsidRPr="001445C6">
        <w:t>constitutional change</w:t>
      </w:r>
      <w:r w:rsidR="00635A93" w:rsidRPr="001445C6">
        <w:t xml:space="preserve"> in 1967</w:t>
      </w:r>
    </w:p>
    <w:p w14:paraId="169B08BB" w14:textId="6C3572E4" w:rsidR="003729DA" w:rsidRPr="001445C6" w:rsidRDefault="003729DA" w:rsidP="003729DA">
      <w:pPr>
        <w:pStyle w:val="BodyText"/>
      </w:pPr>
      <w:r w:rsidRPr="001445C6">
        <w:t xml:space="preserve">This activism led to increasing community concern about Indigenous policy. By 1967, there was widespread support </w:t>
      </w:r>
      <w:r w:rsidR="00FE424A" w:rsidRPr="001445C6">
        <w:t xml:space="preserve">across the Australian population </w:t>
      </w:r>
      <w:r w:rsidR="007134C6">
        <w:t>for making</w:t>
      </w:r>
      <w:r w:rsidRPr="001445C6">
        <w:t xml:space="preserve"> two amendments to the Australian constitution — to allow the Commonwealth Government to legislate with respect to Aboriginal people, and to include Ab</w:t>
      </w:r>
      <w:r w:rsidR="00E13E3A" w:rsidRPr="001445C6">
        <w:t>original people in the Census.</w:t>
      </w:r>
      <w:r w:rsidR="00E13E3A" w:rsidRPr="008B547C">
        <w:rPr>
          <w:rStyle w:val="FootnoteReference"/>
        </w:rPr>
        <w:footnoteReference w:id="6"/>
      </w:r>
      <w:r w:rsidR="00E13E3A" w:rsidRPr="001445C6">
        <w:t xml:space="preserve"> </w:t>
      </w:r>
      <w:r w:rsidRPr="001445C6">
        <w:t xml:space="preserve">The referendum, commonly regarded as a watershed in relations between </w:t>
      </w:r>
      <w:r w:rsidR="00175C95" w:rsidRPr="001445C6">
        <w:t xml:space="preserve">Aboriginal and Torres Strait Islander </w:t>
      </w:r>
      <w:r w:rsidR="00FE424A" w:rsidRPr="001445C6">
        <w:t xml:space="preserve">people </w:t>
      </w:r>
      <w:r w:rsidR="00596E3F" w:rsidRPr="001445C6">
        <w:t>and non</w:t>
      </w:r>
      <w:r w:rsidR="00E4541B">
        <w:noBreakHyphen/>
      </w:r>
      <w:r w:rsidRPr="001445C6">
        <w:t xml:space="preserve">Indigenous </w:t>
      </w:r>
      <w:r w:rsidR="00FE424A" w:rsidRPr="001445C6">
        <w:t>people</w:t>
      </w:r>
      <w:r w:rsidRPr="001445C6">
        <w:t>, was supported by over 90 per cent of voters</w:t>
      </w:r>
      <w:r w:rsidR="007134C6">
        <w:t xml:space="preserve"> </w:t>
      </w:r>
      <w:r w:rsidR="007134C6" w:rsidRPr="001445C6">
        <w:t xml:space="preserve">— </w:t>
      </w:r>
      <w:r w:rsidRPr="001445C6">
        <w:t>the largest majority for any Australi</w:t>
      </w:r>
      <w:r w:rsidR="009E09B9" w:rsidRPr="001445C6">
        <w:t xml:space="preserve">an referendum </w:t>
      </w:r>
      <w:r w:rsidR="00271273" w:rsidRPr="00271273">
        <w:rPr>
          <w:szCs w:val="24"/>
        </w:rPr>
        <w:t>(</w:t>
      </w:r>
      <w:proofErr w:type="spellStart"/>
      <w:r w:rsidR="00271273" w:rsidRPr="00271273">
        <w:rPr>
          <w:szCs w:val="24"/>
        </w:rPr>
        <w:t>FaHCSIA</w:t>
      </w:r>
      <w:proofErr w:type="spellEnd"/>
      <w:r w:rsidR="00271273" w:rsidRPr="00271273">
        <w:rPr>
          <w:szCs w:val="24"/>
        </w:rPr>
        <w:t> 2012, p. 32)</w:t>
      </w:r>
      <w:r w:rsidRPr="001445C6">
        <w:t>.</w:t>
      </w:r>
    </w:p>
    <w:p w14:paraId="54AABBEF" w14:textId="77777777" w:rsidR="008648A5" w:rsidRPr="001445C6" w:rsidRDefault="007134C6" w:rsidP="003729DA">
      <w:pPr>
        <w:pStyle w:val="BodyText"/>
      </w:pPr>
      <w:r>
        <w:t>Legal r</w:t>
      </w:r>
      <w:r w:rsidR="008648A5" w:rsidRPr="001445C6">
        <w:t>ights to vote varied across states and territories</w:t>
      </w:r>
      <w:r>
        <w:t>,</w:t>
      </w:r>
      <w:r w:rsidR="008648A5" w:rsidRPr="001445C6">
        <w:t xml:space="preserve"> and there were often differences between legal entitlements and the practical exercise of those entitlements. The Commonwealth Electoral Act 1962 gave Aboriginal and Torres Strait Islander </w:t>
      </w:r>
      <w:r w:rsidR="00FE424A" w:rsidRPr="001445C6">
        <w:t xml:space="preserve">people </w:t>
      </w:r>
      <w:r w:rsidR="008648A5" w:rsidRPr="001445C6">
        <w:t xml:space="preserve">the right to register and vote in federal elections, but voting was not made compulsory </w:t>
      </w:r>
      <w:r>
        <w:t xml:space="preserve">from them </w:t>
      </w:r>
      <w:r w:rsidR="008648A5" w:rsidRPr="001445C6">
        <w:t>until 1984.</w:t>
      </w:r>
    </w:p>
    <w:p w14:paraId="34F89D09" w14:textId="77777777" w:rsidR="00B51540" w:rsidRPr="001445C6" w:rsidRDefault="00B51540" w:rsidP="002719CB">
      <w:pPr>
        <w:pStyle w:val="Heading3"/>
      </w:pPr>
      <w:r w:rsidRPr="001445C6">
        <w:t>Ongoing activism for land and other rights also prompted new legislation</w:t>
      </w:r>
      <w:r w:rsidR="00635A93" w:rsidRPr="001445C6">
        <w:t xml:space="preserve">, policies and actions — </w:t>
      </w:r>
      <w:r w:rsidRPr="001445C6">
        <w:t>sometimes</w:t>
      </w:r>
      <w:r w:rsidR="00635A93" w:rsidRPr="001445C6">
        <w:t xml:space="preserve"> with</w:t>
      </w:r>
      <w:r w:rsidRPr="001445C6">
        <w:t xml:space="preserve"> unintended consequences </w:t>
      </w:r>
    </w:p>
    <w:p w14:paraId="40AD3A9C" w14:textId="2C14BB76" w:rsidR="003729DA" w:rsidRPr="001445C6" w:rsidRDefault="003729DA" w:rsidP="003729DA">
      <w:pPr>
        <w:pStyle w:val="BodyText"/>
      </w:pPr>
      <w:r w:rsidRPr="001445C6">
        <w:t xml:space="preserve">Land rights were, and continue to be, a prominent focus </w:t>
      </w:r>
      <w:r w:rsidR="00FE5670" w:rsidRPr="001445C6">
        <w:t>for</w:t>
      </w:r>
      <w:r w:rsidRPr="001445C6">
        <w:t xml:space="preserve"> Aboriginal </w:t>
      </w:r>
      <w:r w:rsidR="00175C95" w:rsidRPr="001445C6">
        <w:t xml:space="preserve">and Torres Strait Islander </w:t>
      </w:r>
      <w:r w:rsidR="00FE5670" w:rsidRPr="001445C6">
        <w:t>people</w:t>
      </w:r>
      <w:r w:rsidRPr="001445C6">
        <w:t>. In the 1970s, the</w:t>
      </w:r>
      <w:r w:rsidR="007134C6">
        <w:t>ir</w:t>
      </w:r>
      <w:r w:rsidRPr="001445C6">
        <w:t xml:space="preserve"> efforts led governments </w:t>
      </w:r>
      <w:r w:rsidR="007134C6">
        <w:t xml:space="preserve">to </w:t>
      </w:r>
      <w:r w:rsidRPr="001445C6">
        <w:t>pass various forms of land rights legislation. In the 1992 Mabo case, the High Court recognised native title, overturning the previous legal fiction that the land had belonged to no one at the time of Europe</w:t>
      </w:r>
      <w:r w:rsidR="009E09B9" w:rsidRPr="001445C6">
        <w:t>an settlement</w:t>
      </w:r>
      <w:r w:rsidR="00FC6FDA">
        <w:t xml:space="preserve"> </w:t>
      </w:r>
      <w:r w:rsidR="00271273" w:rsidRPr="00271273">
        <w:rPr>
          <w:szCs w:val="24"/>
        </w:rPr>
        <w:t>(</w:t>
      </w:r>
      <w:proofErr w:type="spellStart"/>
      <w:r w:rsidR="00271273" w:rsidRPr="00271273">
        <w:rPr>
          <w:szCs w:val="24"/>
        </w:rPr>
        <w:t>FaHCSIA</w:t>
      </w:r>
      <w:proofErr w:type="spellEnd"/>
      <w:r w:rsidR="00271273" w:rsidRPr="00271273">
        <w:rPr>
          <w:szCs w:val="24"/>
        </w:rPr>
        <w:t> 2012, p. 35)</w:t>
      </w:r>
      <w:r w:rsidRPr="001445C6">
        <w:t>. This decision led to the Commonwealth Native Title Act 1993, which provides a court process for determining native title claims. However, in many circumstances, native title is f</w:t>
      </w:r>
      <w:r w:rsidR="00E13E3A" w:rsidRPr="001445C6">
        <w:t>ound to have been extinguished.</w:t>
      </w:r>
    </w:p>
    <w:p w14:paraId="50AE526E" w14:textId="45FD0D6F" w:rsidR="008C5E30" w:rsidRPr="001445C6" w:rsidRDefault="003729DA">
      <w:pPr>
        <w:pStyle w:val="BodyText"/>
      </w:pPr>
      <w:r w:rsidRPr="001445C6">
        <w:t>In the late 1960s and early 1970s, overtly paternalistic polic</w:t>
      </w:r>
      <w:r w:rsidR="00AD0E5B" w:rsidRPr="001445C6">
        <w:t>i</w:t>
      </w:r>
      <w:r w:rsidRPr="001445C6">
        <w:t xml:space="preserve">es </w:t>
      </w:r>
      <w:r w:rsidR="007134C6" w:rsidRPr="001445C6">
        <w:t xml:space="preserve">(including the Aboriginal Acts) </w:t>
      </w:r>
      <w:r w:rsidRPr="001445C6">
        <w:t>were formally abandoned and a new polic</w:t>
      </w:r>
      <w:r w:rsidR="008C5E30" w:rsidRPr="001445C6">
        <w:t>y</w:t>
      </w:r>
      <w:r w:rsidR="00FE424A" w:rsidRPr="001445C6">
        <w:t xml:space="preserve"> aimed at facilitating greater levels of self</w:t>
      </w:r>
      <w:r w:rsidR="00E4541B">
        <w:noBreakHyphen/>
      </w:r>
      <w:r w:rsidR="00FE424A" w:rsidRPr="001445C6">
        <w:t>determination w</w:t>
      </w:r>
      <w:r w:rsidR="008C5E30" w:rsidRPr="001445C6">
        <w:t>as</w:t>
      </w:r>
      <w:r w:rsidR="00FE424A" w:rsidRPr="001445C6">
        <w:t xml:space="preserve"> </w:t>
      </w:r>
      <w:r w:rsidRPr="001445C6">
        <w:t xml:space="preserve">introduced. The </w:t>
      </w:r>
      <w:r w:rsidR="008648A5" w:rsidRPr="001445C6">
        <w:t xml:space="preserve">Commonwealth </w:t>
      </w:r>
      <w:r w:rsidRPr="001445C6">
        <w:t xml:space="preserve">Racial Discrimination Act was introduced in 1975, </w:t>
      </w:r>
      <w:r w:rsidR="007134C6">
        <w:t>after Australia signed</w:t>
      </w:r>
      <w:r w:rsidRPr="001445C6">
        <w:t xml:space="preserve"> the International Covenant on the Elimination of All Forms of Racial Discrimination.</w:t>
      </w:r>
      <w:r w:rsidR="00C273EB" w:rsidRPr="001445C6">
        <w:t xml:space="preserve"> </w:t>
      </w:r>
    </w:p>
    <w:p w14:paraId="4A9D250B" w14:textId="77777777" w:rsidR="00456925" w:rsidRPr="001445C6" w:rsidRDefault="003729DA">
      <w:pPr>
        <w:pStyle w:val="BodyText"/>
      </w:pPr>
      <w:r w:rsidRPr="001445C6">
        <w:t xml:space="preserve">However, </w:t>
      </w:r>
      <w:r w:rsidR="00FE424A" w:rsidRPr="001445C6">
        <w:t xml:space="preserve">policies and </w:t>
      </w:r>
      <w:r w:rsidRPr="001445C6">
        <w:t xml:space="preserve">actions that sought to establish equal rights for Aboriginal </w:t>
      </w:r>
      <w:r w:rsidR="008648A5" w:rsidRPr="001445C6">
        <w:t xml:space="preserve">and Torres Strait Islander </w:t>
      </w:r>
      <w:r w:rsidR="00FE424A" w:rsidRPr="001445C6">
        <w:t xml:space="preserve">people </w:t>
      </w:r>
      <w:r w:rsidRPr="001445C6">
        <w:t xml:space="preserve">sometimes had perverse </w:t>
      </w:r>
      <w:r w:rsidR="00FE424A" w:rsidRPr="001445C6">
        <w:t>and/or unintended consequences</w:t>
      </w:r>
      <w:r w:rsidRPr="001445C6">
        <w:t>.</w:t>
      </w:r>
    </w:p>
    <w:p w14:paraId="09A30418" w14:textId="45595265" w:rsidR="00FE424A" w:rsidRPr="001445C6" w:rsidRDefault="00456925" w:rsidP="00802BA5">
      <w:pPr>
        <w:pStyle w:val="ListBullet"/>
      </w:pPr>
      <w:r w:rsidRPr="001445C6">
        <w:t>T</w:t>
      </w:r>
      <w:r w:rsidR="003729DA" w:rsidRPr="001445C6">
        <w:t>he successful 1966 equal pay case for Aboriginal pastoral workers led to many workers and their families being forced off the land</w:t>
      </w:r>
      <w:r w:rsidR="008648A5" w:rsidRPr="001445C6">
        <w:t xml:space="preserve"> and, o</w:t>
      </w:r>
      <w:r w:rsidR="003729DA" w:rsidRPr="001445C6">
        <w:t>ver time</w:t>
      </w:r>
      <w:r w:rsidR="008648A5" w:rsidRPr="001445C6">
        <w:t>,</w:t>
      </w:r>
      <w:r w:rsidR="003729DA" w:rsidRPr="001445C6">
        <w:t xml:space="preserve"> onto welfare </w:t>
      </w:r>
      <w:r w:rsidR="000B2E4D" w:rsidRPr="000B2E4D">
        <w:rPr>
          <w:szCs w:val="24"/>
        </w:rPr>
        <w:t>(Chaney 2013, p. 54; Flood 2006, p. 215)</w:t>
      </w:r>
      <w:r w:rsidR="003729DA" w:rsidRPr="001445C6">
        <w:t>.</w:t>
      </w:r>
    </w:p>
    <w:p w14:paraId="4DE0D22D" w14:textId="003E3E19" w:rsidR="00C273EB" w:rsidRPr="001445C6" w:rsidRDefault="003729DA" w:rsidP="00802BA5">
      <w:pPr>
        <w:pStyle w:val="ListBullet"/>
      </w:pPr>
      <w:r w:rsidRPr="001445C6">
        <w:lastRenderedPageBreak/>
        <w:t xml:space="preserve">Extensive lobbying by the Federal Council for Aboriginal Advancement (later the Federal Council for the Advancement of </w:t>
      </w:r>
      <w:r w:rsidR="00175C95" w:rsidRPr="001445C6">
        <w:t>Aborigines</w:t>
      </w:r>
      <w:r w:rsidRPr="001445C6">
        <w:t xml:space="preserve"> and Torres Strait Islanders) led to different groups of Aboriginal and Torres Strait Islander people receiving access to social security benefits at d</w:t>
      </w:r>
      <w:r w:rsidR="005A7830" w:rsidRPr="001445C6">
        <w:t xml:space="preserve">ifferent times </w:t>
      </w:r>
      <w:r w:rsidR="00027B5B" w:rsidRPr="001445C6">
        <w:rPr>
          <w:szCs w:val="24"/>
        </w:rPr>
        <w:t>(Chesterman 2005)</w:t>
      </w:r>
      <w:r w:rsidRPr="001445C6">
        <w:t>. In 1959, legislation was amended to provide access to social security benefits to Aboriginal people who were</w:t>
      </w:r>
      <w:r w:rsidR="005A7830" w:rsidRPr="001445C6">
        <w:t xml:space="preserve"> not</w:t>
      </w:r>
      <w:r w:rsidR="008E03D2" w:rsidRPr="001445C6">
        <w:t xml:space="preserve"> at that time characterised as</w:t>
      </w:r>
      <w:r w:rsidR="005A7830" w:rsidRPr="001445C6">
        <w:t xml:space="preserve"> ‘nomadic’ </w:t>
      </w:r>
      <w:r w:rsidR="00027B5B" w:rsidRPr="001445C6">
        <w:rPr>
          <w:szCs w:val="24"/>
        </w:rPr>
        <w:t>(Chesterman 2005)</w:t>
      </w:r>
      <w:r w:rsidRPr="001445C6">
        <w:t>, with the legislation further amended in 1966 so that all Aboriginal people were eligible. However, in practice, many Aboriginal people living on government and mission stations were excluded from some welfare payments (particularly unemployment b</w:t>
      </w:r>
      <w:r w:rsidR="000E596F" w:rsidRPr="001445C6">
        <w:t xml:space="preserve">enefits) until 1976 </w:t>
      </w:r>
      <w:r w:rsidR="00027B5B" w:rsidRPr="001445C6">
        <w:rPr>
          <w:szCs w:val="24"/>
        </w:rPr>
        <w:t>(</w:t>
      </w:r>
      <w:proofErr w:type="spellStart"/>
      <w:r w:rsidR="00027B5B" w:rsidRPr="001445C6">
        <w:rPr>
          <w:szCs w:val="24"/>
        </w:rPr>
        <w:t>HREOC</w:t>
      </w:r>
      <w:proofErr w:type="spellEnd"/>
      <w:r w:rsidR="00027B5B" w:rsidRPr="001445C6">
        <w:rPr>
          <w:szCs w:val="24"/>
        </w:rPr>
        <w:t> 1997)</w:t>
      </w:r>
      <w:r w:rsidRPr="001445C6">
        <w:t>.</w:t>
      </w:r>
      <w:r w:rsidR="00175C95" w:rsidRPr="001445C6">
        <w:t xml:space="preserve"> </w:t>
      </w:r>
    </w:p>
    <w:p w14:paraId="44EBF0CC" w14:textId="6CDB72E3" w:rsidR="003729DA" w:rsidRPr="00AE704E" w:rsidRDefault="00175C95" w:rsidP="00AE704E">
      <w:pPr>
        <w:pStyle w:val="ListBullet"/>
        <w:rPr>
          <w:shd w:val="clear" w:color="auto" w:fill="FFFF00"/>
        </w:rPr>
      </w:pPr>
      <w:r w:rsidRPr="00AE704E">
        <w:t>In 19</w:t>
      </w:r>
      <w:r w:rsidR="004C0DFF" w:rsidRPr="00AE704E">
        <w:t>7</w:t>
      </w:r>
      <w:r w:rsidRPr="00AE704E">
        <w:t xml:space="preserve">7, the Community Development Employment Projects </w:t>
      </w:r>
      <w:r w:rsidR="00E878D2" w:rsidRPr="00AE704E">
        <w:t xml:space="preserve">(CDEP) </w:t>
      </w:r>
      <w:r w:rsidRPr="00AE704E">
        <w:t xml:space="preserve">program was introduced, </w:t>
      </w:r>
      <w:r w:rsidR="008648A5" w:rsidRPr="00AE704E">
        <w:t xml:space="preserve">pooling unemployment benefits </w:t>
      </w:r>
      <w:r w:rsidRPr="00AE704E">
        <w:t>to create local employment opportunities in remote communities where the labour market might not otherwise offer employment. The program was later extended to all areas (including non</w:t>
      </w:r>
      <w:r w:rsidR="00E4541B">
        <w:noBreakHyphen/>
      </w:r>
      <w:r w:rsidRPr="00AE704E">
        <w:t>remote</w:t>
      </w:r>
      <w:r w:rsidR="007134C6" w:rsidRPr="00AE704E">
        <w:t xml:space="preserve"> areas</w:t>
      </w:r>
      <w:r w:rsidRPr="00AE704E">
        <w:t>)</w:t>
      </w:r>
      <w:r w:rsidR="007134C6" w:rsidRPr="00AE704E">
        <w:t>, and</w:t>
      </w:r>
      <w:r w:rsidR="009C55BD" w:rsidRPr="00AE704E">
        <w:t xml:space="preserve"> then again </w:t>
      </w:r>
      <w:r w:rsidRPr="00AE704E">
        <w:t>restructured</w:t>
      </w:r>
      <w:r w:rsidR="002360A3" w:rsidRPr="00AE704E">
        <w:t xml:space="preserve"> in 2007</w:t>
      </w:r>
      <w:r w:rsidRPr="00AE704E">
        <w:t xml:space="preserve"> </w:t>
      </w:r>
      <w:r w:rsidR="002360A3" w:rsidRPr="00AE704E">
        <w:t>when it was</w:t>
      </w:r>
      <w:r w:rsidR="00CE6A34" w:rsidRPr="00AE704E">
        <w:t xml:space="preserve"> again</w:t>
      </w:r>
      <w:r w:rsidR="002360A3" w:rsidRPr="00AE704E">
        <w:t xml:space="preserve"> restricted to</w:t>
      </w:r>
      <w:r w:rsidRPr="00AE704E">
        <w:t xml:space="preserve"> remote areas</w:t>
      </w:r>
      <w:r w:rsidR="00CE6A34" w:rsidRPr="00AE704E">
        <w:t xml:space="preserve"> only</w:t>
      </w:r>
      <w:r w:rsidR="002360A3" w:rsidRPr="00AE704E">
        <w:t>. F</w:t>
      </w:r>
      <w:r w:rsidR="009C55BD" w:rsidRPr="00AE704E">
        <w:t>rom 1 </w:t>
      </w:r>
      <w:r w:rsidRPr="00AE704E">
        <w:t>July</w:t>
      </w:r>
      <w:r w:rsidR="007134C6" w:rsidRPr="00AE704E">
        <w:t> </w:t>
      </w:r>
      <w:r w:rsidRPr="00AE704E">
        <w:t xml:space="preserve">2013, CDEP was rolled into the </w:t>
      </w:r>
      <w:r w:rsidR="00F81F5B" w:rsidRPr="00AE704E">
        <w:t>Commonwealth</w:t>
      </w:r>
      <w:r w:rsidR="00E770CA" w:rsidRPr="00AE704E">
        <w:t xml:space="preserve"> </w:t>
      </w:r>
      <w:r w:rsidRPr="00AE704E">
        <w:t>Government’s Remote Jobs and Communities Program</w:t>
      </w:r>
      <w:r w:rsidR="0040523C" w:rsidRPr="00AE704E">
        <w:t xml:space="preserve">, which was reformed to create the Community Development Programme </w:t>
      </w:r>
      <w:r w:rsidR="00F61082">
        <w:t xml:space="preserve">(CDP) </w:t>
      </w:r>
      <w:r w:rsidR="0040523C" w:rsidRPr="00AE704E">
        <w:t>on 1</w:t>
      </w:r>
      <w:r w:rsidR="007134C6" w:rsidRPr="00AE704E">
        <w:t> </w:t>
      </w:r>
      <w:r w:rsidR="0040523C" w:rsidRPr="00AE704E">
        <w:t>July</w:t>
      </w:r>
      <w:r w:rsidR="007134C6" w:rsidRPr="00AE704E">
        <w:t> </w:t>
      </w:r>
      <w:r w:rsidR="0040523C" w:rsidRPr="00AE704E">
        <w:t>2015</w:t>
      </w:r>
      <w:r w:rsidR="009C55BD" w:rsidRPr="00AE704E">
        <w:t>.</w:t>
      </w:r>
      <w:r w:rsidR="000611BF" w:rsidRPr="00AE704E">
        <w:rPr>
          <w:rStyle w:val="FootnoteReference"/>
        </w:rPr>
        <w:footnoteReference w:id="7"/>
      </w:r>
      <w:r w:rsidR="003176CD" w:rsidRPr="00AE704E">
        <w:t xml:space="preserve"> </w:t>
      </w:r>
      <w:r w:rsidR="00794C69" w:rsidRPr="00AE704E">
        <w:rPr>
          <w:shd w:val="clear" w:color="auto" w:fill="FFFFFF" w:themeFill="background1"/>
        </w:rPr>
        <w:t xml:space="preserve">A compilation of qualitative research on job creation and income support in remote Aboriginal and Torres Strait Islander communities indicates that the change from CDEP to CDP shifted the focus of support from providing employment and development opportunities that enabled people to earn an income, to welfare reliance that was accompanied by </w:t>
      </w:r>
      <w:r w:rsidR="00EA37E4">
        <w:rPr>
          <w:shd w:val="clear" w:color="auto" w:fill="FFFFFF" w:themeFill="background1"/>
        </w:rPr>
        <w:t>strict compliance requirements</w:t>
      </w:r>
      <w:r w:rsidR="00ED12C3">
        <w:rPr>
          <w:shd w:val="clear" w:color="auto" w:fill="FFFFFF" w:themeFill="background1"/>
        </w:rPr>
        <w:t xml:space="preserve"> </w:t>
      </w:r>
      <w:r w:rsidR="00ED12C3" w:rsidRPr="00ED12C3">
        <w:rPr>
          <w:szCs w:val="24"/>
        </w:rPr>
        <w:t xml:space="preserve">(Jordan and </w:t>
      </w:r>
      <w:proofErr w:type="spellStart"/>
      <w:r w:rsidR="00ED12C3" w:rsidRPr="00ED12C3">
        <w:rPr>
          <w:szCs w:val="24"/>
        </w:rPr>
        <w:t>Fowkes</w:t>
      </w:r>
      <w:proofErr w:type="spellEnd"/>
      <w:r w:rsidR="00ED12C3" w:rsidRPr="00ED12C3">
        <w:rPr>
          <w:szCs w:val="24"/>
        </w:rPr>
        <w:t> 2016)</w:t>
      </w:r>
      <w:r w:rsidR="00794C69" w:rsidRPr="00AE704E">
        <w:rPr>
          <w:shd w:val="clear" w:color="auto" w:fill="FFFFFF" w:themeFill="background1"/>
        </w:rPr>
        <w:t>.</w:t>
      </w:r>
    </w:p>
    <w:p w14:paraId="2A81A3E4" w14:textId="631F97CC" w:rsidR="00B51540" w:rsidRPr="001445C6" w:rsidRDefault="00B51540" w:rsidP="002C7EA2">
      <w:pPr>
        <w:pStyle w:val="Heading3"/>
      </w:pPr>
      <w:r w:rsidRPr="001445C6">
        <w:t xml:space="preserve">In </w:t>
      </w:r>
      <w:r w:rsidR="008E03D2" w:rsidRPr="001445C6">
        <w:t xml:space="preserve">the </w:t>
      </w:r>
      <w:r w:rsidR="00B16556" w:rsidRPr="001445C6">
        <w:t>19</w:t>
      </w:r>
      <w:r w:rsidR="008E03D2" w:rsidRPr="001445C6">
        <w:t xml:space="preserve">70s and </w:t>
      </w:r>
      <w:r w:rsidR="00B16556" w:rsidRPr="001445C6">
        <w:t>19</w:t>
      </w:r>
      <w:r w:rsidR="008E03D2" w:rsidRPr="001445C6">
        <w:t>80s</w:t>
      </w:r>
      <w:r w:rsidRPr="001445C6">
        <w:t>, calls for greater self</w:t>
      </w:r>
      <w:r w:rsidR="00E4541B">
        <w:noBreakHyphen/>
      </w:r>
      <w:r w:rsidRPr="001445C6">
        <w:t xml:space="preserve">determination </w:t>
      </w:r>
      <w:r w:rsidR="003912AE" w:rsidRPr="001445C6">
        <w:t>gr</w:t>
      </w:r>
      <w:r w:rsidR="008E03D2" w:rsidRPr="001445C6">
        <w:t>ew</w:t>
      </w:r>
      <w:r w:rsidR="00635A93" w:rsidRPr="001445C6">
        <w:t xml:space="preserve">, </w:t>
      </w:r>
      <w:r w:rsidRPr="001445C6">
        <w:t>le</w:t>
      </w:r>
      <w:r w:rsidR="00635A93" w:rsidRPr="001445C6">
        <w:t>ading</w:t>
      </w:r>
      <w:r w:rsidRPr="001445C6">
        <w:t xml:space="preserve"> to</w:t>
      </w:r>
      <w:r w:rsidR="00635A93" w:rsidRPr="001445C6">
        <w:t xml:space="preserve"> the</w:t>
      </w:r>
      <w:r w:rsidRPr="001445C6">
        <w:t xml:space="preserve"> establishment of community controlled services </w:t>
      </w:r>
    </w:p>
    <w:p w14:paraId="4A793D3E" w14:textId="3CC836F0" w:rsidR="003912AE" w:rsidRPr="001445C6" w:rsidRDefault="001015E6" w:rsidP="003729DA">
      <w:pPr>
        <w:pStyle w:val="BodyText"/>
      </w:pPr>
      <w:r>
        <w:t>During</w:t>
      </w:r>
      <w:r w:rsidRPr="001445C6">
        <w:t xml:space="preserve"> </w:t>
      </w:r>
      <w:r w:rsidR="003729DA" w:rsidRPr="001445C6">
        <w:t xml:space="preserve">the 1970s and 1980s, </w:t>
      </w:r>
      <w:r w:rsidR="003238F6">
        <w:t xml:space="preserve">an </w:t>
      </w:r>
      <w:r w:rsidR="003729DA" w:rsidRPr="001445C6">
        <w:t>increasing desire for self</w:t>
      </w:r>
      <w:r w:rsidR="00E4541B">
        <w:noBreakHyphen/>
      </w:r>
      <w:r w:rsidR="003729DA" w:rsidRPr="001445C6">
        <w:t xml:space="preserve">determination saw the establishment of many community controlled services </w:t>
      </w:r>
      <w:r>
        <w:t>(</w:t>
      </w:r>
      <w:r w:rsidR="003729DA" w:rsidRPr="001445C6">
        <w:t>particularly primary health and legal services</w:t>
      </w:r>
      <w:r>
        <w:t>)</w:t>
      </w:r>
      <w:r w:rsidR="003729DA" w:rsidRPr="001445C6">
        <w:t xml:space="preserve">, many of which continue to operate today. </w:t>
      </w:r>
      <w:r w:rsidR="003912AE" w:rsidRPr="001445C6">
        <w:t xml:space="preserve">These services were established in response to widespread concerns </w:t>
      </w:r>
      <w:r>
        <w:t>about</w:t>
      </w:r>
      <w:r w:rsidRPr="001445C6">
        <w:t xml:space="preserve"> </w:t>
      </w:r>
      <w:r w:rsidR="003912AE" w:rsidRPr="001445C6">
        <w:t xml:space="preserve">the </w:t>
      </w:r>
      <w:r w:rsidR="00AA0C23" w:rsidRPr="001445C6">
        <w:t xml:space="preserve">lack of </w:t>
      </w:r>
      <w:r w:rsidR="003912AE" w:rsidRPr="001445C6">
        <w:t>provision of services to Aboriginal and Torres Strait Islander people.</w:t>
      </w:r>
    </w:p>
    <w:p w14:paraId="282F3E14" w14:textId="777E5DCB" w:rsidR="003729DA" w:rsidRPr="001445C6" w:rsidRDefault="001015E6" w:rsidP="003729DA">
      <w:pPr>
        <w:pStyle w:val="BodyText"/>
      </w:pPr>
      <w:r>
        <w:t>In 1990, concerns</w:t>
      </w:r>
      <w:r w:rsidR="003912AE" w:rsidRPr="001445C6">
        <w:t xml:space="preserve"> also led to the establishment of the Aboriginal and Torres Strait Islander Commission (ATSIC). </w:t>
      </w:r>
      <w:r w:rsidR="00635A93" w:rsidRPr="001445C6">
        <w:t xml:space="preserve">Its purpose was </w:t>
      </w:r>
      <w:r w:rsidR="003729DA" w:rsidRPr="001445C6">
        <w:t xml:space="preserve">to provide advice to </w:t>
      </w:r>
      <w:r w:rsidR="00A76014" w:rsidRPr="001445C6">
        <w:t>Australian</w:t>
      </w:r>
      <w:r w:rsidR="003729DA" w:rsidRPr="001445C6">
        <w:t xml:space="preserve"> government</w:t>
      </w:r>
      <w:r w:rsidR="00A76014" w:rsidRPr="001445C6">
        <w:t>s</w:t>
      </w:r>
      <w:r w:rsidR="003729DA" w:rsidRPr="001445C6">
        <w:t xml:space="preserve"> and to deliver some services (although it </w:t>
      </w:r>
      <w:r w:rsidR="00635A93" w:rsidRPr="001445C6">
        <w:t>did not have</w:t>
      </w:r>
      <w:r w:rsidR="003729DA" w:rsidRPr="001445C6">
        <w:t xml:space="preserve"> responsibility for mainstream services delivered to </w:t>
      </w:r>
      <w:r w:rsidR="008648A5" w:rsidRPr="001445C6">
        <w:t xml:space="preserve">Aboriginal and Torres Strait Islander </w:t>
      </w:r>
      <w:r w:rsidR="003729DA" w:rsidRPr="001445C6">
        <w:t>people, and its level of responsibility for Indigenous</w:t>
      </w:r>
      <w:r w:rsidR="00E4541B">
        <w:noBreakHyphen/>
      </w:r>
      <w:r w:rsidR="003729DA" w:rsidRPr="001445C6">
        <w:t>specific services declined over time)</w:t>
      </w:r>
      <w:r w:rsidR="00873822">
        <w:t xml:space="preserve"> </w:t>
      </w:r>
      <w:r w:rsidR="008B547C" w:rsidRPr="008B547C">
        <w:rPr>
          <w:szCs w:val="24"/>
        </w:rPr>
        <w:t>(Hannaford, Huggins and Collins 2003)</w:t>
      </w:r>
      <w:r w:rsidR="003729DA" w:rsidRPr="001445C6">
        <w:t>.</w:t>
      </w:r>
      <w:r w:rsidR="00EC3FD4" w:rsidRPr="001445C6">
        <w:t xml:space="preserve"> </w:t>
      </w:r>
    </w:p>
    <w:p w14:paraId="376D54D7" w14:textId="0562C5C9" w:rsidR="003729DA" w:rsidRPr="001445C6" w:rsidRDefault="003729DA" w:rsidP="003729DA">
      <w:pPr>
        <w:pStyle w:val="BodyText"/>
      </w:pPr>
      <w:r w:rsidRPr="001445C6">
        <w:t xml:space="preserve">A </w:t>
      </w:r>
      <w:r w:rsidR="008648A5" w:rsidRPr="001445C6">
        <w:t xml:space="preserve">2003 </w:t>
      </w:r>
      <w:r w:rsidRPr="001445C6">
        <w:t xml:space="preserve">review of ATSIC found that it was in need of structural change. While the regional council structure was considered to be working well, major changes </w:t>
      </w:r>
      <w:r w:rsidR="001015E6">
        <w:t xml:space="preserve">to the governing body </w:t>
      </w:r>
      <w:r w:rsidRPr="001445C6">
        <w:t xml:space="preserve">were recommended. The review recommended that any changes to ATSIC’s program delivery role be considered as part of a Commonwealth/State examination of the most effective </w:t>
      </w:r>
      <w:r w:rsidR="001015E6">
        <w:t xml:space="preserve">ways to </w:t>
      </w:r>
      <w:r w:rsidRPr="001445C6">
        <w:t xml:space="preserve">deliver services and programs of significance to Aboriginal and Torres </w:t>
      </w:r>
      <w:r w:rsidRPr="001445C6">
        <w:lastRenderedPageBreak/>
        <w:t xml:space="preserve">Strait Islander </w:t>
      </w:r>
      <w:r w:rsidR="000D175D" w:rsidRPr="001445C6">
        <w:t xml:space="preserve">people </w:t>
      </w:r>
      <w:r w:rsidR="008B547C" w:rsidRPr="008B547C">
        <w:rPr>
          <w:szCs w:val="24"/>
        </w:rPr>
        <w:t>(Hannaford, Huggins and Collins 2003, pp. 5–6)</w:t>
      </w:r>
      <w:r w:rsidRPr="001445C6">
        <w:t xml:space="preserve">. </w:t>
      </w:r>
      <w:r w:rsidR="003912AE" w:rsidRPr="001445C6">
        <w:t>Subsequently,</w:t>
      </w:r>
      <w:r w:rsidRPr="001445C6">
        <w:t xml:space="preserve"> ATSIC was abolished with bipartisa</w:t>
      </w:r>
      <w:r w:rsidR="000275F2" w:rsidRPr="001445C6">
        <w:t xml:space="preserve">n support in 2004 </w:t>
      </w:r>
      <w:r w:rsidR="00027B5B" w:rsidRPr="001445C6">
        <w:rPr>
          <w:szCs w:val="24"/>
        </w:rPr>
        <w:t>(</w:t>
      </w:r>
      <w:proofErr w:type="spellStart"/>
      <w:r w:rsidR="00027B5B" w:rsidRPr="001445C6">
        <w:rPr>
          <w:szCs w:val="24"/>
        </w:rPr>
        <w:t>AIATSIS</w:t>
      </w:r>
      <w:proofErr w:type="spellEnd"/>
      <w:r w:rsidR="00027B5B" w:rsidRPr="001445C6">
        <w:rPr>
          <w:szCs w:val="24"/>
        </w:rPr>
        <w:t> 2008)</w:t>
      </w:r>
      <w:r w:rsidR="003300CC" w:rsidRPr="008B547C">
        <w:rPr>
          <w:rStyle w:val="FootnoteReference"/>
        </w:rPr>
        <w:footnoteReference w:id="8"/>
      </w:r>
      <w:r w:rsidRPr="001445C6">
        <w:t xml:space="preserve">, and responsibility for services delivered by ATSIC returned to line departments. At the time, it was emphasised that </w:t>
      </w:r>
      <w:r w:rsidR="008648A5" w:rsidRPr="001445C6">
        <w:t>‘</w:t>
      </w:r>
      <w:r w:rsidRPr="001445C6">
        <w:t>mainstreaming</w:t>
      </w:r>
      <w:r w:rsidR="008648A5" w:rsidRPr="001445C6">
        <w:t>’</w:t>
      </w:r>
      <w:r w:rsidRPr="001445C6">
        <w:t xml:space="preserve"> was not intended to reduce funding of services to Aboriginal and Torres Strait Islander </w:t>
      </w:r>
      <w:r w:rsidR="000D175D" w:rsidRPr="001445C6">
        <w:t xml:space="preserve">people </w:t>
      </w:r>
      <w:r w:rsidR="00027B5B" w:rsidRPr="001445C6">
        <w:rPr>
          <w:szCs w:val="24"/>
        </w:rPr>
        <w:t>(Howard 2004)</w:t>
      </w:r>
      <w:r w:rsidRPr="001445C6">
        <w:t>.</w:t>
      </w:r>
    </w:p>
    <w:p w14:paraId="785C9232" w14:textId="1A4E169F" w:rsidR="00460A1B" w:rsidRPr="001445C6" w:rsidRDefault="003729DA" w:rsidP="003729DA">
      <w:pPr>
        <w:pStyle w:val="BodyText"/>
      </w:pPr>
      <w:r w:rsidRPr="001445C6">
        <w:t>The emphasis placed on Indigenous</w:t>
      </w:r>
      <w:r w:rsidR="00E4541B">
        <w:noBreakHyphen/>
      </w:r>
      <w:r w:rsidRPr="001445C6">
        <w:t>specific services versus mainstream services has varied over time and across jurisdictions</w:t>
      </w:r>
      <w:r w:rsidR="001015E6">
        <w:t>;</w:t>
      </w:r>
      <w:r w:rsidRPr="001445C6">
        <w:t xml:space="preserve"> for example, the majority of clients of many ‘mainstream’ services in the NT are Aboriginal. </w:t>
      </w:r>
      <w:r w:rsidR="003912AE" w:rsidRPr="001445C6">
        <w:t>P</w:t>
      </w:r>
      <w:r w:rsidRPr="001445C6">
        <w:t>ost</w:t>
      </w:r>
      <w:r w:rsidR="00E4541B">
        <w:noBreakHyphen/>
      </w:r>
      <w:r w:rsidRPr="001445C6">
        <w:t xml:space="preserve">ATSIC, widespread concerns around the provision of services to Aboriginal and Torres Strait Islander </w:t>
      </w:r>
      <w:r w:rsidR="000D175D" w:rsidRPr="001445C6">
        <w:t xml:space="preserve">people </w:t>
      </w:r>
      <w:r w:rsidRPr="001445C6">
        <w:t>(by both mainstream and Indigenous</w:t>
      </w:r>
      <w:r w:rsidR="00E4541B">
        <w:noBreakHyphen/>
      </w:r>
      <w:r w:rsidRPr="001445C6">
        <w:t>controlled service providers)</w:t>
      </w:r>
      <w:r w:rsidR="003912AE" w:rsidRPr="001445C6">
        <w:t xml:space="preserve"> continued</w:t>
      </w:r>
      <w:r w:rsidRPr="001445C6">
        <w:t xml:space="preserve">. In many circumstances, </w:t>
      </w:r>
      <w:r w:rsidR="001015E6">
        <w:t xml:space="preserve">successive governments appeared to tolerate a </w:t>
      </w:r>
      <w:r w:rsidRPr="001445C6">
        <w:t xml:space="preserve">lack of services or poorer quality services for </w:t>
      </w:r>
      <w:r w:rsidR="008648A5" w:rsidRPr="001445C6">
        <w:t xml:space="preserve">Aboriginal and Torres Strait Islander people </w:t>
      </w:r>
      <w:r w:rsidR="00922355" w:rsidRPr="001445C6">
        <w:t>(Chaney 2013</w:t>
      </w:r>
      <w:r w:rsidRPr="001445C6">
        <w:t xml:space="preserve">). These concerns </w:t>
      </w:r>
      <w:r w:rsidR="001015E6">
        <w:t>increased the</w:t>
      </w:r>
      <w:r w:rsidRPr="001445C6">
        <w:t xml:space="preserve"> focus on monitoring expenditure on services provided to Aboriginal and Torres Strait Islander </w:t>
      </w:r>
      <w:r w:rsidR="000D175D" w:rsidRPr="001445C6">
        <w:t>people</w:t>
      </w:r>
      <w:r w:rsidRPr="001445C6">
        <w:t xml:space="preserve">. </w:t>
      </w:r>
    </w:p>
    <w:p w14:paraId="12617D0E" w14:textId="449BFC20" w:rsidR="00460A1B" w:rsidRPr="001445C6" w:rsidRDefault="003729DA" w:rsidP="002C7EA2">
      <w:pPr>
        <w:pStyle w:val="ListBullet"/>
      </w:pPr>
      <w:r w:rsidRPr="001445C6">
        <w:t>In 2001</w:t>
      </w:r>
      <w:r w:rsidR="00C06A00">
        <w:t>,</w:t>
      </w:r>
      <w:r w:rsidRPr="001445C6">
        <w:t xml:space="preserve"> the Commonwealth Grants Commission was </w:t>
      </w:r>
      <w:r w:rsidR="001015E6">
        <w:t>asked</w:t>
      </w:r>
      <w:r w:rsidR="001015E6" w:rsidRPr="001445C6">
        <w:t xml:space="preserve"> </w:t>
      </w:r>
      <w:r w:rsidRPr="001445C6">
        <w:t xml:space="preserve">to conduct an inquiry into Indigenous funding, to assist the Commonwealth Government </w:t>
      </w:r>
      <w:r w:rsidR="001015E6">
        <w:t>in</w:t>
      </w:r>
      <w:r w:rsidR="001015E6" w:rsidRPr="001445C6">
        <w:t xml:space="preserve"> </w:t>
      </w:r>
      <w:r w:rsidRPr="001445C6">
        <w:t>target</w:t>
      </w:r>
      <w:r w:rsidR="001015E6">
        <w:t>ing</w:t>
      </w:r>
      <w:r w:rsidRPr="001445C6">
        <w:t xml:space="preserve"> resources to areas of greatest </w:t>
      </w:r>
      <w:r w:rsidR="005A7830" w:rsidRPr="001445C6">
        <w:t xml:space="preserve">need </w:t>
      </w:r>
      <w:r w:rsidR="00027B5B" w:rsidRPr="001445C6">
        <w:rPr>
          <w:szCs w:val="24"/>
        </w:rPr>
        <w:t>(</w:t>
      </w:r>
      <w:proofErr w:type="spellStart"/>
      <w:r w:rsidR="00027B5B" w:rsidRPr="001445C6">
        <w:rPr>
          <w:szCs w:val="24"/>
        </w:rPr>
        <w:t>CGC</w:t>
      </w:r>
      <w:proofErr w:type="spellEnd"/>
      <w:r w:rsidR="00027B5B" w:rsidRPr="001445C6">
        <w:rPr>
          <w:szCs w:val="24"/>
        </w:rPr>
        <w:t> 2001)</w:t>
      </w:r>
      <w:r w:rsidRPr="001445C6">
        <w:t xml:space="preserve">. </w:t>
      </w:r>
    </w:p>
    <w:p w14:paraId="41074359" w14:textId="076EA124" w:rsidR="00460A1B" w:rsidRPr="001445C6" w:rsidRDefault="003729DA" w:rsidP="002C7EA2">
      <w:pPr>
        <w:pStyle w:val="ListBullet"/>
      </w:pPr>
      <w:r w:rsidRPr="001445C6">
        <w:t xml:space="preserve">For many years the AIHW has produced a report </w:t>
      </w:r>
      <w:r w:rsidR="001015E6">
        <w:t>on</w:t>
      </w:r>
      <w:r w:rsidRPr="001445C6">
        <w:t xml:space="preserve"> Aboriginal and Torres Strait Islande</w:t>
      </w:r>
      <w:r w:rsidR="00EB568A" w:rsidRPr="001445C6">
        <w:t xml:space="preserve">r health expenditure </w:t>
      </w:r>
      <w:r w:rsidR="00027B5B" w:rsidRPr="001445C6">
        <w:rPr>
          <w:szCs w:val="24"/>
        </w:rPr>
        <w:t>(AIHW 2013)</w:t>
      </w:r>
      <w:r w:rsidRPr="001445C6">
        <w:t xml:space="preserve">. </w:t>
      </w:r>
    </w:p>
    <w:p w14:paraId="4EAF8F30" w14:textId="1731BEDF" w:rsidR="003729DA" w:rsidRPr="001445C6" w:rsidRDefault="003729DA" w:rsidP="002C7EA2">
      <w:pPr>
        <w:pStyle w:val="ListBullet"/>
      </w:pPr>
      <w:r w:rsidRPr="001445C6">
        <w:t>In 2008, COAG commissioned the Indigenous Expenditure Report</w:t>
      </w:r>
      <w:r w:rsidR="008648A5" w:rsidRPr="001445C6">
        <w:t>,</w:t>
      </w:r>
      <w:r w:rsidRPr="001445C6">
        <w:t xml:space="preserve"> to estimate government expenditures on both Indigenous</w:t>
      </w:r>
      <w:r w:rsidR="00E4541B">
        <w:noBreakHyphen/>
      </w:r>
      <w:r w:rsidRPr="001445C6">
        <w:t>specific and mainstream services to Aboriginal and Torres Strait Island</w:t>
      </w:r>
      <w:r w:rsidR="00E13E3A" w:rsidRPr="001445C6">
        <w:t xml:space="preserve">er </w:t>
      </w:r>
      <w:r w:rsidR="000D175D" w:rsidRPr="001445C6">
        <w:t>people</w:t>
      </w:r>
      <w:r w:rsidR="00FC6FDA">
        <w:t xml:space="preserve"> </w:t>
      </w:r>
      <w:r w:rsidR="00FC6FDA" w:rsidRPr="00FC6FDA">
        <w:rPr>
          <w:szCs w:val="24"/>
        </w:rPr>
        <w:t>(</w:t>
      </w:r>
      <w:proofErr w:type="spellStart"/>
      <w:r w:rsidR="00FC6FDA" w:rsidRPr="00FC6FDA">
        <w:rPr>
          <w:szCs w:val="24"/>
        </w:rPr>
        <w:t>SCRGSP</w:t>
      </w:r>
      <w:proofErr w:type="spellEnd"/>
      <w:r w:rsidR="00FC6FDA" w:rsidRPr="00FC6FDA">
        <w:rPr>
          <w:szCs w:val="24"/>
        </w:rPr>
        <w:t> 2017)</w:t>
      </w:r>
      <w:r w:rsidR="00FC6FDA">
        <w:t xml:space="preserve">. </w:t>
      </w:r>
      <w:r w:rsidR="007F6C50" w:rsidRPr="001445C6">
        <w:t>Indigenous</w:t>
      </w:r>
      <w:r w:rsidR="00E4541B">
        <w:noBreakHyphen/>
      </w:r>
      <w:r w:rsidR="007F6C50" w:rsidRPr="001445C6">
        <w:t xml:space="preserve">specific </w:t>
      </w:r>
      <w:r w:rsidR="00014807" w:rsidRPr="001445C6">
        <w:t>expenditure</w:t>
      </w:r>
      <w:r w:rsidR="007F6C50" w:rsidRPr="001445C6">
        <w:t xml:space="preserve"> accounted for 18</w:t>
      </w:r>
      <w:r w:rsidR="000D175D" w:rsidRPr="001445C6">
        <w:t xml:space="preserve"> </w:t>
      </w:r>
      <w:r w:rsidR="007F6C50" w:rsidRPr="001445C6">
        <w:t xml:space="preserve">per cent of </w:t>
      </w:r>
      <w:r w:rsidR="00014807" w:rsidRPr="001445C6">
        <w:t>direct government expenditure</w:t>
      </w:r>
      <w:r w:rsidR="00553CB8" w:rsidRPr="001445C6">
        <w:t xml:space="preserve"> on Aboriginal and Torres Strait Islander </w:t>
      </w:r>
      <w:r w:rsidR="00456925" w:rsidRPr="001445C6">
        <w:t xml:space="preserve">people </w:t>
      </w:r>
      <w:r w:rsidR="00014807" w:rsidRPr="001445C6">
        <w:t xml:space="preserve">in </w:t>
      </w:r>
      <w:r w:rsidR="000D175D" w:rsidRPr="001445C6">
        <w:t>2015</w:t>
      </w:r>
      <w:r w:rsidR="00E4541B">
        <w:noBreakHyphen/>
      </w:r>
      <w:r w:rsidR="000D175D" w:rsidRPr="001445C6">
        <w:t xml:space="preserve">16 </w:t>
      </w:r>
      <w:r w:rsidR="00FC6FDA" w:rsidRPr="00FC6FDA">
        <w:rPr>
          <w:szCs w:val="24"/>
        </w:rPr>
        <w:t>(</w:t>
      </w:r>
      <w:proofErr w:type="spellStart"/>
      <w:r w:rsidR="00FC6FDA" w:rsidRPr="00FC6FDA">
        <w:rPr>
          <w:szCs w:val="24"/>
        </w:rPr>
        <w:t>SCRGSP</w:t>
      </w:r>
      <w:proofErr w:type="spellEnd"/>
      <w:r w:rsidR="00FC6FDA" w:rsidRPr="00FC6FDA">
        <w:rPr>
          <w:szCs w:val="24"/>
        </w:rPr>
        <w:t> 2017)</w:t>
      </w:r>
      <w:r w:rsidR="00FC6FDA">
        <w:t>.</w:t>
      </w:r>
    </w:p>
    <w:p w14:paraId="401506D2" w14:textId="77777777" w:rsidR="00460A1B" w:rsidRPr="001445C6" w:rsidRDefault="00B16556" w:rsidP="002C7EA2">
      <w:pPr>
        <w:pStyle w:val="Heading3"/>
      </w:pPr>
      <w:r w:rsidRPr="001445C6">
        <w:t>F</w:t>
      </w:r>
      <w:r w:rsidR="00543E93" w:rsidRPr="001445C6">
        <w:t>ro</w:t>
      </w:r>
      <w:r w:rsidRPr="001445C6">
        <w:t xml:space="preserve">m the late 1980s, </w:t>
      </w:r>
      <w:r w:rsidR="00A76014" w:rsidRPr="001445C6">
        <w:t xml:space="preserve">a number of </w:t>
      </w:r>
      <w:r w:rsidRPr="001445C6">
        <w:t xml:space="preserve">inquiries </w:t>
      </w:r>
      <w:r w:rsidR="00A76014" w:rsidRPr="001445C6">
        <w:t xml:space="preserve">and reports </w:t>
      </w:r>
      <w:r w:rsidRPr="001445C6">
        <w:t xml:space="preserve">drew attention to the situation of Aboriginal and Torres Strait Islander people, </w:t>
      </w:r>
      <w:r w:rsidR="00AA0C23" w:rsidRPr="001445C6">
        <w:t>le</w:t>
      </w:r>
      <w:r w:rsidR="003D796F">
        <w:t>a</w:t>
      </w:r>
      <w:r w:rsidR="00AA0C23" w:rsidRPr="001445C6">
        <w:t>d</w:t>
      </w:r>
      <w:r w:rsidR="003D796F">
        <w:t>ing</w:t>
      </w:r>
      <w:r w:rsidRPr="001445C6">
        <w:t xml:space="preserve"> to the Closing the Gap agenda</w:t>
      </w:r>
    </w:p>
    <w:p w14:paraId="01B36CBA" w14:textId="77777777" w:rsidR="003729DA" w:rsidRPr="001445C6" w:rsidRDefault="003729DA" w:rsidP="003729DA">
      <w:pPr>
        <w:pStyle w:val="BodyText"/>
      </w:pPr>
      <w:r w:rsidRPr="001445C6">
        <w:t xml:space="preserve">In the late 1980s and early 1990s, two </w:t>
      </w:r>
      <w:r w:rsidR="00A76014" w:rsidRPr="001445C6">
        <w:t>major inquiries</w:t>
      </w:r>
      <w:r w:rsidRPr="001445C6">
        <w:t xml:space="preserve"> </w:t>
      </w:r>
      <w:r w:rsidR="006B4E71" w:rsidRPr="001445C6">
        <w:t>helped</w:t>
      </w:r>
      <w:r w:rsidR="006B4E71">
        <w:t xml:space="preserve"> to </w:t>
      </w:r>
      <w:r w:rsidRPr="001445C6">
        <w:t xml:space="preserve">promote a deeper understanding of the issues facing Aboriginal and Torres Strait Islander </w:t>
      </w:r>
      <w:r w:rsidR="005E707E" w:rsidRPr="001445C6">
        <w:t>people</w:t>
      </w:r>
      <w:r w:rsidRPr="001445C6">
        <w:t>, and led to the establishment of some of the current institutional arrangements.</w:t>
      </w:r>
    </w:p>
    <w:p w14:paraId="5B5EC527" w14:textId="674DBED9" w:rsidR="003729DA" w:rsidRPr="001445C6" w:rsidRDefault="003729DA" w:rsidP="003729DA">
      <w:pPr>
        <w:pStyle w:val="BodyText"/>
      </w:pPr>
      <w:r w:rsidRPr="001445C6">
        <w:t xml:space="preserve">The Royal Commission into Aboriginal Deaths in Custody reported on the complex effects of dispossession, colonisation and institutional racism on </w:t>
      </w:r>
      <w:r w:rsidR="00AA5E33" w:rsidRPr="001445C6">
        <w:t xml:space="preserve">Aboriginal people </w:t>
      </w:r>
      <w:r w:rsidR="00027B5B" w:rsidRPr="001445C6">
        <w:rPr>
          <w:szCs w:val="24"/>
        </w:rPr>
        <w:t>(</w:t>
      </w:r>
      <w:proofErr w:type="spellStart"/>
      <w:r w:rsidR="00027B5B" w:rsidRPr="001445C6">
        <w:rPr>
          <w:szCs w:val="24"/>
        </w:rPr>
        <w:t>RCADIC</w:t>
      </w:r>
      <w:proofErr w:type="spellEnd"/>
      <w:r w:rsidR="00027B5B" w:rsidRPr="001445C6">
        <w:rPr>
          <w:szCs w:val="24"/>
        </w:rPr>
        <w:t> 1991)</w:t>
      </w:r>
      <w:r w:rsidRPr="001445C6">
        <w:t>. Partly in response to the findings of the Royal Commission, the position of the Aboriginal and Torres Strait Islander Social Justice Comm</w:t>
      </w:r>
      <w:r w:rsidR="002268E5" w:rsidRPr="001445C6">
        <w:t xml:space="preserve">issioner was created </w:t>
      </w:r>
      <w:r w:rsidR="00027B5B" w:rsidRPr="001445C6">
        <w:rPr>
          <w:szCs w:val="24"/>
        </w:rPr>
        <w:lastRenderedPageBreak/>
        <w:t>(</w:t>
      </w:r>
      <w:proofErr w:type="spellStart"/>
      <w:r w:rsidR="00027B5B" w:rsidRPr="001445C6">
        <w:rPr>
          <w:szCs w:val="24"/>
        </w:rPr>
        <w:t>AHRC</w:t>
      </w:r>
      <w:proofErr w:type="spellEnd"/>
      <w:r w:rsidR="00027B5B" w:rsidRPr="001445C6">
        <w:rPr>
          <w:szCs w:val="24"/>
        </w:rPr>
        <w:t> 2013)</w:t>
      </w:r>
      <w:r w:rsidRPr="001445C6">
        <w:t xml:space="preserve"> as </w:t>
      </w:r>
      <w:r w:rsidR="006B4E71">
        <w:t xml:space="preserve">was </w:t>
      </w:r>
      <w:r w:rsidRPr="001445C6">
        <w:t xml:space="preserve">the Council for Aboriginal Reconciliation. One of the final recommendations of the Council was the establishment of a regular report on outcomes for </w:t>
      </w:r>
      <w:r w:rsidR="002C6DAB">
        <w:t>Aboriginal and Torres Strait Islander people</w:t>
      </w:r>
      <w:r w:rsidRPr="001445C6">
        <w:t xml:space="preserve"> — </w:t>
      </w:r>
      <w:r w:rsidR="006B4E71">
        <w:t xml:space="preserve">which became </w:t>
      </w:r>
      <w:r w:rsidRPr="001445C6">
        <w:t>the Overcoming Indigenou</w:t>
      </w:r>
      <w:r w:rsidR="008420E5" w:rsidRPr="001445C6">
        <w:t xml:space="preserve">s Disadvantage report </w:t>
      </w:r>
      <w:r w:rsidR="00027B5B" w:rsidRPr="001445C6">
        <w:rPr>
          <w:szCs w:val="24"/>
        </w:rPr>
        <w:t>(CAR 2000)</w:t>
      </w:r>
      <w:r w:rsidRPr="001445C6">
        <w:t>. In 200</w:t>
      </w:r>
      <w:r w:rsidR="00FC6FDA">
        <w:t>1</w:t>
      </w:r>
      <w:r w:rsidRPr="001445C6">
        <w:t xml:space="preserve">, Reconciliation Australia was established to continue the national focus </w:t>
      </w:r>
      <w:r w:rsidR="006B4E71">
        <w:t>on</w:t>
      </w:r>
      <w:r w:rsidR="006B4E71" w:rsidRPr="001445C6">
        <w:t xml:space="preserve"> </w:t>
      </w:r>
      <w:r w:rsidRPr="001445C6">
        <w:t>reconcili</w:t>
      </w:r>
      <w:r w:rsidR="00031171" w:rsidRPr="001445C6">
        <w:t>ation</w:t>
      </w:r>
      <w:r w:rsidRPr="001445C6">
        <w:t>.</w:t>
      </w:r>
    </w:p>
    <w:p w14:paraId="5DBE621A" w14:textId="31F0CD05" w:rsidR="003729DA" w:rsidRPr="001445C6" w:rsidRDefault="003729DA" w:rsidP="003729DA">
      <w:pPr>
        <w:pStyle w:val="BodyText"/>
      </w:pPr>
      <w:r w:rsidRPr="001445C6">
        <w:t xml:space="preserve">A national inquiry into the separation of </w:t>
      </w:r>
      <w:r w:rsidR="00A76014" w:rsidRPr="001445C6">
        <w:t xml:space="preserve">Aboriginal </w:t>
      </w:r>
      <w:r w:rsidRPr="001445C6">
        <w:t xml:space="preserve">children from their families resulted in the 1997 </w:t>
      </w:r>
      <w:r w:rsidR="005E707E" w:rsidRPr="001445C6">
        <w:t xml:space="preserve">‘Bringing them Home’ </w:t>
      </w:r>
      <w:r w:rsidRPr="001445C6">
        <w:t>re</w:t>
      </w:r>
      <w:r w:rsidR="000E596F" w:rsidRPr="001445C6">
        <w:t xml:space="preserve">port on the Stolen Generations </w:t>
      </w:r>
      <w:r w:rsidR="00027B5B" w:rsidRPr="001445C6">
        <w:rPr>
          <w:szCs w:val="24"/>
        </w:rPr>
        <w:t>(</w:t>
      </w:r>
      <w:proofErr w:type="spellStart"/>
      <w:r w:rsidR="00027B5B" w:rsidRPr="001445C6">
        <w:rPr>
          <w:szCs w:val="24"/>
        </w:rPr>
        <w:t>HREOC</w:t>
      </w:r>
      <w:proofErr w:type="spellEnd"/>
      <w:r w:rsidR="00027B5B" w:rsidRPr="001445C6">
        <w:rPr>
          <w:szCs w:val="24"/>
        </w:rPr>
        <w:t> 1997)</w:t>
      </w:r>
      <w:r w:rsidRPr="001445C6">
        <w:t xml:space="preserve">. In 2008, the </w:t>
      </w:r>
      <w:r w:rsidR="00A76014" w:rsidRPr="001445C6">
        <w:t xml:space="preserve">then </w:t>
      </w:r>
      <w:r w:rsidRPr="001445C6">
        <w:t>Prime Minister of Australia, with bipartisan support, made a formal apology to the Stolen Gen</w:t>
      </w:r>
      <w:r w:rsidR="002865DF" w:rsidRPr="001445C6">
        <w:t xml:space="preserve">erations </w:t>
      </w:r>
      <w:r w:rsidR="0090515C" w:rsidRPr="0090515C">
        <w:rPr>
          <w:szCs w:val="24"/>
        </w:rPr>
        <w:t>(Nelson 2008; Rudd 2008)</w:t>
      </w:r>
      <w:r w:rsidRPr="001445C6">
        <w:t>.</w:t>
      </w:r>
    </w:p>
    <w:p w14:paraId="6BC676BB" w14:textId="7CFB3CDC" w:rsidR="003729DA" w:rsidRPr="001445C6" w:rsidRDefault="00A76014" w:rsidP="003729DA">
      <w:pPr>
        <w:pStyle w:val="BodyText"/>
      </w:pPr>
      <w:r w:rsidRPr="001445C6">
        <w:t>Another key report in 2007 ‘Little Children are Sacred’</w:t>
      </w:r>
      <w:r w:rsidR="00FB4647">
        <w:t>,</w:t>
      </w:r>
      <w:r w:rsidRPr="001445C6">
        <w:t xml:space="preserve"> focused on Aboriginal children</w:t>
      </w:r>
      <w:r w:rsidR="00FB4647">
        <w:t xml:space="preserve"> in the Northern Territory</w:t>
      </w:r>
      <w:r w:rsidRPr="001445C6">
        <w:t xml:space="preserve"> and protecting them from sexual abuse </w:t>
      </w:r>
      <w:r w:rsidRPr="001445C6">
        <w:rPr>
          <w:szCs w:val="24"/>
        </w:rPr>
        <w:t>(Wild and Anderson 2007)</w:t>
      </w:r>
      <w:r w:rsidRPr="001445C6">
        <w:t>. At this time</w:t>
      </w:r>
      <w:r w:rsidR="00F879A7" w:rsidRPr="001445C6">
        <w:t xml:space="preserve">, </w:t>
      </w:r>
      <w:r w:rsidR="003729DA" w:rsidRPr="001445C6">
        <w:t>the Commonwealth Government assumed a greater responsibility for Aboriginal affairs in the Northern Territory, under the Northern Territory Emergency Response (also known as the ‘Intervention’). Th</w:t>
      </w:r>
      <w:r w:rsidR="006B4E71">
        <w:t>is</w:t>
      </w:r>
      <w:r w:rsidR="003729DA" w:rsidRPr="001445C6">
        <w:t xml:space="preserve"> response</w:t>
      </w:r>
      <w:r w:rsidR="006B4E71">
        <w:t xml:space="preserve"> —</w:t>
      </w:r>
      <w:r w:rsidR="003729DA" w:rsidRPr="001445C6">
        <w:t xml:space="preserve"> particularly the (temporary) suspension of the Racial Discrimination Act, the initial involvement of the military</w:t>
      </w:r>
      <w:r w:rsidR="009C55BD" w:rsidRPr="001445C6">
        <w:t>,</w:t>
      </w:r>
      <w:r w:rsidR="003729DA" w:rsidRPr="001445C6">
        <w:t xml:space="preserve"> and mandatory income management for those on welfare pa</w:t>
      </w:r>
      <w:r w:rsidR="002268E5" w:rsidRPr="001445C6">
        <w:t xml:space="preserve">yments </w:t>
      </w:r>
      <w:r w:rsidR="006B4E71">
        <w:t xml:space="preserve">— </w:t>
      </w:r>
      <w:r w:rsidR="006B4E71" w:rsidRPr="001445C6">
        <w:t xml:space="preserve">has been the subject of controversy </w:t>
      </w:r>
      <w:r w:rsidR="008B547C" w:rsidRPr="008B547C">
        <w:rPr>
          <w:szCs w:val="24"/>
        </w:rPr>
        <w:t>(</w:t>
      </w:r>
      <w:proofErr w:type="spellStart"/>
      <w:r w:rsidR="008B547C" w:rsidRPr="008B547C">
        <w:rPr>
          <w:szCs w:val="24"/>
        </w:rPr>
        <w:t>AHRC</w:t>
      </w:r>
      <w:proofErr w:type="spellEnd"/>
      <w:r w:rsidR="008B547C" w:rsidRPr="008B547C">
        <w:rPr>
          <w:szCs w:val="24"/>
        </w:rPr>
        <w:t xml:space="preserve"> 2007; </w:t>
      </w:r>
      <w:proofErr w:type="spellStart"/>
      <w:r w:rsidR="008B547C" w:rsidRPr="008B547C">
        <w:rPr>
          <w:szCs w:val="24"/>
        </w:rPr>
        <w:t>FaHCSIA</w:t>
      </w:r>
      <w:proofErr w:type="spellEnd"/>
      <w:r w:rsidR="008B547C" w:rsidRPr="008B547C">
        <w:rPr>
          <w:szCs w:val="24"/>
        </w:rPr>
        <w:t> 2011, p. 3; Shaw and d’Abbs 2011, p. 4)</w:t>
      </w:r>
      <w:r w:rsidR="00E13E3A" w:rsidRPr="001445C6">
        <w:t xml:space="preserve">. </w:t>
      </w:r>
      <w:r w:rsidR="003729DA" w:rsidRPr="001445C6">
        <w:t>In late 2007, a change of government maintained a modified Northern Territory Emergency Response</w:t>
      </w:r>
      <w:r w:rsidR="006B4E71">
        <w:t>;</w:t>
      </w:r>
      <w:r w:rsidR="009C55BD" w:rsidRPr="001445C6">
        <w:t xml:space="preserve"> in 2012</w:t>
      </w:r>
      <w:r w:rsidR="006B4E71">
        <w:t>,</w:t>
      </w:r>
      <w:r w:rsidR="009C55BD" w:rsidRPr="001445C6">
        <w:t xml:space="preserve"> a modified policy </w:t>
      </w:r>
      <w:r w:rsidR="006B4E71">
        <w:t>(</w:t>
      </w:r>
      <w:r w:rsidR="009C55BD" w:rsidRPr="001445C6">
        <w:t>‘Stronger Futures in the Northern Territory’</w:t>
      </w:r>
      <w:r w:rsidR="006B4E71">
        <w:t>)</w:t>
      </w:r>
      <w:r w:rsidR="009C55BD" w:rsidRPr="001445C6">
        <w:t xml:space="preserve"> was introduced</w:t>
      </w:r>
      <w:r w:rsidR="00270BA9" w:rsidRPr="001445C6">
        <w:t xml:space="preserve"> </w:t>
      </w:r>
      <w:r w:rsidR="00994B64" w:rsidRPr="001445C6">
        <w:t>under</w:t>
      </w:r>
      <w:r w:rsidR="00270BA9" w:rsidRPr="001445C6">
        <w:t xml:space="preserve"> a 10 year funding agreement</w:t>
      </w:r>
      <w:r w:rsidR="006B4E71">
        <w:t>, and it</w:t>
      </w:r>
      <w:r w:rsidR="00820840" w:rsidRPr="001445C6">
        <w:t xml:space="preserve"> </w:t>
      </w:r>
      <w:r w:rsidR="00994B64" w:rsidRPr="001445C6">
        <w:t>retains many features of the Northern Territory Emergency Response</w:t>
      </w:r>
      <w:r w:rsidR="009C55BD" w:rsidRPr="001445C6">
        <w:t xml:space="preserve">. </w:t>
      </w:r>
    </w:p>
    <w:p w14:paraId="37C5C45E" w14:textId="43DF1BBF" w:rsidR="00AB3ECD" w:rsidRPr="001445C6" w:rsidRDefault="00AB3ECD">
      <w:pPr>
        <w:pStyle w:val="BodyText"/>
      </w:pPr>
      <w:r w:rsidRPr="001445C6">
        <w:t>The</w:t>
      </w:r>
      <w:r w:rsidR="008A1E98" w:rsidRPr="001445C6">
        <w:t xml:space="preserve"> </w:t>
      </w:r>
      <w:r w:rsidR="00FB4647" w:rsidRPr="0038619F">
        <w:t>‘</w:t>
      </w:r>
      <w:r w:rsidR="008A1E98" w:rsidRPr="0038619F">
        <w:t>Close the Gap Campaign</w:t>
      </w:r>
      <w:r w:rsidR="00FB4647" w:rsidRPr="0038619F">
        <w:t>’</w:t>
      </w:r>
      <w:r w:rsidR="008A1E98" w:rsidRPr="001445C6">
        <w:t xml:space="preserve"> for Indigenous Health Equality </w:t>
      </w:r>
      <w:r w:rsidRPr="001445C6">
        <w:t xml:space="preserve">commenced </w:t>
      </w:r>
      <w:r w:rsidR="008A1E98" w:rsidRPr="001445C6">
        <w:t xml:space="preserve">in 2006 with the goal </w:t>
      </w:r>
      <w:r w:rsidR="006B4E71">
        <w:t xml:space="preserve">of closing </w:t>
      </w:r>
      <w:r w:rsidR="00640C92">
        <w:t>the</w:t>
      </w:r>
      <w:r w:rsidR="00007BD7" w:rsidRPr="001445C6">
        <w:t xml:space="preserve"> gap in l</w:t>
      </w:r>
      <w:r w:rsidR="008A1E98" w:rsidRPr="001445C6">
        <w:t xml:space="preserve">ife expectancy between Aboriginal and Torres Strait Islander people and non-Indigenous </w:t>
      </w:r>
      <w:r w:rsidR="00415293">
        <w:t>people</w:t>
      </w:r>
      <w:r w:rsidR="00415293" w:rsidRPr="001445C6">
        <w:t xml:space="preserve"> </w:t>
      </w:r>
      <w:r w:rsidR="008A1E98" w:rsidRPr="001445C6">
        <w:t>within a generation</w:t>
      </w:r>
      <w:r w:rsidR="00007BD7" w:rsidRPr="001445C6">
        <w:t xml:space="preserve"> (by 203</w:t>
      </w:r>
      <w:r w:rsidR="00920722" w:rsidRPr="001445C6">
        <w:t>0</w:t>
      </w:r>
      <w:r w:rsidR="00007BD7" w:rsidRPr="001445C6">
        <w:t>)</w:t>
      </w:r>
      <w:r w:rsidR="00EA3A66" w:rsidRPr="001445C6">
        <w:t xml:space="preserve"> </w:t>
      </w:r>
      <w:r w:rsidR="008B547C" w:rsidRPr="008B547C">
        <w:rPr>
          <w:szCs w:val="24"/>
        </w:rPr>
        <w:t>(</w:t>
      </w:r>
      <w:proofErr w:type="spellStart"/>
      <w:r w:rsidR="008B547C" w:rsidRPr="008B547C">
        <w:rPr>
          <w:szCs w:val="24"/>
        </w:rPr>
        <w:t>AHRC</w:t>
      </w:r>
      <w:proofErr w:type="spellEnd"/>
      <w:r w:rsidR="008B547C" w:rsidRPr="008B547C">
        <w:rPr>
          <w:szCs w:val="24"/>
        </w:rPr>
        <w:t> 2020)</w:t>
      </w:r>
      <w:r w:rsidR="008A1E98" w:rsidRPr="001445C6">
        <w:t xml:space="preserve">. </w:t>
      </w:r>
      <w:r w:rsidR="005C3B7D" w:rsidRPr="001445C6">
        <w:t xml:space="preserve">In </w:t>
      </w:r>
      <w:r w:rsidR="003729DA" w:rsidRPr="001445C6">
        <w:t>2008, COAG agreed</w:t>
      </w:r>
      <w:r w:rsidR="00640C92">
        <w:t xml:space="preserve"> to,</w:t>
      </w:r>
      <w:r w:rsidR="003729DA" w:rsidRPr="001445C6">
        <w:t xml:space="preserve"> and implemented</w:t>
      </w:r>
      <w:r w:rsidR="00640C92">
        <w:t>,</w:t>
      </w:r>
      <w:r w:rsidRPr="001445C6">
        <w:t xml:space="preserve"> the </w:t>
      </w:r>
      <w:r w:rsidR="003729DA" w:rsidRPr="001445C6">
        <w:t>‘</w:t>
      </w:r>
      <w:r w:rsidR="00E001D9" w:rsidRPr="001445C6">
        <w:t>C</w:t>
      </w:r>
      <w:r w:rsidR="003729DA" w:rsidRPr="001445C6">
        <w:t xml:space="preserve">losing the </w:t>
      </w:r>
      <w:r w:rsidR="00FB4647">
        <w:t>G</w:t>
      </w:r>
      <w:r w:rsidR="003729DA" w:rsidRPr="001445C6">
        <w:t>ap’ policy. COAG identified Indigenous issues as one of seven priority areas of national reform, set six targets for closing the gaps</w:t>
      </w:r>
      <w:r w:rsidR="00E674D6" w:rsidRPr="001445C6">
        <w:t xml:space="preserve"> in outcomes </w:t>
      </w:r>
      <w:r w:rsidR="00994B64" w:rsidRPr="001445C6">
        <w:t xml:space="preserve">between </w:t>
      </w:r>
      <w:r w:rsidR="00FB4647">
        <w:t>Aboriginal and Torres Strait Islander people</w:t>
      </w:r>
      <w:r w:rsidR="00FB4647" w:rsidRPr="001445C6">
        <w:t xml:space="preserve"> </w:t>
      </w:r>
      <w:r w:rsidR="00E674D6" w:rsidRPr="001445C6">
        <w:t>and non</w:t>
      </w:r>
      <w:r w:rsidR="00E674D6" w:rsidRPr="001445C6">
        <w:noBreakHyphen/>
        <w:t xml:space="preserve">Indigenous </w:t>
      </w:r>
      <w:r w:rsidR="00FB4647">
        <w:t>people</w:t>
      </w:r>
      <w:r w:rsidR="003729DA" w:rsidRPr="001445C6">
        <w:t>, and identified seven ‘building blocks’ that underpinned a National Indigenous Reform Agreement (NIRA).</w:t>
      </w:r>
      <w:r w:rsidR="00863009" w:rsidRPr="001445C6">
        <w:t xml:space="preserve"> At its May 2014 meeting, COAG agreed to a new target — to close the gap in school attenda</w:t>
      </w:r>
      <w:r w:rsidR="00C16535" w:rsidRPr="001445C6">
        <w:t xml:space="preserve">nce within five years </w:t>
      </w:r>
      <w:r w:rsidR="00027B5B" w:rsidRPr="001445C6">
        <w:rPr>
          <w:szCs w:val="24"/>
        </w:rPr>
        <w:t>(COAG 2014)</w:t>
      </w:r>
      <w:r w:rsidR="00863009" w:rsidRPr="001445C6">
        <w:t>.</w:t>
      </w:r>
      <w:r w:rsidR="003729DA" w:rsidRPr="001445C6">
        <w:t xml:space="preserve"> The OID report framework is aligned with </w:t>
      </w:r>
      <w:r w:rsidR="005C3B7D" w:rsidRPr="001445C6">
        <w:t>this</w:t>
      </w:r>
      <w:r w:rsidR="00065796" w:rsidRPr="001445C6">
        <w:t xml:space="preserve"> </w:t>
      </w:r>
      <w:r w:rsidR="003729DA" w:rsidRPr="001445C6">
        <w:t>NIRA, but has a much broader focus, with the indicator framework extending beyond the NIRA indicators and targets.</w:t>
      </w:r>
      <w:r w:rsidR="00065796" w:rsidRPr="001445C6">
        <w:t xml:space="preserve"> </w:t>
      </w:r>
    </w:p>
    <w:p w14:paraId="390B1B4C" w14:textId="5C3BD2F4" w:rsidR="00EC3FD4" w:rsidRPr="001445C6" w:rsidRDefault="00AB3ECD" w:rsidP="0096751A">
      <w:pPr>
        <w:pStyle w:val="BodyText"/>
      </w:pPr>
      <w:r w:rsidRPr="001445C6">
        <w:t xml:space="preserve">In </w:t>
      </w:r>
      <w:r w:rsidR="008E03D2" w:rsidRPr="001445C6">
        <w:t>2016</w:t>
      </w:r>
      <w:r w:rsidRPr="001445C6">
        <w:t xml:space="preserve">, a refresh of the ‘Closing the Gap’ policy commenced. Significantly, </w:t>
      </w:r>
      <w:r w:rsidR="00F27084" w:rsidRPr="001445C6">
        <w:t xml:space="preserve">in 2018 </w:t>
      </w:r>
      <w:r w:rsidRPr="001445C6">
        <w:t xml:space="preserve">COAG agreed </w:t>
      </w:r>
      <w:r w:rsidR="00617F85" w:rsidRPr="001445C6">
        <w:t>to a formal partnership with Aboriginal an</w:t>
      </w:r>
      <w:r w:rsidR="00F879A7" w:rsidRPr="001445C6">
        <w:t>d Torres Strait Islander people</w:t>
      </w:r>
      <w:r w:rsidR="00617F85" w:rsidRPr="001445C6">
        <w:t xml:space="preserve"> to finalise the Closing the Gap refresh and provide a forum for ongoing engagement </w:t>
      </w:r>
      <w:r w:rsidR="006B4E71">
        <w:t>while the new agenda was being implemented</w:t>
      </w:r>
      <w:r w:rsidR="00617F85" w:rsidRPr="001445C6">
        <w:t>.</w:t>
      </w:r>
      <w:r w:rsidR="00617F85" w:rsidRPr="001445C6" w:rsidDel="00F27084">
        <w:t xml:space="preserve"> </w:t>
      </w:r>
      <w:r w:rsidRPr="001445C6">
        <w:t>In March 2019, Australian governments and Aboriginal and Torres Strait Islander peak organisations</w:t>
      </w:r>
      <w:r w:rsidR="006B4E71">
        <w:t xml:space="preserve"> signed a Partnership Agreement</w:t>
      </w:r>
      <w:r w:rsidRPr="001445C6">
        <w:t xml:space="preserve"> </w:t>
      </w:r>
      <w:r w:rsidR="00F879A7" w:rsidRPr="001445C6">
        <w:t>leading to the</w:t>
      </w:r>
      <w:r w:rsidR="00F27084" w:rsidRPr="001445C6">
        <w:t xml:space="preserve"> establish</w:t>
      </w:r>
      <w:r w:rsidR="00F879A7" w:rsidRPr="001445C6">
        <w:t>ment of</w:t>
      </w:r>
      <w:r w:rsidR="00F27084" w:rsidRPr="001445C6">
        <w:t xml:space="preserve"> a Ministerial Council on Closing the Gap (the Joint Council</w:t>
      </w:r>
      <w:r w:rsidR="00AE5F45">
        <w:t>).</w:t>
      </w:r>
      <w:r w:rsidR="00AE5F45" w:rsidRPr="00952AD8">
        <w:t xml:space="preserve"> The work of the Joint Council is ongoing and a new Agreement </w:t>
      </w:r>
      <w:r w:rsidR="0038619F">
        <w:t xml:space="preserve">(the National Agreement on Closing the Gap) </w:t>
      </w:r>
      <w:r w:rsidR="00AE5F45" w:rsidRPr="00952AD8">
        <w:t xml:space="preserve">was </w:t>
      </w:r>
      <w:r w:rsidR="00415293">
        <w:t>agreed</w:t>
      </w:r>
      <w:r w:rsidR="00AE5F45" w:rsidRPr="007001C4">
        <w:t xml:space="preserve"> by</w:t>
      </w:r>
      <w:r w:rsidR="00415293">
        <w:t xml:space="preserve"> all</w:t>
      </w:r>
      <w:r w:rsidR="00AE5F45" w:rsidRPr="007001C4">
        <w:t xml:space="preserve"> Parties on 30 July 2020.</w:t>
      </w:r>
    </w:p>
    <w:p w14:paraId="7A230195" w14:textId="77777777" w:rsidR="00543E93" w:rsidRPr="001445C6" w:rsidRDefault="00B3561D" w:rsidP="002719CB">
      <w:pPr>
        <w:pStyle w:val="Heading3"/>
      </w:pPr>
      <w:r w:rsidRPr="001445C6">
        <w:lastRenderedPageBreak/>
        <w:t>Over the past decade, there has been an increasing focus on r</w:t>
      </w:r>
      <w:r w:rsidR="003729DA" w:rsidRPr="001445C6">
        <w:t>ecogn</w:t>
      </w:r>
      <w:r w:rsidRPr="001445C6">
        <w:t>ising</w:t>
      </w:r>
      <w:r w:rsidR="003729DA" w:rsidRPr="001445C6">
        <w:t xml:space="preserve"> </w:t>
      </w:r>
      <w:r w:rsidRPr="001445C6">
        <w:t xml:space="preserve">the rights of </w:t>
      </w:r>
      <w:r w:rsidR="003729DA" w:rsidRPr="001445C6">
        <w:t>Aboriginal and Torres Strait Islander people</w:t>
      </w:r>
    </w:p>
    <w:p w14:paraId="2C009C34" w14:textId="04300382" w:rsidR="00B3561D" w:rsidRPr="001445C6" w:rsidRDefault="00B3561D" w:rsidP="00B3561D">
      <w:pPr>
        <w:pStyle w:val="BodyText"/>
      </w:pPr>
      <w:r w:rsidRPr="001445C6">
        <w:t>In 2009, Australia adopted the UN Declaration on the Rights of Indigenous Peoples, which recognises Indigenous peoples’ rights to the full enjoyment of all human rights, plus non</w:t>
      </w:r>
      <w:r w:rsidR="00E4541B">
        <w:noBreakHyphen/>
      </w:r>
      <w:r w:rsidRPr="001445C6">
        <w:t>discrimination, self</w:t>
      </w:r>
      <w:r w:rsidR="00E4541B">
        <w:noBreakHyphen/>
      </w:r>
      <w:r w:rsidRPr="001445C6">
        <w:t xml:space="preserve">determination and autonomy, maintenance of Indigenous institutions, and the right to a nationality </w:t>
      </w:r>
      <w:r w:rsidR="008B547C" w:rsidRPr="008B547C">
        <w:rPr>
          <w:szCs w:val="24"/>
        </w:rPr>
        <w:t>(</w:t>
      </w:r>
      <w:proofErr w:type="spellStart"/>
      <w:r w:rsidR="008B547C" w:rsidRPr="008B547C">
        <w:rPr>
          <w:szCs w:val="24"/>
        </w:rPr>
        <w:t>AHRC</w:t>
      </w:r>
      <w:proofErr w:type="spellEnd"/>
      <w:r w:rsidR="008B547C" w:rsidRPr="008B547C">
        <w:rPr>
          <w:szCs w:val="24"/>
        </w:rPr>
        <w:t> 2010)</w:t>
      </w:r>
      <w:r w:rsidRPr="001445C6">
        <w:t xml:space="preserve">. </w:t>
      </w:r>
    </w:p>
    <w:p w14:paraId="2E754019" w14:textId="5F27B2E5" w:rsidR="00543E93" w:rsidRPr="001445C6" w:rsidRDefault="00B3561D">
      <w:pPr>
        <w:pStyle w:val="BodyText"/>
      </w:pPr>
      <w:r w:rsidRPr="001445C6">
        <w:t>T</w:t>
      </w:r>
      <w:r w:rsidR="00543E93" w:rsidRPr="001445C6">
        <w:t>here have also been calls for recognition of Aboriginal and Torres Strait Islander people in the Australian Constitution</w:t>
      </w:r>
      <w:r w:rsidR="00D30C9C">
        <w:t>.</w:t>
      </w:r>
      <w:r w:rsidR="00543E93" w:rsidRPr="001445C6">
        <w:t xml:space="preserve"> </w:t>
      </w:r>
      <w:r w:rsidR="00D30C9C">
        <w:t>Over</w:t>
      </w:r>
      <w:r w:rsidRPr="001445C6">
        <w:t xml:space="preserve"> the past decade </w:t>
      </w:r>
      <w:r w:rsidR="00D30C9C">
        <w:t>this process has</w:t>
      </w:r>
      <w:r w:rsidR="00543E93" w:rsidRPr="001445C6">
        <w:t xml:space="preserve"> progressed as follows:</w:t>
      </w:r>
    </w:p>
    <w:p w14:paraId="6328C450" w14:textId="627F6F83" w:rsidR="00543E93" w:rsidRPr="001445C6" w:rsidRDefault="003729DA" w:rsidP="002719CB">
      <w:pPr>
        <w:pStyle w:val="ListBullet"/>
      </w:pPr>
      <w:r w:rsidRPr="001445C6">
        <w:t xml:space="preserve">In December 2010, the </w:t>
      </w:r>
      <w:r w:rsidR="00027B5B" w:rsidRPr="001445C6">
        <w:t>Commonwealth</w:t>
      </w:r>
      <w:r w:rsidR="00D76880" w:rsidRPr="001445C6">
        <w:t xml:space="preserve"> </w:t>
      </w:r>
      <w:r w:rsidRPr="001445C6">
        <w:t xml:space="preserve">Government appointed an Expert Panel on Constitutional Recognition of Aboriginal and Torres Strait Islander Peoples (the Expert Panel) to consult on options for a constitutional amendment on recognition of Aboriginal and Torres Strait Islander people. The Expert Panel found that 88 per cent of </w:t>
      </w:r>
      <w:r w:rsidR="00543E93" w:rsidRPr="001445C6">
        <w:br/>
      </w:r>
      <w:r w:rsidRPr="001445C6">
        <w:t>non</w:t>
      </w:r>
      <w:r w:rsidR="00E4541B">
        <w:noBreakHyphen/>
      </w:r>
      <w:r w:rsidRPr="001445C6">
        <w:t xml:space="preserve">Indigenous </w:t>
      </w:r>
      <w:r w:rsidR="00ED0846" w:rsidRPr="001445C6">
        <w:t xml:space="preserve">people </w:t>
      </w:r>
      <w:r w:rsidRPr="001445C6">
        <w:t xml:space="preserve">and 80 per cent of Aboriginal and Torres Strait Islander </w:t>
      </w:r>
      <w:r w:rsidR="00ED0846" w:rsidRPr="001445C6">
        <w:t xml:space="preserve">people </w:t>
      </w:r>
      <w:r w:rsidRPr="001445C6">
        <w:t xml:space="preserve">supported constitutional recognition </w:t>
      </w:r>
      <w:r w:rsidR="00271273" w:rsidRPr="00271273">
        <w:rPr>
          <w:szCs w:val="24"/>
        </w:rPr>
        <w:t>(</w:t>
      </w:r>
      <w:proofErr w:type="spellStart"/>
      <w:r w:rsidR="00271273" w:rsidRPr="00271273">
        <w:rPr>
          <w:szCs w:val="24"/>
        </w:rPr>
        <w:t>FaHCSIA</w:t>
      </w:r>
      <w:proofErr w:type="spellEnd"/>
      <w:r w:rsidR="00271273" w:rsidRPr="00271273">
        <w:rPr>
          <w:szCs w:val="24"/>
        </w:rPr>
        <w:t> 2012, p. 264)</w:t>
      </w:r>
      <w:r w:rsidRPr="001445C6">
        <w:t xml:space="preserve">. </w:t>
      </w:r>
    </w:p>
    <w:p w14:paraId="2E002AF9" w14:textId="4EF93C23" w:rsidR="00DD3B6E" w:rsidRPr="001445C6" w:rsidRDefault="002C5EA2" w:rsidP="00D308D0">
      <w:pPr>
        <w:pStyle w:val="ListBullet"/>
      </w:pPr>
      <w:r w:rsidRPr="00952AD8">
        <w:t>The</w:t>
      </w:r>
      <w:r w:rsidRPr="00A312AC">
        <w:rPr>
          <w:i/>
        </w:rPr>
        <w:t xml:space="preserve"> Aboriginal and Torres Strait Islander Peoples Recognition Act 2013</w:t>
      </w:r>
      <w:r w:rsidRPr="001445C6">
        <w:t xml:space="preserve"> formalised </w:t>
      </w:r>
      <w:r w:rsidR="00D30C9C">
        <w:t xml:space="preserve">the </w:t>
      </w:r>
      <w:r w:rsidRPr="001445C6">
        <w:t xml:space="preserve">Commonwealth Parliament’s recognition of Aboriginal and Torres Strait Islander people and established a review of support for a referendum to amend the Constitution. </w:t>
      </w:r>
    </w:p>
    <w:p w14:paraId="577D5A3D" w14:textId="4A84EA2C" w:rsidR="00543E93" w:rsidRPr="001445C6" w:rsidRDefault="00DD3B6E" w:rsidP="002719CB">
      <w:pPr>
        <w:pStyle w:val="ListBullet2"/>
      </w:pPr>
      <w:r w:rsidRPr="001445C6">
        <w:t>The Review Panel was tasked with assessing levels of public awareness and support for amending the Constitution to recognise Indigenous people and levels of community support for different proposals for constitutional change. The Fi</w:t>
      </w:r>
      <w:r w:rsidR="00543E93" w:rsidRPr="001445C6">
        <w:t xml:space="preserve">nal Report of the Aboriginal and Torres Strait Islander Act of Recognition Review Panel (Anderson Review) </w:t>
      </w:r>
      <w:r w:rsidRPr="001445C6">
        <w:t>was released in 2014.</w:t>
      </w:r>
    </w:p>
    <w:p w14:paraId="7EFBB072" w14:textId="78C1A628" w:rsidR="00543E93" w:rsidRPr="001445C6" w:rsidRDefault="00543E93" w:rsidP="002719CB">
      <w:pPr>
        <w:pStyle w:val="ListBullet"/>
      </w:pPr>
      <w:r w:rsidRPr="001445C6">
        <w:t xml:space="preserve">In 2013, </w:t>
      </w:r>
      <w:r w:rsidR="003729DA" w:rsidRPr="001445C6">
        <w:t xml:space="preserve">a parliamentary </w:t>
      </w:r>
      <w:r w:rsidRPr="001445C6">
        <w:t xml:space="preserve">Joint Select Committee on Constitutional Recognition of Aboriginal and Torres Strait Islander Peoples </w:t>
      </w:r>
      <w:r w:rsidR="00994B64" w:rsidRPr="001445C6">
        <w:t>was</w:t>
      </w:r>
      <w:r w:rsidR="003729DA" w:rsidRPr="001445C6">
        <w:t xml:space="preserve"> </w:t>
      </w:r>
      <w:r w:rsidR="00DD3B6E" w:rsidRPr="001445C6">
        <w:t xml:space="preserve">also </w:t>
      </w:r>
      <w:r w:rsidR="003729DA" w:rsidRPr="001445C6">
        <w:t>appointed</w:t>
      </w:r>
      <w:r w:rsidR="00D30C9C">
        <w:t>; it</w:t>
      </w:r>
      <w:r w:rsidR="002C5EA2" w:rsidRPr="001445C6">
        <w:t xml:space="preserve"> recommended </w:t>
      </w:r>
      <w:r w:rsidRPr="001445C6">
        <w:t xml:space="preserve">in 2015 </w:t>
      </w:r>
      <w:r w:rsidR="002C5EA2" w:rsidRPr="001445C6">
        <w:t>that a referendum be held to make changes to the Australian Constitution to recognise Aboriginal and Torres Strait Islander people</w:t>
      </w:r>
      <w:r w:rsidR="0090515C">
        <w:t xml:space="preserve"> </w:t>
      </w:r>
      <w:r w:rsidR="008B547C" w:rsidRPr="008B547C">
        <w:rPr>
          <w:szCs w:val="24"/>
        </w:rPr>
        <w:t>(</w:t>
      </w:r>
      <w:proofErr w:type="spellStart"/>
      <w:r w:rsidR="008B547C" w:rsidRPr="008B547C">
        <w:rPr>
          <w:szCs w:val="24"/>
        </w:rPr>
        <w:t>JSCCRATSIP</w:t>
      </w:r>
      <w:proofErr w:type="spellEnd"/>
      <w:r w:rsidR="008B547C" w:rsidRPr="008B547C">
        <w:rPr>
          <w:szCs w:val="24"/>
        </w:rPr>
        <w:t> 2015)</w:t>
      </w:r>
      <w:r w:rsidR="004D7CB6" w:rsidRPr="00C319C7">
        <w:t>.</w:t>
      </w:r>
      <w:r w:rsidR="004D7CB6" w:rsidRPr="001445C6">
        <w:t xml:space="preserve"> </w:t>
      </w:r>
    </w:p>
    <w:p w14:paraId="18AD00E6" w14:textId="59832B6C" w:rsidR="000E350A" w:rsidRPr="001445C6" w:rsidRDefault="00DD3B6E" w:rsidP="000E350A">
      <w:pPr>
        <w:pStyle w:val="ListBullet"/>
        <w:rPr>
          <w:szCs w:val="24"/>
        </w:rPr>
      </w:pPr>
      <w:r w:rsidRPr="001445C6">
        <w:t>In December 2015, t</w:t>
      </w:r>
      <w:r w:rsidR="004D7CB6" w:rsidRPr="001445C6">
        <w:t xml:space="preserve">he </w:t>
      </w:r>
      <w:r w:rsidR="00D76880" w:rsidRPr="001445C6">
        <w:t xml:space="preserve">Commonwealth </w:t>
      </w:r>
      <w:r w:rsidR="004D7CB6" w:rsidRPr="001445C6">
        <w:t>Government appointed a Referendum Council to consult on the best way to achieve constitutional recognition</w:t>
      </w:r>
      <w:r w:rsidR="000225F3" w:rsidRPr="001445C6">
        <w:t xml:space="preserve"> and the Council provided the final report on how this could be achieved in 2017</w:t>
      </w:r>
      <w:r w:rsidR="00935CD1">
        <w:t xml:space="preserve"> </w:t>
      </w:r>
      <w:r w:rsidR="008B547C" w:rsidRPr="008B547C">
        <w:rPr>
          <w:szCs w:val="24"/>
        </w:rPr>
        <w:t>(Commonwealth of Australia 2017)</w:t>
      </w:r>
      <w:r w:rsidR="00BC5702" w:rsidRPr="001445C6">
        <w:rPr>
          <w:szCs w:val="24"/>
        </w:rPr>
        <w:t>.</w:t>
      </w:r>
      <w:r w:rsidR="000E350A" w:rsidRPr="001445C6">
        <w:rPr>
          <w:szCs w:val="24"/>
        </w:rPr>
        <w:t xml:space="preserve"> </w:t>
      </w:r>
    </w:p>
    <w:p w14:paraId="40083838" w14:textId="772225A2" w:rsidR="00A52488" w:rsidRPr="001445C6" w:rsidRDefault="00A52488" w:rsidP="00A52488">
      <w:pPr>
        <w:pStyle w:val="BodyText"/>
      </w:pPr>
      <w:r w:rsidRPr="001445C6">
        <w:t>Aboriginal and Torres Strait Islander people have sought recognition in the Constitution</w:t>
      </w:r>
      <w:r w:rsidR="00AF7D33" w:rsidRPr="001445C6">
        <w:t xml:space="preserve">, along with a </w:t>
      </w:r>
      <w:r w:rsidRPr="001445C6">
        <w:t>Voice to the Commonwealth Parliament</w:t>
      </w:r>
      <w:r w:rsidR="00AF7D33" w:rsidRPr="001445C6">
        <w:t xml:space="preserve">, a </w:t>
      </w:r>
      <w:r w:rsidR="003300CC" w:rsidRPr="001445C6">
        <w:t>Makarrata</w:t>
      </w:r>
      <w:r w:rsidR="00AF7D33" w:rsidRPr="001445C6">
        <w:t xml:space="preserve"> (truth telling commission) and treaties</w:t>
      </w:r>
      <w:r w:rsidRPr="001445C6">
        <w:t xml:space="preserve">. The 2017 </w:t>
      </w:r>
      <w:r w:rsidRPr="00852A31">
        <w:t>Uluru Statement from the Heart</w:t>
      </w:r>
      <w:r w:rsidR="006D3609" w:rsidRPr="001445C6">
        <w:t xml:space="preserve"> </w:t>
      </w:r>
      <w:r w:rsidR="00EA37E4" w:rsidRPr="00EA37E4">
        <w:rPr>
          <w:szCs w:val="24"/>
        </w:rPr>
        <w:t>(Uluru Statement from the Heart 2017)</w:t>
      </w:r>
      <w:r w:rsidR="00C319C7">
        <w:t xml:space="preserve"> </w:t>
      </w:r>
      <w:r w:rsidR="006D3609" w:rsidRPr="001445C6">
        <w:t>developed</w:t>
      </w:r>
      <w:r w:rsidR="0086184F" w:rsidRPr="001445C6">
        <w:t xml:space="preserve"> a position on Indigenous </w:t>
      </w:r>
      <w:r w:rsidR="00AF7D33" w:rsidRPr="001445C6">
        <w:t>constitutional recognition</w:t>
      </w:r>
      <w:r w:rsidR="006D3609" w:rsidRPr="001445C6">
        <w:t xml:space="preserve"> through a</w:t>
      </w:r>
      <w:r w:rsidR="00400921" w:rsidRPr="001445C6">
        <w:t xml:space="preserve"> </w:t>
      </w:r>
      <w:r w:rsidR="0086184F" w:rsidRPr="001445C6">
        <w:t xml:space="preserve">nationwide process culminating in consensus at a </w:t>
      </w:r>
      <w:r w:rsidR="00400921" w:rsidRPr="001445C6">
        <w:t>constitutional convention of 250</w:t>
      </w:r>
      <w:r w:rsidR="005B75EC">
        <w:t> </w:t>
      </w:r>
      <w:r w:rsidR="00400921" w:rsidRPr="001445C6">
        <w:t>Aboriginal and Torres Strait Islander delegates</w:t>
      </w:r>
      <w:r w:rsidR="0086184F" w:rsidRPr="001445C6">
        <w:t>.</w:t>
      </w:r>
      <w:r w:rsidRPr="001445C6">
        <w:t xml:space="preserve"> The statement articulates the position as follows:</w:t>
      </w:r>
    </w:p>
    <w:p w14:paraId="16618CD2" w14:textId="418798D0" w:rsidR="002C5EA2" w:rsidRPr="001445C6" w:rsidRDefault="00A52488" w:rsidP="00802BA5">
      <w:pPr>
        <w:pStyle w:val="Quote"/>
      </w:pPr>
      <w:r w:rsidRPr="001445C6">
        <w:t xml:space="preserve">We seek constitutional reforms to empower our people and take a rightful place in our own country. When we have power over our destiny our children will flourish. They will walk in two </w:t>
      </w:r>
      <w:r w:rsidRPr="001445C6">
        <w:lastRenderedPageBreak/>
        <w:t>worlds and their culture will be a gift to their country. We call for the establishment of a First Nations Voice enshrined in the Constitution</w:t>
      </w:r>
      <w:r w:rsidR="00400921" w:rsidRPr="001445C6">
        <w:t xml:space="preserve"> </w:t>
      </w:r>
      <w:r w:rsidR="00EA37E4" w:rsidRPr="00EA37E4">
        <w:rPr>
          <w:szCs w:val="24"/>
        </w:rPr>
        <w:t>(Uluru Statement from the Heart 2017)</w:t>
      </w:r>
      <w:r w:rsidR="00C319C7">
        <w:t>.</w:t>
      </w:r>
    </w:p>
    <w:p w14:paraId="37640AEA" w14:textId="701FF5C7" w:rsidR="00AF7D33" w:rsidRPr="001445C6" w:rsidRDefault="00AF7D33" w:rsidP="002719CB">
      <w:pPr>
        <w:pStyle w:val="BodyText"/>
      </w:pPr>
      <w:r w:rsidRPr="001445C6">
        <w:t xml:space="preserve">Drawing on the </w:t>
      </w:r>
      <w:r w:rsidRPr="00852A31">
        <w:t>Uluru Statement from the Heart</w:t>
      </w:r>
      <w:r w:rsidRPr="001445C6">
        <w:t xml:space="preserve">, the Referendum Council’s 2017 report recommended that a referendum be held to provide in the Australian Constitution for a representative body that gives Aboriginal and Torres Strait Islander </w:t>
      </w:r>
      <w:r w:rsidR="00852A31">
        <w:t>people</w:t>
      </w:r>
      <w:r w:rsidRPr="001445C6">
        <w:t xml:space="preserve"> a Voice to the Commonwealth Parliament. </w:t>
      </w:r>
      <w:r w:rsidR="00B3561D" w:rsidRPr="001445C6">
        <w:t xml:space="preserve">In 2018, </w:t>
      </w:r>
      <w:r w:rsidRPr="001445C6">
        <w:t xml:space="preserve">the Joint Select Committee on Constitutional Recognition relating to Aboriginal and Torres Strait Islander Peoples delivered its final report. This report </w:t>
      </w:r>
      <w:r w:rsidR="003300CC" w:rsidRPr="001445C6">
        <w:t xml:space="preserve">also </w:t>
      </w:r>
      <w:r w:rsidRPr="001445C6">
        <w:t xml:space="preserve">drew on the work of </w:t>
      </w:r>
      <w:r w:rsidRPr="001445C6">
        <w:rPr>
          <w:szCs w:val="24"/>
        </w:rPr>
        <w:t xml:space="preserve">Aboriginal and Torres Strait Islander people in the </w:t>
      </w:r>
      <w:r w:rsidRPr="00852A31">
        <w:rPr>
          <w:szCs w:val="24"/>
        </w:rPr>
        <w:t>Uluru Statement from the Heart</w:t>
      </w:r>
      <w:r w:rsidRPr="001445C6">
        <w:rPr>
          <w:szCs w:val="24"/>
        </w:rPr>
        <w:t xml:space="preserve"> and called for the Voice to Parliament to become a reality, </w:t>
      </w:r>
      <w:r w:rsidR="00CC3F40" w:rsidRPr="001445C6">
        <w:rPr>
          <w:szCs w:val="24"/>
        </w:rPr>
        <w:t xml:space="preserve">recommending </w:t>
      </w:r>
      <w:r w:rsidR="00D30C9C">
        <w:rPr>
          <w:szCs w:val="24"/>
        </w:rPr>
        <w:t xml:space="preserve">that </w:t>
      </w:r>
      <w:r w:rsidRPr="001445C6">
        <w:rPr>
          <w:szCs w:val="24"/>
        </w:rPr>
        <w:t xml:space="preserve">it be developed by Aboriginal and Torres Strait Islander people </w:t>
      </w:r>
      <w:r w:rsidR="00D30C9C">
        <w:rPr>
          <w:szCs w:val="24"/>
        </w:rPr>
        <w:t xml:space="preserve">together </w:t>
      </w:r>
      <w:r w:rsidRPr="001445C6">
        <w:rPr>
          <w:szCs w:val="24"/>
        </w:rPr>
        <w:t xml:space="preserve">with </w:t>
      </w:r>
      <w:r w:rsidR="00415293">
        <w:rPr>
          <w:szCs w:val="24"/>
        </w:rPr>
        <w:t>the Commonwealth G</w:t>
      </w:r>
      <w:r w:rsidRPr="001445C6">
        <w:rPr>
          <w:szCs w:val="24"/>
        </w:rPr>
        <w:t>overnment</w:t>
      </w:r>
      <w:r w:rsidR="00935CD1">
        <w:rPr>
          <w:szCs w:val="24"/>
        </w:rPr>
        <w:t xml:space="preserve"> </w:t>
      </w:r>
      <w:r w:rsidR="008B547C" w:rsidRPr="008B547C">
        <w:rPr>
          <w:szCs w:val="24"/>
        </w:rPr>
        <w:t>(Commonwealth of Australia 2017)</w:t>
      </w:r>
      <w:r w:rsidRPr="001445C6">
        <w:rPr>
          <w:szCs w:val="24"/>
        </w:rPr>
        <w:t>.</w:t>
      </w:r>
    </w:p>
    <w:p w14:paraId="14037672" w14:textId="36B0EC58" w:rsidR="00400921" w:rsidRPr="001445C6" w:rsidRDefault="00400921" w:rsidP="004D7CB6">
      <w:pPr>
        <w:pStyle w:val="BodyText"/>
      </w:pPr>
      <w:r w:rsidRPr="001445C6">
        <w:t xml:space="preserve">In late 2019, the </w:t>
      </w:r>
      <w:r w:rsidR="00D76880" w:rsidRPr="001445C6">
        <w:t xml:space="preserve">Commonwealth </w:t>
      </w:r>
      <w:r w:rsidRPr="001445C6">
        <w:t xml:space="preserve">Government </w:t>
      </w:r>
      <w:r w:rsidR="00AF7D33" w:rsidRPr="001445C6">
        <w:t xml:space="preserve">responded to these calls and </w:t>
      </w:r>
      <w:r w:rsidRPr="001445C6">
        <w:t>began a co</w:t>
      </w:r>
      <w:r w:rsidR="00E4541B">
        <w:noBreakHyphen/>
      </w:r>
      <w:r w:rsidRPr="001445C6">
        <w:t xml:space="preserve">design process </w:t>
      </w:r>
      <w:r w:rsidR="00557E89" w:rsidRPr="001445C6">
        <w:t>to ‘develop options for a model that will ensure that Aboriginal and Torres Strait Islander people are heard at all levels of government’</w:t>
      </w:r>
      <w:r w:rsidR="009F2CA9" w:rsidRPr="009F2CA9">
        <w:rPr>
          <w:szCs w:val="24"/>
        </w:rPr>
        <w:t>(Wyatt 2019)</w:t>
      </w:r>
      <w:r w:rsidR="00557E89" w:rsidRPr="001445C6">
        <w:t xml:space="preserve"> </w:t>
      </w:r>
    </w:p>
    <w:p w14:paraId="63E3B92C" w14:textId="5C953B58" w:rsidR="00BE701B" w:rsidRPr="001445C6" w:rsidRDefault="00BE701B" w:rsidP="00BE701B">
      <w:pPr>
        <w:pStyle w:val="BodyText"/>
      </w:pPr>
      <w:r w:rsidRPr="001445C6">
        <w:t>Alongside these developments, a number of State and Territory government</w:t>
      </w:r>
      <w:r w:rsidR="00C84EDC" w:rsidRPr="001445C6">
        <w:t>s (</w:t>
      </w:r>
      <w:r w:rsidR="00D30C9C">
        <w:t>starting</w:t>
      </w:r>
      <w:r w:rsidR="00D30C9C" w:rsidRPr="001445C6">
        <w:t xml:space="preserve"> </w:t>
      </w:r>
      <w:r w:rsidR="00C84EDC" w:rsidRPr="001445C6">
        <w:t>with Victoria)</w:t>
      </w:r>
      <w:r w:rsidRPr="001445C6">
        <w:t xml:space="preserve"> have begun treaty negotiations with </w:t>
      </w:r>
      <w:r w:rsidR="00CC3F40" w:rsidRPr="001445C6">
        <w:t>local Aboriginal and Torres Strait Islander people</w:t>
      </w:r>
      <w:r w:rsidRPr="001445C6">
        <w:t xml:space="preserve">. </w:t>
      </w:r>
      <w:r w:rsidR="00CC3F40" w:rsidRPr="001445C6">
        <w:t>In 2018, t</w:t>
      </w:r>
      <w:r w:rsidRPr="001445C6">
        <w:t xml:space="preserve">he Victorian Government passed a legal framework for </w:t>
      </w:r>
      <w:r w:rsidR="00C84EDC" w:rsidRPr="001445C6">
        <w:t>I</w:t>
      </w:r>
      <w:r w:rsidRPr="001445C6">
        <w:t>ndigenous treaty negotiations</w:t>
      </w:r>
      <w:r w:rsidR="000B373A">
        <w:t xml:space="preserve"> </w:t>
      </w:r>
      <w:r w:rsidR="00092DC7" w:rsidRPr="00092DC7">
        <w:rPr>
          <w:szCs w:val="24"/>
        </w:rPr>
        <w:t>(Graham and Petrie 2018)</w:t>
      </w:r>
      <w:r w:rsidRPr="001445C6">
        <w:t xml:space="preserve">. In 2019, </w:t>
      </w:r>
      <w:r w:rsidR="00C84EDC" w:rsidRPr="001445C6">
        <w:t xml:space="preserve">the </w:t>
      </w:r>
      <w:r w:rsidRPr="001445C6">
        <w:t xml:space="preserve">Victorian First Peoples' Assembly </w:t>
      </w:r>
      <w:r w:rsidR="00B86082" w:rsidRPr="001445C6">
        <w:t xml:space="preserve">was formed and members </w:t>
      </w:r>
      <w:r w:rsidR="00D30C9C">
        <w:t>elected</w:t>
      </w:r>
      <w:r w:rsidR="00B86082" w:rsidRPr="001445C6">
        <w:t xml:space="preserve"> by eligible Aboriginal people (including</w:t>
      </w:r>
      <w:r w:rsidR="00D30C9C">
        <w:t xml:space="preserve"> those</w:t>
      </w:r>
      <w:r w:rsidR="00B86082" w:rsidRPr="001445C6">
        <w:t xml:space="preserve"> within Victoria and traditional owners elsewhere)</w:t>
      </w:r>
      <w:r w:rsidRPr="001445C6">
        <w:t xml:space="preserve">. </w:t>
      </w:r>
    </w:p>
    <w:p w14:paraId="3243AAF2" w14:textId="063447A1" w:rsidR="00A633BE" w:rsidRPr="001445C6" w:rsidRDefault="00951C36" w:rsidP="00A633BE">
      <w:pPr>
        <w:pStyle w:val="Heading2"/>
      </w:pPr>
      <w:r>
        <w:t>1.</w:t>
      </w:r>
      <w:r w:rsidR="00E4541B">
        <w:rPr>
          <w:noProof/>
        </w:rPr>
        <w:t>3</w:t>
      </w:r>
      <w:r>
        <w:tab/>
      </w:r>
      <w:r w:rsidR="00A633BE" w:rsidRPr="001445C6">
        <w:t xml:space="preserve">Profile of the Aboriginal and Torres Strait Islander population </w:t>
      </w:r>
      <w:r w:rsidR="0034653D" w:rsidRPr="001445C6">
        <w:t>today</w:t>
      </w:r>
    </w:p>
    <w:p w14:paraId="6901D736" w14:textId="6E493B87" w:rsidR="002729BD" w:rsidRPr="001445C6" w:rsidRDefault="0034653D" w:rsidP="0034080D">
      <w:pPr>
        <w:pStyle w:val="BodyText"/>
      </w:pPr>
      <w:r w:rsidRPr="001445C6">
        <w:t xml:space="preserve">Recent years have seen significant and continuing growth in the numbers of </w:t>
      </w:r>
      <w:r w:rsidR="0003796A" w:rsidRPr="001445C6">
        <w:t>Aboriginal and Torres Strait Islander</w:t>
      </w:r>
      <w:r w:rsidRPr="001445C6">
        <w:t xml:space="preserve"> people</w:t>
      </w:r>
      <w:r w:rsidR="00811783">
        <w:t xml:space="preserve">. In 2016, there </w:t>
      </w:r>
      <w:r w:rsidR="00811783" w:rsidRPr="00C70374">
        <w:t xml:space="preserve">were </w:t>
      </w:r>
      <w:r w:rsidR="00755916" w:rsidRPr="00C70374">
        <w:t>estimated to</w:t>
      </w:r>
      <w:r w:rsidR="00755916">
        <w:t xml:space="preserve"> be </w:t>
      </w:r>
      <w:r w:rsidR="00811783">
        <w:t>about 800 000</w:t>
      </w:r>
      <w:r w:rsidR="00C80492" w:rsidRPr="001445C6">
        <w:t xml:space="preserve"> Aboriginal and </w:t>
      </w:r>
      <w:r w:rsidR="004363D2" w:rsidRPr="001445C6">
        <w:t>Torres</w:t>
      </w:r>
      <w:r w:rsidR="00C80492" w:rsidRPr="001445C6">
        <w:t xml:space="preserve"> Strait Islander people</w:t>
      </w:r>
      <w:r w:rsidR="004363D2" w:rsidRPr="001445C6">
        <w:t xml:space="preserve"> in </w:t>
      </w:r>
      <w:r w:rsidR="000809D0" w:rsidRPr="001445C6">
        <w:t>Australia</w:t>
      </w:r>
      <w:r w:rsidR="00222979">
        <w:t xml:space="preserve"> (table A.1)</w:t>
      </w:r>
      <w:r w:rsidR="000809D0" w:rsidRPr="001445C6">
        <w:t>. Within a decade</w:t>
      </w:r>
      <w:r w:rsidR="0003796A" w:rsidRPr="001445C6">
        <w:t>,</w:t>
      </w:r>
      <w:r w:rsidR="000809D0" w:rsidRPr="001445C6">
        <w:t xml:space="preserve"> th</w:t>
      </w:r>
      <w:r w:rsidR="0003796A" w:rsidRPr="001445C6">
        <w:t>e</w:t>
      </w:r>
      <w:r w:rsidR="000809D0" w:rsidRPr="001445C6">
        <w:t xml:space="preserve"> population is</w:t>
      </w:r>
      <w:r w:rsidR="00A633BE" w:rsidRPr="001445C6">
        <w:t xml:space="preserve"> </w:t>
      </w:r>
      <w:r w:rsidR="000809D0" w:rsidRPr="001445C6">
        <w:t xml:space="preserve">expected to be over </w:t>
      </w:r>
      <w:r w:rsidR="00D62485" w:rsidRPr="001445C6">
        <w:t>one</w:t>
      </w:r>
      <w:r w:rsidR="00A633BE" w:rsidRPr="001445C6">
        <w:t xml:space="preserve"> million people</w:t>
      </w:r>
      <w:r w:rsidR="00AE5F45">
        <w:t xml:space="preserve"> </w:t>
      </w:r>
      <w:r w:rsidR="00AE5F45" w:rsidRPr="00AE5F45">
        <w:rPr>
          <w:szCs w:val="24"/>
        </w:rPr>
        <w:t>(ABS 2019)</w:t>
      </w:r>
      <w:r w:rsidR="002729BD" w:rsidRPr="001445C6">
        <w:t>.</w:t>
      </w:r>
    </w:p>
    <w:p w14:paraId="06AA0F88" w14:textId="1455A25B" w:rsidR="004462C3" w:rsidRPr="001445C6" w:rsidRDefault="0003796A" w:rsidP="004462C3">
      <w:pPr>
        <w:pStyle w:val="BodyText"/>
      </w:pPr>
      <w:r w:rsidRPr="001445C6">
        <w:t xml:space="preserve">The population </w:t>
      </w:r>
      <w:r w:rsidR="004462C3" w:rsidRPr="001445C6">
        <w:t>has two broadly</w:t>
      </w:r>
      <w:r w:rsidR="00E4541B">
        <w:noBreakHyphen/>
      </w:r>
      <w:r w:rsidR="004462C3" w:rsidRPr="001445C6">
        <w:t xml:space="preserve">defined cultural groups. Aboriginal people are the large majority, </w:t>
      </w:r>
      <w:r w:rsidR="00D30C9C">
        <w:t>making up around</w:t>
      </w:r>
      <w:r w:rsidR="00D30C9C" w:rsidRPr="001445C6">
        <w:t xml:space="preserve"> </w:t>
      </w:r>
      <w:r w:rsidR="004462C3" w:rsidRPr="001445C6">
        <w:t xml:space="preserve">90 per cent of the population, with the </w:t>
      </w:r>
      <w:r w:rsidR="00D62485" w:rsidRPr="001445C6">
        <w:t>remainder</w:t>
      </w:r>
      <w:r w:rsidR="004462C3" w:rsidRPr="001445C6">
        <w:t xml:space="preserve"> identifying as </w:t>
      </w:r>
      <w:r w:rsidR="000A5A81" w:rsidRPr="001445C6">
        <w:t xml:space="preserve">being </w:t>
      </w:r>
      <w:r w:rsidR="004462C3" w:rsidRPr="001445C6">
        <w:t>of ‘Aboriginal and Torres Strait Islander’ origin or ‘Torres Strait Islander’ origin only</w:t>
      </w:r>
      <w:r w:rsidR="00222979">
        <w:t xml:space="preserve"> </w:t>
      </w:r>
      <w:r w:rsidR="00C6198A" w:rsidRPr="00C6198A">
        <w:rPr>
          <w:szCs w:val="24"/>
        </w:rPr>
        <w:t>(ABS 2018)</w:t>
      </w:r>
      <w:r w:rsidR="00C6198A">
        <w:t>.</w:t>
      </w:r>
      <w:r w:rsidR="004462C3" w:rsidRPr="001445C6">
        <w:t xml:space="preserve"> </w:t>
      </w:r>
    </w:p>
    <w:p w14:paraId="452290E0" w14:textId="25877037" w:rsidR="0034080D" w:rsidRPr="001445C6" w:rsidRDefault="004462C3" w:rsidP="00A633BE">
      <w:pPr>
        <w:pStyle w:val="BodyText"/>
      </w:pPr>
      <w:r w:rsidRPr="001445C6">
        <w:t>Within these two broad cultural groups there are many</w:t>
      </w:r>
      <w:r w:rsidR="0003796A" w:rsidRPr="001445C6">
        <w:t xml:space="preserve"> diverse nations</w:t>
      </w:r>
      <w:r w:rsidRPr="001445C6">
        <w:t>,</w:t>
      </w:r>
      <w:r w:rsidR="0003796A" w:rsidRPr="001445C6">
        <w:t xml:space="preserve"> </w:t>
      </w:r>
      <w:r w:rsidRPr="001445C6">
        <w:t>clans and skin groups. Most have</w:t>
      </w:r>
      <w:r w:rsidR="0003796A" w:rsidRPr="001445C6">
        <w:t xml:space="preserve"> </w:t>
      </w:r>
      <w:r w:rsidRPr="001445C6">
        <w:t xml:space="preserve">their </w:t>
      </w:r>
      <w:r w:rsidR="0003796A" w:rsidRPr="001445C6">
        <w:t>own distinct culture</w:t>
      </w:r>
      <w:r w:rsidR="00D30C9C">
        <w:t>s</w:t>
      </w:r>
      <w:r w:rsidR="0003796A" w:rsidRPr="001445C6">
        <w:t>, language</w:t>
      </w:r>
      <w:r w:rsidR="00D30C9C">
        <w:t>s</w:t>
      </w:r>
      <w:r w:rsidR="002729BD" w:rsidRPr="001445C6">
        <w:t>, histor</w:t>
      </w:r>
      <w:r w:rsidR="00D30C9C">
        <w:t>ies</w:t>
      </w:r>
      <w:r w:rsidR="0003796A" w:rsidRPr="001445C6">
        <w:t xml:space="preserve"> and perspective</w:t>
      </w:r>
      <w:r w:rsidR="00D30C9C">
        <w:t>s</w:t>
      </w:r>
      <w:r w:rsidR="002729BD" w:rsidRPr="001445C6">
        <w:t xml:space="preserve">. </w:t>
      </w:r>
      <w:r w:rsidR="0003796A" w:rsidRPr="001445C6">
        <w:t>For example, there are o</w:t>
      </w:r>
      <w:r w:rsidR="002729BD" w:rsidRPr="001445C6">
        <w:t xml:space="preserve">ver 250 different language groups spread across </w:t>
      </w:r>
      <w:r w:rsidRPr="001445C6">
        <w:t>Australia</w:t>
      </w:r>
      <w:r w:rsidR="00980DB7" w:rsidRPr="001445C6">
        <w:t>, of which 145 are still spoken</w:t>
      </w:r>
      <w:r w:rsidR="00C74783" w:rsidRPr="001445C6">
        <w:t xml:space="preserve"> </w:t>
      </w:r>
      <w:r w:rsidR="00FB4647">
        <w:t xml:space="preserve">today </w:t>
      </w:r>
      <w:r w:rsidR="00980DB7" w:rsidRPr="001445C6">
        <w:rPr>
          <w:szCs w:val="24"/>
        </w:rPr>
        <w:t>(Marmion, Obata and Troy 2014)</w:t>
      </w:r>
      <w:r w:rsidR="002729BD" w:rsidRPr="001445C6">
        <w:t>.</w:t>
      </w:r>
      <w:r w:rsidR="0034080D" w:rsidRPr="001445C6">
        <w:t xml:space="preserve"> </w:t>
      </w:r>
    </w:p>
    <w:p w14:paraId="5A1CAB41" w14:textId="6E992D70" w:rsidR="001E2837" w:rsidRPr="001445C6" w:rsidRDefault="001E2837" w:rsidP="001E2837">
      <w:pPr>
        <w:pStyle w:val="BodyText"/>
      </w:pPr>
      <w:r w:rsidRPr="001445C6">
        <w:t xml:space="preserve">Six </w:t>
      </w:r>
      <w:r w:rsidR="00B30B49" w:rsidRPr="001445C6">
        <w:t xml:space="preserve">out </w:t>
      </w:r>
      <w:r w:rsidRPr="001445C6">
        <w:t xml:space="preserve">of </w:t>
      </w:r>
      <w:r w:rsidR="00B30B49" w:rsidRPr="001445C6">
        <w:t xml:space="preserve">every </w:t>
      </w:r>
      <w:r w:rsidRPr="001445C6">
        <w:t xml:space="preserve">ten people in the Aboriginal and Torres Strait Islander population live in </w:t>
      </w:r>
      <w:r w:rsidR="00A312AC">
        <w:t>NSW</w:t>
      </w:r>
      <w:r w:rsidRPr="001445C6">
        <w:t xml:space="preserve"> or Queensland (figure 1.</w:t>
      </w:r>
      <w:r w:rsidR="00BD36B9" w:rsidRPr="001445C6">
        <w:t>1</w:t>
      </w:r>
      <w:r w:rsidRPr="001445C6">
        <w:t xml:space="preserve">). However, the </w:t>
      </w:r>
      <w:r w:rsidR="00A312AC">
        <w:t>NT</w:t>
      </w:r>
      <w:r w:rsidRPr="001445C6">
        <w:t xml:space="preserve"> has the largest proportion of their </w:t>
      </w:r>
      <w:r w:rsidRPr="001445C6">
        <w:lastRenderedPageBreak/>
        <w:t xml:space="preserve">population who are </w:t>
      </w:r>
      <w:r w:rsidR="00B30B49" w:rsidRPr="001445C6">
        <w:t xml:space="preserve">of </w:t>
      </w:r>
      <w:r w:rsidRPr="001445C6">
        <w:t xml:space="preserve">Aboriginal and Torres Strait Islander </w:t>
      </w:r>
      <w:r w:rsidR="00B30B49" w:rsidRPr="001445C6">
        <w:t>origin</w:t>
      </w:r>
      <w:r w:rsidRPr="001445C6">
        <w:t xml:space="preserve">, followed by Tasmania and </w:t>
      </w:r>
      <w:r w:rsidR="00D30C9C">
        <w:t xml:space="preserve">then </w:t>
      </w:r>
      <w:r w:rsidRPr="001445C6">
        <w:t xml:space="preserve">Queensland. </w:t>
      </w:r>
    </w:p>
    <w:p w14:paraId="18E2BA34" w14:textId="77777777" w:rsidR="001E2837" w:rsidRPr="001445C6" w:rsidRDefault="001E2837" w:rsidP="001E2837">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1445C6" w:rsidRPr="001445C6" w14:paraId="2ED6207D" w14:textId="77777777" w:rsidTr="009F68F2">
        <w:tc>
          <w:tcPr>
            <w:tcW w:w="8789" w:type="dxa"/>
            <w:tcBorders>
              <w:top w:val="single" w:sz="6" w:space="0" w:color="78A22F"/>
              <w:left w:val="nil"/>
              <w:bottom w:val="nil"/>
              <w:right w:val="nil"/>
            </w:tcBorders>
            <w:shd w:val="clear" w:color="auto" w:fill="auto"/>
          </w:tcPr>
          <w:p w14:paraId="4D0E0B58" w14:textId="1D3B31AD" w:rsidR="001E2837" w:rsidRPr="001445C6" w:rsidRDefault="001E2837" w:rsidP="0047766B">
            <w:pPr>
              <w:pStyle w:val="FigureTitle"/>
            </w:pPr>
            <w:r w:rsidRPr="001445C6">
              <w:rPr>
                <w:b w:val="0"/>
              </w:rPr>
              <w:t>Figure 1.1</w:t>
            </w:r>
            <w:r w:rsidRPr="001445C6">
              <w:tab/>
              <w:t>Aboriginal and Torres Strait Islander population, by State or Territory, 2016</w:t>
            </w:r>
          </w:p>
        </w:tc>
      </w:tr>
      <w:tr w:rsidR="001445C6" w:rsidRPr="001445C6" w14:paraId="2F57C954" w14:textId="77777777" w:rsidTr="009F68F2">
        <w:tc>
          <w:tcPr>
            <w:tcW w:w="8789" w:type="dxa"/>
            <w:tcBorders>
              <w:top w:val="nil"/>
              <w:left w:val="nil"/>
              <w:bottom w:val="nil"/>
              <w:right w:val="nil"/>
            </w:tcBorders>
            <w:shd w:val="clear" w:color="auto" w:fill="auto"/>
            <w:tcMar>
              <w:top w:w="28" w:type="dxa"/>
              <w:bottom w:w="28" w:type="dxa"/>
            </w:tcMar>
          </w:tcPr>
          <w:tbl>
            <w:tblPr>
              <w:tblW w:w="5000" w:type="pct"/>
              <w:tblBorders>
                <w:top w:val="single" w:sz="6" w:space="0" w:color="8064A2" w:themeColor="accent4"/>
                <w:bottom w:val="single" w:sz="6" w:space="0" w:color="8064A2" w:themeColor="accent4"/>
              </w:tblBorders>
              <w:tblLayout w:type="fixed"/>
              <w:tblCellMar>
                <w:top w:w="28" w:type="dxa"/>
              </w:tblCellMar>
              <w:tblLook w:val="0000" w:firstRow="0" w:lastRow="0" w:firstColumn="0" w:lastColumn="0" w:noHBand="0" w:noVBand="0"/>
            </w:tblPr>
            <w:tblGrid>
              <w:gridCol w:w="4252"/>
              <w:gridCol w:w="4253"/>
            </w:tblGrid>
            <w:tr w:rsidR="001445C6" w:rsidRPr="001445C6" w14:paraId="000D1FB9" w14:textId="77777777" w:rsidTr="00D863AC">
              <w:tc>
                <w:tcPr>
                  <w:tcW w:w="4252" w:type="dxa"/>
                  <w:tcBorders>
                    <w:top w:val="nil"/>
                    <w:bottom w:val="nil"/>
                  </w:tcBorders>
                </w:tcPr>
                <w:p w14:paraId="67A91601" w14:textId="1749ABA1" w:rsidR="001E2837" w:rsidRPr="001445C6" w:rsidRDefault="00617E6D" w:rsidP="00EB571F">
                  <w:pPr>
                    <w:pStyle w:val="Figure"/>
                    <w:spacing w:before="60" w:after="60"/>
                  </w:pPr>
                  <w:r w:rsidRPr="00617E6D">
                    <w:rPr>
                      <w:noProof/>
                    </w:rPr>
                    <w:drawing>
                      <wp:inline distT="0" distB="0" distL="0" distR="0" wp14:anchorId="306CE554" wp14:editId="65206236">
                        <wp:extent cx="2552700" cy="1981200"/>
                        <wp:effectExtent l="0" t="0" r="0" b="0"/>
                        <wp:docPr id="4" name="Picture 4" descr="Figure 1.1 Aboriginal and Torres Strait Islander population, by State or Territory, 2016&#10;&#10;Proportion of Aboriginal and Torres Strait Islander population in each State or Territory&#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1981200"/>
                                </a:xfrm>
                                <a:prstGeom prst="rect">
                                  <a:avLst/>
                                </a:prstGeom>
                                <a:noFill/>
                                <a:ln>
                                  <a:noFill/>
                                </a:ln>
                              </pic:spPr>
                            </pic:pic>
                          </a:graphicData>
                        </a:graphic>
                      </wp:inline>
                    </w:drawing>
                  </w:r>
                </w:p>
              </w:tc>
              <w:tc>
                <w:tcPr>
                  <w:tcW w:w="4252" w:type="dxa"/>
                  <w:tcBorders>
                    <w:top w:val="nil"/>
                    <w:bottom w:val="nil"/>
                  </w:tcBorders>
                </w:tcPr>
                <w:p w14:paraId="5CBDFFD9" w14:textId="4C0944BF" w:rsidR="001E2837" w:rsidRPr="001445C6" w:rsidRDefault="00617E6D" w:rsidP="00EB571F">
                  <w:pPr>
                    <w:pStyle w:val="Figure"/>
                    <w:spacing w:before="60" w:after="60"/>
                  </w:pPr>
                  <w:r w:rsidRPr="00617E6D">
                    <w:rPr>
                      <w:noProof/>
                    </w:rPr>
                    <w:drawing>
                      <wp:inline distT="0" distB="0" distL="0" distR="0" wp14:anchorId="4D6C7706" wp14:editId="2664AAA1">
                        <wp:extent cx="2562225" cy="1876425"/>
                        <wp:effectExtent l="0" t="0" r="9525" b="0"/>
                        <wp:docPr id="8" name="Picture 8" descr="Figure 1.1 Aboriginal and Torres Strait Islander population, by State or Territory, 2016&#10;&#10;Proportion of population in State or Territory who are Aboriginal and Torres Strait Islander people&#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2225" cy="1876425"/>
                                </a:xfrm>
                                <a:prstGeom prst="rect">
                                  <a:avLst/>
                                </a:prstGeom>
                                <a:noFill/>
                                <a:ln>
                                  <a:noFill/>
                                </a:ln>
                              </pic:spPr>
                            </pic:pic>
                          </a:graphicData>
                        </a:graphic>
                      </wp:inline>
                    </w:drawing>
                  </w:r>
                </w:p>
              </w:tc>
            </w:tr>
            <w:tr w:rsidR="001445C6" w:rsidRPr="001445C6" w14:paraId="1B0A52ED" w14:textId="77777777" w:rsidTr="00D863AC">
              <w:tblPrEx>
                <w:tblCellMar>
                  <w:left w:w="0" w:type="dxa"/>
                  <w:right w:w="0" w:type="dxa"/>
                </w:tblCellMar>
              </w:tblPrEx>
              <w:tc>
                <w:tcPr>
                  <w:tcW w:w="4252" w:type="dxa"/>
                  <w:tcBorders>
                    <w:top w:val="nil"/>
                    <w:bottom w:val="nil"/>
                  </w:tcBorders>
                </w:tcPr>
                <w:p w14:paraId="1286A14D" w14:textId="77777777" w:rsidR="001E2837" w:rsidRPr="001445C6" w:rsidRDefault="001E2837" w:rsidP="00EB571F">
                  <w:pPr>
                    <w:pStyle w:val="Figure"/>
                    <w:spacing w:before="60" w:after="60"/>
                    <w:rPr>
                      <w:noProof/>
                      <w:sz w:val="16"/>
                      <w:szCs w:val="16"/>
                    </w:rPr>
                  </w:pPr>
                  <w:r w:rsidRPr="001445C6">
                    <w:rPr>
                      <w:rFonts w:ascii="Arial" w:hAnsi="Arial" w:cs="Arial"/>
                      <w:b/>
                      <w:sz w:val="16"/>
                      <w:szCs w:val="16"/>
                    </w:rPr>
                    <w:t>Proportion of Aboriginal and Torres Strait Islander population in each State or Territory</w:t>
                  </w:r>
                </w:p>
              </w:tc>
              <w:tc>
                <w:tcPr>
                  <w:tcW w:w="4252" w:type="dxa"/>
                  <w:tcBorders>
                    <w:top w:val="nil"/>
                    <w:bottom w:val="nil"/>
                  </w:tcBorders>
                </w:tcPr>
                <w:p w14:paraId="51E6B714" w14:textId="77777777" w:rsidR="001E2837" w:rsidRPr="001445C6" w:rsidRDefault="001E2837" w:rsidP="00EB571F">
                  <w:pPr>
                    <w:pStyle w:val="Figure"/>
                    <w:spacing w:before="60" w:after="60"/>
                    <w:rPr>
                      <w:noProof/>
                      <w:sz w:val="16"/>
                      <w:szCs w:val="16"/>
                    </w:rPr>
                  </w:pPr>
                  <w:r w:rsidRPr="001445C6">
                    <w:rPr>
                      <w:rFonts w:ascii="Arial" w:hAnsi="Arial" w:cs="Arial"/>
                      <w:b/>
                      <w:sz w:val="16"/>
                      <w:szCs w:val="16"/>
                    </w:rPr>
                    <w:t>Proportion of population in State or Territory who are Aboriginal and Torres Strait Islander people</w:t>
                  </w:r>
                </w:p>
              </w:tc>
            </w:tr>
          </w:tbl>
          <w:p w14:paraId="761C1B7F" w14:textId="77777777" w:rsidR="001E2837" w:rsidRPr="001445C6" w:rsidRDefault="001E2837" w:rsidP="00EB571F">
            <w:pPr>
              <w:pStyle w:val="Figure"/>
            </w:pPr>
          </w:p>
        </w:tc>
      </w:tr>
      <w:tr w:rsidR="001445C6" w:rsidRPr="001445C6" w14:paraId="2B4181A1" w14:textId="77777777" w:rsidTr="009F68F2">
        <w:tc>
          <w:tcPr>
            <w:tcW w:w="8789" w:type="dxa"/>
            <w:tcBorders>
              <w:top w:val="nil"/>
              <w:left w:val="nil"/>
              <w:bottom w:val="nil"/>
              <w:right w:val="nil"/>
            </w:tcBorders>
            <w:shd w:val="clear" w:color="auto" w:fill="auto"/>
          </w:tcPr>
          <w:p w14:paraId="55D36E76" w14:textId="1138312B" w:rsidR="001E2837" w:rsidRPr="001445C6" w:rsidRDefault="001E2837" w:rsidP="00AE704E">
            <w:pPr>
              <w:pStyle w:val="Source"/>
            </w:pPr>
            <w:r w:rsidRPr="001445C6">
              <w:rPr>
                <w:i/>
              </w:rPr>
              <w:t>Source</w:t>
            </w:r>
            <w:r w:rsidRPr="001445C6">
              <w:t xml:space="preserve">: ABS </w:t>
            </w:r>
            <w:r w:rsidR="00AE704E">
              <w:t>(</w:t>
            </w:r>
            <w:r w:rsidRPr="001445C6">
              <w:t>2019</w:t>
            </w:r>
            <w:r w:rsidR="00AE704E">
              <w:t>)</w:t>
            </w:r>
            <w:r w:rsidRPr="001445C6">
              <w:t xml:space="preserve"> </w:t>
            </w:r>
            <w:r w:rsidRPr="001445C6">
              <w:rPr>
                <w:i/>
              </w:rPr>
              <w:t>Estimates and Projections, Aboriginal and Torres Strait Islander Australians, 2006 to 2031</w:t>
            </w:r>
            <w:r w:rsidRPr="001445C6">
              <w:t xml:space="preserve">, Cat. no. 3238.0, Canberra; </w:t>
            </w:r>
            <w:r w:rsidR="00CB03CA" w:rsidRPr="001445C6">
              <w:t xml:space="preserve">ABS </w:t>
            </w:r>
            <w:r w:rsidR="00AE704E">
              <w:t>(</w:t>
            </w:r>
            <w:r w:rsidR="00CB03CA" w:rsidRPr="001445C6">
              <w:t>2018</w:t>
            </w:r>
            <w:r w:rsidR="00AE704E">
              <w:t>)</w:t>
            </w:r>
            <w:r w:rsidR="00CB03CA" w:rsidRPr="001445C6">
              <w:t xml:space="preserve"> </w:t>
            </w:r>
            <w:r w:rsidR="00CB03CA" w:rsidRPr="001445C6">
              <w:rPr>
                <w:i/>
              </w:rPr>
              <w:t>Australian Demographic Statistics, June 2018</w:t>
            </w:r>
            <w:r w:rsidR="00CB03CA" w:rsidRPr="001445C6">
              <w:t>, Cat. no. 3101.0, Canberra;</w:t>
            </w:r>
            <w:r w:rsidR="00C50534">
              <w:t xml:space="preserve"> </w:t>
            </w:r>
            <w:r w:rsidR="00CA0029">
              <w:t>A</w:t>
            </w:r>
            <w:r w:rsidR="00C50534">
              <w:t xml:space="preserve">ppendix </w:t>
            </w:r>
            <w:r w:rsidR="00E32995">
              <w:t>A</w:t>
            </w:r>
            <w:r w:rsidR="0062184B">
              <w:t>,</w:t>
            </w:r>
            <w:r w:rsidR="00C50534">
              <w:t xml:space="preserve"> table A.1.</w:t>
            </w:r>
          </w:p>
        </w:tc>
      </w:tr>
      <w:tr w:rsidR="001445C6" w:rsidRPr="001445C6" w14:paraId="0591CBBA" w14:textId="77777777" w:rsidTr="009F68F2">
        <w:tc>
          <w:tcPr>
            <w:tcW w:w="8789" w:type="dxa"/>
            <w:tcBorders>
              <w:top w:val="nil"/>
              <w:left w:val="nil"/>
              <w:bottom w:val="single" w:sz="6" w:space="0" w:color="78A22F"/>
              <w:right w:val="nil"/>
            </w:tcBorders>
            <w:shd w:val="clear" w:color="auto" w:fill="auto"/>
          </w:tcPr>
          <w:p w14:paraId="0B16D263" w14:textId="77777777" w:rsidR="001E2837" w:rsidRPr="001445C6" w:rsidRDefault="001E2837" w:rsidP="00EB571F">
            <w:pPr>
              <w:pStyle w:val="Figurespace"/>
            </w:pPr>
          </w:p>
        </w:tc>
      </w:tr>
      <w:tr w:rsidR="001445C6" w:rsidRPr="001445C6" w14:paraId="766862DB" w14:textId="77777777" w:rsidTr="009F68F2">
        <w:tc>
          <w:tcPr>
            <w:tcW w:w="8789" w:type="dxa"/>
            <w:tcBorders>
              <w:top w:val="single" w:sz="6" w:space="0" w:color="78A22F"/>
              <w:left w:val="nil"/>
              <w:bottom w:val="nil"/>
              <w:right w:val="nil"/>
            </w:tcBorders>
          </w:tcPr>
          <w:p w14:paraId="4541550B" w14:textId="77777777" w:rsidR="001E2837" w:rsidRPr="001445C6" w:rsidRDefault="001E2837" w:rsidP="00EB571F">
            <w:pPr>
              <w:pStyle w:val="BoxSpaceBelow"/>
            </w:pPr>
          </w:p>
        </w:tc>
      </w:tr>
    </w:tbl>
    <w:p w14:paraId="1DA55FED" w14:textId="51C300FD" w:rsidR="00D62485" w:rsidRDefault="00D62485" w:rsidP="00D62485">
      <w:pPr>
        <w:pStyle w:val="BodyText"/>
      </w:pPr>
      <w:r w:rsidRPr="001445C6">
        <w:t xml:space="preserve">Most Aboriginal and Torres Strait Islander people live in </w:t>
      </w:r>
      <w:r w:rsidR="00550CCA" w:rsidRPr="001445C6">
        <w:t>major cities or regional areas (figure 1.</w:t>
      </w:r>
      <w:r w:rsidR="00BD36B9" w:rsidRPr="001445C6">
        <w:t>2</w:t>
      </w:r>
      <w:r w:rsidR="00C21B2C" w:rsidRPr="001445C6">
        <w:t>)</w:t>
      </w:r>
      <w:r w:rsidRPr="001445C6">
        <w:t xml:space="preserve">. </w:t>
      </w:r>
      <w:r w:rsidR="00C21B2C" w:rsidRPr="001445C6">
        <w:t xml:space="preserve">However, they are </w:t>
      </w:r>
      <w:r w:rsidR="00610158" w:rsidRPr="001445C6">
        <w:t xml:space="preserve">significantly </w:t>
      </w:r>
      <w:r w:rsidR="00C21B2C" w:rsidRPr="001445C6">
        <w:t xml:space="preserve">overrepresented </w:t>
      </w:r>
      <w:r w:rsidR="00AF189F">
        <w:t>among</w:t>
      </w:r>
      <w:r w:rsidR="00C21B2C" w:rsidRPr="001445C6">
        <w:t xml:space="preserve"> the population who live in remote and very remote areas</w:t>
      </w:r>
      <w:r w:rsidR="00610158" w:rsidRPr="001445C6">
        <w:t xml:space="preserve"> (</w:t>
      </w:r>
      <w:r w:rsidR="00D30C9C">
        <w:t xml:space="preserve">making up </w:t>
      </w:r>
      <w:r w:rsidR="00610158" w:rsidRPr="001445C6">
        <w:t>30 per cent</w:t>
      </w:r>
      <w:r w:rsidR="000A5A81" w:rsidRPr="001445C6">
        <w:t xml:space="preserve"> </w:t>
      </w:r>
      <w:r w:rsidR="00D30C9C">
        <w:t xml:space="preserve">of the population </w:t>
      </w:r>
      <w:r w:rsidR="000A5A81" w:rsidRPr="001445C6">
        <w:t>in these areas</w:t>
      </w:r>
      <w:r w:rsidR="0034653D" w:rsidRPr="001445C6">
        <w:t>,</w:t>
      </w:r>
      <w:r w:rsidR="00610158" w:rsidRPr="001445C6">
        <w:t xml:space="preserve"> compared </w:t>
      </w:r>
      <w:r w:rsidR="00D30C9C">
        <w:t>with</w:t>
      </w:r>
      <w:r w:rsidR="00610158" w:rsidRPr="001445C6">
        <w:t xml:space="preserve"> </w:t>
      </w:r>
      <w:r w:rsidR="0062184B">
        <w:t>three</w:t>
      </w:r>
      <w:r w:rsidR="0034653D" w:rsidRPr="001445C6">
        <w:t xml:space="preserve"> per cent</w:t>
      </w:r>
      <w:r w:rsidR="00610158" w:rsidRPr="001445C6">
        <w:t xml:space="preserve"> </w:t>
      </w:r>
      <w:r w:rsidR="00D30C9C">
        <w:t>overall</w:t>
      </w:r>
      <w:r w:rsidR="00610158" w:rsidRPr="001445C6">
        <w:t>)</w:t>
      </w:r>
      <w:r w:rsidR="00C21B2C" w:rsidRPr="001445C6">
        <w:t xml:space="preserve">.  </w:t>
      </w:r>
    </w:p>
    <w:p w14:paraId="54B525D1" w14:textId="638FEC73" w:rsidR="00852A31" w:rsidRPr="001445C6" w:rsidRDefault="00852A31" w:rsidP="00D62485">
      <w:pPr>
        <w:pStyle w:val="BodyText"/>
      </w:pPr>
      <w:r w:rsidRPr="001445C6">
        <w:t xml:space="preserve">The Aboriginal and Torres Strait Islander population is relatively young compared </w:t>
      </w:r>
      <w:r>
        <w:t>with</w:t>
      </w:r>
      <w:r w:rsidRPr="001445C6">
        <w:t xml:space="preserve"> the non-Indigenous population (figure 1.3). In 2016, over half of the Aboriginal and Torres Strait Islander population was aged under 25 years, compared with around 30 per cent of the non</w:t>
      </w:r>
      <w:r w:rsidRPr="001445C6">
        <w:noBreakHyphen/>
        <w:t>Indigenous population</w:t>
      </w:r>
      <w:r>
        <w:t xml:space="preserve"> (appendix A, table </w:t>
      </w:r>
      <w:proofErr w:type="spellStart"/>
      <w:r>
        <w:t>A.1</w:t>
      </w:r>
      <w:proofErr w:type="spellEnd"/>
      <w:r>
        <w:t>)</w:t>
      </w:r>
      <w:r w:rsidRPr="001445C6">
        <w:t>. Although life expectancy appears to be increasing for Aboriginal and Torres Strait Islander people (</w:t>
      </w:r>
      <w:r>
        <w:t xml:space="preserve">see chapter 4, </w:t>
      </w:r>
      <w:r w:rsidRPr="001445C6">
        <w:t>section 4.1</w:t>
      </w:r>
      <w:r w:rsidRPr="00263DD5">
        <w:t xml:space="preserve"> </w:t>
      </w:r>
      <w:r w:rsidRPr="007001C4">
        <w:rPr>
          <w:i/>
        </w:rPr>
        <w:t>Life expectancy</w:t>
      </w:r>
      <w:r w:rsidRPr="001445C6">
        <w:t>), only one per cent of the Aboriginal and Torres Strait Islander population was aged 75 years or over in 2016, compared with six per cent of the non</w:t>
      </w:r>
      <w:r>
        <w:noBreakHyphen/>
      </w:r>
      <w:r w:rsidRPr="001445C6">
        <w:t>Indigenous population (figure 1.3).</w:t>
      </w:r>
    </w:p>
    <w:p w14:paraId="6C5DBE05" w14:textId="77777777" w:rsidR="00550CCA" w:rsidRPr="001445C6" w:rsidRDefault="00550CCA" w:rsidP="00550CCA">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1445C6" w:rsidRPr="001445C6" w14:paraId="017E9844" w14:textId="77777777" w:rsidTr="009F68F2">
        <w:tc>
          <w:tcPr>
            <w:tcW w:w="8789" w:type="dxa"/>
            <w:tcBorders>
              <w:top w:val="single" w:sz="6" w:space="0" w:color="78A22F"/>
              <w:left w:val="nil"/>
              <w:bottom w:val="nil"/>
              <w:right w:val="nil"/>
            </w:tcBorders>
            <w:shd w:val="clear" w:color="auto" w:fill="auto"/>
          </w:tcPr>
          <w:p w14:paraId="634FA520" w14:textId="0B936B68" w:rsidR="00550CCA" w:rsidRPr="001445C6" w:rsidRDefault="00550CCA" w:rsidP="0047766B">
            <w:pPr>
              <w:pStyle w:val="FigureTitle"/>
            </w:pPr>
            <w:r w:rsidRPr="001445C6">
              <w:rPr>
                <w:b w:val="0"/>
              </w:rPr>
              <w:t>Figure 1.</w:t>
            </w:r>
            <w:r w:rsidR="00CC3F40" w:rsidRPr="001445C6">
              <w:rPr>
                <w:b w:val="0"/>
              </w:rPr>
              <w:t>2</w:t>
            </w:r>
            <w:r w:rsidRPr="001445C6">
              <w:tab/>
            </w:r>
            <w:r w:rsidR="00DD7246" w:rsidRPr="001445C6">
              <w:t xml:space="preserve">Aboriginal and Torres Strait Islander population, </w:t>
            </w:r>
            <w:r w:rsidRPr="001445C6">
              <w:t>by remoteness area, 201</w:t>
            </w:r>
            <w:r w:rsidR="00933245" w:rsidRPr="001445C6">
              <w:t>6</w:t>
            </w:r>
          </w:p>
        </w:tc>
      </w:tr>
      <w:tr w:rsidR="001445C6" w:rsidRPr="001445C6" w14:paraId="049ADAEA" w14:textId="77777777" w:rsidTr="009F68F2">
        <w:tc>
          <w:tcPr>
            <w:tcW w:w="8789" w:type="dxa"/>
            <w:tcBorders>
              <w:top w:val="nil"/>
              <w:left w:val="nil"/>
              <w:bottom w:val="nil"/>
              <w:right w:val="nil"/>
            </w:tcBorders>
            <w:shd w:val="clear" w:color="auto" w:fill="auto"/>
            <w:tcMar>
              <w:top w:w="28" w:type="dxa"/>
              <w:bottom w:w="28" w:type="dxa"/>
            </w:tcMar>
          </w:tcPr>
          <w:tbl>
            <w:tblPr>
              <w:tblW w:w="5000" w:type="pct"/>
              <w:tblBorders>
                <w:top w:val="single" w:sz="6" w:space="0" w:color="8064A2" w:themeColor="accent4"/>
                <w:bottom w:val="single" w:sz="6" w:space="0" w:color="8064A2" w:themeColor="accent4"/>
              </w:tblBorders>
              <w:tblLayout w:type="fixed"/>
              <w:tblCellMar>
                <w:top w:w="28" w:type="dxa"/>
              </w:tblCellMar>
              <w:tblLook w:val="0000" w:firstRow="0" w:lastRow="0" w:firstColumn="0" w:lastColumn="0" w:noHBand="0" w:noVBand="0"/>
            </w:tblPr>
            <w:tblGrid>
              <w:gridCol w:w="4252"/>
              <w:gridCol w:w="4253"/>
            </w:tblGrid>
            <w:tr w:rsidR="001445C6" w:rsidRPr="001445C6" w14:paraId="2A6FB468" w14:textId="77777777" w:rsidTr="00D863AC">
              <w:tc>
                <w:tcPr>
                  <w:tcW w:w="4252" w:type="dxa"/>
                  <w:tcBorders>
                    <w:top w:val="nil"/>
                    <w:bottom w:val="nil"/>
                  </w:tcBorders>
                </w:tcPr>
                <w:p w14:paraId="70A421CC" w14:textId="45E53FBD" w:rsidR="00933245" w:rsidRPr="001445C6" w:rsidRDefault="00617E6D" w:rsidP="00550CCA">
                  <w:pPr>
                    <w:pStyle w:val="Figure"/>
                    <w:spacing w:before="60" w:after="60"/>
                  </w:pPr>
                  <w:r w:rsidRPr="00617E6D">
                    <w:rPr>
                      <w:noProof/>
                    </w:rPr>
                    <w:drawing>
                      <wp:inline distT="0" distB="0" distL="0" distR="0" wp14:anchorId="7D2DC90F" wp14:editId="36833185">
                        <wp:extent cx="2552700" cy="1800225"/>
                        <wp:effectExtent l="0" t="0" r="0" b="0"/>
                        <wp:docPr id="11" name="Picture 11" descr="Figure 1.2 Aboriginal and Torres Strait Islander population, by remoteness area, 2016&#10;&#10;Proportion of Aboriginal and Torres Strait Islander people in each are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700" cy="1800225"/>
                                </a:xfrm>
                                <a:prstGeom prst="rect">
                                  <a:avLst/>
                                </a:prstGeom>
                                <a:noFill/>
                                <a:ln>
                                  <a:noFill/>
                                </a:ln>
                              </pic:spPr>
                            </pic:pic>
                          </a:graphicData>
                        </a:graphic>
                      </wp:inline>
                    </w:drawing>
                  </w:r>
                </w:p>
              </w:tc>
              <w:tc>
                <w:tcPr>
                  <w:tcW w:w="4252" w:type="dxa"/>
                  <w:tcBorders>
                    <w:top w:val="nil"/>
                    <w:bottom w:val="nil"/>
                  </w:tcBorders>
                </w:tcPr>
                <w:p w14:paraId="63B178AF" w14:textId="180EFCE3" w:rsidR="00933245" w:rsidRPr="001445C6" w:rsidRDefault="00617E6D" w:rsidP="00550CCA">
                  <w:pPr>
                    <w:pStyle w:val="Figure"/>
                    <w:spacing w:before="60" w:after="60"/>
                  </w:pPr>
                  <w:r w:rsidRPr="00617E6D">
                    <w:rPr>
                      <w:noProof/>
                    </w:rPr>
                    <w:drawing>
                      <wp:inline distT="0" distB="0" distL="0" distR="0" wp14:anchorId="3E81CC86" wp14:editId="620F7B61">
                        <wp:extent cx="2562225" cy="1704975"/>
                        <wp:effectExtent l="0" t="0" r="0" b="9525"/>
                        <wp:docPr id="10" name="Picture 10" descr="Figure 1.2 Aboriginal and Torres Strait Islander population, by remoteness area, 2016&#10;&#10;Proportion of people in each area who are of Aboriginal and Torres Strait Islander origin&#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2225" cy="1704975"/>
                                </a:xfrm>
                                <a:prstGeom prst="rect">
                                  <a:avLst/>
                                </a:prstGeom>
                                <a:noFill/>
                                <a:ln>
                                  <a:noFill/>
                                </a:ln>
                              </pic:spPr>
                            </pic:pic>
                          </a:graphicData>
                        </a:graphic>
                      </wp:inline>
                    </w:drawing>
                  </w:r>
                </w:p>
              </w:tc>
            </w:tr>
            <w:tr w:rsidR="001445C6" w:rsidRPr="001445C6" w14:paraId="3469FD01" w14:textId="77777777" w:rsidTr="00D863AC">
              <w:tblPrEx>
                <w:tblCellMar>
                  <w:left w:w="0" w:type="dxa"/>
                  <w:right w:w="0" w:type="dxa"/>
                </w:tblCellMar>
              </w:tblPrEx>
              <w:tc>
                <w:tcPr>
                  <w:tcW w:w="4252" w:type="dxa"/>
                  <w:tcBorders>
                    <w:top w:val="nil"/>
                    <w:bottom w:val="nil"/>
                  </w:tcBorders>
                </w:tcPr>
                <w:p w14:paraId="1A68C3AA" w14:textId="77777777" w:rsidR="00550CCA" w:rsidRPr="001445C6" w:rsidRDefault="00DD7246" w:rsidP="00D30C9C">
                  <w:pPr>
                    <w:pStyle w:val="Figure"/>
                    <w:spacing w:before="60" w:after="60"/>
                    <w:rPr>
                      <w:noProof/>
                    </w:rPr>
                  </w:pPr>
                  <w:r w:rsidRPr="001445C6">
                    <w:rPr>
                      <w:rFonts w:ascii="Arial" w:hAnsi="Arial" w:cs="Arial"/>
                      <w:b/>
                      <w:sz w:val="18"/>
                      <w:szCs w:val="18"/>
                    </w:rPr>
                    <w:t>Proportion of Aboriginal and Torres Strait Islander people in each area</w:t>
                  </w:r>
                </w:p>
              </w:tc>
              <w:tc>
                <w:tcPr>
                  <w:tcW w:w="4252" w:type="dxa"/>
                  <w:tcBorders>
                    <w:top w:val="nil"/>
                    <w:bottom w:val="nil"/>
                  </w:tcBorders>
                </w:tcPr>
                <w:p w14:paraId="402707FB" w14:textId="77777777" w:rsidR="00550CCA" w:rsidRPr="001445C6" w:rsidRDefault="00DD7246" w:rsidP="00DD7246">
                  <w:pPr>
                    <w:pStyle w:val="Figure"/>
                    <w:spacing w:before="60" w:after="60"/>
                    <w:rPr>
                      <w:noProof/>
                    </w:rPr>
                  </w:pPr>
                  <w:r w:rsidRPr="001445C6">
                    <w:rPr>
                      <w:rFonts w:ascii="Arial" w:hAnsi="Arial" w:cs="Arial"/>
                      <w:b/>
                      <w:sz w:val="18"/>
                      <w:szCs w:val="18"/>
                    </w:rPr>
                    <w:t xml:space="preserve">Proportion of people in each area who are of </w:t>
                  </w:r>
                  <w:r w:rsidR="00550CCA" w:rsidRPr="001445C6">
                    <w:rPr>
                      <w:rFonts w:ascii="Arial" w:hAnsi="Arial" w:cs="Arial"/>
                      <w:b/>
                      <w:sz w:val="18"/>
                      <w:szCs w:val="18"/>
                    </w:rPr>
                    <w:t xml:space="preserve">Aboriginal and Torres Strait Islander </w:t>
                  </w:r>
                  <w:r w:rsidRPr="001445C6">
                    <w:rPr>
                      <w:rFonts w:ascii="Arial" w:hAnsi="Arial" w:cs="Arial"/>
                      <w:b/>
                      <w:sz w:val="18"/>
                      <w:szCs w:val="18"/>
                    </w:rPr>
                    <w:t>origin</w:t>
                  </w:r>
                </w:p>
              </w:tc>
            </w:tr>
          </w:tbl>
          <w:p w14:paraId="611BDA84" w14:textId="77777777" w:rsidR="00550CCA" w:rsidRPr="001445C6" w:rsidRDefault="00550CCA" w:rsidP="00933245">
            <w:pPr>
              <w:pStyle w:val="Figure"/>
            </w:pPr>
          </w:p>
        </w:tc>
      </w:tr>
      <w:tr w:rsidR="001445C6" w:rsidRPr="001445C6" w14:paraId="295801E0" w14:textId="77777777" w:rsidTr="009F68F2">
        <w:tc>
          <w:tcPr>
            <w:tcW w:w="8789" w:type="dxa"/>
            <w:tcBorders>
              <w:top w:val="nil"/>
              <w:left w:val="nil"/>
              <w:bottom w:val="nil"/>
              <w:right w:val="nil"/>
            </w:tcBorders>
            <w:shd w:val="clear" w:color="auto" w:fill="auto"/>
          </w:tcPr>
          <w:p w14:paraId="43CCF822" w14:textId="6A41BFEE" w:rsidR="00550CCA" w:rsidRPr="001445C6" w:rsidRDefault="00550CCA" w:rsidP="00AE704E">
            <w:pPr>
              <w:pStyle w:val="Source"/>
            </w:pPr>
            <w:r w:rsidRPr="001445C6">
              <w:rPr>
                <w:i/>
              </w:rPr>
              <w:t>Source</w:t>
            </w:r>
            <w:r w:rsidRPr="001445C6">
              <w:t xml:space="preserve">: ABS </w:t>
            </w:r>
            <w:r w:rsidR="00AE704E">
              <w:t>(</w:t>
            </w:r>
            <w:r w:rsidRPr="001445C6">
              <w:t>201</w:t>
            </w:r>
            <w:r w:rsidR="00933245" w:rsidRPr="001445C6">
              <w:t>9</w:t>
            </w:r>
            <w:r w:rsidR="00AE704E">
              <w:t>)</w:t>
            </w:r>
            <w:r w:rsidRPr="001445C6">
              <w:t xml:space="preserve"> </w:t>
            </w:r>
            <w:r w:rsidR="003B6E58" w:rsidRPr="001445C6">
              <w:rPr>
                <w:i/>
              </w:rPr>
              <w:t>Estimates and Projections, Aboriginal and Torres Strait Islander Australians, 2006 to 2031</w:t>
            </w:r>
            <w:r w:rsidRPr="001445C6">
              <w:t xml:space="preserve">, Cat. no. </w:t>
            </w:r>
            <w:r w:rsidR="003B6E58" w:rsidRPr="001445C6">
              <w:t>3238.0</w:t>
            </w:r>
            <w:r w:rsidRPr="001445C6">
              <w:t>, Canberra</w:t>
            </w:r>
            <w:r w:rsidR="003B6E58" w:rsidRPr="001445C6">
              <w:t xml:space="preserve">; </w:t>
            </w:r>
            <w:r w:rsidR="00CB03CA" w:rsidRPr="001445C6">
              <w:t xml:space="preserve">ABS </w:t>
            </w:r>
            <w:r w:rsidR="00AE704E">
              <w:t>(</w:t>
            </w:r>
            <w:r w:rsidR="00CB03CA" w:rsidRPr="001445C6">
              <w:t>2017</w:t>
            </w:r>
            <w:r w:rsidR="00AE704E">
              <w:t>)</w:t>
            </w:r>
            <w:r w:rsidR="00CB03CA" w:rsidRPr="001445C6">
              <w:t xml:space="preserve"> </w:t>
            </w:r>
            <w:r w:rsidR="00CB03CA" w:rsidRPr="001445C6">
              <w:rPr>
                <w:i/>
              </w:rPr>
              <w:t>Regional Population Growth, Australia, Population Estimates by Remoteness Area</w:t>
            </w:r>
            <w:r w:rsidR="00CB03CA" w:rsidRPr="001445C6">
              <w:t>, 2006 to 2016, Cat. no. 3218.0</w:t>
            </w:r>
            <w:r w:rsidR="00A16C09">
              <w:t xml:space="preserve">; Appendix </w:t>
            </w:r>
            <w:r w:rsidR="00E32995">
              <w:t>A</w:t>
            </w:r>
            <w:r w:rsidR="00A16C09">
              <w:t>, table A.</w:t>
            </w:r>
            <w:r w:rsidR="00222979">
              <w:t>3</w:t>
            </w:r>
            <w:r w:rsidRPr="001445C6">
              <w:t>.</w:t>
            </w:r>
          </w:p>
        </w:tc>
      </w:tr>
      <w:tr w:rsidR="001445C6" w:rsidRPr="001445C6" w14:paraId="0A81D07D" w14:textId="77777777" w:rsidTr="009F68F2">
        <w:tc>
          <w:tcPr>
            <w:tcW w:w="8789" w:type="dxa"/>
            <w:tcBorders>
              <w:top w:val="nil"/>
              <w:left w:val="nil"/>
              <w:bottom w:val="single" w:sz="6" w:space="0" w:color="78A22F"/>
              <w:right w:val="nil"/>
            </w:tcBorders>
            <w:shd w:val="clear" w:color="auto" w:fill="auto"/>
          </w:tcPr>
          <w:p w14:paraId="304CB9D4" w14:textId="77777777" w:rsidR="00550CCA" w:rsidRPr="001445C6" w:rsidRDefault="00550CCA" w:rsidP="00933245">
            <w:pPr>
              <w:pStyle w:val="Figurespace"/>
            </w:pPr>
          </w:p>
        </w:tc>
      </w:tr>
      <w:tr w:rsidR="001445C6" w:rsidRPr="001445C6" w14:paraId="6430F5BE" w14:textId="77777777" w:rsidTr="009F68F2">
        <w:tc>
          <w:tcPr>
            <w:tcW w:w="8789" w:type="dxa"/>
            <w:tcBorders>
              <w:top w:val="single" w:sz="6" w:space="0" w:color="78A22F"/>
              <w:left w:val="nil"/>
              <w:bottom w:val="nil"/>
              <w:right w:val="nil"/>
            </w:tcBorders>
          </w:tcPr>
          <w:p w14:paraId="3127F00D" w14:textId="77777777" w:rsidR="00550CCA" w:rsidRPr="001445C6" w:rsidRDefault="00550CCA" w:rsidP="00933245">
            <w:pPr>
              <w:pStyle w:val="BoxSpaceBelow"/>
            </w:pPr>
          </w:p>
        </w:tc>
      </w:tr>
    </w:tbl>
    <w:p w14:paraId="372985E3" w14:textId="77777777" w:rsidR="00A633BE" w:rsidRPr="001445C6" w:rsidRDefault="00A633BE" w:rsidP="00A633BE">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1445C6" w:rsidRPr="001445C6" w14:paraId="20C3E1AF" w14:textId="77777777" w:rsidTr="00852A31">
        <w:tc>
          <w:tcPr>
            <w:tcW w:w="8789" w:type="dxa"/>
            <w:tcBorders>
              <w:top w:val="single" w:sz="6" w:space="0" w:color="78A22F"/>
              <w:left w:val="nil"/>
              <w:bottom w:val="nil"/>
              <w:right w:val="nil"/>
            </w:tcBorders>
            <w:shd w:val="clear" w:color="auto" w:fill="auto"/>
          </w:tcPr>
          <w:p w14:paraId="4F0227F6" w14:textId="236F3B97" w:rsidR="00A633BE" w:rsidRPr="001445C6" w:rsidRDefault="00A633BE" w:rsidP="00E32995">
            <w:pPr>
              <w:pStyle w:val="FigureTitle"/>
              <w:ind w:right="-138"/>
            </w:pPr>
            <w:r w:rsidRPr="001445C6">
              <w:rPr>
                <w:b w:val="0"/>
              </w:rPr>
              <w:t xml:space="preserve">Figure </w:t>
            </w:r>
            <w:r w:rsidR="005D70AF" w:rsidRPr="001445C6">
              <w:rPr>
                <w:b w:val="0"/>
              </w:rPr>
              <w:t>1.3</w:t>
            </w:r>
            <w:r w:rsidRPr="001445C6">
              <w:tab/>
              <w:t>Population distribution, Australia, by age, 30 June 201</w:t>
            </w:r>
            <w:r w:rsidR="005D70AF" w:rsidRPr="001445C6">
              <w:t>6</w:t>
            </w:r>
          </w:p>
        </w:tc>
      </w:tr>
      <w:tr w:rsidR="001445C6" w:rsidRPr="001445C6" w14:paraId="5AFD6B75" w14:textId="77777777" w:rsidTr="00852A31">
        <w:tc>
          <w:tcPr>
            <w:tcW w:w="8789" w:type="dxa"/>
            <w:tcBorders>
              <w:top w:val="nil"/>
              <w:left w:val="nil"/>
              <w:bottom w:val="nil"/>
              <w:right w:val="nil"/>
            </w:tcBorders>
            <w:shd w:val="clear" w:color="auto" w:fill="auto"/>
            <w:tcMar>
              <w:top w:w="28" w:type="dxa"/>
              <w:bottom w:w="28" w:type="dxa"/>
            </w:tcMar>
          </w:tcPr>
          <w:tbl>
            <w:tblPr>
              <w:tblW w:w="5000" w:type="pct"/>
              <w:tblLayout w:type="fixed"/>
              <w:tblCellMar>
                <w:top w:w="28" w:type="dxa"/>
              </w:tblCellMar>
              <w:tblLook w:val="0000" w:firstRow="0" w:lastRow="0" w:firstColumn="0" w:lastColumn="0" w:noHBand="0" w:noVBand="0"/>
            </w:tblPr>
            <w:tblGrid>
              <w:gridCol w:w="8505"/>
            </w:tblGrid>
            <w:tr w:rsidR="001445C6" w:rsidRPr="001445C6" w14:paraId="78406440" w14:textId="77777777" w:rsidTr="00D863AC">
              <w:tc>
                <w:tcPr>
                  <w:tcW w:w="8505" w:type="dxa"/>
                </w:tcPr>
                <w:p w14:paraId="15B5BDD5" w14:textId="5D9336B2" w:rsidR="00A633BE" w:rsidRPr="001445C6" w:rsidRDefault="00617E6D" w:rsidP="00A633BE">
                  <w:pPr>
                    <w:pStyle w:val="Figure"/>
                    <w:spacing w:before="60" w:after="60"/>
                  </w:pPr>
                  <w:r w:rsidRPr="00617E6D">
                    <w:rPr>
                      <w:noProof/>
                    </w:rPr>
                    <w:drawing>
                      <wp:inline distT="0" distB="0" distL="0" distR="0" wp14:anchorId="4E71B755" wp14:editId="54CC52D5">
                        <wp:extent cx="5257800" cy="2781300"/>
                        <wp:effectExtent l="0" t="0" r="0" b="0"/>
                        <wp:docPr id="12" name="Picture 12" descr="Figure 1.3 Population distribution, Australia, by age, 30 June 2016&#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57800" cy="2781300"/>
                                </a:xfrm>
                                <a:prstGeom prst="rect">
                                  <a:avLst/>
                                </a:prstGeom>
                                <a:noFill/>
                                <a:ln>
                                  <a:noFill/>
                                </a:ln>
                              </pic:spPr>
                            </pic:pic>
                          </a:graphicData>
                        </a:graphic>
                      </wp:inline>
                    </w:drawing>
                  </w:r>
                </w:p>
              </w:tc>
            </w:tr>
          </w:tbl>
          <w:p w14:paraId="5952DD37" w14:textId="77777777" w:rsidR="00A633BE" w:rsidRPr="001445C6" w:rsidRDefault="00A633BE" w:rsidP="00A633BE">
            <w:pPr>
              <w:pStyle w:val="Figure"/>
            </w:pPr>
          </w:p>
        </w:tc>
      </w:tr>
      <w:tr w:rsidR="001445C6" w:rsidRPr="001445C6" w14:paraId="58FD583B" w14:textId="77777777" w:rsidTr="00852A31">
        <w:tc>
          <w:tcPr>
            <w:tcW w:w="8789" w:type="dxa"/>
            <w:tcBorders>
              <w:top w:val="nil"/>
              <w:left w:val="nil"/>
              <w:bottom w:val="nil"/>
              <w:right w:val="nil"/>
            </w:tcBorders>
            <w:shd w:val="clear" w:color="auto" w:fill="auto"/>
          </w:tcPr>
          <w:p w14:paraId="47105799" w14:textId="482A9756" w:rsidR="00A633BE" w:rsidRPr="001445C6" w:rsidRDefault="003C5554" w:rsidP="00AE704E">
            <w:pPr>
              <w:pStyle w:val="Source"/>
            </w:pPr>
            <w:r w:rsidRPr="001445C6">
              <w:rPr>
                <w:i/>
              </w:rPr>
              <w:t>Source</w:t>
            </w:r>
            <w:r w:rsidRPr="001445C6">
              <w:t xml:space="preserve">: </w:t>
            </w:r>
            <w:r w:rsidR="00CB03CA" w:rsidRPr="001445C6">
              <w:t xml:space="preserve">ABS </w:t>
            </w:r>
            <w:r w:rsidR="00AE704E">
              <w:t>(</w:t>
            </w:r>
            <w:r w:rsidR="00CB03CA" w:rsidRPr="001445C6">
              <w:t>2019</w:t>
            </w:r>
            <w:r w:rsidR="00AE704E">
              <w:t>)</w:t>
            </w:r>
            <w:r w:rsidR="00CB03CA" w:rsidRPr="001445C6">
              <w:t xml:space="preserve"> </w:t>
            </w:r>
            <w:r w:rsidR="00CB03CA" w:rsidRPr="001445C6">
              <w:rPr>
                <w:i/>
              </w:rPr>
              <w:t>Estimates and Projections, Aboriginal and Torres Strait Islander Australians, 2006 to 2031</w:t>
            </w:r>
            <w:r w:rsidR="00CB03CA" w:rsidRPr="001445C6">
              <w:t xml:space="preserve">, Cat. no. 3238.0, Canberra; ABS </w:t>
            </w:r>
            <w:r w:rsidR="00AE704E">
              <w:t>(</w:t>
            </w:r>
            <w:r w:rsidR="00CB03CA" w:rsidRPr="001445C6">
              <w:t>2018</w:t>
            </w:r>
            <w:r w:rsidR="00AE704E">
              <w:t>)</w:t>
            </w:r>
            <w:r w:rsidR="00CB03CA" w:rsidRPr="001445C6">
              <w:t xml:space="preserve"> </w:t>
            </w:r>
            <w:r w:rsidR="00CB03CA" w:rsidRPr="001445C6">
              <w:rPr>
                <w:i/>
              </w:rPr>
              <w:t>Australian Demographic Statistics, June 2018</w:t>
            </w:r>
            <w:r w:rsidR="00CB03CA" w:rsidRPr="001445C6">
              <w:t>, Cat. no. 3101.0, Canberra</w:t>
            </w:r>
            <w:r w:rsidR="006F2647">
              <w:t xml:space="preserve">; Appendix </w:t>
            </w:r>
            <w:r w:rsidR="00E32995">
              <w:t>A</w:t>
            </w:r>
            <w:r w:rsidR="006F2647">
              <w:t>, table A.1</w:t>
            </w:r>
            <w:r w:rsidR="006F2647" w:rsidRPr="001445C6">
              <w:t>.</w:t>
            </w:r>
          </w:p>
        </w:tc>
      </w:tr>
      <w:tr w:rsidR="001445C6" w:rsidRPr="001445C6" w14:paraId="3B9C4E8B" w14:textId="77777777" w:rsidTr="00852A31">
        <w:tc>
          <w:tcPr>
            <w:tcW w:w="8789" w:type="dxa"/>
            <w:tcBorders>
              <w:top w:val="nil"/>
              <w:left w:val="nil"/>
              <w:bottom w:val="single" w:sz="6" w:space="0" w:color="78A22F"/>
              <w:right w:val="nil"/>
            </w:tcBorders>
            <w:shd w:val="clear" w:color="auto" w:fill="auto"/>
          </w:tcPr>
          <w:p w14:paraId="0A2EAC80" w14:textId="77777777" w:rsidR="00A633BE" w:rsidRPr="001445C6" w:rsidRDefault="00A633BE" w:rsidP="00A633BE">
            <w:pPr>
              <w:pStyle w:val="Figurespace"/>
            </w:pPr>
          </w:p>
        </w:tc>
      </w:tr>
      <w:tr w:rsidR="001445C6" w:rsidRPr="001445C6" w14:paraId="57D8B2AF" w14:textId="77777777" w:rsidTr="00852A31">
        <w:tc>
          <w:tcPr>
            <w:tcW w:w="8789" w:type="dxa"/>
            <w:tcBorders>
              <w:top w:val="single" w:sz="6" w:space="0" w:color="78A22F"/>
              <w:left w:val="nil"/>
              <w:bottom w:val="nil"/>
              <w:right w:val="nil"/>
            </w:tcBorders>
          </w:tcPr>
          <w:p w14:paraId="767DEC21" w14:textId="77777777" w:rsidR="00A633BE" w:rsidRPr="001445C6" w:rsidRDefault="00A633BE" w:rsidP="00A633BE">
            <w:pPr>
              <w:pStyle w:val="BoxSpaceBelow"/>
            </w:pPr>
          </w:p>
        </w:tc>
      </w:tr>
    </w:tbl>
    <w:p w14:paraId="2F4BD7CA" w14:textId="193F8254" w:rsidR="0071709E" w:rsidRPr="001445C6" w:rsidRDefault="0071709E" w:rsidP="008F5EE2">
      <w:pPr>
        <w:pStyle w:val="BodyText"/>
      </w:pPr>
      <w:r w:rsidRPr="001445C6">
        <w:t xml:space="preserve">Aboriginal and Torres Strait Islander people </w:t>
      </w:r>
      <w:r w:rsidR="00974BF3" w:rsidRPr="001445C6">
        <w:t xml:space="preserve">are </w:t>
      </w:r>
      <w:r w:rsidR="00120501" w:rsidRPr="001445C6">
        <w:t>often</w:t>
      </w:r>
      <w:r w:rsidR="00974BF3" w:rsidRPr="001445C6">
        <w:t xml:space="preserve"> more</w:t>
      </w:r>
      <w:r w:rsidRPr="001445C6">
        <w:t xml:space="preserve"> mobile than non</w:t>
      </w:r>
      <w:r w:rsidR="00E4541B">
        <w:noBreakHyphen/>
      </w:r>
      <w:r w:rsidRPr="001445C6">
        <w:t xml:space="preserve">Indigenous people. </w:t>
      </w:r>
      <w:r w:rsidR="00974BF3" w:rsidRPr="001445C6">
        <w:t xml:space="preserve">Like other Australians, </w:t>
      </w:r>
      <w:r w:rsidRPr="001445C6">
        <w:t xml:space="preserve">Aboriginal and Torres Strait Islander people </w:t>
      </w:r>
      <w:r w:rsidR="00974BF3" w:rsidRPr="001445C6">
        <w:t xml:space="preserve">may </w:t>
      </w:r>
      <w:r w:rsidRPr="001445C6">
        <w:t xml:space="preserve">choose to </w:t>
      </w:r>
      <w:r w:rsidRPr="001445C6">
        <w:lastRenderedPageBreak/>
        <w:t>move between locations to access health, housing, employment and education services and for a range of family reasons.</w:t>
      </w:r>
    </w:p>
    <w:p w14:paraId="0BA22FA9" w14:textId="20BF5999" w:rsidR="00CC3F40" w:rsidRPr="001445C6" w:rsidRDefault="00974BF3" w:rsidP="008F5EE2">
      <w:pPr>
        <w:pStyle w:val="BodyText"/>
      </w:pPr>
      <w:r w:rsidRPr="001445C6">
        <w:t xml:space="preserve">However, </w:t>
      </w:r>
      <w:r w:rsidR="00CC3F40" w:rsidRPr="001445C6">
        <w:t xml:space="preserve">the mobility of </w:t>
      </w:r>
      <w:r w:rsidR="00120501" w:rsidRPr="001445C6">
        <w:t xml:space="preserve">Aboriginal and Torres Strait Islander people is also affected by a range of </w:t>
      </w:r>
      <w:r w:rsidR="00CC3F40" w:rsidRPr="001445C6">
        <w:t xml:space="preserve">other </w:t>
      </w:r>
      <w:r w:rsidR="00120501" w:rsidRPr="001445C6">
        <w:t>factors. Temporary mobility for Aboriginal and Torres Strait Islander people must also be considered in light of its importance in maintaining their connection with land</w:t>
      </w:r>
      <w:r w:rsidR="00CC3F40" w:rsidRPr="001445C6">
        <w:t>s</w:t>
      </w:r>
      <w:r w:rsidR="00120501" w:rsidRPr="001445C6">
        <w:t>, culture</w:t>
      </w:r>
      <w:r w:rsidR="00852A31">
        <w:t>s</w:t>
      </w:r>
      <w:r w:rsidR="00120501" w:rsidRPr="001445C6">
        <w:t xml:space="preserve"> and identit</w:t>
      </w:r>
      <w:r w:rsidR="00852A31">
        <w:t xml:space="preserve">ies </w:t>
      </w:r>
      <w:r w:rsidR="00A3267D">
        <w:t>— and so</w:t>
      </w:r>
      <w:r w:rsidR="00A3267D" w:rsidRPr="001445C6">
        <w:t xml:space="preserve"> </w:t>
      </w:r>
      <w:r w:rsidR="00120501" w:rsidRPr="001445C6">
        <w:t xml:space="preserve">more information is required about the reasons for temporary mobility, how it contributes to wellbeing and how it can be accommodated within models of service delivery </w:t>
      </w:r>
      <w:r w:rsidR="00F45FC7" w:rsidRPr="00F45FC7">
        <w:rPr>
          <w:szCs w:val="24"/>
        </w:rPr>
        <w:t>(Dockery 2014)</w:t>
      </w:r>
      <w:r w:rsidR="00120501" w:rsidRPr="001445C6">
        <w:t xml:space="preserve">. </w:t>
      </w:r>
    </w:p>
    <w:p w14:paraId="680B209D" w14:textId="73483912" w:rsidR="00A44682" w:rsidRPr="008D7A2C" w:rsidRDefault="00CC3F40" w:rsidP="00905EC6">
      <w:pPr>
        <w:pStyle w:val="BodyText"/>
      </w:pPr>
      <w:r w:rsidRPr="001445C6">
        <w:t>A</w:t>
      </w:r>
      <w:r w:rsidR="0071709E" w:rsidRPr="001445C6">
        <w:t>nalysis drawing on the Australian Census Longitudinal Database found</w:t>
      </w:r>
      <w:r w:rsidR="00A3267D">
        <w:t>,</w:t>
      </w:r>
      <w:r w:rsidR="0071709E" w:rsidRPr="001445C6">
        <w:t xml:space="preserve"> after controlling for a limited set of characteristics (including age and previous patterns of mobility)</w:t>
      </w:r>
      <w:r w:rsidR="00A3267D">
        <w:t>, that</w:t>
      </w:r>
      <w:r w:rsidR="0071709E" w:rsidRPr="001445C6">
        <w:t xml:space="preserve"> Aboriginal and Torres Strait Islander </w:t>
      </w:r>
      <w:r w:rsidR="00974BF3" w:rsidRPr="001445C6">
        <w:t>people</w:t>
      </w:r>
      <w:r w:rsidR="0071709E" w:rsidRPr="001445C6">
        <w:t xml:space="preserve"> were</w:t>
      </w:r>
      <w:r w:rsidR="00120501" w:rsidRPr="001445C6">
        <w:t xml:space="preserve"> actually</w:t>
      </w:r>
      <w:r w:rsidR="0071709E" w:rsidRPr="001445C6">
        <w:t xml:space="preserve"> less likely to change usual residence than non-Indigenous </w:t>
      </w:r>
      <w:r w:rsidR="00974BF3" w:rsidRPr="001445C6">
        <w:t xml:space="preserve">people </w:t>
      </w:r>
      <w:r w:rsidR="00F45FC7" w:rsidRPr="00F45FC7">
        <w:rPr>
          <w:szCs w:val="24"/>
        </w:rPr>
        <w:t>(Biddle and Crawford 2015)</w:t>
      </w:r>
      <w:r w:rsidR="0071709E" w:rsidRPr="001445C6">
        <w:t xml:space="preserve">. This analysis indicates that </w:t>
      </w:r>
      <w:r w:rsidR="00974BF3" w:rsidRPr="001445C6">
        <w:t xml:space="preserve">it is not being an Aboriginal or Torres Strait Islander person that predicts mobility, but </w:t>
      </w:r>
      <w:r w:rsidR="00A3267D">
        <w:t xml:space="preserve">rather </w:t>
      </w:r>
      <w:r w:rsidR="00974BF3" w:rsidRPr="001445C6">
        <w:t xml:space="preserve">other characteristics. </w:t>
      </w:r>
    </w:p>
    <w:p w14:paraId="0DEF060C" w14:textId="298115DE" w:rsidR="00A312AC" w:rsidRDefault="00516DEA" w:rsidP="00AC74A6">
      <w:pPr>
        <w:pStyle w:val="Heading3"/>
      </w:pPr>
      <w:r w:rsidRPr="001445C6">
        <w:t>References</w:t>
      </w:r>
    </w:p>
    <w:p w14:paraId="23AEF41E" w14:textId="72481F94" w:rsidR="00271273" w:rsidRPr="003A6BFD" w:rsidRDefault="00271273" w:rsidP="009E1974">
      <w:pPr>
        <w:pStyle w:val="Reference"/>
        <w:rPr>
          <w:sz w:val="20"/>
        </w:rPr>
      </w:pPr>
      <w:r w:rsidRPr="003A6BFD">
        <w:rPr>
          <w:sz w:val="20"/>
        </w:rPr>
        <w:t xml:space="preserve">ABS (Australian Bureau of Statistics) 2018, </w:t>
      </w:r>
      <w:r w:rsidRPr="003A6BFD">
        <w:rPr>
          <w:i/>
          <w:iCs/>
          <w:sz w:val="20"/>
        </w:rPr>
        <w:t>Estimates of Aboriginal and Torres Strait Islander Australians, June 2016</w:t>
      </w:r>
      <w:r w:rsidRPr="003A6BFD">
        <w:rPr>
          <w:sz w:val="20"/>
        </w:rPr>
        <w:t>, 31 August, Cat. no. 3238.0.55.001, Canberra.</w:t>
      </w:r>
    </w:p>
    <w:p w14:paraId="09D7E79C" w14:textId="77777777" w:rsidR="00271273" w:rsidRPr="003A6BFD" w:rsidRDefault="00271273" w:rsidP="009E1974">
      <w:pPr>
        <w:pStyle w:val="Reference"/>
        <w:rPr>
          <w:sz w:val="20"/>
        </w:rPr>
      </w:pPr>
      <w:r w:rsidRPr="003A6BFD">
        <w:rPr>
          <w:sz w:val="20"/>
        </w:rPr>
        <w:t xml:space="preserve">—— (Australian Bureau of Statistics) 2019, </w:t>
      </w:r>
      <w:r w:rsidRPr="003A6BFD">
        <w:rPr>
          <w:i/>
          <w:iCs/>
          <w:sz w:val="20"/>
        </w:rPr>
        <w:t>Estimates and Projections, Aboriginal and Torres Strait Islander Australians, 2006 to 2031</w:t>
      </w:r>
      <w:r w:rsidRPr="003A6BFD">
        <w:rPr>
          <w:sz w:val="20"/>
        </w:rPr>
        <w:t>, Cat. no. 3238.0, Canberra.</w:t>
      </w:r>
    </w:p>
    <w:p w14:paraId="3ADD14CD" w14:textId="77777777" w:rsidR="00271273" w:rsidRPr="003A6BFD" w:rsidRDefault="00271273" w:rsidP="009E1974">
      <w:pPr>
        <w:pStyle w:val="Reference"/>
        <w:rPr>
          <w:sz w:val="20"/>
        </w:rPr>
      </w:pPr>
      <w:r w:rsidRPr="003A6BFD">
        <w:rPr>
          <w:sz w:val="20"/>
        </w:rPr>
        <w:t xml:space="preserve">AHRC (Australian Human Rights Commission) 2007, ‘The Northern Territory “Emergency Response” intervention’, </w:t>
      </w:r>
      <w:r w:rsidRPr="003A6BFD">
        <w:rPr>
          <w:i/>
          <w:iCs/>
          <w:sz w:val="20"/>
        </w:rPr>
        <w:t>Social Justice Report 2007</w:t>
      </w:r>
      <w:r w:rsidRPr="003A6BFD">
        <w:rPr>
          <w:sz w:val="20"/>
        </w:rPr>
        <w:t>.</w:t>
      </w:r>
    </w:p>
    <w:p w14:paraId="4E73E11A" w14:textId="77777777" w:rsidR="00271273" w:rsidRPr="003A6BFD" w:rsidRDefault="00271273" w:rsidP="009E1974">
      <w:pPr>
        <w:pStyle w:val="Reference"/>
        <w:rPr>
          <w:sz w:val="20"/>
        </w:rPr>
      </w:pPr>
      <w:r w:rsidRPr="003A6BFD">
        <w:rPr>
          <w:sz w:val="20"/>
        </w:rPr>
        <w:t xml:space="preserve">—— (Australian Human Rights Commission) 2010, </w:t>
      </w:r>
      <w:r w:rsidRPr="003A6BFD">
        <w:rPr>
          <w:i/>
          <w:iCs/>
          <w:sz w:val="20"/>
        </w:rPr>
        <w:t>Community Reference Guide to the UN Declaration on the Rights of Indigenous Peoples</w:t>
      </w:r>
      <w:r w:rsidRPr="003A6BFD">
        <w:rPr>
          <w:sz w:val="20"/>
        </w:rPr>
        <w:t>.</w:t>
      </w:r>
    </w:p>
    <w:p w14:paraId="4E8F7A1C" w14:textId="77777777" w:rsidR="00271273" w:rsidRPr="003A6BFD" w:rsidRDefault="00271273" w:rsidP="009E1974">
      <w:pPr>
        <w:pStyle w:val="Reference"/>
        <w:rPr>
          <w:sz w:val="20"/>
        </w:rPr>
      </w:pPr>
      <w:r w:rsidRPr="003A6BFD">
        <w:rPr>
          <w:sz w:val="20"/>
        </w:rPr>
        <w:t xml:space="preserve">—— (Australian Human Rights Commission) 2013, </w:t>
      </w:r>
      <w:r w:rsidRPr="003A6BFD">
        <w:rPr>
          <w:i/>
          <w:iCs/>
          <w:sz w:val="20"/>
        </w:rPr>
        <w:t>Social Justice and Native Title Report</w:t>
      </w:r>
      <w:r w:rsidRPr="003A6BFD">
        <w:rPr>
          <w:sz w:val="20"/>
        </w:rPr>
        <w:t>, Social Justice Reports, Sydney.</w:t>
      </w:r>
    </w:p>
    <w:p w14:paraId="714C71F0" w14:textId="77777777" w:rsidR="00271273" w:rsidRPr="003A6BFD" w:rsidRDefault="00271273" w:rsidP="009E1974">
      <w:pPr>
        <w:pStyle w:val="Reference"/>
        <w:rPr>
          <w:sz w:val="20"/>
        </w:rPr>
      </w:pPr>
      <w:r w:rsidRPr="003A6BFD">
        <w:rPr>
          <w:sz w:val="20"/>
        </w:rPr>
        <w:t xml:space="preserve">—— (Australian Human Rights Commission) 2020, </w:t>
      </w:r>
      <w:r w:rsidRPr="003A6BFD">
        <w:rPr>
          <w:i/>
          <w:iCs/>
          <w:sz w:val="20"/>
        </w:rPr>
        <w:t>Close the Gap: Indigenous Health Campaign</w:t>
      </w:r>
      <w:r w:rsidRPr="003A6BFD">
        <w:rPr>
          <w:sz w:val="20"/>
        </w:rPr>
        <w:t>.</w:t>
      </w:r>
    </w:p>
    <w:p w14:paraId="1CBC085D" w14:textId="77777777" w:rsidR="00271273" w:rsidRPr="003A6BFD" w:rsidRDefault="00271273" w:rsidP="009E1974">
      <w:pPr>
        <w:pStyle w:val="Reference"/>
        <w:rPr>
          <w:sz w:val="20"/>
        </w:rPr>
      </w:pPr>
      <w:r w:rsidRPr="003A6BFD">
        <w:rPr>
          <w:sz w:val="20"/>
        </w:rPr>
        <w:t xml:space="preserve">AIATSIS (Australian Institute of Aboriginal and Torres Strait Islander Studies) 2008, </w:t>
      </w:r>
      <w:r w:rsidRPr="003A6BFD">
        <w:rPr>
          <w:i/>
          <w:iCs/>
          <w:sz w:val="20"/>
        </w:rPr>
        <w:t>The Little Red Yellow Black Book</w:t>
      </w:r>
      <w:r w:rsidRPr="003A6BFD">
        <w:rPr>
          <w:sz w:val="20"/>
        </w:rPr>
        <w:t>, Aboriginal Studies Press, Canberra, ACT.</w:t>
      </w:r>
    </w:p>
    <w:p w14:paraId="74999B25" w14:textId="77777777" w:rsidR="00271273" w:rsidRPr="003A6BFD" w:rsidRDefault="00271273" w:rsidP="009E1974">
      <w:pPr>
        <w:pStyle w:val="Reference"/>
        <w:rPr>
          <w:sz w:val="20"/>
        </w:rPr>
      </w:pPr>
      <w:r w:rsidRPr="003A6BFD">
        <w:rPr>
          <w:sz w:val="20"/>
        </w:rPr>
        <w:t xml:space="preserve">AIHW (Australian Institute of Health and Welfare) 2013, </w:t>
      </w:r>
      <w:r w:rsidRPr="003A6BFD">
        <w:rPr>
          <w:i/>
          <w:iCs/>
          <w:sz w:val="20"/>
        </w:rPr>
        <w:t>Expenditure on Health for Aboriginal and Torres Strait Islander People 2010-11</w:t>
      </w:r>
      <w:r w:rsidRPr="003A6BFD">
        <w:rPr>
          <w:sz w:val="20"/>
        </w:rPr>
        <w:t>, Cat. no. HWE 57, Canberra, ACT.</w:t>
      </w:r>
    </w:p>
    <w:p w14:paraId="43E1BF98" w14:textId="77777777" w:rsidR="00271273" w:rsidRPr="003A6BFD" w:rsidRDefault="00271273" w:rsidP="009E1974">
      <w:pPr>
        <w:pStyle w:val="Reference"/>
        <w:rPr>
          <w:sz w:val="20"/>
        </w:rPr>
      </w:pPr>
      <w:r w:rsidRPr="003A6BFD">
        <w:rPr>
          <w:sz w:val="20"/>
        </w:rPr>
        <w:t xml:space="preserve">—— (The Healing Foundation and Australian Institute of Health and Welfare) 2018, </w:t>
      </w:r>
      <w:r w:rsidRPr="003A6BFD">
        <w:rPr>
          <w:i/>
          <w:iCs/>
          <w:sz w:val="20"/>
        </w:rPr>
        <w:t>Aboriginal and Torres Strait Islander Stolen Generations and Descendants: Numbers, Demographic Characteristics and Selected Outcomes</w:t>
      </w:r>
      <w:r w:rsidRPr="003A6BFD">
        <w:rPr>
          <w:sz w:val="20"/>
        </w:rPr>
        <w:t>, Cat. no. IHW 195, Canberra.</w:t>
      </w:r>
    </w:p>
    <w:p w14:paraId="46800C73" w14:textId="77777777" w:rsidR="00271273" w:rsidRPr="003A6BFD" w:rsidRDefault="00271273" w:rsidP="009E1974">
      <w:pPr>
        <w:pStyle w:val="Reference"/>
        <w:rPr>
          <w:sz w:val="20"/>
        </w:rPr>
      </w:pPr>
      <w:r w:rsidRPr="003A6BFD">
        <w:rPr>
          <w:sz w:val="20"/>
        </w:rPr>
        <w:t xml:space="preserve">Biddle, N. and Crawford, H. 2015, </w:t>
      </w:r>
      <w:r w:rsidRPr="003A6BFD">
        <w:rPr>
          <w:i/>
          <w:iCs/>
          <w:sz w:val="20"/>
        </w:rPr>
        <w:t>The Changing Aboriginal and Torres Strait Islander Population: Evidence from the 2006-2011 Australian Census Longitudinal Dataset</w:t>
      </w:r>
      <w:r w:rsidRPr="003A6BFD">
        <w:rPr>
          <w:sz w:val="20"/>
        </w:rPr>
        <w:t>, CAEPR Indigenous Population Project, Paper 18, 2011 Census Papers.</w:t>
      </w:r>
    </w:p>
    <w:p w14:paraId="396A76A3" w14:textId="77777777" w:rsidR="00271273" w:rsidRPr="003A6BFD" w:rsidRDefault="00271273" w:rsidP="009E1974">
      <w:pPr>
        <w:pStyle w:val="Reference"/>
        <w:rPr>
          <w:sz w:val="20"/>
        </w:rPr>
      </w:pPr>
      <w:r w:rsidRPr="003A6BFD">
        <w:rPr>
          <w:sz w:val="20"/>
        </w:rPr>
        <w:lastRenderedPageBreak/>
        <w:t xml:space="preserve">Blake, T. 1998, ‘Deported...at the Sweet Will of the Government: The Removal of Aborigines to Reserves in Queensland 1897–1939’, </w:t>
      </w:r>
      <w:r w:rsidRPr="003A6BFD">
        <w:rPr>
          <w:i/>
          <w:iCs/>
          <w:sz w:val="20"/>
        </w:rPr>
        <w:t>Aboriginal History</w:t>
      </w:r>
      <w:r w:rsidRPr="003A6BFD">
        <w:rPr>
          <w:sz w:val="20"/>
        </w:rPr>
        <w:t>, vol. 22, pp. 51–61.</w:t>
      </w:r>
    </w:p>
    <w:p w14:paraId="44562368" w14:textId="77777777" w:rsidR="00271273" w:rsidRPr="003A6BFD" w:rsidRDefault="00271273" w:rsidP="009E1974">
      <w:pPr>
        <w:pStyle w:val="Reference"/>
        <w:rPr>
          <w:sz w:val="20"/>
        </w:rPr>
      </w:pPr>
      <w:r w:rsidRPr="003A6BFD">
        <w:rPr>
          <w:sz w:val="20"/>
        </w:rPr>
        <w:t xml:space="preserve">Briscoe, G. and Smith, L. 2002, </w:t>
      </w:r>
      <w:r w:rsidRPr="003A6BFD">
        <w:rPr>
          <w:i/>
          <w:iCs/>
          <w:sz w:val="20"/>
        </w:rPr>
        <w:t>The Aboriginal Population Revisited: 70 000 Years to the Present</w:t>
      </w:r>
      <w:r w:rsidRPr="003A6BFD">
        <w:rPr>
          <w:sz w:val="20"/>
        </w:rPr>
        <w:t>, Aboriginal History Incorporated, Canberra.</w:t>
      </w:r>
    </w:p>
    <w:p w14:paraId="37991E9B" w14:textId="77777777" w:rsidR="00271273" w:rsidRPr="003A6BFD" w:rsidRDefault="00271273" w:rsidP="009E1974">
      <w:pPr>
        <w:pStyle w:val="Reference"/>
        <w:rPr>
          <w:sz w:val="20"/>
        </w:rPr>
      </w:pPr>
      <w:r w:rsidRPr="003A6BFD">
        <w:rPr>
          <w:sz w:val="20"/>
        </w:rPr>
        <w:t xml:space="preserve">Butlin, N.G. 1983, </w:t>
      </w:r>
      <w:r w:rsidRPr="003A6BFD">
        <w:rPr>
          <w:i/>
          <w:iCs/>
          <w:sz w:val="20"/>
        </w:rPr>
        <w:t>Our Original Aggression: Aboriginal Populations of Southeastern Australia, 1788–1850</w:t>
      </w:r>
      <w:r w:rsidRPr="003A6BFD">
        <w:rPr>
          <w:sz w:val="20"/>
        </w:rPr>
        <w:t>, Allen &amp; Unwin, Sydney, NSW.</w:t>
      </w:r>
    </w:p>
    <w:p w14:paraId="0837E146" w14:textId="77777777" w:rsidR="00271273" w:rsidRPr="003A6BFD" w:rsidRDefault="00271273" w:rsidP="009E1974">
      <w:pPr>
        <w:pStyle w:val="Reference"/>
        <w:rPr>
          <w:sz w:val="20"/>
        </w:rPr>
      </w:pPr>
      <w:r w:rsidRPr="003A6BFD">
        <w:rPr>
          <w:sz w:val="20"/>
        </w:rPr>
        <w:t xml:space="preserve">CAR (Council for Aboriginal Reconciliation) 2000, </w:t>
      </w:r>
      <w:r w:rsidRPr="003A6BFD">
        <w:rPr>
          <w:i/>
          <w:iCs/>
          <w:sz w:val="20"/>
        </w:rPr>
        <w:t>Reconciliation: Australia’s Challenge</w:t>
      </w:r>
      <w:r w:rsidRPr="003A6BFD">
        <w:rPr>
          <w:sz w:val="20"/>
        </w:rPr>
        <w:t>, Final report of the Council for Aboriginal Reconciliation to the Prime Minister and the Commonwealth Parliament.</w:t>
      </w:r>
    </w:p>
    <w:p w14:paraId="62CA0069" w14:textId="77777777" w:rsidR="00271273" w:rsidRPr="003A6BFD" w:rsidRDefault="00271273" w:rsidP="009E1974">
      <w:pPr>
        <w:pStyle w:val="Reference"/>
        <w:rPr>
          <w:sz w:val="20"/>
        </w:rPr>
      </w:pPr>
      <w:r w:rsidRPr="003A6BFD">
        <w:rPr>
          <w:sz w:val="20"/>
        </w:rPr>
        <w:t xml:space="preserve">CGC (Commonwealth Grants Commission) 2001, </w:t>
      </w:r>
      <w:r w:rsidRPr="003A6BFD">
        <w:rPr>
          <w:i/>
          <w:iCs/>
          <w:sz w:val="20"/>
        </w:rPr>
        <w:t>Report on Indigenous Funding 2001</w:t>
      </w:r>
      <w:r w:rsidRPr="003A6BFD">
        <w:rPr>
          <w:sz w:val="20"/>
        </w:rPr>
        <w:t>, Canberra.</w:t>
      </w:r>
    </w:p>
    <w:p w14:paraId="7A7EAF02" w14:textId="77777777" w:rsidR="00271273" w:rsidRPr="003A6BFD" w:rsidRDefault="00271273" w:rsidP="009E1974">
      <w:pPr>
        <w:pStyle w:val="Reference"/>
        <w:rPr>
          <w:sz w:val="20"/>
        </w:rPr>
      </w:pPr>
      <w:r w:rsidRPr="003A6BFD">
        <w:rPr>
          <w:sz w:val="20"/>
        </w:rPr>
        <w:t xml:space="preserve">Chaney, F. 2013, ‘The Indigenous Policy Experience: 1960 to 2012’, </w:t>
      </w:r>
      <w:r w:rsidRPr="003A6BFD">
        <w:rPr>
          <w:i/>
          <w:iCs/>
          <w:sz w:val="20"/>
        </w:rPr>
        <w:t>Better Indigenous Policies: The Role of Evaluation – Roundtable Proceedings</w:t>
      </w:r>
      <w:r w:rsidRPr="003A6BFD">
        <w:rPr>
          <w:sz w:val="20"/>
        </w:rPr>
        <w:t>, Productivity Commission.</w:t>
      </w:r>
    </w:p>
    <w:p w14:paraId="690CCB06" w14:textId="77777777" w:rsidR="00271273" w:rsidRPr="003A6BFD" w:rsidRDefault="00271273" w:rsidP="009E1974">
      <w:pPr>
        <w:pStyle w:val="Reference"/>
        <w:rPr>
          <w:sz w:val="20"/>
        </w:rPr>
      </w:pPr>
      <w:r w:rsidRPr="003A6BFD">
        <w:rPr>
          <w:sz w:val="20"/>
        </w:rPr>
        <w:t xml:space="preserve">Chesterman, J. 2005, </w:t>
      </w:r>
      <w:r w:rsidRPr="003A6BFD">
        <w:rPr>
          <w:i/>
          <w:iCs/>
          <w:sz w:val="20"/>
        </w:rPr>
        <w:t>Civil Rights: How Indigenous Australians Won Formal Equality</w:t>
      </w:r>
      <w:r w:rsidRPr="003A6BFD">
        <w:rPr>
          <w:sz w:val="20"/>
        </w:rPr>
        <w:t>, University of Queensland Press, St Lucia, Queensland.</w:t>
      </w:r>
    </w:p>
    <w:p w14:paraId="2AD58337" w14:textId="77777777" w:rsidR="00271273" w:rsidRPr="003A6BFD" w:rsidRDefault="00271273" w:rsidP="009E1974">
      <w:pPr>
        <w:pStyle w:val="Reference"/>
        <w:rPr>
          <w:sz w:val="20"/>
        </w:rPr>
      </w:pPr>
      <w:r w:rsidRPr="003A6BFD">
        <w:rPr>
          <w:sz w:val="20"/>
        </w:rPr>
        <w:t xml:space="preserve">—— and Galligan, B. 1997, </w:t>
      </w:r>
      <w:r w:rsidRPr="003A6BFD">
        <w:rPr>
          <w:i/>
          <w:iCs/>
          <w:sz w:val="20"/>
        </w:rPr>
        <w:t>Citizens Without Rights: Aborigines and Australian Citizenship</w:t>
      </w:r>
      <w:r w:rsidRPr="003A6BFD">
        <w:rPr>
          <w:sz w:val="20"/>
        </w:rPr>
        <w:t>, Cambridge University Press, UK.</w:t>
      </w:r>
    </w:p>
    <w:p w14:paraId="5C17AD3F" w14:textId="77777777" w:rsidR="00271273" w:rsidRPr="003A6BFD" w:rsidRDefault="00271273" w:rsidP="009E1974">
      <w:pPr>
        <w:pStyle w:val="Reference"/>
        <w:rPr>
          <w:sz w:val="20"/>
        </w:rPr>
      </w:pPr>
      <w:r w:rsidRPr="003A6BFD">
        <w:rPr>
          <w:sz w:val="20"/>
        </w:rPr>
        <w:t xml:space="preserve">COAG (Council of Australian Governments) 2014, </w:t>
      </w:r>
      <w:r w:rsidRPr="003A6BFD">
        <w:rPr>
          <w:i/>
          <w:iCs/>
          <w:sz w:val="20"/>
        </w:rPr>
        <w:t>Council of Australian Governments Meeting Communique - 2 May 2014</w:t>
      </w:r>
      <w:r w:rsidRPr="003A6BFD">
        <w:rPr>
          <w:sz w:val="20"/>
        </w:rPr>
        <w:t>.</w:t>
      </w:r>
    </w:p>
    <w:p w14:paraId="135E22AE" w14:textId="77777777" w:rsidR="00271273" w:rsidRPr="003A6BFD" w:rsidRDefault="00271273" w:rsidP="009E1974">
      <w:pPr>
        <w:pStyle w:val="Reference"/>
        <w:rPr>
          <w:sz w:val="20"/>
        </w:rPr>
      </w:pPr>
      <w:r w:rsidRPr="003A6BFD">
        <w:rPr>
          <w:sz w:val="20"/>
        </w:rPr>
        <w:t xml:space="preserve">Commonwealth of Australia 2017, </w:t>
      </w:r>
      <w:r w:rsidRPr="003A6BFD">
        <w:rPr>
          <w:i/>
          <w:iCs/>
          <w:sz w:val="20"/>
        </w:rPr>
        <w:t>Final Report of the Referendum Council</w:t>
      </w:r>
      <w:r w:rsidRPr="003A6BFD">
        <w:rPr>
          <w:sz w:val="20"/>
        </w:rPr>
        <w:t>, Referendum Council.</w:t>
      </w:r>
    </w:p>
    <w:p w14:paraId="1D652A0E" w14:textId="77777777" w:rsidR="00271273" w:rsidRPr="003A6BFD" w:rsidRDefault="00271273" w:rsidP="009E1974">
      <w:pPr>
        <w:pStyle w:val="Reference"/>
        <w:rPr>
          <w:sz w:val="20"/>
        </w:rPr>
      </w:pPr>
      <w:r w:rsidRPr="003A6BFD">
        <w:rPr>
          <w:sz w:val="20"/>
        </w:rPr>
        <w:t xml:space="preserve">Cunneen, C. 2001, </w:t>
      </w:r>
      <w:r w:rsidRPr="003A6BFD">
        <w:rPr>
          <w:i/>
          <w:iCs/>
          <w:sz w:val="20"/>
        </w:rPr>
        <w:t>Conflict, Politics and Crime: Aboriginal Communities and the Police</w:t>
      </w:r>
      <w:r w:rsidRPr="003A6BFD">
        <w:rPr>
          <w:sz w:val="20"/>
        </w:rPr>
        <w:t>, Allen &amp; Unwin.</w:t>
      </w:r>
    </w:p>
    <w:p w14:paraId="4D0B2171" w14:textId="77777777" w:rsidR="00271273" w:rsidRPr="003A6BFD" w:rsidRDefault="00271273" w:rsidP="009E1974">
      <w:pPr>
        <w:pStyle w:val="Reference"/>
        <w:rPr>
          <w:sz w:val="20"/>
        </w:rPr>
      </w:pPr>
      <w:r w:rsidRPr="003A6BFD">
        <w:rPr>
          <w:sz w:val="20"/>
        </w:rPr>
        <w:t xml:space="preserve">Department of Aboriginal Affairs 1981, </w:t>
      </w:r>
      <w:r w:rsidRPr="003A6BFD">
        <w:rPr>
          <w:i/>
          <w:iCs/>
          <w:sz w:val="20"/>
        </w:rPr>
        <w:t>Aboriginals in Australia Today</w:t>
      </w:r>
      <w:r w:rsidRPr="003A6BFD">
        <w:rPr>
          <w:sz w:val="20"/>
        </w:rPr>
        <w:t>, Australian Government Publishing Service.</w:t>
      </w:r>
    </w:p>
    <w:p w14:paraId="3F0EDB65" w14:textId="77777777" w:rsidR="00271273" w:rsidRPr="003A6BFD" w:rsidRDefault="00271273" w:rsidP="009E1974">
      <w:pPr>
        <w:pStyle w:val="Reference"/>
        <w:rPr>
          <w:sz w:val="20"/>
        </w:rPr>
      </w:pPr>
      <w:r w:rsidRPr="003A6BFD">
        <w:rPr>
          <w:sz w:val="20"/>
        </w:rPr>
        <w:t xml:space="preserve">Diamond, J.M. 1998, </w:t>
      </w:r>
      <w:r w:rsidRPr="003A6BFD">
        <w:rPr>
          <w:i/>
          <w:iCs/>
          <w:sz w:val="20"/>
        </w:rPr>
        <w:t>Guns, Germs and Steel: A Short History of Everybody for the Last 13,000 Years</w:t>
      </w:r>
      <w:r w:rsidRPr="003A6BFD">
        <w:rPr>
          <w:sz w:val="20"/>
        </w:rPr>
        <w:t>, Vintage, Random House, London.</w:t>
      </w:r>
    </w:p>
    <w:p w14:paraId="38038862" w14:textId="77777777" w:rsidR="00271273" w:rsidRPr="003A6BFD" w:rsidRDefault="00271273" w:rsidP="009E1974">
      <w:pPr>
        <w:pStyle w:val="Reference"/>
        <w:rPr>
          <w:sz w:val="20"/>
        </w:rPr>
      </w:pPr>
      <w:r w:rsidRPr="003A6BFD">
        <w:rPr>
          <w:sz w:val="20"/>
        </w:rPr>
        <w:t xml:space="preserve">Dockery, A.M. 2014, </w:t>
      </w:r>
      <w:r w:rsidRPr="003A6BFD">
        <w:rPr>
          <w:i/>
          <w:iCs/>
          <w:sz w:val="20"/>
        </w:rPr>
        <w:t>Reconceptualising Mobility for Aboriginal and Torres Strait Islander Australians</w:t>
      </w:r>
      <w:r w:rsidRPr="003A6BFD">
        <w:rPr>
          <w:sz w:val="20"/>
        </w:rPr>
        <w:t>, CRC-REP Working paper CW015, Ninti One Limited, Alice Springs.</w:t>
      </w:r>
    </w:p>
    <w:p w14:paraId="7A93F782" w14:textId="77777777" w:rsidR="00271273" w:rsidRPr="003A6BFD" w:rsidRDefault="00271273" w:rsidP="009E1974">
      <w:pPr>
        <w:pStyle w:val="Reference"/>
        <w:rPr>
          <w:sz w:val="20"/>
        </w:rPr>
      </w:pPr>
      <w:r w:rsidRPr="003A6BFD">
        <w:rPr>
          <w:sz w:val="20"/>
        </w:rPr>
        <w:t xml:space="preserve">Egan, T. 1996, </w:t>
      </w:r>
      <w:r w:rsidRPr="003A6BFD">
        <w:rPr>
          <w:i/>
          <w:iCs/>
          <w:sz w:val="20"/>
        </w:rPr>
        <w:t>Justice All Their Own: The Caledon Bay and Woodah Island Killings 1932-33</w:t>
      </w:r>
      <w:r w:rsidRPr="003A6BFD">
        <w:rPr>
          <w:sz w:val="20"/>
        </w:rPr>
        <w:t>, Melbourne University Press.</w:t>
      </w:r>
    </w:p>
    <w:p w14:paraId="198B2340" w14:textId="77777777" w:rsidR="00271273" w:rsidRPr="003A6BFD" w:rsidRDefault="00271273" w:rsidP="009E1974">
      <w:pPr>
        <w:pStyle w:val="Reference"/>
        <w:rPr>
          <w:sz w:val="20"/>
        </w:rPr>
      </w:pPr>
      <w:r w:rsidRPr="003A6BFD">
        <w:rPr>
          <w:sz w:val="20"/>
        </w:rPr>
        <w:t xml:space="preserve">Elder, B. 2003, </w:t>
      </w:r>
      <w:r w:rsidRPr="003A6BFD">
        <w:rPr>
          <w:i/>
          <w:iCs/>
          <w:sz w:val="20"/>
        </w:rPr>
        <w:t>Blood on the Wattle: Massacres and Maltreatment of Aboriginal Australians Since 1788</w:t>
      </w:r>
      <w:r w:rsidRPr="003A6BFD">
        <w:rPr>
          <w:sz w:val="20"/>
        </w:rPr>
        <w:t>, 3rd edition, New Holland.</w:t>
      </w:r>
    </w:p>
    <w:p w14:paraId="09D40CD2" w14:textId="77777777" w:rsidR="00271273" w:rsidRPr="003A6BFD" w:rsidRDefault="00271273" w:rsidP="009E1974">
      <w:pPr>
        <w:pStyle w:val="Reference"/>
        <w:rPr>
          <w:sz w:val="20"/>
        </w:rPr>
      </w:pPr>
      <w:r w:rsidRPr="003A6BFD">
        <w:rPr>
          <w:sz w:val="20"/>
        </w:rPr>
        <w:t xml:space="preserve">FaHCSIA (Department of Families, Housing, Community Services and Indigenous Affairs) 2011, </w:t>
      </w:r>
      <w:r w:rsidRPr="003A6BFD">
        <w:rPr>
          <w:i/>
          <w:iCs/>
          <w:sz w:val="20"/>
        </w:rPr>
        <w:t>Northern Territory Emergency Response: Evaluation Report 2011</w:t>
      </w:r>
      <w:r w:rsidRPr="003A6BFD">
        <w:rPr>
          <w:sz w:val="20"/>
        </w:rPr>
        <w:t>, November, Canberra.</w:t>
      </w:r>
    </w:p>
    <w:p w14:paraId="26FC7B1B" w14:textId="77777777" w:rsidR="00271273" w:rsidRPr="003A6BFD" w:rsidRDefault="00271273" w:rsidP="009E1974">
      <w:pPr>
        <w:pStyle w:val="Reference"/>
        <w:rPr>
          <w:sz w:val="20"/>
        </w:rPr>
      </w:pPr>
      <w:r w:rsidRPr="003A6BFD">
        <w:rPr>
          <w:sz w:val="20"/>
        </w:rPr>
        <w:t xml:space="preserve">—— (Department of Family, Housing, Community Services and Indigenous Affairs) 2012, </w:t>
      </w:r>
      <w:r w:rsidRPr="003A6BFD">
        <w:rPr>
          <w:i/>
          <w:iCs/>
          <w:sz w:val="20"/>
        </w:rPr>
        <w:t>Recognising Aboriginal and Torres Strait Islander Peoples in the Constitution: Report of the Expert Panel</w:t>
      </w:r>
      <w:r w:rsidRPr="003A6BFD">
        <w:rPr>
          <w:sz w:val="20"/>
        </w:rPr>
        <w:t>, Canberra.</w:t>
      </w:r>
    </w:p>
    <w:p w14:paraId="3F0B71BB" w14:textId="77777777" w:rsidR="00271273" w:rsidRPr="003A6BFD" w:rsidRDefault="00271273" w:rsidP="009E1974">
      <w:pPr>
        <w:pStyle w:val="Reference"/>
        <w:rPr>
          <w:sz w:val="20"/>
        </w:rPr>
      </w:pPr>
      <w:r w:rsidRPr="003A6BFD">
        <w:rPr>
          <w:sz w:val="20"/>
        </w:rPr>
        <w:t xml:space="preserve">Flood, J. 2006, </w:t>
      </w:r>
      <w:r w:rsidRPr="003A6BFD">
        <w:rPr>
          <w:i/>
          <w:iCs/>
          <w:sz w:val="20"/>
        </w:rPr>
        <w:t>The Original Australians: Story of the Aboriginal People</w:t>
      </w:r>
      <w:r w:rsidRPr="003A6BFD">
        <w:rPr>
          <w:sz w:val="20"/>
        </w:rPr>
        <w:t>, Allen &amp; Unwin.</w:t>
      </w:r>
    </w:p>
    <w:p w14:paraId="3516F23E" w14:textId="77777777" w:rsidR="00271273" w:rsidRPr="003A6BFD" w:rsidRDefault="00271273" w:rsidP="009E1974">
      <w:pPr>
        <w:pStyle w:val="Reference"/>
        <w:rPr>
          <w:sz w:val="20"/>
        </w:rPr>
      </w:pPr>
      <w:r w:rsidRPr="003A6BFD">
        <w:rPr>
          <w:sz w:val="20"/>
        </w:rPr>
        <w:t xml:space="preserve">Graham, M. and Petrie, A. 2018, </w:t>
      </w:r>
      <w:r w:rsidRPr="003A6BFD">
        <w:rPr>
          <w:i/>
          <w:iCs/>
          <w:sz w:val="20"/>
        </w:rPr>
        <w:t>Advancing the Treaty Process with Aboriginal Victorians Bill 2018</w:t>
      </w:r>
      <w:r w:rsidRPr="003A6BFD">
        <w:rPr>
          <w:sz w:val="20"/>
        </w:rPr>
        <w:t>, 5, Treaty Series, Melbourne.</w:t>
      </w:r>
    </w:p>
    <w:p w14:paraId="4C581029" w14:textId="77777777" w:rsidR="00271273" w:rsidRPr="003A6BFD" w:rsidRDefault="00271273" w:rsidP="009E1974">
      <w:pPr>
        <w:pStyle w:val="Reference"/>
        <w:rPr>
          <w:sz w:val="20"/>
        </w:rPr>
      </w:pPr>
      <w:r w:rsidRPr="003A6BFD">
        <w:rPr>
          <w:sz w:val="20"/>
        </w:rPr>
        <w:lastRenderedPageBreak/>
        <w:t xml:space="preserve">Hannaford, J., Huggins, J. and Collins, B. 2003, </w:t>
      </w:r>
      <w:r w:rsidRPr="003A6BFD">
        <w:rPr>
          <w:i/>
          <w:iCs/>
          <w:sz w:val="20"/>
        </w:rPr>
        <w:t>In the Hands of the Regions: A New ATSIC</w:t>
      </w:r>
      <w:r w:rsidRPr="003A6BFD">
        <w:rPr>
          <w:sz w:val="20"/>
        </w:rPr>
        <w:t>, Report of the Review of the Aboriginal and Torres Strait Islander Commission, Department for Immigration and Multicultural Affairs.</w:t>
      </w:r>
    </w:p>
    <w:p w14:paraId="6970D45A" w14:textId="77777777" w:rsidR="00271273" w:rsidRPr="003A6BFD" w:rsidRDefault="00271273" w:rsidP="009E1974">
      <w:pPr>
        <w:pStyle w:val="Reference"/>
        <w:rPr>
          <w:sz w:val="20"/>
        </w:rPr>
      </w:pPr>
      <w:r w:rsidRPr="003A6BFD">
        <w:rPr>
          <w:sz w:val="20"/>
        </w:rPr>
        <w:t>Howard, J. 2004, ‘Transcript of the Prime Minister The Hon John Howard MP Joint Press Conference with Senator Amanda Vanstone’, Parliament House, Canberra.</w:t>
      </w:r>
    </w:p>
    <w:p w14:paraId="288F6A45" w14:textId="77777777" w:rsidR="00271273" w:rsidRPr="003A6BFD" w:rsidRDefault="00271273" w:rsidP="009E1974">
      <w:pPr>
        <w:pStyle w:val="Reference"/>
        <w:rPr>
          <w:sz w:val="20"/>
        </w:rPr>
      </w:pPr>
      <w:r w:rsidRPr="003A6BFD">
        <w:rPr>
          <w:sz w:val="20"/>
        </w:rPr>
        <w:t xml:space="preserve">HREOC (Human Rights and Equal Opportunity Commission) 1997, </w:t>
      </w:r>
      <w:r w:rsidRPr="003A6BFD">
        <w:rPr>
          <w:i/>
          <w:iCs/>
          <w:sz w:val="20"/>
        </w:rPr>
        <w:t>Bringing Them Home: Report of the National Inquiry into the Separation of Aboriginal and Torres Strait Islander Children from their Families</w:t>
      </w:r>
      <w:r w:rsidRPr="003A6BFD">
        <w:rPr>
          <w:sz w:val="20"/>
        </w:rPr>
        <w:t>.</w:t>
      </w:r>
    </w:p>
    <w:p w14:paraId="20ECB049" w14:textId="77777777" w:rsidR="00271273" w:rsidRPr="003A6BFD" w:rsidRDefault="00271273" w:rsidP="009E1974">
      <w:pPr>
        <w:pStyle w:val="Reference"/>
        <w:rPr>
          <w:sz w:val="20"/>
        </w:rPr>
      </w:pPr>
      <w:r w:rsidRPr="003A6BFD">
        <w:rPr>
          <w:sz w:val="20"/>
        </w:rPr>
        <w:t xml:space="preserve">Jordan, K. and Fowkes, L. 2016, </w:t>
      </w:r>
      <w:r w:rsidRPr="003A6BFD">
        <w:rPr>
          <w:i/>
          <w:iCs/>
          <w:sz w:val="20"/>
        </w:rPr>
        <w:t>Job Creation and Income Support in Remote Indigenous Australia: Moving Forward with a Better System</w:t>
      </w:r>
      <w:r w:rsidRPr="003A6BFD">
        <w:rPr>
          <w:sz w:val="20"/>
        </w:rPr>
        <w:t>, Centre for Aboriginal Economic Policy Research.</w:t>
      </w:r>
    </w:p>
    <w:p w14:paraId="3333A47B" w14:textId="77777777" w:rsidR="00271273" w:rsidRPr="003A6BFD" w:rsidRDefault="00271273" w:rsidP="009E1974">
      <w:pPr>
        <w:pStyle w:val="Reference"/>
        <w:rPr>
          <w:sz w:val="20"/>
        </w:rPr>
      </w:pPr>
      <w:r w:rsidRPr="003A6BFD">
        <w:rPr>
          <w:sz w:val="20"/>
        </w:rPr>
        <w:t xml:space="preserve">JSCCRATSIP (Joint Select Committee on Constitutional Recognition of Aboriginal and Torres Strait Islander Peoples) 2015, </w:t>
      </w:r>
      <w:r w:rsidRPr="003A6BFD">
        <w:rPr>
          <w:i/>
          <w:iCs/>
          <w:sz w:val="20"/>
        </w:rPr>
        <w:t>Final Report</w:t>
      </w:r>
      <w:r w:rsidRPr="003A6BFD">
        <w:rPr>
          <w:sz w:val="20"/>
        </w:rPr>
        <w:t>.</w:t>
      </w:r>
    </w:p>
    <w:p w14:paraId="5F39D2DB" w14:textId="77777777" w:rsidR="00271273" w:rsidRPr="003A6BFD" w:rsidRDefault="00271273" w:rsidP="009E1974">
      <w:pPr>
        <w:pStyle w:val="Reference"/>
        <w:rPr>
          <w:sz w:val="20"/>
        </w:rPr>
      </w:pPr>
      <w:r w:rsidRPr="003A6BFD">
        <w:rPr>
          <w:sz w:val="20"/>
        </w:rPr>
        <w:t xml:space="preserve">Madden, R.C. and Pulver, L.R.J. 2009, ‘Aboriginal and Torres Strait Islander Population: More than reported’, </w:t>
      </w:r>
      <w:r w:rsidRPr="003A6BFD">
        <w:rPr>
          <w:i/>
          <w:iCs/>
          <w:sz w:val="20"/>
        </w:rPr>
        <w:t>Australian Actuarial Journal</w:t>
      </w:r>
      <w:r w:rsidRPr="003A6BFD">
        <w:rPr>
          <w:sz w:val="20"/>
        </w:rPr>
        <w:t>, vol. 15, no. 2, pp. 181–208.</w:t>
      </w:r>
    </w:p>
    <w:p w14:paraId="485B0309" w14:textId="77777777" w:rsidR="00271273" w:rsidRPr="003A6BFD" w:rsidRDefault="00271273" w:rsidP="009E1974">
      <w:pPr>
        <w:pStyle w:val="Reference"/>
        <w:rPr>
          <w:sz w:val="20"/>
        </w:rPr>
      </w:pPr>
      <w:r w:rsidRPr="003A6BFD">
        <w:rPr>
          <w:sz w:val="20"/>
        </w:rPr>
        <w:t xml:space="preserve">Marmion, D., Obata, K. and Troy, J. 2014, </w:t>
      </w:r>
      <w:r w:rsidRPr="003A6BFD">
        <w:rPr>
          <w:i/>
          <w:iCs/>
          <w:sz w:val="20"/>
        </w:rPr>
        <w:t>Community, Identity and Wellbeing: The Report of the Second National Indigenous Languages Survey</w:t>
      </w:r>
      <w:r w:rsidRPr="003A6BFD">
        <w:rPr>
          <w:sz w:val="20"/>
        </w:rPr>
        <w:t>, Australian Institute of Aboriginal and Torres Strait Islander Studies, Canberra.</w:t>
      </w:r>
    </w:p>
    <w:p w14:paraId="66904430" w14:textId="77777777" w:rsidR="00271273" w:rsidRPr="003A6BFD" w:rsidRDefault="00271273" w:rsidP="009E1974">
      <w:pPr>
        <w:pStyle w:val="Reference"/>
        <w:rPr>
          <w:sz w:val="20"/>
        </w:rPr>
      </w:pPr>
      <w:r w:rsidRPr="003A6BFD">
        <w:rPr>
          <w:sz w:val="20"/>
        </w:rPr>
        <w:t xml:space="preserve">Morris, B. 1988, ‘Dhan-gadi Resistance to Assimilation’, </w:t>
      </w:r>
      <w:r w:rsidRPr="003A6BFD">
        <w:rPr>
          <w:i/>
          <w:iCs/>
          <w:sz w:val="20"/>
        </w:rPr>
        <w:t>Being Black: Aboriginal Cultures in ‘Settled’ Australia</w:t>
      </w:r>
      <w:r w:rsidRPr="003A6BFD">
        <w:rPr>
          <w:sz w:val="20"/>
        </w:rPr>
        <w:t>, Aboriginal Studies Press, Canberra, ACT, pp. 33–63.</w:t>
      </w:r>
    </w:p>
    <w:p w14:paraId="4794D00F" w14:textId="77777777" w:rsidR="00271273" w:rsidRPr="003A6BFD" w:rsidRDefault="00271273" w:rsidP="009E1974">
      <w:pPr>
        <w:pStyle w:val="Reference"/>
        <w:rPr>
          <w:sz w:val="20"/>
        </w:rPr>
      </w:pPr>
      <w:r w:rsidRPr="003A6BFD">
        <w:rPr>
          <w:sz w:val="20"/>
        </w:rPr>
        <w:t xml:space="preserve">National Archives of Australia 1966, </w:t>
      </w:r>
      <w:r w:rsidRPr="003A6BFD">
        <w:rPr>
          <w:i/>
          <w:iCs/>
          <w:sz w:val="20"/>
        </w:rPr>
        <w:t>The Wave Hill ‘Walk-Off’ Archival Documents</w:t>
      </w:r>
      <w:r w:rsidRPr="003A6BFD">
        <w:rPr>
          <w:sz w:val="20"/>
        </w:rPr>
        <w:t>.</w:t>
      </w:r>
    </w:p>
    <w:p w14:paraId="32FEBB7F" w14:textId="77777777" w:rsidR="00271273" w:rsidRPr="003A6BFD" w:rsidRDefault="00271273" w:rsidP="009E1974">
      <w:pPr>
        <w:pStyle w:val="Reference"/>
        <w:rPr>
          <w:sz w:val="20"/>
        </w:rPr>
      </w:pPr>
      <w:r w:rsidRPr="003A6BFD">
        <w:rPr>
          <w:sz w:val="20"/>
        </w:rPr>
        <w:t>Nelson, B. 2008, ‘Apology to Australia’s Indigenous Peoples’, House of Representatives, Parliament of Australia.</w:t>
      </w:r>
    </w:p>
    <w:p w14:paraId="716BCE20" w14:textId="77777777" w:rsidR="00271273" w:rsidRPr="003A6BFD" w:rsidRDefault="00271273" w:rsidP="009E1974">
      <w:pPr>
        <w:pStyle w:val="Reference"/>
        <w:rPr>
          <w:sz w:val="20"/>
        </w:rPr>
      </w:pPr>
      <w:r w:rsidRPr="003A6BFD">
        <w:rPr>
          <w:sz w:val="20"/>
        </w:rPr>
        <w:t xml:space="preserve">PC (Productivity Commission) 2017, </w:t>
      </w:r>
      <w:r w:rsidRPr="003A6BFD">
        <w:rPr>
          <w:i/>
          <w:iCs/>
          <w:sz w:val="20"/>
        </w:rPr>
        <w:t>Data Availability and Use</w:t>
      </w:r>
      <w:r w:rsidRPr="003A6BFD">
        <w:rPr>
          <w:sz w:val="20"/>
        </w:rPr>
        <w:t>, Report No. 82, Canberra.</w:t>
      </w:r>
    </w:p>
    <w:p w14:paraId="4FCF9D68" w14:textId="77777777" w:rsidR="00271273" w:rsidRPr="003A6BFD" w:rsidRDefault="00271273" w:rsidP="009E1974">
      <w:pPr>
        <w:pStyle w:val="Reference"/>
        <w:rPr>
          <w:sz w:val="20"/>
        </w:rPr>
      </w:pPr>
      <w:r w:rsidRPr="003A6BFD">
        <w:rPr>
          <w:sz w:val="20"/>
        </w:rPr>
        <w:t xml:space="preserve">—— (Productivity Commission) 2020, </w:t>
      </w:r>
      <w:r w:rsidRPr="003A6BFD">
        <w:rPr>
          <w:i/>
          <w:iCs/>
          <w:sz w:val="20"/>
        </w:rPr>
        <w:t>Expenditure on Children in the Northern Territory</w:t>
      </w:r>
      <w:r w:rsidRPr="003A6BFD">
        <w:rPr>
          <w:sz w:val="20"/>
        </w:rPr>
        <w:t>, Study Report, Canberra.</w:t>
      </w:r>
    </w:p>
    <w:p w14:paraId="6AD67B51" w14:textId="77777777" w:rsidR="00271273" w:rsidRPr="003A6BFD" w:rsidRDefault="00271273" w:rsidP="009E1974">
      <w:pPr>
        <w:pStyle w:val="Reference"/>
        <w:rPr>
          <w:sz w:val="20"/>
        </w:rPr>
      </w:pPr>
      <w:r w:rsidRPr="003A6BFD">
        <w:rPr>
          <w:sz w:val="20"/>
        </w:rPr>
        <w:t xml:space="preserve">Queensland Government 2019, </w:t>
      </w:r>
      <w:r w:rsidRPr="003A6BFD">
        <w:rPr>
          <w:i/>
          <w:iCs/>
          <w:sz w:val="20"/>
        </w:rPr>
        <w:t>Joint Statement: Pearson v State of Queensland (Wages and Savings Class Action)</w:t>
      </w:r>
      <w:r w:rsidRPr="003A6BFD">
        <w:rPr>
          <w:sz w:val="20"/>
        </w:rPr>
        <w:t>, Department of Aboriginal and Torres Strait Islander Partnerships.</w:t>
      </w:r>
    </w:p>
    <w:p w14:paraId="4145B8C7" w14:textId="77777777" w:rsidR="00271273" w:rsidRPr="003A6BFD" w:rsidRDefault="00271273" w:rsidP="009E1974">
      <w:pPr>
        <w:pStyle w:val="Reference"/>
        <w:rPr>
          <w:sz w:val="20"/>
        </w:rPr>
      </w:pPr>
      <w:r w:rsidRPr="003A6BFD">
        <w:rPr>
          <w:sz w:val="20"/>
        </w:rPr>
        <w:t xml:space="preserve">RCADIC (Royal Commission into Aboriginal Deaths in Custody) 1991, </w:t>
      </w:r>
      <w:r w:rsidRPr="003A6BFD">
        <w:rPr>
          <w:i/>
          <w:iCs/>
          <w:sz w:val="20"/>
        </w:rPr>
        <w:t>National Report</w:t>
      </w:r>
      <w:r w:rsidRPr="003A6BFD">
        <w:rPr>
          <w:sz w:val="20"/>
        </w:rPr>
        <w:t>, Australian Government Publishing Service, Canberra.</w:t>
      </w:r>
    </w:p>
    <w:p w14:paraId="2ACE88EE" w14:textId="77777777" w:rsidR="00271273" w:rsidRPr="003A6BFD" w:rsidRDefault="00271273" w:rsidP="009E1974">
      <w:pPr>
        <w:pStyle w:val="Reference"/>
        <w:rPr>
          <w:sz w:val="20"/>
        </w:rPr>
      </w:pPr>
      <w:r w:rsidRPr="003A6BFD">
        <w:rPr>
          <w:sz w:val="20"/>
        </w:rPr>
        <w:t xml:space="preserve">Read, P. 2007, ‘Murder, Revenge and Reconciliation on the North Eastern Frontier’, </w:t>
      </w:r>
      <w:r w:rsidRPr="003A6BFD">
        <w:rPr>
          <w:i/>
          <w:iCs/>
          <w:sz w:val="20"/>
        </w:rPr>
        <w:t>History Australia</w:t>
      </w:r>
      <w:r w:rsidRPr="003A6BFD">
        <w:rPr>
          <w:sz w:val="20"/>
        </w:rPr>
        <w:t>, vol. 4, no. 1, pp. 9.1–9.15.</w:t>
      </w:r>
    </w:p>
    <w:p w14:paraId="5067D5BF" w14:textId="77777777" w:rsidR="00271273" w:rsidRPr="003A6BFD" w:rsidRDefault="00271273" w:rsidP="009E1974">
      <w:pPr>
        <w:pStyle w:val="Reference"/>
        <w:rPr>
          <w:sz w:val="20"/>
        </w:rPr>
      </w:pPr>
      <w:r w:rsidRPr="003A6BFD">
        <w:rPr>
          <w:sz w:val="20"/>
        </w:rPr>
        <w:t xml:space="preserve">Reynolds, H. 1972, </w:t>
      </w:r>
      <w:r w:rsidRPr="003A6BFD">
        <w:rPr>
          <w:i/>
          <w:iCs/>
          <w:sz w:val="20"/>
        </w:rPr>
        <w:t>Aborigines and Settlers: The Australian Experience, 1788–1939</w:t>
      </w:r>
      <w:r w:rsidRPr="003A6BFD">
        <w:rPr>
          <w:sz w:val="20"/>
        </w:rPr>
        <w:t>, Cassell Australia.</w:t>
      </w:r>
    </w:p>
    <w:p w14:paraId="3A7FDE92" w14:textId="77777777" w:rsidR="00271273" w:rsidRPr="003A6BFD" w:rsidRDefault="00271273" w:rsidP="009E1974">
      <w:pPr>
        <w:pStyle w:val="Reference"/>
        <w:rPr>
          <w:sz w:val="20"/>
        </w:rPr>
      </w:pPr>
      <w:r w:rsidRPr="003A6BFD">
        <w:rPr>
          <w:sz w:val="20"/>
        </w:rPr>
        <w:t xml:space="preserve">Reynolds, H. 2006, </w:t>
      </w:r>
      <w:r w:rsidRPr="003A6BFD">
        <w:rPr>
          <w:i/>
          <w:iCs/>
          <w:sz w:val="20"/>
        </w:rPr>
        <w:t>The Other Side of the Frontier: Aboriginal Resistance to the European Invasion of Australia</w:t>
      </w:r>
      <w:r w:rsidRPr="003A6BFD">
        <w:rPr>
          <w:sz w:val="20"/>
        </w:rPr>
        <w:t>, University of New South Wales Press, Sydney.</w:t>
      </w:r>
    </w:p>
    <w:p w14:paraId="568A6D3D" w14:textId="77777777" w:rsidR="00271273" w:rsidRPr="003A6BFD" w:rsidRDefault="00271273" w:rsidP="009E1974">
      <w:pPr>
        <w:pStyle w:val="Reference"/>
        <w:rPr>
          <w:sz w:val="20"/>
        </w:rPr>
      </w:pPr>
      <w:r w:rsidRPr="003A6BFD">
        <w:rPr>
          <w:sz w:val="20"/>
        </w:rPr>
        <w:t xml:space="preserve">Rowley, C.D. 1978, </w:t>
      </w:r>
      <w:r w:rsidRPr="003A6BFD">
        <w:rPr>
          <w:i/>
          <w:iCs/>
          <w:sz w:val="20"/>
        </w:rPr>
        <w:t>The Destruction of Aboriginal Society</w:t>
      </w:r>
      <w:r w:rsidRPr="003A6BFD">
        <w:rPr>
          <w:sz w:val="20"/>
        </w:rPr>
        <w:t>, Penguin Books, England.</w:t>
      </w:r>
    </w:p>
    <w:p w14:paraId="178DB413" w14:textId="77777777" w:rsidR="00271273" w:rsidRPr="003A6BFD" w:rsidRDefault="00271273" w:rsidP="009E1974">
      <w:pPr>
        <w:pStyle w:val="Reference"/>
        <w:rPr>
          <w:sz w:val="20"/>
        </w:rPr>
      </w:pPr>
      <w:r w:rsidRPr="003A6BFD">
        <w:rPr>
          <w:sz w:val="20"/>
        </w:rPr>
        <w:t>Rudd, K. 2008, ‘Apology to Australia’s Indigenous Peoples’, House of Representatives, Parliament of Australia.</w:t>
      </w:r>
    </w:p>
    <w:p w14:paraId="3241FA7F" w14:textId="77777777" w:rsidR="00271273" w:rsidRPr="003A6BFD" w:rsidRDefault="00271273" w:rsidP="009E1974">
      <w:pPr>
        <w:pStyle w:val="Reference"/>
        <w:rPr>
          <w:sz w:val="20"/>
        </w:rPr>
      </w:pPr>
      <w:r w:rsidRPr="003A6BFD">
        <w:rPr>
          <w:sz w:val="20"/>
        </w:rPr>
        <w:lastRenderedPageBreak/>
        <w:t xml:space="preserve">Ryan, L., Pascoe, W., Debenham, J., Gilbert, S., Richards, J., Smith, R., Owen, C., Anders, R.J., Brown, M., Price, D., Newley, J. and Usher, K. 2017, </w:t>
      </w:r>
      <w:r w:rsidRPr="003A6BFD">
        <w:rPr>
          <w:i/>
          <w:iCs/>
          <w:sz w:val="20"/>
        </w:rPr>
        <w:t>Colonial Frontier Massacres in Australia</w:t>
      </w:r>
      <w:r w:rsidRPr="003A6BFD">
        <w:rPr>
          <w:sz w:val="20"/>
        </w:rPr>
        <w:t>, University of Newcastle, http://hdl.handle.net/1959.13/1340762 (accessed 5 October 2020).</w:t>
      </w:r>
    </w:p>
    <w:p w14:paraId="28339974" w14:textId="77777777" w:rsidR="00271273" w:rsidRPr="003A6BFD" w:rsidRDefault="00271273" w:rsidP="009E1974">
      <w:pPr>
        <w:pStyle w:val="Reference"/>
        <w:rPr>
          <w:sz w:val="20"/>
        </w:rPr>
      </w:pPr>
      <w:r w:rsidRPr="003A6BFD">
        <w:rPr>
          <w:sz w:val="20"/>
        </w:rPr>
        <w:t xml:space="preserve">SCRGSP (Steering Committee for the Review of Government Service Provision) 2017, </w:t>
      </w:r>
      <w:r w:rsidRPr="003A6BFD">
        <w:rPr>
          <w:i/>
          <w:iCs/>
          <w:sz w:val="20"/>
        </w:rPr>
        <w:t>Indigenous Expenditure Report</w:t>
      </w:r>
      <w:r w:rsidRPr="003A6BFD">
        <w:rPr>
          <w:sz w:val="20"/>
        </w:rPr>
        <w:t>.</w:t>
      </w:r>
    </w:p>
    <w:p w14:paraId="5E92BD46" w14:textId="77777777" w:rsidR="00271273" w:rsidRPr="003A6BFD" w:rsidRDefault="00271273" w:rsidP="009E1974">
      <w:pPr>
        <w:pStyle w:val="Reference"/>
        <w:rPr>
          <w:sz w:val="20"/>
        </w:rPr>
      </w:pPr>
      <w:r w:rsidRPr="003A6BFD">
        <w:rPr>
          <w:sz w:val="20"/>
        </w:rPr>
        <w:t xml:space="preserve">Shaw, G. and d’Abbs, P. 2011, </w:t>
      </w:r>
      <w:r w:rsidRPr="003A6BFD">
        <w:rPr>
          <w:i/>
          <w:iCs/>
          <w:sz w:val="20"/>
        </w:rPr>
        <w:t>Community Safety and Wellbeing Research Study</w:t>
      </w:r>
      <w:r w:rsidRPr="003A6BFD">
        <w:rPr>
          <w:sz w:val="20"/>
        </w:rPr>
        <w:t>, Consolidated report, September.</w:t>
      </w:r>
    </w:p>
    <w:p w14:paraId="3E7400DE" w14:textId="77777777" w:rsidR="00271273" w:rsidRPr="003A6BFD" w:rsidRDefault="00271273" w:rsidP="009E1974">
      <w:pPr>
        <w:pStyle w:val="Reference"/>
        <w:rPr>
          <w:sz w:val="20"/>
        </w:rPr>
      </w:pPr>
      <w:r w:rsidRPr="003A6BFD">
        <w:rPr>
          <w:sz w:val="20"/>
        </w:rPr>
        <w:t xml:space="preserve">Smith, L.R. 1980, </w:t>
      </w:r>
      <w:r w:rsidRPr="003A6BFD">
        <w:rPr>
          <w:i/>
          <w:iCs/>
          <w:sz w:val="20"/>
        </w:rPr>
        <w:t>The Aboriginal Population of Australia</w:t>
      </w:r>
      <w:r w:rsidRPr="003A6BFD">
        <w:rPr>
          <w:sz w:val="20"/>
        </w:rPr>
        <w:t>, ANU Press, Canberra, ACT.</w:t>
      </w:r>
    </w:p>
    <w:p w14:paraId="035227B5" w14:textId="77777777" w:rsidR="00271273" w:rsidRPr="003A6BFD" w:rsidRDefault="00271273" w:rsidP="009E1974">
      <w:pPr>
        <w:pStyle w:val="Reference"/>
        <w:rPr>
          <w:sz w:val="20"/>
        </w:rPr>
      </w:pPr>
      <w:r w:rsidRPr="003A6BFD">
        <w:rPr>
          <w:sz w:val="20"/>
        </w:rPr>
        <w:t xml:space="preserve">Thornton, M. and Luker, T. 2009, ‘The Wages of Sin: Compensation for Indigenous Workers’, </w:t>
      </w:r>
      <w:r w:rsidRPr="003A6BFD">
        <w:rPr>
          <w:i/>
          <w:iCs/>
          <w:sz w:val="20"/>
        </w:rPr>
        <w:t>UNSW Law Journal</w:t>
      </w:r>
      <w:r w:rsidRPr="003A6BFD">
        <w:rPr>
          <w:sz w:val="20"/>
        </w:rPr>
        <w:t>, vol. 32, no. 3, pp. 647–673.</w:t>
      </w:r>
    </w:p>
    <w:p w14:paraId="01CA032E" w14:textId="77777777" w:rsidR="00271273" w:rsidRPr="003A6BFD" w:rsidRDefault="00271273" w:rsidP="009E1974">
      <w:pPr>
        <w:pStyle w:val="Reference"/>
        <w:rPr>
          <w:sz w:val="20"/>
        </w:rPr>
      </w:pPr>
      <w:r w:rsidRPr="003A6BFD">
        <w:rPr>
          <w:sz w:val="20"/>
        </w:rPr>
        <w:t>Uluru Statement from the Heart 2017, https://ulurustatement.org/the-statement (accessed 29 June 2020).</w:t>
      </w:r>
    </w:p>
    <w:p w14:paraId="3DE8A693" w14:textId="77777777" w:rsidR="00271273" w:rsidRPr="003A6BFD" w:rsidRDefault="00271273" w:rsidP="009E1974">
      <w:pPr>
        <w:pStyle w:val="Reference"/>
        <w:rPr>
          <w:sz w:val="20"/>
        </w:rPr>
      </w:pPr>
      <w:r w:rsidRPr="003A6BFD">
        <w:rPr>
          <w:sz w:val="20"/>
        </w:rPr>
        <w:t xml:space="preserve">VPSC (Victorian Public Service Commission) 2020, </w:t>
      </w:r>
      <w:r w:rsidRPr="003A6BFD">
        <w:rPr>
          <w:i/>
          <w:iCs/>
          <w:sz w:val="20"/>
        </w:rPr>
        <w:t>Aboriginal Cultural Capability Toolkit</w:t>
      </w:r>
      <w:r w:rsidRPr="003A6BFD">
        <w:rPr>
          <w:sz w:val="20"/>
        </w:rPr>
        <w:t>, Melbourne.</w:t>
      </w:r>
    </w:p>
    <w:p w14:paraId="214B1BFB" w14:textId="77777777" w:rsidR="00271273" w:rsidRPr="003A6BFD" w:rsidRDefault="00271273" w:rsidP="009E1974">
      <w:pPr>
        <w:pStyle w:val="Reference"/>
        <w:rPr>
          <w:sz w:val="20"/>
        </w:rPr>
      </w:pPr>
      <w:r w:rsidRPr="003A6BFD">
        <w:rPr>
          <w:sz w:val="20"/>
        </w:rPr>
        <w:t xml:space="preserve">Western Australia Stolen Wages Taskforce 2008, </w:t>
      </w:r>
      <w:r w:rsidRPr="003A6BFD">
        <w:rPr>
          <w:i/>
          <w:iCs/>
          <w:sz w:val="20"/>
        </w:rPr>
        <w:t>Reconciling the Past: Government Control of Aboriginal Monies in Western Australia, 1905–1972</w:t>
      </w:r>
      <w:r w:rsidRPr="003A6BFD">
        <w:rPr>
          <w:sz w:val="20"/>
        </w:rPr>
        <w:t>, Department of Indigenous Affairs.</w:t>
      </w:r>
    </w:p>
    <w:p w14:paraId="597D426D" w14:textId="77777777" w:rsidR="00271273" w:rsidRPr="003A6BFD" w:rsidRDefault="00271273" w:rsidP="009E1974">
      <w:pPr>
        <w:pStyle w:val="Reference"/>
        <w:rPr>
          <w:sz w:val="20"/>
        </w:rPr>
      </w:pPr>
      <w:r w:rsidRPr="003A6BFD">
        <w:rPr>
          <w:sz w:val="20"/>
        </w:rPr>
        <w:t xml:space="preserve">Wild, R. and Anderson, P. 2007, </w:t>
      </w:r>
      <w:r w:rsidRPr="003A6BFD">
        <w:rPr>
          <w:i/>
          <w:iCs/>
          <w:sz w:val="20"/>
        </w:rPr>
        <w:t>Ampe Akelyernemane Meke Mekarle: Little Children are Sacred, Report of the Northern Territory Board of Inquiry into the Protection of Aboriginal Children from Sexual Abuse</w:t>
      </w:r>
      <w:r w:rsidRPr="003A6BFD">
        <w:rPr>
          <w:sz w:val="20"/>
        </w:rPr>
        <w:t>, Northern Territory Government, Darwin.</w:t>
      </w:r>
    </w:p>
    <w:p w14:paraId="356A2C0F" w14:textId="7C09B436" w:rsidR="00271273" w:rsidRPr="003A6BFD" w:rsidRDefault="00271273" w:rsidP="009E1974">
      <w:pPr>
        <w:pStyle w:val="Reference"/>
        <w:rPr>
          <w:sz w:val="20"/>
        </w:rPr>
      </w:pPr>
      <w:r w:rsidRPr="003A6BFD">
        <w:rPr>
          <w:sz w:val="20"/>
        </w:rPr>
        <w:t xml:space="preserve">Wyatt, K. 2019, </w:t>
      </w:r>
      <w:r w:rsidRPr="003A6BFD">
        <w:rPr>
          <w:i/>
          <w:iCs/>
          <w:sz w:val="20"/>
        </w:rPr>
        <w:t>A voice for Indigenous Australians</w:t>
      </w:r>
      <w:r w:rsidRPr="003A6BFD">
        <w:rPr>
          <w:sz w:val="20"/>
        </w:rPr>
        <w:t>, Commonwealth of Australia, https://ministers.pmc.gov.au/wyatt/2019/voice-indigenous-australians (accessed 5 June 2020).</w:t>
      </w:r>
    </w:p>
    <w:p w14:paraId="45291AD5" w14:textId="7EF3C19B" w:rsidR="00271273" w:rsidRPr="003A6BFD" w:rsidRDefault="00271273" w:rsidP="009E1974">
      <w:pPr>
        <w:pStyle w:val="Reference"/>
        <w:rPr>
          <w:sz w:val="20"/>
        </w:rPr>
      </w:pPr>
      <w:r w:rsidRPr="003A6BFD">
        <w:rPr>
          <w:sz w:val="20"/>
        </w:rPr>
        <w:t xml:space="preserve">Yolngu People of Yirrkala 1963, </w:t>
      </w:r>
      <w:r w:rsidRPr="003A6BFD">
        <w:rPr>
          <w:i/>
          <w:iCs/>
          <w:sz w:val="20"/>
        </w:rPr>
        <w:t>Yirrkala Bark Petitions</w:t>
      </w:r>
      <w:r w:rsidRPr="003A6BFD">
        <w:rPr>
          <w:sz w:val="20"/>
        </w:rPr>
        <w:t>, https://</w:t>
      </w:r>
      <w:proofErr w:type="spellStart"/>
      <w:r w:rsidRPr="003A6BFD">
        <w:rPr>
          <w:sz w:val="20"/>
        </w:rPr>
        <w:t>www.foundingdocs.gov.au</w:t>
      </w:r>
      <w:proofErr w:type="spellEnd"/>
      <w:r w:rsidR="009E1974" w:rsidRPr="003A6BFD">
        <w:rPr>
          <w:sz w:val="20"/>
        </w:rPr>
        <w:t xml:space="preserve"> </w:t>
      </w:r>
      <w:r w:rsidRPr="003A6BFD">
        <w:rPr>
          <w:sz w:val="20"/>
        </w:rPr>
        <w:t>/item-did-</w:t>
      </w:r>
      <w:proofErr w:type="spellStart"/>
      <w:r w:rsidRPr="003A6BFD">
        <w:rPr>
          <w:sz w:val="20"/>
        </w:rPr>
        <w:t>104.html</w:t>
      </w:r>
      <w:proofErr w:type="spellEnd"/>
      <w:r w:rsidRPr="003A6BFD">
        <w:rPr>
          <w:sz w:val="20"/>
        </w:rPr>
        <w:t xml:space="preserve"> (accessed 16 September 2014).</w:t>
      </w:r>
    </w:p>
    <w:p w14:paraId="3AE0DD8E" w14:textId="1F008702" w:rsidR="00E85DB1" w:rsidRPr="003E73BD" w:rsidRDefault="00E85DB1" w:rsidP="009E1974">
      <w:pPr>
        <w:pStyle w:val="Reference"/>
        <w:rPr>
          <w:lang w:val="en-US"/>
        </w:rPr>
      </w:pPr>
    </w:p>
    <w:sectPr w:rsidR="00E85DB1" w:rsidRPr="003E73BD" w:rsidSect="009A586E">
      <w:headerReference w:type="even" r:id="rId13"/>
      <w:headerReference w:type="default" r:id="rId14"/>
      <w:footerReference w:type="even" r:id="rId15"/>
      <w:footerReference w:type="default" r:id="rId16"/>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47A57" w14:textId="77777777" w:rsidR="00EE7FD6" w:rsidRDefault="00EE7FD6">
      <w:r>
        <w:separator/>
      </w:r>
    </w:p>
  </w:endnote>
  <w:endnote w:type="continuationSeparator" w:id="0">
    <w:p w14:paraId="40FB8771" w14:textId="77777777" w:rsidR="00EE7FD6" w:rsidRDefault="00EE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E7FD6" w14:paraId="47C40EBA" w14:textId="77777777" w:rsidTr="00B31E15">
      <w:trPr>
        <w:trHeight w:hRule="exact" w:val="567"/>
      </w:trPr>
      <w:tc>
        <w:tcPr>
          <w:tcW w:w="510" w:type="dxa"/>
        </w:tcPr>
        <w:p w14:paraId="6F0109D0" w14:textId="77777777" w:rsidR="00EE7FD6" w:rsidRPr="00A24443" w:rsidRDefault="00EE7FD6" w:rsidP="0019293B">
          <w:pPr>
            <w:pStyle w:val="Footer"/>
            <w:tabs>
              <w:tab w:val="left" w:pos="0"/>
            </w:tabs>
            <w:ind w:right="0"/>
            <w:rPr>
              <w:rStyle w:val="PageNumber"/>
              <w:caps w:val="0"/>
            </w:rPr>
          </w:pPr>
          <w:r>
            <w:rPr>
              <w:rStyle w:val="PageNumber"/>
              <w:caps w:val="0"/>
            </w:rPr>
            <w:t>1.</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C5D0C">
            <w:rPr>
              <w:rStyle w:val="PageNumber"/>
              <w:caps w:val="0"/>
              <w:noProof/>
            </w:rPr>
            <w:t>2</w:t>
          </w:r>
          <w:r w:rsidRPr="00A24443">
            <w:rPr>
              <w:rStyle w:val="PageNumber"/>
              <w:caps w:val="0"/>
            </w:rPr>
            <w:fldChar w:fldCharType="end"/>
          </w:r>
        </w:p>
      </w:tc>
      <w:tc>
        <w:tcPr>
          <w:tcW w:w="7767" w:type="dxa"/>
        </w:tcPr>
        <w:p w14:paraId="15E26B39" w14:textId="7081BDF3" w:rsidR="00EE7FD6" w:rsidRPr="0013739A" w:rsidRDefault="00EE7FD6" w:rsidP="00F52FB7">
          <w:pPr>
            <w:pStyle w:val="Footer"/>
            <w:rPr>
              <w:rFonts w:cs="Arial"/>
            </w:rPr>
          </w:pPr>
          <w:r>
            <w:rPr>
              <w:rFonts w:cs="Arial"/>
            </w:rPr>
            <w:t>Overcoming Indigenous Disadvantage 2020</w:t>
          </w:r>
          <w:bookmarkStart w:id="4" w:name="DraftReportEven"/>
          <w:bookmarkEnd w:id="4"/>
        </w:p>
      </w:tc>
      <w:tc>
        <w:tcPr>
          <w:tcW w:w="510" w:type="dxa"/>
        </w:tcPr>
        <w:p w14:paraId="2A382A86" w14:textId="77777777" w:rsidR="00EE7FD6" w:rsidRDefault="00EE7FD6" w:rsidP="0019293B">
          <w:pPr>
            <w:pStyle w:val="Footer"/>
          </w:pPr>
        </w:p>
      </w:tc>
    </w:tr>
  </w:tbl>
  <w:p w14:paraId="4775CA50" w14:textId="77777777" w:rsidR="00EE7FD6" w:rsidRDefault="00EE7FD6"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E7FD6" w14:paraId="70F24F92" w14:textId="77777777" w:rsidTr="00B31E15">
      <w:trPr>
        <w:trHeight w:hRule="exact" w:val="567"/>
      </w:trPr>
      <w:tc>
        <w:tcPr>
          <w:tcW w:w="510" w:type="dxa"/>
        </w:tcPr>
        <w:p w14:paraId="6D17CABF" w14:textId="77777777" w:rsidR="00EE7FD6" w:rsidRDefault="00EE7FD6">
          <w:pPr>
            <w:pStyle w:val="Footer"/>
            <w:ind w:right="360" w:firstLine="360"/>
          </w:pPr>
        </w:p>
      </w:tc>
      <w:tc>
        <w:tcPr>
          <w:tcW w:w="7767" w:type="dxa"/>
        </w:tcPr>
        <w:p w14:paraId="44CA02DD" w14:textId="31B51459" w:rsidR="00EE7FD6" w:rsidRPr="00BA5B14" w:rsidRDefault="00EE7FD6" w:rsidP="00AE7384">
          <w:pPr>
            <w:pStyle w:val="Footer"/>
            <w:jc w:val="right"/>
            <w:rPr>
              <w:rFonts w:cs="Arial"/>
            </w:rPr>
          </w:pPr>
          <w:r>
            <w:rPr>
              <w:rFonts w:cs="Arial"/>
            </w:rPr>
            <w:t>ABOUT THIS REPORT</w:t>
          </w:r>
        </w:p>
      </w:tc>
      <w:tc>
        <w:tcPr>
          <w:tcW w:w="510" w:type="dxa"/>
        </w:tcPr>
        <w:p w14:paraId="14DCAD55" w14:textId="77777777" w:rsidR="00EE7FD6" w:rsidRPr="00A24443" w:rsidRDefault="00EE7FD6">
          <w:pPr>
            <w:pStyle w:val="Footer"/>
            <w:jc w:val="right"/>
            <w:rPr>
              <w:caps w:val="0"/>
            </w:rPr>
          </w:pPr>
          <w:r>
            <w:rPr>
              <w:rStyle w:val="PageNumber"/>
              <w:caps w:val="0"/>
            </w:rPr>
            <w:t>1.</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C5D0C">
            <w:rPr>
              <w:rStyle w:val="PageNumber"/>
              <w:caps w:val="0"/>
              <w:noProof/>
            </w:rPr>
            <w:t>1</w:t>
          </w:r>
          <w:r w:rsidRPr="00A24443">
            <w:rPr>
              <w:rStyle w:val="PageNumber"/>
              <w:caps w:val="0"/>
            </w:rPr>
            <w:fldChar w:fldCharType="end"/>
          </w:r>
        </w:p>
      </w:tc>
    </w:tr>
  </w:tbl>
  <w:p w14:paraId="1AE38F00" w14:textId="77777777" w:rsidR="00EE7FD6" w:rsidRDefault="00EE7FD6">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37986" w14:textId="77777777" w:rsidR="00EE7FD6" w:rsidRDefault="00EE7FD6">
      <w:r>
        <w:separator/>
      </w:r>
    </w:p>
  </w:footnote>
  <w:footnote w:type="continuationSeparator" w:id="0">
    <w:p w14:paraId="60FF5B24" w14:textId="77777777" w:rsidR="00EE7FD6" w:rsidRDefault="00EE7FD6">
      <w:r>
        <w:continuationSeparator/>
      </w:r>
    </w:p>
  </w:footnote>
  <w:footnote w:id="1">
    <w:p w14:paraId="46F20C82" w14:textId="1EF7E2B0" w:rsidR="00EE7FD6" w:rsidRDefault="00EE7FD6">
      <w:pPr>
        <w:pStyle w:val="FootnoteText"/>
      </w:pPr>
      <w:r w:rsidRPr="008B547C">
        <w:rPr>
          <w:rStyle w:val="FootnoteReference"/>
        </w:rPr>
        <w:footnoteRef/>
      </w:r>
      <w:r>
        <w:tab/>
        <w:t xml:space="preserve">Information on the origins of the </w:t>
      </w:r>
      <w:proofErr w:type="spellStart"/>
      <w:r>
        <w:t>OID</w:t>
      </w:r>
      <w:proofErr w:type="spellEnd"/>
      <w:r>
        <w:t xml:space="preserve"> report is available in the 2016 edition (chapter 1).</w:t>
      </w:r>
    </w:p>
  </w:footnote>
  <w:footnote w:id="2">
    <w:p w14:paraId="4ED6B3B0" w14:textId="6DF74485" w:rsidR="00EE7FD6" w:rsidRDefault="00EE7FD6">
      <w:pPr>
        <w:pStyle w:val="FootnoteText"/>
      </w:pPr>
      <w:r w:rsidRPr="008B547C">
        <w:rPr>
          <w:rStyle w:val="FootnoteReference"/>
        </w:rPr>
        <w:footnoteRef/>
      </w:r>
      <w:r>
        <w:tab/>
        <w:t>More information on the limitations of current data sets and the benefits of regional data is included in appendix A.</w:t>
      </w:r>
    </w:p>
  </w:footnote>
  <w:footnote w:id="3">
    <w:p w14:paraId="1DB84653" w14:textId="77777777" w:rsidR="00EE7FD6" w:rsidRDefault="00EE7FD6">
      <w:pPr>
        <w:pStyle w:val="FootnoteText"/>
      </w:pPr>
      <w:r w:rsidRPr="008B547C">
        <w:rPr>
          <w:rStyle w:val="FootnoteReference"/>
        </w:rPr>
        <w:footnoteRef/>
      </w:r>
      <w:r>
        <w:tab/>
      </w:r>
      <w:r w:rsidRPr="00A02656">
        <w:t>Counted as six or more people killed.</w:t>
      </w:r>
    </w:p>
  </w:footnote>
  <w:footnote w:id="4">
    <w:p w14:paraId="416E9A65" w14:textId="4C296AFC" w:rsidR="00EE7FD6" w:rsidRDefault="00EE7FD6" w:rsidP="00AE704E">
      <w:pPr>
        <w:pStyle w:val="FootnoteText"/>
        <w:shd w:val="clear" w:color="auto" w:fill="FFFFFF" w:themeFill="background1"/>
      </w:pPr>
      <w:r w:rsidRPr="008B547C">
        <w:rPr>
          <w:rStyle w:val="FootnoteReference"/>
        </w:rPr>
        <w:footnoteRef/>
      </w:r>
      <w:r>
        <w:tab/>
      </w:r>
      <w:r w:rsidRPr="00011883">
        <w:rPr>
          <w:shd w:val="clear" w:color="auto" w:fill="FFFFFF" w:themeFill="background1"/>
        </w:rPr>
        <w:t xml:space="preserve">Estimate is based on the Stolen Generations proxy population of 17 150 surviving members plus the number of descendants </w:t>
      </w:r>
      <w:r w:rsidRPr="00AE704E">
        <w:rPr>
          <w:shd w:val="clear" w:color="auto" w:fill="FFFFFF" w:themeFill="background1"/>
        </w:rPr>
        <w:t>(133 400) (in 2018). Descenda</w:t>
      </w:r>
      <w:r w:rsidRPr="00011883">
        <w:rPr>
          <w:shd w:val="clear" w:color="auto" w:fill="FFFFFF" w:themeFill="background1"/>
        </w:rPr>
        <w:t>nts are defined as people aged 18</w:t>
      </w:r>
      <w:r>
        <w:rPr>
          <w:shd w:val="clear" w:color="auto" w:fill="FFFFFF" w:themeFill="background1"/>
        </w:rPr>
        <w:t xml:space="preserve"> years</w:t>
      </w:r>
      <w:r w:rsidRPr="00011883">
        <w:rPr>
          <w:shd w:val="clear" w:color="auto" w:fill="FFFFFF" w:themeFill="background1"/>
        </w:rPr>
        <w:t xml:space="preserve"> or over who reported having elder relatives (great/grandparents, parents, or uncles and aunts) removed </w:t>
      </w:r>
      <w:r w:rsidRPr="00011883">
        <w:rPr>
          <w:szCs w:val="24"/>
          <w:shd w:val="clear" w:color="auto" w:fill="FFFFFF" w:themeFill="background1"/>
        </w:rPr>
        <w:t>(AIHW 2018)</w:t>
      </w:r>
      <w:r w:rsidRPr="00011883">
        <w:rPr>
          <w:shd w:val="clear" w:color="auto" w:fill="FFFFFF" w:themeFill="background1"/>
        </w:rPr>
        <w:t>.</w:t>
      </w:r>
    </w:p>
  </w:footnote>
  <w:footnote w:id="5">
    <w:p w14:paraId="4B25F007" w14:textId="15F283CD" w:rsidR="00EE7FD6" w:rsidRDefault="00EE7FD6" w:rsidP="00AE704E">
      <w:pPr>
        <w:pStyle w:val="FootnoteText"/>
        <w:shd w:val="clear" w:color="auto" w:fill="FFFFFF" w:themeFill="background1"/>
      </w:pPr>
      <w:r w:rsidRPr="008B547C">
        <w:rPr>
          <w:rStyle w:val="FootnoteReference"/>
        </w:rPr>
        <w:footnoteRef/>
      </w:r>
      <w:r>
        <w:tab/>
        <w:t>NADOC later became NAIDOC to include Torres Strait Islander people.</w:t>
      </w:r>
    </w:p>
  </w:footnote>
  <w:footnote w:id="6">
    <w:p w14:paraId="0976267F" w14:textId="74CF736E" w:rsidR="00EE7FD6" w:rsidRDefault="00EE7FD6">
      <w:pPr>
        <w:pStyle w:val="FootnoteText"/>
      </w:pPr>
      <w:r w:rsidRPr="008B547C">
        <w:rPr>
          <w:rStyle w:val="FootnoteReference"/>
        </w:rPr>
        <w:footnoteRef/>
      </w:r>
      <w:r>
        <w:t xml:space="preserve"> In all censuses up until 1966, the Bureau of Census and Statistics (now the ABS) included ‘aboriginal natives’ in the Census count but published them in attachments to the official population count </w:t>
      </w:r>
      <w:r w:rsidRPr="00271273">
        <w:rPr>
          <w:szCs w:val="24"/>
        </w:rPr>
        <w:t>(</w:t>
      </w:r>
      <w:proofErr w:type="spellStart"/>
      <w:r w:rsidRPr="00271273">
        <w:rPr>
          <w:szCs w:val="24"/>
        </w:rPr>
        <w:t>FaHCSIA</w:t>
      </w:r>
      <w:proofErr w:type="spellEnd"/>
      <w:r w:rsidRPr="00271273">
        <w:rPr>
          <w:szCs w:val="24"/>
        </w:rPr>
        <w:t> 2012, p. 21)</w:t>
      </w:r>
      <w:r>
        <w:t>.</w:t>
      </w:r>
    </w:p>
  </w:footnote>
  <w:footnote w:id="7">
    <w:p w14:paraId="14AF8379" w14:textId="77777777" w:rsidR="00EE7FD6" w:rsidRDefault="00EE7FD6">
      <w:pPr>
        <w:pStyle w:val="FootnoteText"/>
      </w:pPr>
      <w:r w:rsidRPr="008B547C">
        <w:rPr>
          <w:rStyle w:val="FootnoteReference"/>
        </w:rPr>
        <w:footnoteRef/>
      </w:r>
      <w:r>
        <w:tab/>
        <w:t xml:space="preserve">See chapter 4, section </w:t>
      </w:r>
      <w:r w:rsidRPr="00EA3A66">
        <w:t xml:space="preserve">4.7 </w:t>
      </w:r>
      <w:r w:rsidRPr="00952AD8">
        <w:rPr>
          <w:i/>
        </w:rPr>
        <w:t xml:space="preserve">Employment </w:t>
      </w:r>
      <w:r>
        <w:t>for further information on employment programs over time.</w:t>
      </w:r>
    </w:p>
  </w:footnote>
  <w:footnote w:id="8">
    <w:p w14:paraId="2C536850" w14:textId="77777777" w:rsidR="00EE7FD6" w:rsidRPr="002A4E47" w:rsidRDefault="00EE7FD6">
      <w:pPr>
        <w:pStyle w:val="FootnoteText"/>
      </w:pPr>
      <w:r w:rsidRPr="008B547C">
        <w:rPr>
          <w:rStyle w:val="FootnoteReference"/>
        </w:rPr>
        <w:footnoteRef/>
      </w:r>
      <w:r>
        <w:tab/>
      </w:r>
      <w:r w:rsidRPr="002A4E47">
        <w:t>Following the abolition of ATSIC in 2004, there was no national Aboriginal and Torres Strait Islander representative body until the establishment in 2010 of the National Congress of Australia’s First Peoples. Made up of Aboriginal and Torres Strait Islander individuals and organisations, it provided independent advocacy on behalf of First Nations peoples in Australia (National Congress of Australia’s First Peoples nd).</w:t>
      </w:r>
      <w:r>
        <w:t>It was or</w:t>
      </w:r>
      <w:r w:rsidRPr="002A4E47">
        <w:t xml:space="preserve">iginally funded by the Commonwealth Government, </w:t>
      </w:r>
      <w:r>
        <w:t xml:space="preserve">but </w:t>
      </w:r>
      <w:r w:rsidRPr="002A4E47">
        <w:t>this support was withdrawn in the May 2014 budget. The National Congress entered voluntary administration in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EE7FD6" w14:paraId="68867613" w14:textId="77777777">
      <w:tc>
        <w:tcPr>
          <w:tcW w:w="2155" w:type="dxa"/>
          <w:tcBorders>
            <w:top w:val="single" w:sz="24" w:space="0" w:color="auto"/>
          </w:tcBorders>
        </w:tcPr>
        <w:p w14:paraId="4EB0E7D7" w14:textId="77777777" w:rsidR="00EE7FD6" w:rsidRDefault="00EE7FD6" w:rsidP="0019293B">
          <w:pPr>
            <w:pStyle w:val="HeaderEven"/>
          </w:pPr>
        </w:p>
      </w:tc>
      <w:tc>
        <w:tcPr>
          <w:tcW w:w="6634" w:type="dxa"/>
          <w:tcBorders>
            <w:top w:val="single" w:sz="6" w:space="0" w:color="auto"/>
          </w:tcBorders>
        </w:tcPr>
        <w:p w14:paraId="73BB039C" w14:textId="0C61EA8A" w:rsidR="00EE7FD6" w:rsidRDefault="00EE7FD6" w:rsidP="00F467E5">
          <w:pPr>
            <w:pStyle w:val="HeaderEven"/>
          </w:pPr>
        </w:p>
      </w:tc>
    </w:tr>
  </w:tbl>
  <w:p w14:paraId="096CA13B" w14:textId="77777777" w:rsidR="00EE7FD6" w:rsidRDefault="00EE7FD6"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EE7FD6" w14:paraId="792C00FE" w14:textId="77777777">
      <w:tc>
        <w:tcPr>
          <w:tcW w:w="6634" w:type="dxa"/>
          <w:tcBorders>
            <w:top w:val="single" w:sz="6" w:space="0" w:color="auto"/>
          </w:tcBorders>
        </w:tcPr>
        <w:p w14:paraId="5B337800" w14:textId="034EA057" w:rsidR="00EE7FD6" w:rsidRDefault="00EE7FD6" w:rsidP="00952AD8">
          <w:pPr>
            <w:pStyle w:val="HeaderOdd"/>
          </w:pPr>
        </w:p>
      </w:tc>
      <w:tc>
        <w:tcPr>
          <w:tcW w:w="2155" w:type="dxa"/>
          <w:tcBorders>
            <w:top w:val="single" w:sz="24" w:space="0" w:color="auto"/>
          </w:tcBorders>
        </w:tcPr>
        <w:p w14:paraId="608F6BEB" w14:textId="77777777" w:rsidR="00EE7FD6" w:rsidRDefault="00EE7FD6" w:rsidP="00E669E2">
          <w:pPr>
            <w:pStyle w:val="HeaderOdd"/>
          </w:pPr>
        </w:p>
      </w:tc>
    </w:tr>
  </w:tbl>
  <w:p w14:paraId="282EFC52" w14:textId="77777777" w:rsidR="00EE7FD6" w:rsidRDefault="00EE7FD6"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4"/>
  </w:num>
  <w:num w:numId="3">
    <w:abstractNumId w:val="19"/>
  </w:num>
  <w:num w:numId="4">
    <w:abstractNumId w:val="2"/>
  </w:num>
  <w:num w:numId="5">
    <w:abstractNumId w:val="13"/>
  </w:num>
  <w:num w:numId="6">
    <w:abstractNumId w:val="3"/>
  </w:num>
  <w:num w:numId="7">
    <w:abstractNumId w:val="18"/>
  </w:num>
  <w:num w:numId="8">
    <w:abstractNumId w:val="15"/>
  </w:num>
  <w:num w:numId="9">
    <w:abstractNumId w:val="20"/>
  </w:num>
  <w:num w:numId="10">
    <w:abstractNumId w:val="9"/>
  </w:num>
  <w:num w:numId="11">
    <w:abstractNumId w:val="7"/>
  </w:num>
  <w:num w:numId="12">
    <w:abstractNumId w:val="14"/>
  </w:num>
  <w:num w:numId="13">
    <w:abstractNumId w:val="6"/>
  </w:num>
  <w:num w:numId="14">
    <w:abstractNumId w:val="5"/>
  </w:num>
  <w:num w:numId="15">
    <w:abstractNumId w:val="10"/>
  </w:num>
  <w:num w:numId="16">
    <w:abstractNumId w:val="12"/>
  </w:num>
  <w:num w:numId="17">
    <w:abstractNumId w:val="16"/>
  </w:num>
  <w:num w:numId="18">
    <w:abstractNumId w:val="17"/>
  </w:num>
  <w:num w:numId="19">
    <w:abstractNumId w:val="8"/>
  </w:num>
  <w:num w:numId="20">
    <w:abstractNumId w:val="0"/>
  </w:num>
  <w:num w:numId="21">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2">
    <w:abstractNumId w:val="1"/>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ABOUT THIS REPORT"/>
    <w:docVar w:name="ShortReportTitle" w:val="Overcoming Indigenous Disadvantage 2020"/>
  </w:docVars>
  <w:rsids>
    <w:rsidRoot w:val="001F1CD5"/>
    <w:rsid w:val="000009E9"/>
    <w:rsid w:val="00000B0F"/>
    <w:rsid w:val="00000CE1"/>
    <w:rsid w:val="00002177"/>
    <w:rsid w:val="00002DD4"/>
    <w:rsid w:val="00002E56"/>
    <w:rsid w:val="00003A64"/>
    <w:rsid w:val="00007BD7"/>
    <w:rsid w:val="00010D71"/>
    <w:rsid w:val="00010DD0"/>
    <w:rsid w:val="00011883"/>
    <w:rsid w:val="00011DCA"/>
    <w:rsid w:val="00014807"/>
    <w:rsid w:val="0001566E"/>
    <w:rsid w:val="000225F3"/>
    <w:rsid w:val="000227D5"/>
    <w:rsid w:val="000245AA"/>
    <w:rsid w:val="00025DAE"/>
    <w:rsid w:val="00026E02"/>
    <w:rsid w:val="000275F2"/>
    <w:rsid w:val="00027B5B"/>
    <w:rsid w:val="00031171"/>
    <w:rsid w:val="0003248C"/>
    <w:rsid w:val="000328A2"/>
    <w:rsid w:val="0003664B"/>
    <w:rsid w:val="0003796A"/>
    <w:rsid w:val="00037AAA"/>
    <w:rsid w:val="000400F5"/>
    <w:rsid w:val="0004111F"/>
    <w:rsid w:val="00041346"/>
    <w:rsid w:val="00045984"/>
    <w:rsid w:val="000565B3"/>
    <w:rsid w:val="00057779"/>
    <w:rsid w:val="00060212"/>
    <w:rsid w:val="0006111F"/>
    <w:rsid w:val="000611BF"/>
    <w:rsid w:val="00065796"/>
    <w:rsid w:val="00066F12"/>
    <w:rsid w:val="0007150B"/>
    <w:rsid w:val="000748E9"/>
    <w:rsid w:val="00077B73"/>
    <w:rsid w:val="000809D0"/>
    <w:rsid w:val="00081700"/>
    <w:rsid w:val="00087E18"/>
    <w:rsid w:val="000905E1"/>
    <w:rsid w:val="00092DC7"/>
    <w:rsid w:val="000938F5"/>
    <w:rsid w:val="0009396B"/>
    <w:rsid w:val="00095B38"/>
    <w:rsid w:val="00096873"/>
    <w:rsid w:val="00096E55"/>
    <w:rsid w:val="00097026"/>
    <w:rsid w:val="000A2732"/>
    <w:rsid w:val="000A5A81"/>
    <w:rsid w:val="000B1DC8"/>
    <w:rsid w:val="000B2E4D"/>
    <w:rsid w:val="000B373A"/>
    <w:rsid w:val="000B601B"/>
    <w:rsid w:val="000C07CD"/>
    <w:rsid w:val="000C207E"/>
    <w:rsid w:val="000C3F81"/>
    <w:rsid w:val="000C4A6A"/>
    <w:rsid w:val="000C7298"/>
    <w:rsid w:val="000D175D"/>
    <w:rsid w:val="000E350A"/>
    <w:rsid w:val="000E352E"/>
    <w:rsid w:val="000E596F"/>
    <w:rsid w:val="000F0035"/>
    <w:rsid w:val="000F0522"/>
    <w:rsid w:val="000F2139"/>
    <w:rsid w:val="000F3FA4"/>
    <w:rsid w:val="000F420B"/>
    <w:rsid w:val="001015E6"/>
    <w:rsid w:val="00105DC6"/>
    <w:rsid w:val="00110116"/>
    <w:rsid w:val="001165E5"/>
    <w:rsid w:val="00120072"/>
    <w:rsid w:val="00120501"/>
    <w:rsid w:val="001252EE"/>
    <w:rsid w:val="001260DE"/>
    <w:rsid w:val="00126EB8"/>
    <w:rsid w:val="001274D4"/>
    <w:rsid w:val="00130D35"/>
    <w:rsid w:val="00135C5C"/>
    <w:rsid w:val="00135D75"/>
    <w:rsid w:val="001363AA"/>
    <w:rsid w:val="00136CD3"/>
    <w:rsid w:val="001445C6"/>
    <w:rsid w:val="00145227"/>
    <w:rsid w:val="0014552A"/>
    <w:rsid w:val="00160237"/>
    <w:rsid w:val="00165D9E"/>
    <w:rsid w:val="00175C95"/>
    <w:rsid w:val="00177C90"/>
    <w:rsid w:val="00181691"/>
    <w:rsid w:val="00183E82"/>
    <w:rsid w:val="001878BB"/>
    <w:rsid w:val="00191AE0"/>
    <w:rsid w:val="0019293B"/>
    <w:rsid w:val="0019426B"/>
    <w:rsid w:val="00195C2A"/>
    <w:rsid w:val="001A2705"/>
    <w:rsid w:val="001A6CA0"/>
    <w:rsid w:val="001B53E9"/>
    <w:rsid w:val="001C0865"/>
    <w:rsid w:val="001C3ABA"/>
    <w:rsid w:val="001C7292"/>
    <w:rsid w:val="001D1D91"/>
    <w:rsid w:val="001D739E"/>
    <w:rsid w:val="001E2837"/>
    <w:rsid w:val="001E7BE8"/>
    <w:rsid w:val="001F0248"/>
    <w:rsid w:val="001F1B02"/>
    <w:rsid w:val="001F1CD5"/>
    <w:rsid w:val="001F364F"/>
    <w:rsid w:val="001F3EB3"/>
    <w:rsid w:val="001F4F86"/>
    <w:rsid w:val="001F5F23"/>
    <w:rsid w:val="00200E82"/>
    <w:rsid w:val="00201E72"/>
    <w:rsid w:val="00202C2C"/>
    <w:rsid w:val="00212FF5"/>
    <w:rsid w:val="002135AB"/>
    <w:rsid w:val="002144BE"/>
    <w:rsid w:val="00216253"/>
    <w:rsid w:val="00222979"/>
    <w:rsid w:val="002268E5"/>
    <w:rsid w:val="00231222"/>
    <w:rsid w:val="00234CC6"/>
    <w:rsid w:val="00235346"/>
    <w:rsid w:val="002360A3"/>
    <w:rsid w:val="00242193"/>
    <w:rsid w:val="00242279"/>
    <w:rsid w:val="00242D20"/>
    <w:rsid w:val="00245B99"/>
    <w:rsid w:val="00245C82"/>
    <w:rsid w:val="00247ABF"/>
    <w:rsid w:val="002509B9"/>
    <w:rsid w:val="00263DD5"/>
    <w:rsid w:val="00270BA9"/>
    <w:rsid w:val="0027117A"/>
    <w:rsid w:val="00271273"/>
    <w:rsid w:val="002719CB"/>
    <w:rsid w:val="0027266D"/>
    <w:rsid w:val="002729BD"/>
    <w:rsid w:val="002865DF"/>
    <w:rsid w:val="00287508"/>
    <w:rsid w:val="002901A7"/>
    <w:rsid w:val="00291B40"/>
    <w:rsid w:val="002A4E47"/>
    <w:rsid w:val="002B0E4E"/>
    <w:rsid w:val="002B219D"/>
    <w:rsid w:val="002B4008"/>
    <w:rsid w:val="002B4575"/>
    <w:rsid w:val="002C2286"/>
    <w:rsid w:val="002C5594"/>
    <w:rsid w:val="002C5EA2"/>
    <w:rsid w:val="002C6DAB"/>
    <w:rsid w:val="002C7EA2"/>
    <w:rsid w:val="002D0E8E"/>
    <w:rsid w:val="002D3F9F"/>
    <w:rsid w:val="002D5512"/>
    <w:rsid w:val="002D5C1E"/>
    <w:rsid w:val="002E042B"/>
    <w:rsid w:val="002E5D55"/>
    <w:rsid w:val="002E6982"/>
    <w:rsid w:val="002F359A"/>
    <w:rsid w:val="002F36EF"/>
    <w:rsid w:val="002F7365"/>
    <w:rsid w:val="00301189"/>
    <w:rsid w:val="003024DE"/>
    <w:rsid w:val="00306D4D"/>
    <w:rsid w:val="003138F6"/>
    <w:rsid w:val="003176CD"/>
    <w:rsid w:val="00320D0E"/>
    <w:rsid w:val="003238F6"/>
    <w:rsid w:val="00323E09"/>
    <w:rsid w:val="00324A72"/>
    <w:rsid w:val="003300CC"/>
    <w:rsid w:val="00331F4B"/>
    <w:rsid w:val="00333932"/>
    <w:rsid w:val="0034080D"/>
    <w:rsid w:val="00340C10"/>
    <w:rsid w:val="0034501C"/>
    <w:rsid w:val="0034653D"/>
    <w:rsid w:val="00350E68"/>
    <w:rsid w:val="003518AA"/>
    <w:rsid w:val="00352165"/>
    <w:rsid w:val="00353182"/>
    <w:rsid w:val="003565D9"/>
    <w:rsid w:val="0035741B"/>
    <w:rsid w:val="003602E1"/>
    <w:rsid w:val="00361790"/>
    <w:rsid w:val="0037026F"/>
    <w:rsid w:val="003706B2"/>
    <w:rsid w:val="00371240"/>
    <w:rsid w:val="003729DA"/>
    <w:rsid w:val="00372B87"/>
    <w:rsid w:val="00372E05"/>
    <w:rsid w:val="00374731"/>
    <w:rsid w:val="00376E59"/>
    <w:rsid w:val="0038619F"/>
    <w:rsid w:val="003912AE"/>
    <w:rsid w:val="003919F9"/>
    <w:rsid w:val="00393210"/>
    <w:rsid w:val="003A317F"/>
    <w:rsid w:val="003A6BFD"/>
    <w:rsid w:val="003B6E58"/>
    <w:rsid w:val="003C0BDB"/>
    <w:rsid w:val="003C38B5"/>
    <w:rsid w:val="003C5554"/>
    <w:rsid w:val="003C5D99"/>
    <w:rsid w:val="003C7943"/>
    <w:rsid w:val="003D0582"/>
    <w:rsid w:val="003D0B71"/>
    <w:rsid w:val="003D796F"/>
    <w:rsid w:val="003E13C5"/>
    <w:rsid w:val="003E1F27"/>
    <w:rsid w:val="003E2F59"/>
    <w:rsid w:val="003E73BD"/>
    <w:rsid w:val="003F0789"/>
    <w:rsid w:val="003F4012"/>
    <w:rsid w:val="003F58BF"/>
    <w:rsid w:val="003F5CAE"/>
    <w:rsid w:val="003F68B1"/>
    <w:rsid w:val="00400921"/>
    <w:rsid w:val="00400FC3"/>
    <w:rsid w:val="00401882"/>
    <w:rsid w:val="0040523C"/>
    <w:rsid w:val="00405D08"/>
    <w:rsid w:val="004073C1"/>
    <w:rsid w:val="004100C8"/>
    <w:rsid w:val="00411DBD"/>
    <w:rsid w:val="00412313"/>
    <w:rsid w:val="00412ACE"/>
    <w:rsid w:val="0041400B"/>
    <w:rsid w:val="00415293"/>
    <w:rsid w:val="00417C7A"/>
    <w:rsid w:val="00417EE9"/>
    <w:rsid w:val="00425F22"/>
    <w:rsid w:val="0042609C"/>
    <w:rsid w:val="00431249"/>
    <w:rsid w:val="0043323E"/>
    <w:rsid w:val="00434B81"/>
    <w:rsid w:val="00434C19"/>
    <w:rsid w:val="00435A1D"/>
    <w:rsid w:val="004363D2"/>
    <w:rsid w:val="004365EF"/>
    <w:rsid w:val="004400FA"/>
    <w:rsid w:val="004429E7"/>
    <w:rsid w:val="00443EC4"/>
    <w:rsid w:val="004462C3"/>
    <w:rsid w:val="00446BC7"/>
    <w:rsid w:val="00450810"/>
    <w:rsid w:val="00456925"/>
    <w:rsid w:val="00460A1B"/>
    <w:rsid w:val="00473FF8"/>
    <w:rsid w:val="00477144"/>
    <w:rsid w:val="0047766B"/>
    <w:rsid w:val="00480D2D"/>
    <w:rsid w:val="0048696F"/>
    <w:rsid w:val="00487B0B"/>
    <w:rsid w:val="00490E38"/>
    <w:rsid w:val="00491380"/>
    <w:rsid w:val="004921B5"/>
    <w:rsid w:val="00492722"/>
    <w:rsid w:val="0049459F"/>
    <w:rsid w:val="004A1C6F"/>
    <w:rsid w:val="004A38DD"/>
    <w:rsid w:val="004A44A2"/>
    <w:rsid w:val="004B43AE"/>
    <w:rsid w:val="004B6B6E"/>
    <w:rsid w:val="004C0DFF"/>
    <w:rsid w:val="004C30ED"/>
    <w:rsid w:val="004C67ED"/>
    <w:rsid w:val="004D2888"/>
    <w:rsid w:val="004D50B6"/>
    <w:rsid w:val="004D5675"/>
    <w:rsid w:val="004D79AC"/>
    <w:rsid w:val="004D7C96"/>
    <w:rsid w:val="004D7CB6"/>
    <w:rsid w:val="004E3B86"/>
    <w:rsid w:val="004E4522"/>
    <w:rsid w:val="004E639A"/>
    <w:rsid w:val="004F1432"/>
    <w:rsid w:val="004F38CB"/>
    <w:rsid w:val="00502F4A"/>
    <w:rsid w:val="00505AF7"/>
    <w:rsid w:val="005072F4"/>
    <w:rsid w:val="0051387A"/>
    <w:rsid w:val="00516817"/>
    <w:rsid w:val="00516DEA"/>
    <w:rsid w:val="00517EDE"/>
    <w:rsid w:val="0052126A"/>
    <w:rsid w:val="00523639"/>
    <w:rsid w:val="00525395"/>
    <w:rsid w:val="00526C93"/>
    <w:rsid w:val="0052758B"/>
    <w:rsid w:val="00531FE5"/>
    <w:rsid w:val="00532835"/>
    <w:rsid w:val="005329F5"/>
    <w:rsid w:val="00537247"/>
    <w:rsid w:val="005402FA"/>
    <w:rsid w:val="00542BF9"/>
    <w:rsid w:val="00543E93"/>
    <w:rsid w:val="0054661E"/>
    <w:rsid w:val="00546BDF"/>
    <w:rsid w:val="00546F58"/>
    <w:rsid w:val="0055008D"/>
    <w:rsid w:val="00550CCA"/>
    <w:rsid w:val="00553CB8"/>
    <w:rsid w:val="00556846"/>
    <w:rsid w:val="00557E89"/>
    <w:rsid w:val="00566C94"/>
    <w:rsid w:val="00574701"/>
    <w:rsid w:val="0057645E"/>
    <w:rsid w:val="00581AAD"/>
    <w:rsid w:val="00583C39"/>
    <w:rsid w:val="005850E6"/>
    <w:rsid w:val="0058729E"/>
    <w:rsid w:val="00587F28"/>
    <w:rsid w:val="005909CF"/>
    <w:rsid w:val="00591AC3"/>
    <w:rsid w:val="00591E71"/>
    <w:rsid w:val="00594A61"/>
    <w:rsid w:val="00596E3F"/>
    <w:rsid w:val="005A0D41"/>
    <w:rsid w:val="005A1E64"/>
    <w:rsid w:val="005A34C2"/>
    <w:rsid w:val="005A5097"/>
    <w:rsid w:val="005A67A6"/>
    <w:rsid w:val="005A7830"/>
    <w:rsid w:val="005B1443"/>
    <w:rsid w:val="005B347D"/>
    <w:rsid w:val="005B5108"/>
    <w:rsid w:val="005B75EC"/>
    <w:rsid w:val="005B7734"/>
    <w:rsid w:val="005B7902"/>
    <w:rsid w:val="005C3B7D"/>
    <w:rsid w:val="005C662E"/>
    <w:rsid w:val="005C7D26"/>
    <w:rsid w:val="005D27BB"/>
    <w:rsid w:val="005D4C2C"/>
    <w:rsid w:val="005D70AF"/>
    <w:rsid w:val="005E6AB5"/>
    <w:rsid w:val="005E707E"/>
    <w:rsid w:val="005F09F4"/>
    <w:rsid w:val="005F1657"/>
    <w:rsid w:val="005F6F1D"/>
    <w:rsid w:val="0060322B"/>
    <w:rsid w:val="00607BF1"/>
    <w:rsid w:val="00610158"/>
    <w:rsid w:val="00611042"/>
    <w:rsid w:val="00611570"/>
    <w:rsid w:val="00613D27"/>
    <w:rsid w:val="00615715"/>
    <w:rsid w:val="00617E6D"/>
    <w:rsid w:val="00617F85"/>
    <w:rsid w:val="00620510"/>
    <w:rsid w:val="00620930"/>
    <w:rsid w:val="0062184B"/>
    <w:rsid w:val="00621EF1"/>
    <w:rsid w:val="0062682D"/>
    <w:rsid w:val="00627FFC"/>
    <w:rsid w:val="00630D4D"/>
    <w:rsid w:val="006320D4"/>
    <w:rsid w:val="00632A74"/>
    <w:rsid w:val="00633AB8"/>
    <w:rsid w:val="00635A93"/>
    <w:rsid w:val="00640C92"/>
    <w:rsid w:val="00646E62"/>
    <w:rsid w:val="006514E8"/>
    <w:rsid w:val="00654641"/>
    <w:rsid w:val="00656805"/>
    <w:rsid w:val="00675243"/>
    <w:rsid w:val="00675363"/>
    <w:rsid w:val="00675983"/>
    <w:rsid w:val="00682D68"/>
    <w:rsid w:val="006871AD"/>
    <w:rsid w:val="00691239"/>
    <w:rsid w:val="00695DDC"/>
    <w:rsid w:val="006A18BC"/>
    <w:rsid w:val="006A4655"/>
    <w:rsid w:val="006B13EA"/>
    <w:rsid w:val="006B2B3C"/>
    <w:rsid w:val="006B4E71"/>
    <w:rsid w:val="006B6BA2"/>
    <w:rsid w:val="006C1D81"/>
    <w:rsid w:val="006C2C26"/>
    <w:rsid w:val="006C7038"/>
    <w:rsid w:val="006D3609"/>
    <w:rsid w:val="006E5B88"/>
    <w:rsid w:val="006E73EF"/>
    <w:rsid w:val="006E7A98"/>
    <w:rsid w:val="006F2647"/>
    <w:rsid w:val="006F5327"/>
    <w:rsid w:val="006F785D"/>
    <w:rsid w:val="007001C4"/>
    <w:rsid w:val="00705C6A"/>
    <w:rsid w:val="00711346"/>
    <w:rsid w:val="007134C6"/>
    <w:rsid w:val="007139D2"/>
    <w:rsid w:val="00714875"/>
    <w:rsid w:val="00714D4D"/>
    <w:rsid w:val="0071709E"/>
    <w:rsid w:val="0071780F"/>
    <w:rsid w:val="00720D7B"/>
    <w:rsid w:val="0072220F"/>
    <w:rsid w:val="0072568C"/>
    <w:rsid w:val="00735C75"/>
    <w:rsid w:val="00755916"/>
    <w:rsid w:val="007604BB"/>
    <w:rsid w:val="00764E6E"/>
    <w:rsid w:val="0077691B"/>
    <w:rsid w:val="007840E8"/>
    <w:rsid w:val="00784972"/>
    <w:rsid w:val="00785232"/>
    <w:rsid w:val="00785AA0"/>
    <w:rsid w:val="00794C69"/>
    <w:rsid w:val="007A1C3F"/>
    <w:rsid w:val="007A21EB"/>
    <w:rsid w:val="007A48CF"/>
    <w:rsid w:val="007B185A"/>
    <w:rsid w:val="007B1A93"/>
    <w:rsid w:val="007B2A8A"/>
    <w:rsid w:val="007B4336"/>
    <w:rsid w:val="007C36C9"/>
    <w:rsid w:val="007D4833"/>
    <w:rsid w:val="007D6401"/>
    <w:rsid w:val="007E01E4"/>
    <w:rsid w:val="007E2671"/>
    <w:rsid w:val="007E4517"/>
    <w:rsid w:val="007F22D0"/>
    <w:rsid w:val="007F28B3"/>
    <w:rsid w:val="007F4100"/>
    <w:rsid w:val="007F6AD0"/>
    <w:rsid w:val="007F6C50"/>
    <w:rsid w:val="007F7107"/>
    <w:rsid w:val="00800D4C"/>
    <w:rsid w:val="00802BA5"/>
    <w:rsid w:val="00803894"/>
    <w:rsid w:val="008057CC"/>
    <w:rsid w:val="0081030F"/>
    <w:rsid w:val="00811783"/>
    <w:rsid w:val="00811E61"/>
    <w:rsid w:val="00816A43"/>
    <w:rsid w:val="00820840"/>
    <w:rsid w:val="0082087D"/>
    <w:rsid w:val="00825C91"/>
    <w:rsid w:val="00831511"/>
    <w:rsid w:val="00835771"/>
    <w:rsid w:val="008413C5"/>
    <w:rsid w:val="00841957"/>
    <w:rsid w:val="008420E5"/>
    <w:rsid w:val="00842933"/>
    <w:rsid w:val="00844FF0"/>
    <w:rsid w:val="0084574D"/>
    <w:rsid w:val="00845D3B"/>
    <w:rsid w:val="00847991"/>
    <w:rsid w:val="008507F5"/>
    <w:rsid w:val="00852A31"/>
    <w:rsid w:val="0086082C"/>
    <w:rsid w:val="0086184F"/>
    <w:rsid w:val="00863009"/>
    <w:rsid w:val="008648A5"/>
    <w:rsid w:val="00864ADC"/>
    <w:rsid w:val="008700CE"/>
    <w:rsid w:val="00873822"/>
    <w:rsid w:val="008743F2"/>
    <w:rsid w:val="00874DF3"/>
    <w:rsid w:val="00876780"/>
    <w:rsid w:val="00880153"/>
    <w:rsid w:val="00880F97"/>
    <w:rsid w:val="0088133A"/>
    <w:rsid w:val="008873DA"/>
    <w:rsid w:val="008915FA"/>
    <w:rsid w:val="0089285E"/>
    <w:rsid w:val="008928B9"/>
    <w:rsid w:val="0089436C"/>
    <w:rsid w:val="008945A9"/>
    <w:rsid w:val="008947CC"/>
    <w:rsid w:val="0089720B"/>
    <w:rsid w:val="008A1E98"/>
    <w:rsid w:val="008A72BC"/>
    <w:rsid w:val="008B547C"/>
    <w:rsid w:val="008B6F63"/>
    <w:rsid w:val="008C46CC"/>
    <w:rsid w:val="008C503D"/>
    <w:rsid w:val="008C5103"/>
    <w:rsid w:val="008C52D9"/>
    <w:rsid w:val="008C5E30"/>
    <w:rsid w:val="008C7A2F"/>
    <w:rsid w:val="008D2584"/>
    <w:rsid w:val="008D365C"/>
    <w:rsid w:val="008D3D6A"/>
    <w:rsid w:val="008D52CC"/>
    <w:rsid w:val="008D7A2C"/>
    <w:rsid w:val="008E03D2"/>
    <w:rsid w:val="008E1690"/>
    <w:rsid w:val="008E5C9E"/>
    <w:rsid w:val="008E62A1"/>
    <w:rsid w:val="008F5EE2"/>
    <w:rsid w:val="008F6640"/>
    <w:rsid w:val="00900316"/>
    <w:rsid w:val="009010F0"/>
    <w:rsid w:val="009029EA"/>
    <w:rsid w:val="009030BF"/>
    <w:rsid w:val="0090515C"/>
    <w:rsid w:val="00905EC6"/>
    <w:rsid w:val="00907589"/>
    <w:rsid w:val="0091032F"/>
    <w:rsid w:val="00912C16"/>
    <w:rsid w:val="009134C1"/>
    <w:rsid w:val="00914368"/>
    <w:rsid w:val="00920722"/>
    <w:rsid w:val="00920ECA"/>
    <w:rsid w:val="00922355"/>
    <w:rsid w:val="00926AB1"/>
    <w:rsid w:val="00931076"/>
    <w:rsid w:val="00931378"/>
    <w:rsid w:val="00932579"/>
    <w:rsid w:val="00933245"/>
    <w:rsid w:val="009345D9"/>
    <w:rsid w:val="00934B15"/>
    <w:rsid w:val="00935CD1"/>
    <w:rsid w:val="009409A3"/>
    <w:rsid w:val="00940C87"/>
    <w:rsid w:val="0094285E"/>
    <w:rsid w:val="00942B62"/>
    <w:rsid w:val="00951C36"/>
    <w:rsid w:val="00952AD8"/>
    <w:rsid w:val="00952B35"/>
    <w:rsid w:val="0095323B"/>
    <w:rsid w:val="00956A0C"/>
    <w:rsid w:val="00956BD9"/>
    <w:rsid w:val="00956E29"/>
    <w:rsid w:val="00960E33"/>
    <w:rsid w:val="00961EAA"/>
    <w:rsid w:val="00962489"/>
    <w:rsid w:val="00962AE9"/>
    <w:rsid w:val="00963B7B"/>
    <w:rsid w:val="00963F02"/>
    <w:rsid w:val="0096751A"/>
    <w:rsid w:val="00967A7C"/>
    <w:rsid w:val="00974BF3"/>
    <w:rsid w:val="00975B4B"/>
    <w:rsid w:val="00976C09"/>
    <w:rsid w:val="00980729"/>
    <w:rsid w:val="00980DB7"/>
    <w:rsid w:val="00980DD7"/>
    <w:rsid w:val="00981322"/>
    <w:rsid w:val="00986439"/>
    <w:rsid w:val="0098666F"/>
    <w:rsid w:val="00990C2C"/>
    <w:rsid w:val="00994B64"/>
    <w:rsid w:val="009A1BDF"/>
    <w:rsid w:val="009A286B"/>
    <w:rsid w:val="009A4AEF"/>
    <w:rsid w:val="009A586E"/>
    <w:rsid w:val="009A6B25"/>
    <w:rsid w:val="009B44BE"/>
    <w:rsid w:val="009B4A64"/>
    <w:rsid w:val="009B5D92"/>
    <w:rsid w:val="009C0A18"/>
    <w:rsid w:val="009C0D23"/>
    <w:rsid w:val="009C37E2"/>
    <w:rsid w:val="009C48A7"/>
    <w:rsid w:val="009C55BD"/>
    <w:rsid w:val="009D0F7C"/>
    <w:rsid w:val="009D34CB"/>
    <w:rsid w:val="009D63D5"/>
    <w:rsid w:val="009E09B9"/>
    <w:rsid w:val="009E1844"/>
    <w:rsid w:val="009E1974"/>
    <w:rsid w:val="009E3DB3"/>
    <w:rsid w:val="009F0D1B"/>
    <w:rsid w:val="009F1A0B"/>
    <w:rsid w:val="009F2CA9"/>
    <w:rsid w:val="009F34AF"/>
    <w:rsid w:val="009F438B"/>
    <w:rsid w:val="009F68F2"/>
    <w:rsid w:val="009F696D"/>
    <w:rsid w:val="009F6BC6"/>
    <w:rsid w:val="00A0088C"/>
    <w:rsid w:val="00A02656"/>
    <w:rsid w:val="00A03228"/>
    <w:rsid w:val="00A05914"/>
    <w:rsid w:val="00A141F9"/>
    <w:rsid w:val="00A15419"/>
    <w:rsid w:val="00A16C09"/>
    <w:rsid w:val="00A17328"/>
    <w:rsid w:val="00A23A20"/>
    <w:rsid w:val="00A2624F"/>
    <w:rsid w:val="00A268B9"/>
    <w:rsid w:val="00A2703A"/>
    <w:rsid w:val="00A300C4"/>
    <w:rsid w:val="00A30A4F"/>
    <w:rsid w:val="00A312AC"/>
    <w:rsid w:val="00A32205"/>
    <w:rsid w:val="00A322EC"/>
    <w:rsid w:val="00A3267D"/>
    <w:rsid w:val="00A33DFF"/>
    <w:rsid w:val="00A34363"/>
    <w:rsid w:val="00A34F62"/>
    <w:rsid w:val="00A35115"/>
    <w:rsid w:val="00A36D9A"/>
    <w:rsid w:val="00A376B4"/>
    <w:rsid w:val="00A40902"/>
    <w:rsid w:val="00A44682"/>
    <w:rsid w:val="00A52488"/>
    <w:rsid w:val="00A5408B"/>
    <w:rsid w:val="00A54AD3"/>
    <w:rsid w:val="00A554AB"/>
    <w:rsid w:val="00A57062"/>
    <w:rsid w:val="00A57F3A"/>
    <w:rsid w:val="00A6004C"/>
    <w:rsid w:val="00A633BE"/>
    <w:rsid w:val="00A7145F"/>
    <w:rsid w:val="00A76014"/>
    <w:rsid w:val="00A76C75"/>
    <w:rsid w:val="00A80759"/>
    <w:rsid w:val="00A81EDE"/>
    <w:rsid w:val="00A83739"/>
    <w:rsid w:val="00A84CAB"/>
    <w:rsid w:val="00A8651A"/>
    <w:rsid w:val="00A86E6E"/>
    <w:rsid w:val="00A90572"/>
    <w:rsid w:val="00A92B53"/>
    <w:rsid w:val="00A93E00"/>
    <w:rsid w:val="00A94FA6"/>
    <w:rsid w:val="00A96D2A"/>
    <w:rsid w:val="00AA0C23"/>
    <w:rsid w:val="00AA40D9"/>
    <w:rsid w:val="00AA4360"/>
    <w:rsid w:val="00AA49A0"/>
    <w:rsid w:val="00AA4E3E"/>
    <w:rsid w:val="00AA55E0"/>
    <w:rsid w:val="00AA5E33"/>
    <w:rsid w:val="00AA6088"/>
    <w:rsid w:val="00AA6710"/>
    <w:rsid w:val="00AA7CF8"/>
    <w:rsid w:val="00AB03E8"/>
    <w:rsid w:val="00AB0681"/>
    <w:rsid w:val="00AB3ECD"/>
    <w:rsid w:val="00AC0ABB"/>
    <w:rsid w:val="00AC1AA1"/>
    <w:rsid w:val="00AC74A6"/>
    <w:rsid w:val="00AD0E5B"/>
    <w:rsid w:val="00AD520B"/>
    <w:rsid w:val="00AE2935"/>
    <w:rsid w:val="00AE5F45"/>
    <w:rsid w:val="00AE704E"/>
    <w:rsid w:val="00AE7384"/>
    <w:rsid w:val="00AF10C8"/>
    <w:rsid w:val="00AF189F"/>
    <w:rsid w:val="00AF7D33"/>
    <w:rsid w:val="00B050B0"/>
    <w:rsid w:val="00B07D71"/>
    <w:rsid w:val="00B10653"/>
    <w:rsid w:val="00B11B24"/>
    <w:rsid w:val="00B12977"/>
    <w:rsid w:val="00B16556"/>
    <w:rsid w:val="00B2391C"/>
    <w:rsid w:val="00B24489"/>
    <w:rsid w:val="00B309AE"/>
    <w:rsid w:val="00B30B49"/>
    <w:rsid w:val="00B31D1A"/>
    <w:rsid w:val="00B31E15"/>
    <w:rsid w:val="00B3561D"/>
    <w:rsid w:val="00B371C5"/>
    <w:rsid w:val="00B37D25"/>
    <w:rsid w:val="00B420B6"/>
    <w:rsid w:val="00B425C3"/>
    <w:rsid w:val="00B440AD"/>
    <w:rsid w:val="00B448D9"/>
    <w:rsid w:val="00B47546"/>
    <w:rsid w:val="00B479BB"/>
    <w:rsid w:val="00B51540"/>
    <w:rsid w:val="00B53E7E"/>
    <w:rsid w:val="00B6342E"/>
    <w:rsid w:val="00B6497B"/>
    <w:rsid w:val="00B64EEE"/>
    <w:rsid w:val="00B7113F"/>
    <w:rsid w:val="00B758E5"/>
    <w:rsid w:val="00B80BA6"/>
    <w:rsid w:val="00B8239C"/>
    <w:rsid w:val="00B84AC9"/>
    <w:rsid w:val="00B86082"/>
    <w:rsid w:val="00B861A7"/>
    <w:rsid w:val="00B908AE"/>
    <w:rsid w:val="00B950AB"/>
    <w:rsid w:val="00BA73B6"/>
    <w:rsid w:val="00BA7E27"/>
    <w:rsid w:val="00BB2603"/>
    <w:rsid w:val="00BB4FCD"/>
    <w:rsid w:val="00BB7929"/>
    <w:rsid w:val="00BB7DD0"/>
    <w:rsid w:val="00BC04E9"/>
    <w:rsid w:val="00BC0E94"/>
    <w:rsid w:val="00BC1C5C"/>
    <w:rsid w:val="00BC5702"/>
    <w:rsid w:val="00BD13EA"/>
    <w:rsid w:val="00BD36B9"/>
    <w:rsid w:val="00BD6013"/>
    <w:rsid w:val="00BD7A92"/>
    <w:rsid w:val="00BD7F74"/>
    <w:rsid w:val="00BE3808"/>
    <w:rsid w:val="00BE701B"/>
    <w:rsid w:val="00BF0848"/>
    <w:rsid w:val="00BF3689"/>
    <w:rsid w:val="00C062E9"/>
    <w:rsid w:val="00C06A00"/>
    <w:rsid w:val="00C07B64"/>
    <w:rsid w:val="00C07E84"/>
    <w:rsid w:val="00C13721"/>
    <w:rsid w:val="00C13A5A"/>
    <w:rsid w:val="00C14FE4"/>
    <w:rsid w:val="00C16535"/>
    <w:rsid w:val="00C169C5"/>
    <w:rsid w:val="00C17D51"/>
    <w:rsid w:val="00C21B2C"/>
    <w:rsid w:val="00C2289B"/>
    <w:rsid w:val="00C273EB"/>
    <w:rsid w:val="00C3066D"/>
    <w:rsid w:val="00C319C7"/>
    <w:rsid w:val="00C461B3"/>
    <w:rsid w:val="00C50190"/>
    <w:rsid w:val="00C50534"/>
    <w:rsid w:val="00C52416"/>
    <w:rsid w:val="00C531FB"/>
    <w:rsid w:val="00C543F4"/>
    <w:rsid w:val="00C553D5"/>
    <w:rsid w:val="00C56691"/>
    <w:rsid w:val="00C6198A"/>
    <w:rsid w:val="00C6291C"/>
    <w:rsid w:val="00C633CB"/>
    <w:rsid w:val="00C6463E"/>
    <w:rsid w:val="00C70374"/>
    <w:rsid w:val="00C71594"/>
    <w:rsid w:val="00C736B7"/>
    <w:rsid w:val="00C73DCC"/>
    <w:rsid w:val="00C74783"/>
    <w:rsid w:val="00C80492"/>
    <w:rsid w:val="00C81D4A"/>
    <w:rsid w:val="00C83B9C"/>
    <w:rsid w:val="00C84EDC"/>
    <w:rsid w:val="00C8762C"/>
    <w:rsid w:val="00C93407"/>
    <w:rsid w:val="00C9775F"/>
    <w:rsid w:val="00CA0029"/>
    <w:rsid w:val="00CA00F9"/>
    <w:rsid w:val="00CA2961"/>
    <w:rsid w:val="00CA4907"/>
    <w:rsid w:val="00CA6B7C"/>
    <w:rsid w:val="00CB03CA"/>
    <w:rsid w:val="00CB50D7"/>
    <w:rsid w:val="00CB6A8E"/>
    <w:rsid w:val="00CB7177"/>
    <w:rsid w:val="00CC1819"/>
    <w:rsid w:val="00CC1998"/>
    <w:rsid w:val="00CC24DD"/>
    <w:rsid w:val="00CC2F7D"/>
    <w:rsid w:val="00CC3889"/>
    <w:rsid w:val="00CC3DF8"/>
    <w:rsid w:val="00CC3F40"/>
    <w:rsid w:val="00CC4946"/>
    <w:rsid w:val="00CD35C0"/>
    <w:rsid w:val="00CD424B"/>
    <w:rsid w:val="00CD6AA1"/>
    <w:rsid w:val="00CD6FC1"/>
    <w:rsid w:val="00CE339D"/>
    <w:rsid w:val="00CE6A34"/>
    <w:rsid w:val="00CF277C"/>
    <w:rsid w:val="00CF7695"/>
    <w:rsid w:val="00D0295D"/>
    <w:rsid w:val="00D06E52"/>
    <w:rsid w:val="00D15B51"/>
    <w:rsid w:val="00D20661"/>
    <w:rsid w:val="00D26BB2"/>
    <w:rsid w:val="00D270A4"/>
    <w:rsid w:val="00D3045E"/>
    <w:rsid w:val="00D308D0"/>
    <w:rsid w:val="00D30C9C"/>
    <w:rsid w:val="00D31FE9"/>
    <w:rsid w:val="00D33E80"/>
    <w:rsid w:val="00D34E1B"/>
    <w:rsid w:val="00D351E7"/>
    <w:rsid w:val="00D3618F"/>
    <w:rsid w:val="00D376BA"/>
    <w:rsid w:val="00D4147E"/>
    <w:rsid w:val="00D45634"/>
    <w:rsid w:val="00D5568A"/>
    <w:rsid w:val="00D55974"/>
    <w:rsid w:val="00D62485"/>
    <w:rsid w:val="00D63D73"/>
    <w:rsid w:val="00D64452"/>
    <w:rsid w:val="00D66E1E"/>
    <w:rsid w:val="00D70110"/>
    <w:rsid w:val="00D7195E"/>
    <w:rsid w:val="00D74C15"/>
    <w:rsid w:val="00D75722"/>
    <w:rsid w:val="00D75756"/>
    <w:rsid w:val="00D76880"/>
    <w:rsid w:val="00D80CF5"/>
    <w:rsid w:val="00D863AC"/>
    <w:rsid w:val="00D95249"/>
    <w:rsid w:val="00DA4C75"/>
    <w:rsid w:val="00DA5BBA"/>
    <w:rsid w:val="00DB1DCF"/>
    <w:rsid w:val="00DB26D2"/>
    <w:rsid w:val="00DB3024"/>
    <w:rsid w:val="00DB67C9"/>
    <w:rsid w:val="00DB70D2"/>
    <w:rsid w:val="00DB7A4A"/>
    <w:rsid w:val="00DB7EDA"/>
    <w:rsid w:val="00DC0C95"/>
    <w:rsid w:val="00DC36CE"/>
    <w:rsid w:val="00DC5D0C"/>
    <w:rsid w:val="00DD3B6E"/>
    <w:rsid w:val="00DD6580"/>
    <w:rsid w:val="00DD7246"/>
    <w:rsid w:val="00DE370C"/>
    <w:rsid w:val="00DF2714"/>
    <w:rsid w:val="00DF77D9"/>
    <w:rsid w:val="00E001D9"/>
    <w:rsid w:val="00E002FA"/>
    <w:rsid w:val="00E05B55"/>
    <w:rsid w:val="00E05E17"/>
    <w:rsid w:val="00E07518"/>
    <w:rsid w:val="00E103C7"/>
    <w:rsid w:val="00E13E3A"/>
    <w:rsid w:val="00E17C72"/>
    <w:rsid w:val="00E21FC6"/>
    <w:rsid w:val="00E22628"/>
    <w:rsid w:val="00E22D81"/>
    <w:rsid w:val="00E2781F"/>
    <w:rsid w:val="00E27E8F"/>
    <w:rsid w:val="00E32995"/>
    <w:rsid w:val="00E334B3"/>
    <w:rsid w:val="00E41EE0"/>
    <w:rsid w:val="00E42A08"/>
    <w:rsid w:val="00E431A9"/>
    <w:rsid w:val="00E4433F"/>
    <w:rsid w:val="00E4541B"/>
    <w:rsid w:val="00E47136"/>
    <w:rsid w:val="00E57DBC"/>
    <w:rsid w:val="00E60F87"/>
    <w:rsid w:val="00E61F5F"/>
    <w:rsid w:val="00E6224F"/>
    <w:rsid w:val="00E62BA0"/>
    <w:rsid w:val="00E631BD"/>
    <w:rsid w:val="00E669E2"/>
    <w:rsid w:val="00E674D6"/>
    <w:rsid w:val="00E67A29"/>
    <w:rsid w:val="00E716F0"/>
    <w:rsid w:val="00E76135"/>
    <w:rsid w:val="00E766F6"/>
    <w:rsid w:val="00E770CA"/>
    <w:rsid w:val="00E82573"/>
    <w:rsid w:val="00E82F4F"/>
    <w:rsid w:val="00E85795"/>
    <w:rsid w:val="00E85DB1"/>
    <w:rsid w:val="00E878D2"/>
    <w:rsid w:val="00E92EAA"/>
    <w:rsid w:val="00E937F5"/>
    <w:rsid w:val="00EA37E4"/>
    <w:rsid w:val="00EA3A66"/>
    <w:rsid w:val="00EA4FFF"/>
    <w:rsid w:val="00EA5F61"/>
    <w:rsid w:val="00EB0820"/>
    <w:rsid w:val="00EB2500"/>
    <w:rsid w:val="00EB568A"/>
    <w:rsid w:val="00EB571F"/>
    <w:rsid w:val="00EB5BB8"/>
    <w:rsid w:val="00EC1F77"/>
    <w:rsid w:val="00EC2844"/>
    <w:rsid w:val="00EC2ECB"/>
    <w:rsid w:val="00EC3FD4"/>
    <w:rsid w:val="00EC5500"/>
    <w:rsid w:val="00ED0846"/>
    <w:rsid w:val="00ED12C3"/>
    <w:rsid w:val="00ED18F8"/>
    <w:rsid w:val="00ED66DC"/>
    <w:rsid w:val="00ED7B51"/>
    <w:rsid w:val="00EE4181"/>
    <w:rsid w:val="00EE5E85"/>
    <w:rsid w:val="00EE7FD6"/>
    <w:rsid w:val="00EF05B2"/>
    <w:rsid w:val="00EF107E"/>
    <w:rsid w:val="00EF3687"/>
    <w:rsid w:val="00EF6C6C"/>
    <w:rsid w:val="00F056FC"/>
    <w:rsid w:val="00F05955"/>
    <w:rsid w:val="00F06D3E"/>
    <w:rsid w:val="00F10476"/>
    <w:rsid w:val="00F135D8"/>
    <w:rsid w:val="00F15449"/>
    <w:rsid w:val="00F21915"/>
    <w:rsid w:val="00F21A44"/>
    <w:rsid w:val="00F22A7E"/>
    <w:rsid w:val="00F23DBB"/>
    <w:rsid w:val="00F25A29"/>
    <w:rsid w:val="00F26808"/>
    <w:rsid w:val="00F26C29"/>
    <w:rsid w:val="00F27084"/>
    <w:rsid w:val="00F31299"/>
    <w:rsid w:val="00F3534A"/>
    <w:rsid w:val="00F430B0"/>
    <w:rsid w:val="00F45FC7"/>
    <w:rsid w:val="00F467E5"/>
    <w:rsid w:val="00F478FA"/>
    <w:rsid w:val="00F51609"/>
    <w:rsid w:val="00F51DC8"/>
    <w:rsid w:val="00F52FB7"/>
    <w:rsid w:val="00F560AF"/>
    <w:rsid w:val="00F5642E"/>
    <w:rsid w:val="00F61082"/>
    <w:rsid w:val="00F62D0E"/>
    <w:rsid w:val="00F6430A"/>
    <w:rsid w:val="00F67D80"/>
    <w:rsid w:val="00F73AB9"/>
    <w:rsid w:val="00F77EB2"/>
    <w:rsid w:val="00F81006"/>
    <w:rsid w:val="00F81F5B"/>
    <w:rsid w:val="00F85325"/>
    <w:rsid w:val="00F85A83"/>
    <w:rsid w:val="00F86850"/>
    <w:rsid w:val="00F86AF9"/>
    <w:rsid w:val="00F879A7"/>
    <w:rsid w:val="00F92944"/>
    <w:rsid w:val="00F94E26"/>
    <w:rsid w:val="00FA773A"/>
    <w:rsid w:val="00FB24D7"/>
    <w:rsid w:val="00FB4647"/>
    <w:rsid w:val="00FC1F6E"/>
    <w:rsid w:val="00FC4937"/>
    <w:rsid w:val="00FC6C6F"/>
    <w:rsid w:val="00FC6FDA"/>
    <w:rsid w:val="00FD1542"/>
    <w:rsid w:val="00FD22B1"/>
    <w:rsid w:val="00FE424A"/>
    <w:rsid w:val="00FE5397"/>
    <w:rsid w:val="00FE5670"/>
    <w:rsid w:val="00FE6B19"/>
    <w:rsid w:val="00FE6EAD"/>
    <w:rsid w:val="00FF75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3E9CD69E"/>
  <w15:docId w15:val="{DDAA6F5E-20AE-4249-BACD-011B3BB3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C5D0C"/>
    <w:rPr>
      <w:sz w:val="24"/>
      <w:szCs w:val="24"/>
    </w:rPr>
  </w:style>
  <w:style w:type="paragraph" w:styleId="Heading1">
    <w:name w:val="heading 1"/>
    <w:basedOn w:val="BodyText"/>
    <w:next w:val="BodyText"/>
    <w:rsid w:val="00DC5D0C"/>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DC5D0C"/>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DC5D0C"/>
    <w:pPr>
      <w:spacing w:before="560" w:line="320" w:lineRule="exact"/>
      <w:ind w:left="0" w:firstLine="0"/>
      <w:outlineLvl w:val="2"/>
    </w:pPr>
    <w:rPr>
      <w:sz w:val="26"/>
    </w:rPr>
  </w:style>
  <w:style w:type="paragraph" w:styleId="Heading4">
    <w:name w:val="heading 4"/>
    <w:basedOn w:val="Heading3"/>
    <w:next w:val="BodyText"/>
    <w:qFormat/>
    <w:rsid w:val="00DC5D0C"/>
    <w:pPr>
      <w:spacing w:before="480"/>
      <w:outlineLvl w:val="3"/>
    </w:pPr>
    <w:rPr>
      <w:b w:val="0"/>
      <w:sz w:val="24"/>
    </w:rPr>
  </w:style>
  <w:style w:type="paragraph" w:styleId="Heading5">
    <w:name w:val="heading 5"/>
    <w:basedOn w:val="Heading4"/>
    <w:next w:val="BodyText"/>
    <w:link w:val="Heading5Char"/>
    <w:qFormat/>
    <w:rsid w:val="00DC5D0C"/>
    <w:pPr>
      <w:outlineLvl w:val="4"/>
    </w:pPr>
    <w:rPr>
      <w:i/>
      <w:sz w:val="22"/>
    </w:rPr>
  </w:style>
  <w:style w:type="paragraph" w:styleId="Heading6">
    <w:name w:val="heading 6"/>
    <w:basedOn w:val="BodyText"/>
    <w:next w:val="BodyText"/>
    <w:rsid w:val="00DC5D0C"/>
    <w:pPr>
      <w:spacing w:after="60"/>
      <w:jc w:val="left"/>
      <w:outlineLvl w:val="5"/>
    </w:pPr>
    <w:rPr>
      <w:i/>
      <w:sz w:val="22"/>
    </w:rPr>
  </w:style>
  <w:style w:type="paragraph" w:styleId="Heading7">
    <w:name w:val="heading 7"/>
    <w:basedOn w:val="BodyText"/>
    <w:next w:val="BodyText"/>
    <w:rsid w:val="00DC5D0C"/>
    <w:pPr>
      <w:spacing w:after="60" w:line="240" w:lineRule="auto"/>
      <w:jc w:val="left"/>
      <w:outlineLvl w:val="6"/>
    </w:pPr>
    <w:rPr>
      <w:rFonts w:ascii="Arial" w:hAnsi="Arial"/>
      <w:sz w:val="20"/>
    </w:rPr>
  </w:style>
  <w:style w:type="paragraph" w:styleId="Heading8">
    <w:name w:val="heading 8"/>
    <w:basedOn w:val="BodyText"/>
    <w:next w:val="BodyText"/>
    <w:rsid w:val="00DC5D0C"/>
    <w:pPr>
      <w:spacing w:after="60" w:line="240" w:lineRule="auto"/>
      <w:jc w:val="left"/>
      <w:outlineLvl w:val="7"/>
    </w:pPr>
    <w:rPr>
      <w:rFonts w:ascii="Arial" w:hAnsi="Arial"/>
      <w:i/>
      <w:sz w:val="20"/>
    </w:rPr>
  </w:style>
  <w:style w:type="paragraph" w:styleId="Heading9">
    <w:name w:val="heading 9"/>
    <w:basedOn w:val="BodyText"/>
    <w:next w:val="BodyText"/>
    <w:rsid w:val="00DC5D0C"/>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DC5D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5D0C"/>
  </w:style>
  <w:style w:type="paragraph" w:styleId="BodyText">
    <w:name w:val="Body Text"/>
    <w:link w:val="BodyTextChar"/>
    <w:qFormat/>
    <w:rsid w:val="00DC5D0C"/>
    <w:pPr>
      <w:spacing w:before="240" w:line="300" w:lineRule="atLeast"/>
      <w:jc w:val="both"/>
    </w:pPr>
    <w:rPr>
      <w:sz w:val="24"/>
    </w:rPr>
  </w:style>
  <w:style w:type="paragraph" w:styleId="Footer">
    <w:name w:val="footer"/>
    <w:basedOn w:val="BodyText"/>
    <w:link w:val="FooterChar"/>
    <w:rsid w:val="00DC5D0C"/>
    <w:pPr>
      <w:spacing w:before="80" w:line="200" w:lineRule="exact"/>
      <w:ind w:right="6"/>
      <w:jc w:val="left"/>
    </w:pPr>
    <w:rPr>
      <w:rFonts w:ascii="Arial" w:hAnsi="Arial"/>
      <w:caps/>
      <w:spacing w:val="-4"/>
      <w:sz w:val="16"/>
    </w:rPr>
  </w:style>
  <w:style w:type="paragraph" w:customStyle="1" w:styleId="FooterEnd">
    <w:name w:val="Footer End"/>
    <w:basedOn w:val="Footer"/>
    <w:rsid w:val="00DC5D0C"/>
    <w:pPr>
      <w:spacing w:before="0" w:line="20" w:lineRule="exact"/>
    </w:pPr>
  </w:style>
  <w:style w:type="paragraph" w:styleId="Header">
    <w:name w:val="header"/>
    <w:basedOn w:val="BodyText"/>
    <w:rsid w:val="00DC5D0C"/>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DC5D0C"/>
    <w:pPr>
      <w:spacing w:line="20" w:lineRule="exact"/>
    </w:pPr>
    <w:rPr>
      <w:sz w:val="16"/>
    </w:rPr>
  </w:style>
  <w:style w:type="paragraph" w:customStyle="1" w:styleId="HeaderEven">
    <w:name w:val="Header Even"/>
    <w:basedOn w:val="Header"/>
    <w:semiHidden/>
    <w:rsid w:val="00DC5D0C"/>
  </w:style>
  <w:style w:type="paragraph" w:customStyle="1" w:styleId="HeaderOdd">
    <w:name w:val="Header Odd"/>
    <w:basedOn w:val="Header"/>
    <w:semiHidden/>
    <w:rsid w:val="00DC5D0C"/>
  </w:style>
  <w:style w:type="character" w:styleId="PageNumber">
    <w:name w:val="page number"/>
    <w:basedOn w:val="DefaultParagraphFont"/>
    <w:rsid w:val="00DC5D0C"/>
    <w:rPr>
      <w:rFonts w:ascii="Arial" w:hAnsi="Arial"/>
      <w:b/>
      <w:sz w:val="16"/>
    </w:rPr>
  </w:style>
  <w:style w:type="paragraph" w:customStyle="1" w:styleId="Abbreviation">
    <w:name w:val="Abbreviation"/>
    <w:basedOn w:val="BodyText"/>
    <w:rsid w:val="00DC5D0C"/>
    <w:pPr>
      <w:spacing w:before="120"/>
      <w:ind w:left="2381" w:hanging="2381"/>
      <w:jc w:val="left"/>
    </w:pPr>
  </w:style>
  <w:style w:type="paragraph" w:customStyle="1" w:styleId="Box">
    <w:name w:val="Box"/>
    <w:basedOn w:val="BodyText"/>
    <w:link w:val="BoxChar"/>
    <w:qFormat/>
    <w:rsid w:val="00DC5D0C"/>
    <w:pPr>
      <w:keepNext/>
      <w:spacing w:before="120" w:line="260" w:lineRule="atLeast"/>
    </w:pPr>
    <w:rPr>
      <w:rFonts w:ascii="Arial" w:hAnsi="Arial"/>
      <w:sz w:val="20"/>
    </w:rPr>
  </w:style>
  <w:style w:type="paragraph" w:customStyle="1" w:styleId="BoxContinued">
    <w:name w:val="Box Continued"/>
    <w:basedOn w:val="BodyText"/>
    <w:next w:val="BodyText"/>
    <w:semiHidden/>
    <w:rsid w:val="00DC5D0C"/>
    <w:pPr>
      <w:spacing w:before="180" w:line="220" w:lineRule="exact"/>
      <w:jc w:val="right"/>
    </w:pPr>
    <w:rPr>
      <w:rFonts w:ascii="Arial" w:hAnsi="Arial"/>
      <w:sz w:val="18"/>
    </w:rPr>
  </w:style>
  <w:style w:type="paragraph" w:customStyle="1" w:styleId="BoxHeading1">
    <w:name w:val="Box Heading 1"/>
    <w:basedOn w:val="BodyText"/>
    <w:next w:val="Box"/>
    <w:rsid w:val="00DC5D0C"/>
    <w:pPr>
      <w:keepNext/>
      <w:spacing w:before="200" w:line="280" w:lineRule="atLeast"/>
    </w:pPr>
    <w:rPr>
      <w:rFonts w:ascii="Arial" w:hAnsi="Arial"/>
      <w:b/>
      <w:sz w:val="22"/>
    </w:rPr>
  </w:style>
  <w:style w:type="paragraph" w:customStyle="1" w:styleId="BoxHeading2">
    <w:name w:val="Box Heading 2"/>
    <w:basedOn w:val="BoxHeading1"/>
    <w:next w:val="Box"/>
    <w:rsid w:val="00DC5D0C"/>
    <w:rPr>
      <w:b w:val="0"/>
      <w:i/>
    </w:rPr>
  </w:style>
  <w:style w:type="paragraph" w:customStyle="1" w:styleId="BoxListBullet">
    <w:name w:val="Box List Bullet"/>
    <w:basedOn w:val="BodyText"/>
    <w:rsid w:val="00DC5D0C"/>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DC5D0C"/>
    <w:pPr>
      <w:numPr>
        <w:numId w:val="2"/>
      </w:numPr>
      <w:ind w:left="568" w:hanging="284"/>
    </w:pPr>
  </w:style>
  <w:style w:type="paragraph" w:customStyle="1" w:styleId="BoxListNumber">
    <w:name w:val="Box List Number"/>
    <w:basedOn w:val="BodyText"/>
    <w:rsid w:val="00DC5D0C"/>
    <w:pPr>
      <w:keepNext/>
      <w:numPr>
        <w:numId w:val="14"/>
      </w:numPr>
      <w:spacing w:before="100" w:line="260" w:lineRule="atLeast"/>
    </w:pPr>
    <w:rPr>
      <w:rFonts w:ascii="Arial" w:hAnsi="Arial"/>
      <w:sz w:val="20"/>
    </w:rPr>
  </w:style>
  <w:style w:type="paragraph" w:customStyle="1" w:styleId="BoxListNumber2">
    <w:name w:val="Box List Number 2"/>
    <w:basedOn w:val="BoxListNumber"/>
    <w:rsid w:val="00DC5D0C"/>
    <w:pPr>
      <w:numPr>
        <w:ilvl w:val="1"/>
      </w:numPr>
      <w:ind w:left="681" w:hanging="397"/>
    </w:pPr>
  </w:style>
  <w:style w:type="paragraph" w:customStyle="1" w:styleId="BoxQuote">
    <w:name w:val="Box Quote"/>
    <w:basedOn w:val="BodyText"/>
    <w:next w:val="Box"/>
    <w:qFormat/>
    <w:rsid w:val="00DC5D0C"/>
    <w:pPr>
      <w:keepNext/>
      <w:spacing w:before="60" w:line="240" w:lineRule="exact"/>
      <w:ind w:left="284"/>
    </w:pPr>
    <w:rPr>
      <w:rFonts w:ascii="Arial" w:hAnsi="Arial"/>
      <w:sz w:val="18"/>
    </w:rPr>
  </w:style>
  <w:style w:type="paragraph" w:customStyle="1" w:styleId="Note">
    <w:name w:val="Note"/>
    <w:basedOn w:val="BodyText"/>
    <w:next w:val="BodyText"/>
    <w:link w:val="NoteChar"/>
    <w:rsid w:val="00DC5D0C"/>
    <w:pPr>
      <w:keepLines/>
      <w:spacing w:before="80" w:line="220" w:lineRule="exact"/>
    </w:pPr>
    <w:rPr>
      <w:rFonts w:ascii="Arial" w:hAnsi="Arial"/>
      <w:sz w:val="18"/>
    </w:rPr>
  </w:style>
  <w:style w:type="paragraph" w:customStyle="1" w:styleId="Source">
    <w:name w:val="Source"/>
    <w:basedOn w:val="Normal"/>
    <w:next w:val="BodyText"/>
    <w:rsid w:val="00DC5D0C"/>
    <w:pPr>
      <w:keepLines/>
      <w:spacing w:before="80" w:line="220" w:lineRule="exact"/>
      <w:jc w:val="both"/>
    </w:pPr>
    <w:rPr>
      <w:rFonts w:ascii="Arial" w:hAnsi="Arial"/>
      <w:sz w:val="18"/>
      <w:szCs w:val="20"/>
    </w:rPr>
  </w:style>
  <w:style w:type="paragraph" w:customStyle="1" w:styleId="BoxSource">
    <w:name w:val="Box Source"/>
    <w:basedOn w:val="Source"/>
    <w:next w:val="BodyText"/>
    <w:rsid w:val="00DC5D0C"/>
    <w:pPr>
      <w:spacing w:before="120"/>
    </w:pPr>
  </w:style>
  <w:style w:type="paragraph" w:customStyle="1" w:styleId="BoxSpaceAbove">
    <w:name w:val="Box Space Above"/>
    <w:basedOn w:val="BodyText"/>
    <w:rsid w:val="00DC5D0C"/>
    <w:pPr>
      <w:keepNext/>
      <w:spacing w:before="360" w:line="80" w:lineRule="exact"/>
      <w:jc w:val="left"/>
    </w:pPr>
  </w:style>
  <w:style w:type="paragraph" w:styleId="Caption">
    <w:name w:val="caption"/>
    <w:basedOn w:val="Normal"/>
    <w:next w:val="BodyText"/>
    <w:rsid w:val="00DC5D0C"/>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link w:val="BoxTitleChar"/>
    <w:rsid w:val="00DC5D0C"/>
    <w:pPr>
      <w:spacing w:before="120" w:after="0"/>
    </w:pPr>
  </w:style>
  <w:style w:type="paragraph" w:customStyle="1" w:styleId="BoxSubtitle">
    <w:name w:val="Box Subtitle"/>
    <w:basedOn w:val="BoxTitle"/>
    <w:next w:val="Normal"/>
    <w:rsid w:val="00DC5D0C"/>
    <w:pPr>
      <w:spacing w:after="80" w:line="200" w:lineRule="exact"/>
      <w:ind w:firstLine="0"/>
    </w:pPr>
    <w:rPr>
      <w:b w:val="0"/>
      <w:sz w:val="20"/>
    </w:rPr>
  </w:style>
  <w:style w:type="paragraph" w:customStyle="1" w:styleId="Chapter">
    <w:name w:val="Chapter"/>
    <w:basedOn w:val="Heading1"/>
    <w:next w:val="BodyText"/>
    <w:semiHidden/>
    <w:rsid w:val="00DC5D0C"/>
    <w:pPr>
      <w:ind w:left="0" w:firstLine="0"/>
      <w:outlineLvl w:val="9"/>
    </w:pPr>
  </w:style>
  <w:style w:type="paragraph" w:customStyle="1" w:styleId="ChapterSummary">
    <w:name w:val="Chapter Summary"/>
    <w:basedOn w:val="BodyText"/>
    <w:rsid w:val="00DC5D0C"/>
    <w:pPr>
      <w:spacing w:line="280" w:lineRule="atLeast"/>
      <w:ind w:left="907"/>
    </w:pPr>
    <w:rPr>
      <w:rFonts w:ascii="Arial" w:hAnsi="Arial"/>
      <w:b/>
      <w:sz w:val="20"/>
    </w:rPr>
  </w:style>
  <w:style w:type="character" w:styleId="CommentReference">
    <w:name w:val="annotation reference"/>
    <w:basedOn w:val="DefaultParagraphFont"/>
    <w:semiHidden/>
    <w:rsid w:val="00DC5D0C"/>
    <w:rPr>
      <w:b/>
      <w:vanish/>
      <w:color w:val="FF00FF"/>
      <w:sz w:val="20"/>
    </w:rPr>
  </w:style>
  <w:style w:type="paragraph" w:styleId="CommentText">
    <w:name w:val="annotation text"/>
    <w:basedOn w:val="Normal"/>
    <w:link w:val="CommentTextChar"/>
    <w:semiHidden/>
    <w:rsid w:val="00DC5D0C"/>
    <w:pPr>
      <w:spacing w:before="120" w:line="240" w:lineRule="atLeast"/>
      <w:ind w:left="567" w:hanging="567"/>
    </w:pPr>
    <w:rPr>
      <w:sz w:val="20"/>
    </w:rPr>
  </w:style>
  <w:style w:type="paragraph" w:customStyle="1" w:styleId="Continued">
    <w:name w:val="Continued"/>
    <w:basedOn w:val="BoxContinued"/>
    <w:next w:val="BodyText"/>
    <w:rsid w:val="00DC5D0C"/>
  </w:style>
  <w:style w:type="character" w:customStyle="1" w:styleId="DocumentInfo">
    <w:name w:val="Document Info"/>
    <w:basedOn w:val="DefaultParagraphFont"/>
    <w:semiHidden/>
    <w:rsid w:val="00DC5D0C"/>
    <w:rPr>
      <w:rFonts w:ascii="Arial" w:hAnsi="Arial"/>
      <w:sz w:val="14"/>
    </w:rPr>
  </w:style>
  <w:style w:type="character" w:customStyle="1" w:styleId="DraftingNote">
    <w:name w:val="Drafting Note"/>
    <w:basedOn w:val="DefaultParagraphFont"/>
    <w:rsid w:val="00DC5D0C"/>
    <w:rPr>
      <w:b/>
      <w:color w:val="FF0000"/>
      <w:sz w:val="24"/>
      <w:u w:val="dotted"/>
    </w:rPr>
  </w:style>
  <w:style w:type="paragraph" w:customStyle="1" w:styleId="Figure">
    <w:name w:val="Figure"/>
    <w:basedOn w:val="BodyText"/>
    <w:rsid w:val="00DC5D0C"/>
    <w:pPr>
      <w:keepNext/>
      <w:spacing w:before="120" w:after="120" w:line="240" w:lineRule="atLeast"/>
      <w:jc w:val="center"/>
    </w:pPr>
  </w:style>
  <w:style w:type="paragraph" w:customStyle="1" w:styleId="FigureTitle">
    <w:name w:val="Figure Title"/>
    <w:basedOn w:val="Caption"/>
    <w:next w:val="Subtitle"/>
    <w:rsid w:val="00DC5D0C"/>
    <w:pPr>
      <w:spacing w:before="120"/>
    </w:pPr>
  </w:style>
  <w:style w:type="paragraph" w:styleId="Subtitle">
    <w:name w:val="Subtitle"/>
    <w:basedOn w:val="Caption"/>
    <w:link w:val="SubtitleChar"/>
    <w:qFormat/>
    <w:rsid w:val="00DC5D0C"/>
    <w:pPr>
      <w:spacing w:before="0" w:line="200" w:lineRule="exact"/>
      <w:ind w:firstLine="0"/>
    </w:pPr>
    <w:rPr>
      <w:b w:val="0"/>
      <w:sz w:val="20"/>
    </w:rPr>
  </w:style>
  <w:style w:type="paragraph" w:customStyle="1" w:styleId="Finding">
    <w:name w:val="Finding"/>
    <w:basedOn w:val="BodyText"/>
    <w:rsid w:val="00DC5D0C"/>
    <w:pPr>
      <w:keepLines/>
      <w:spacing w:before="120" w:line="280" w:lineRule="atLeast"/>
    </w:pPr>
    <w:rPr>
      <w:rFonts w:ascii="Arial" w:hAnsi="Arial"/>
      <w:sz w:val="22"/>
    </w:rPr>
  </w:style>
  <w:style w:type="paragraph" w:customStyle="1" w:styleId="FindingBullet">
    <w:name w:val="Finding Bullet"/>
    <w:basedOn w:val="Finding"/>
    <w:rsid w:val="00DC5D0C"/>
    <w:pPr>
      <w:numPr>
        <w:numId w:val="3"/>
      </w:numPr>
      <w:spacing w:before="80"/>
    </w:pPr>
  </w:style>
  <w:style w:type="paragraph" w:customStyle="1" w:styleId="FindingNoTitle">
    <w:name w:val="Finding NoTitle"/>
    <w:basedOn w:val="Finding"/>
    <w:semiHidden/>
    <w:rsid w:val="00DC5D0C"/>
    <w:pPr>
      <w:spacing w:before="240"/>
    </w:pPr>
  </w:style>
  <w:style w:type="paragraph" w:customStyle="1" w:styleId="RecTitle">
    <w:name w:val="Rec Title"/>
    <w:basedOn w:val="BodyText"/>
    <w:next w:val="Rec"/>
    <w:qFormat/>
    <w:rsid w:val="00DC5D0C"/>
    <w:pPr>
      <w:keepNext/>
      <w:keepLines/>
      <w:spacing w:line="280" w:lineRule="atLeast"/>
    </w:pPr>
    <w:rPr>
      <w:rFonts w:ascii="Arial" w:hAnsi="Arial"/>
      <w:caps/>
      <w:sz w:val="18"/>
    </w:rPr>
  </w:style>
  <w:style w:type="paragraph" w:customStyle="1" w:styleId="FindingTitle">
    <w:name w:val="Finding Title"/>
    <w:basedOn w:val="RecTitle"/>
    <w:next w:val="Finding"/>
    <w:rsid w:val="00DC5D0C"/>
  </w:style>
  <w:style w:type="character" w:styleId="FootnoteReference">
    <w:name w:val="footnote reference"/>
    <w:basedOn w:val="DefaultParagraphFont"/>
    <w:semiHidden/>
    <w:rsid w:val="00DC5D0C"/>
    <w:rPr>
      <w:rFonts w:ascii="Times New Roman" w:hAnsi="Times New Roman"/>
      <w:position w:val="6"/>
      <w:sz w:val="20"/>
      <w:vertAlign w:val="baseline"/>
    </w:rPr>
  </w:style>
  <w:style w:type="paragraph" w:styleId="FootnoteText">
    <w:name w:val="footnote text"/>
    <w:basedOn w:val="BodyText"/>
    <w:rsid w:val="00DC5D0C"/>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DC5D0C"/>
    <w:rPr>
      <w:i/>
    </w:rPr>
  </w:style>
  <w:style w:type="paragraph" w:customStyle="1" w:styleId="Jurisdictioncommentsbodytext">
    <w:name w:val="Jurisdiction comments body text"/>
    <w:rsid w:val="00DC5D0C"/>
    <w:pPr>
      <w:spacing w:after="140"/>
      <w:jc w:val="both"/>
    </w:pPr>
    <w:rPr>
      <w:rFonts w:ascii="Arial" w:hAnsi="Arial"/>
      <w:sz w:val="24"/>
      <w:lang w:eastAsia="en-US"/>
    </w:rPr>
  </w:style>
  <w:style w:type="paragraph" w:customStyle="1" w:styleId="Jurisdictioncommentsheading">
    <w:name w:val="Jurisdiction comments heading"/>
    <w:rsid w:val="00DC5D0C"/>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DC5D0C"/>
    <w:pPr>
      <w:numPr>
        <w:numId w:val="4"/>
      </w:numPr>
      <w:spacing w:after="140"/>
      <w:jc w:val="both"/>
    </w:pPr>
    <w:rPr>
      <w:rFonts w:ascii="Arial" w:hAnsi="Arial"/>
      <w:sz w:val="24"/>
      <w:lang w:eastAsia="en-US"/>
    </w:rPr>
  </w:style>
  <w:style w:type="paragraph" w:styleId="ListBullet">
    <w:name w:val="List Bullet"/>
    <w:basedOn w:val="BodyText"/>
    <w:rsid w:val="00DC5D0C"/>
    <w:pPr>
      <w:numPr>
        <w:numId w:val="5"/>
      </w:numPr>
      <w:spacing w:before="120"/>
    </w:pPr>
  </w:style>
  <w:style w:type="paragraph" w:styleId="ListBullet2">
    <w:name w:val="List Bullet 2"/>
    <w:basedOn w:val="BodyText"/>
    <w:rsid w:val="00DC5D0C"/>
    <w:pPr>
      <w:numPr>
        <w:numId w:val="6"/>
      </w:numPr>
      <w:spacing w:before="120"/>
    </w:pPr>
  </w:style>
  <w:style w:type="paragraph" w:styleId="ListBullet3">
    <w:name w:val="List Bullet 3"/>
    <w:basedOn w:val="BodyText"/>
    <w:rsid w:val="00DC5D0C"/>
    <w:pPr>
      <w:numPr>
        <w:numId w:val="7"/>
      </w:numPr>
      <w:spacing w:before="120"/>
      <w:ind w:left="1020" w:hanging="340"/>
    </w:pPr>
  </w:style>
  <w:style w:type="paragraph" w:styleId="ListNumber">
    <w:name w:val="List Number"/>
    <w:basedOn w:val="BodyText"/>
    <w:rsid w:val="00DC5D0C"/>
    <w:pPr>
      <w:numPr>
        <w:numId w:val="13"/>
      </w:numPr>
      <w:spacing w:before="120"/>
    </w:pPr>
  </w:style>
  <w:style w:type="paragraph" w:styleId="ListNumber2">
    <w:name w:val="List Number 2"/>
    <w:basedOn w:val="ListNumber"/>
    <w:rsid w:val="00DC5D0C"/>
    <w:pPr>
      <w:numPr>
        <w:ilvl w:val="1"/>
      </w:numPr>
    </w:pPr>
  </w:style>
  <w:style w:type="paragraph" w:styleId="ListNumber3">
    <w:name w:val="List Number 3"/>
    <w:basedOn w:val="ListNumber2"/>
    <w:rsid w:val="00DC5D0C"/>
    <w:pPr>
      <w:numPr>
        <w:ilvl w:val="2"/>
      </w:numPr>
    </w:pPr>
  </w:style>
  <w:style w:type="character" w:customStyle="1" w:styleId="NoteLabel">
    <w:name w:val="Note Label"/>
    <w:basedOn w:val="DefaultParagraphFont"/>
    <w:rsid w:val="00DC5D0C"/>
    <w:rPr>
      <w:rFonts w:ascii="Arial" w:hAnsi="Arial"/>
      <w:b/>
      <w:position w:val="6"/>
      <w:sz w:val="18"/>
    </w:rPr>
  </w:style>
  <w:style w:type="paragraph" w:customStyle="1" w:styleId="PartDivider">
    <w:name w:val="Part Divider"/>
    <w:basedOn w:val="BodyText"/>
    <w:next w:val="BodyText"/>
    <w:semiHidden/>
    <w:rsid w:val="00DC5D0C"/>
    <w:pPr>
      <w:spacing w:before="0" w:line="40" w:lineRule="exact"/>
      <w:jc w:val="right"/>
    </w:pPr>
    <w:rPr>
      <w:smallCaps/>
      <w:sz w:val="16"/>
    </w:rPr>
  </w:style>
  <w:style w:type="paragraph" w:customStyle="1" w:styleId="PartNumber">
    <w:name w:val="Part Number"/>
    <w:basedOn w:val="BodyText"/>
    <w:next w:val="BodyText"/>
    <w:semiHidden/>
    <w:rsid w:val="00DC5D0C"/>
    <w:pPr>
      <w:spacing w:before="4000" w:line="320" w:lineRule="exact"/>
      <w:ind w:left="6634"/>
      <w:jc w:val="right"/>
    </w:pPr>
    <w:rPr>
      <w:smallCaps/>
      <w:spacing w:val="60"/>
      <w:sz w:val="32"/>
    </w:rPr>
  </w:style>
  <w:style w:type="paragraph" w:customStyle="1" w:styleId="PartTitle">
    <w:name w:val="Part Title"/>
    <w:basedOn w:val="BodyText"/>
    <w:semiHidden/>
    <w:rsid w:val="00DC5D0C"/>
    <w:pPr>
      <w:spacing w:before="160" w:after="1360" w:line="520" w:lineRule="exact"/>
      <w:ind w:right="2381"/>
      <w:jc w:val="right"/>
    </w:pPr>
    <w:rPr>
      <w:smallCaps/>
      <w:sz w:val="52"/>
    </w:rPr>
  </w:style>
  <w:style w:type="paragraph" w:styleId="Quote">
    <w:name w:val="Quote"/>
    <w:basedOn w:val="BodyText"/>
    <w:next w:val="BodyText"/>
    <w:qFormat/>
    <w:rsid w:val="00DC5D0C"/>
    <w:pPr>
      <w:spacing w:before="120" w:line="280" w:lineRule="exact"/>
      <w:ind w:left="340"/>
    </w:pPr>
    <w:rPr>
      <w:sz w:val="22"/>
    </w:rPr>
  </w:style>
  <w:style w:type="paragraph" w:customStyle="1" w:styleId="QuoteBullet">
    <w:name w:val="Quote Bullet"/>
    <w:basedOn w:val="Quote"/>
    <w:rsid w:val="00DC5D0C"/>
    <w:pPr>
      <w:numPr>
        <w:numId w:val="8"/>
      </w:numPr>
    </w:pPr>
  </w:style>
  <w:style w:type="paragraph" w:customStyle="1" w:styleId="Rec">
    <w:name w:val="Rec"/>
    <w:basedOn w:val="BodyText"/>
    <w:qFormat/>
    <w:rsid w:val="00DC5D0C"/>
    <w:pPr>
      <w:keepLines/>
      <w:spacing w:before="120" w:line="280" w:lineRule="atLeast"/>
    </w:pPr>
    <w:rPr>
      <w:rFonts w:ascii="Arial" w:hAnsi="Arial"/>
      <w:sz w:val="22"/>
    </w:rPr>
  </w:style>
  <w:style w:type="paragraph" w:customStyle="1" w:styleId="RecBullet">
    <w:name w:val="Rec Bullet"/>
    <w:basedOn w:val="Rec"/>
    <w:rsid w:val="00DC5D0C"/>
    <w:pPr>
      <w:numPr>
        <w:numId w:val="9"/>
      </w:numPr>
      <w:spacing w:before="80"/>
    </w:pPr>
  </w:style>
  <w:style w:type="paragraph" w:customStyle="1" w:styleId="RecB">
    <w:name w:val="RecB"/>
    <w:basedOn w:val="Normal"/>
    <w:semiHidden/>
    <w:rsid w:val="00DC5D0C"/>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DC5D0C"/>
    <w:pPr>
      <w:numPr>
        <w:numId w:val="10"/>
      </w:numPr>
      <w:spacing w:before="80"/>
    </w:pPr>
  </w:style>
  <w:style w:type="paragraph" w:customStyle="1" w:styleId="RecBNoTitle">
    <w:name w:val="RecB NoTitle"/>
    <w:basedOn w:val="RecB"/>
    <w:semiHidden/>
    <w:rsid w:val="00DC5D0C"/>
    <w:pPr>
      <w:spacing w:before="240"/>
    </w:pPr>
  </w:style>
  <w:style w:type="paragraph" w:customStyle="1" w:styleId="Reference">
    <w:name w:val="Reference"/>
    <w:basedOn w:val="BodyText"/>
    <w:rsid w:val="00DC5D0C"/>
    <w:pPr>
      <w:spacing w:before="120"/>
      <w:ind w:left="340" w:hanging="340"/>
    </w:pPr>
  </w:style>
  <w:style w:type="paragraph" w:customStyle="1" w:styleId="SequenceInfo">
    <w:name w:val="Sequence Info"/>
    <w:basedOn w:val="BodyText"/>
    <w:semiHidden/>
    <w:rsid w:val="00DC5D0C"/>
    <w:rPr>
      <w:vanish/>
      <w:sz w:val="16"/>
    </w:rPr>
  </w:style>
  <w:style w:type="paragraph" w:customStyle="1" w:styleId="SideNote">
    <w:name w:val="Side Note"/>
    <w:basedOn w:val="BodyText"/>
    <w:next w:val="BodyText"/>
    <w:semiHidden/>
    <w:rsid w:val="00DC5D0C"/>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DC5D0C"/>
    <w:pPr>
      <w:framePr w:wrap="around"/>
      <w:numPr>
        <w:numId w:val="11"/>
      </w:numPr>
      <w:tabs>
        <w:tab w:val="left" w:pos="227"/>
      </w:tabs>
    </w:pPr>
  </w:style>
  <w:style w:type="paragraph" w:customStyle="1" w:styleId="SideNoteGraphic">
    <w:name w:val="Side Note Graphic"/>
    <w:basedOn w:val="SideNote"/>
    <w:next w:val="BodyText"/>
    <w:semiHidden/>
    <w:rsid w:val="00DC5D0C"/>
    <w:pPr>
      <w:framePr w:wrap="around"/>
    </w:pPr>
  </w:style>
  <w:style w:type="paragraph" w:customStyle="1" w:styleId="TableBodyText">
    <w:name w:val="Table Body Text"/>
    <w:basedOn w:val="BodyText"/>
    <w:rsid w:val="00DC5D0C"/>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DC5D0C"/>
    <w:pPr>
      <w:numPr>
        <w:numId w:val="12"/>
      </w:numPr>
      <w:jc w:val="left"/>
    </w:pPr>
  </w:style>
  <w:style w:type="paragraph" w:customStyle="1" w:styleId="TableColumnHeading">
    <w:name w:val="Table Column Heading"/>
    <w:basedOn w:val="TableBodyText"/>
    <w:rsid w:val="00DC5D0C"/>
    <w:pPr>
      <w:spacing w:before="80" w:after="80"/>
    </w:pPr>
    <w:rPr>
      <w:i/>
    </w:rPr>
  </w:style>
  <w:style w:type="paragraph" w:styleId="TOC2">
    <w:name w:val="toc 2"/>
    <w:basedOn w:val="TOC1"/>
    <w:rsid w:val="00DC5D0C"/>
    <w:pPr>
      <w:ind w:left="1134" w:hanging="624"/>
    </w:pPr>
    <w:rPr>
      <w:b w:val="0"/>
    </w:rPr>
  </w:style>
  <w:style w:type="paragraph" w:styleId="TOC3">
    <w:name w:val="toc 3"/>
    <w:basedOn w:val="TOC2"/>
    <w:rsid w:val="00DC5D0C"/>
    <w:pPr>
      <w:spacing w:before="60"/>
      <w:ind w:left="1190" w:hanging="680"/>
    </w:pPr>
  </w:style>
  <w:style w:type="paragraph" w:styleId="TableofFigures">
    <w:name w:val="table of figures"/>
    <w:basedOn w:val="TOC3"/>
    <w:next w:val="BodyText"/>
    <w:semiHidden/>
    <w:rsid w:val="00DC5D0C"/>
    <w:pPr>
      <w:ind w:left="737" w:hanging="737"/>
    </w:pPr>
  </w:style>
  <w:style w:type="paragraph" w:customStyle="1" w:styleId="TableTitle">
    <w:name w:val="Table Title"/>
    <w:basedOn w:val="Caption"/>
    <w:next w:val="Subtitle"/>
    <w:qFormat/>
    <w:rsid w:val="00DC5D0C"/>
    <w:pPr>
      <w:spacing w:before="120"/>
    </w:pPr>
  </w:style>
  <w:style w:type="paragraph" w:customStyle="1" w:styleId="TableUnitsRow">
    <w:name w:val="Table Units Row"/>
    <w:basedOn w:val="TableBodyText"/>
    <w:rsid w:val="00DC5D0C"/>
    <w:pPr>
      <w:spacing w:before="40"/>
    </w:pPr>
  </w:style>
  <w:style w:type="paragraph" w:styleId="TOC1">
    <w:name w:val="toc 1"/>
    <w:basedOn w:val="Normal"/>
    <w:next w:val="TOC2"/>
    <w:link w:val="TOC1Char"/>
    <w:rsid w:val="00DC5D0C"/>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DC5D0C"/>
    <w:pPr>
      <w:ind w:left="1191" w:firstLine="0"/>
    </w:pPr>
  </w:style>
  <w:style w:type="paragraph" w:customStyle="1" w:styleId="RecBBullet2">
    <w:name w:val="RecB Bullet 2"/>
    <w:basedOn w:val="ListBullet2"/>
    <w:semiHidden/>
    <w:rsid w:val="00DC5D0C"/>
    <w:pPr>
      <w:pBdr>
        <w:left w:val="single" w:sz="24" w:space="29" w:color="C0C0C0"/>
      </w:pBdr>
    </w:pPr>
    <w:rPr>
      <w:b/>
      <w:i/>
    </w:rPr>
  </w:style>
  <w:style w:type="paragraph" w:styleId="BalloonText">
    <w:name w:val="Balloon Text"/>
    <w:basedOn w:val="Normal"/>
    <w:link w:val="BalloonTextChar"/>
    <w:rsid w:val="00DC5D0C"/>
    <w:rPr>
      <w:rFonts w:ascii="Tahoma" w:hAnsi="Tahoma" w:cs="Tahoma"/>
      <w:sz w:val="16"/>
      <w:szCs w:val="16"/>
    </w:rPr>
  </w:style>
  <w:style w:type="character" w:customStyle="1" w:styleId="BalloonTextChar">
    <w:name w:val="Balloon Text Char"/>
    <w:basedOn w:val="DefaultParagraphFont"/>
    <w:link w:val="BalloonText"/>
    <w:rsid w:val="00DC5D0C"/>
    <w:rPr>
      <w:rFonts w:ascii="Tahoma" w:hAnsi="Tahoma" w:cs="Tahoma"/>
      <w:sz w:val="16"/>
      <w:szCs w:val="16"/>
    </w:rPr>
  </w:style>
  <w:style w:type="character" w:customStyle="1" w:styleId="SubtitleChar">
    <w:name w:val="Subtitle Char"/>
    <w:basedOn w:val="DefaultParagraphFont"/>
    <w:link w:val="Subtitle"/>
    <w:rsid w:val="00DC5D0C"/>
    <w:rPr>
      <w:rFonts w:ascii="Arial" w:hAnsi="Arial"/>
      <w:szCs w:val="24"/>
    </w:rPr>
  </w:style>
  <w:style w:type="paragraph" w:customStyle="1" w:styleId="BoxListBullet3">
    <w:name w:val="Box List Bullet 3"/>
    <w:basedOn w:val="ListBullet3"/>
    <w:rsid w:val="00DC5D0C"/>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C5D0C"/>
    <w:rPr>
      <w:i/>
      <w:iCs/>
    </w:rPr>
  </w:style>
  <w:style w:type="paragraph" w:customStyle="1" w:styleId="BoxQuoteBullet">
    <w:name w:val="Box Quote Bullet"/>
    <w:basedOn w:val="BoxQuote"/>
    <w:next w:val="Box"/>
    <w:rsid w:val="00DC5D0C"/>
    <w:pPr>
      <w:numPr>
        <w:numId w:val="15"/>
      </w:numPr>
      <w:ind w:left="568" w:hanging="284"/>
    </w:pPr>
  </w:style>
  <w:style w:type="paragraph" w:customStyle="1" w:styleId="InformationRequestBullet">
    <w:name w:val="Information Request Bullet"/>
    <w:basedOn w:val="ListBullet"/>
    <w:next w:val="BodyText"/>
    <w:rsid w:val="00DC5D0C"/>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DC5D0C"/>
    <w:pPr>
      <w:keepNext w:val="0"/>
      <w:spacing w:before="60" w:after="60" w:line="80" w:lineRule="exact"/>
    </w:pPr>
    <w:rPr>
      <w:sz w:val="14"/>
    </w:rPr>
  </w:style>
  <w:style w:type="character" w:customStyle="1" w:styleId="BoxChar">
    <w:name w:val="Box Char"/>
    <w:link w:val="Box"/>
    <w:rsid w:val="004D7C96"/>
    <w:rPr>
      <w:rFonts w:ascii="Arial" w:hAnsi="Arial"/>
    </w:rPr>
  </w:style>
  <w:style w:type="character" w:customStyle="1" w:styleId="BoxTitleChar">
    <w:name w:val="Box Title Char"/>
    <w:link w:val="BoxTitle"/>
    <w:rsid w:val="004D7C96"/>
    <w:rPr>
      <w:rFonts w:ascii="Arial" w:hAnsi="Arial"/>
      <w:b/>
      <w:sz w:val="24"/>
      <w:szCs w:val="24"/>
    </w:rPr>
  </w:style>
  <w:style w:type="paragraph" w:styleId="CommentSubject">
    <w:name w:val="annotation subject"/>
    <w:basedOn w:val="CommentText"/>
    <w:next w:val="CommentText"/>
    <w:link w:val="CommentSubjectChar"/>
    <w:rsid w:val="00E002FA"/>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E002FA"/>
    <w:rPr>
      <w:szCs w:val="24"/>
    </w:rPr>
  </w:style>
  <w:style w:type="character" w:customStyle="1" w:styleId="CommentSubjectChar">
    <w:name w:val="Comment Subject Char"/>
    <w:basedOn w:val="CommentTextChar"/>
    <w:link w:val="CommentSubject"/>
    <w:rsid w:val="00E002FA"/>
    <w:rPr>
      <w:b/>
      <w:bCs/>
      <w:szCs w:val="24"/>
    </w:rPr>
  </w:style>
  <w:style w:type="character" w:styleId="Hyperlink">
    <w:name w:val="Hyperlink"/>
    <w:basedOn w:val="DefaultParagraphFont"/>
    <w:rsid w:val="00516DEA"/>
    <w:rPr>
      <w:color w:val="0000FF" w:themeColor="hyperlink"/>
      <w:u w:val="single"/>
    </w:rPr>
  </w:style>
  <w:style w:type="paragraph" w:customStyle="1" w:styleId="KeyPointsListBullet">
    <w:name w:val="Key Points List Bullet"/>
    <w:basedOn w:val="Normal"/>
    <w:qFormat/>
    <w:rsid w:val="00DC5D0C"/>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DC5D0C"/>
    <w:pPr>
      <w:numPr>
        <w:numId w:val="19"/>
      </w:numPr>
      <w:ind w:left="568" w:hanging="284"/>
    </w:pPr>
  </w:style>
  <w:style w:type="paragraph" w:customStyle="1" w:styleId="InformationRequestTitle">
    <w:name w:val="Information Request Title"/>
    <w:basedOn w:val="FindingTitle"/>
    <w:next w:val="InformationRequest"/>
    <w:rsid w:val="00DC5D0C"/>
    <w:rPr>
      <w:i/>
    </w:rPr>
  </w:style>
  <w:style w:type="paragraph" w:customStyle="1" w:styleId="Space">
    <w:name w:val="Space"/>
    <w:basedOn w:val="Normal"/>
    <w:rsid w:val="00DC5D0C"/>
    <w:pPr>
      <w:keepNext/>
      <w:spacing w:line="120" w:lineRule="exact"/>
      <w:jc w:val="both"/>
    </w:pPr>
    <w:rPr>
      <w:rFonts w:ascii="Arial" w:hAnsi="Arial"/>
      <w:sz w:val="20"/>
      <w:szCs w:val="20"/>
    </w:rPr>
  </w:style>
  <w:style w:type="paragraph" w:customStyle="1" w:styleId="Heading1nochapterno">
    <w:name w:val="Heading 1 (no chapter no.)"/>
    <w:basedOn w:val="Heading1"/>
    <w:rsid w:val="00DC5D0C"/>
    <w:pPr>
      <w:spacing w:before="0"/>
      <w:ind w:left="0" w:firstLine="0"/>
    </w:pPr>
  </w:style>
  <w:style w:type="paragraph" w:customStyle="1" w:styleId="Heading2nosectionno">
    <w:name w:val="Heading 2 (no section no.)"/>
    <w:basedOn w:val="Heading2"/>
    <w:rsid w:val="00DC5D0C"/>
    <w:pPr>
      <w:ind w:left="0" w:firstLine="0"/>
    </w:pPr>
  </w:style>
  <w:style w:type="character" w:customStyle="1" w:styleId="Heading5Char">
    <w:name w:val="Heading 5 Char"/>
    <w:basedOn w:val="DefaultParagraphFont"/>
    <w:link w:val="Heading5"/>
    <w:rsid w:val="00DC5D0C"/>
    <w:rPr>
      <w:rFonts w:ascii="Arial" w:hAnsi="Arial"/>
      <w:i/>
      <w:sz w:val="22"/>
    </w:rPr>
  </w:style>
  <w:style w:type="paragraph" w:customStyle="1" w:styleId="Figurespace">
    <w:name w:val="Figure space"/>
    <w:basedOn w:val="Box"/>
    <w:rsid w:val="00DC5D0C"/>
    <w:pPr>
      <w:spacing w:before="0" w:line="120" w:lineRule="exact"/>
    </w:pPr>
  </w:style>
  <w:style w:type="paragraph" w:customStyle="1" w:styleId="FooterDraftReport">
    <w:name w:val="FooterDraftReport"/>
    <w:basedOn w:val="Footer"/>
    <w:link w:val="FooterDraftReportChar"/>
    <w:rsid w:val="00DC5D0C"/>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DC5D0C"/>
    <w:rPr>
      <w:sz w:val="24"/>
    </w:rPr>
  </w:style>
  <w:style w:type="character" w:customStyle="1" w:styleId="FooterChar">
    <w:name w:val="Footer Char"/>
    <w:basedOn w:val="BodyTextChar"/>
    <w:link w:val="Footer"/>
    <w:rsid w:val="00DC5D0C"/>
    <w:rPr>
      <w:rFonts w:ascii="Arial" w:hAnsi="Arial"/>
      <w:caps/>
      <w:spacing w:val="-4"/>
      <w:sz w:val="16"/>
    </w:rPr>
  </w:style>
  <w:style w:type="character" w:customStyle="1" w:styleId="FooterDraftReportChar">
    <w:name w:val="FooterDraftReport Char"/>
    <w:basedOn w:val="FooterChar"/>
    <w:link w:val="FooterDraftReport"/>
    <w:rsid w:val="00DC5D0C"/>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DC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DC5D0C"/>
    <w:rPr>
      <w:rFonts w:ascii="Arial" w:hAnsi="Arial"/>
      <w:b/>
      <w:sz w:val="26"/>
      <w:szCs w:val="26"/>
      <w:lang w:eastAsia="en-US"/>
    </w:rPr>
  </w:style>
  <w:style w:type="paragraph" w:styleId="Bibliography">
    <w:name w:val="Bibliography"/>
    <w:basedOn w:val="Normal"/>
    <w:next w:val="Normal"/>
    <w:uiPriority w:val="37"/>
    <w:unhideWhenUsed/>
    <w:rsid w:val="005A1E64"/>
    <w:pPr>
      <w:spacing w:after="240"/>
      <w:ind w:left="720" w:hanging="720"/>
    </w:pPr>
  </w:style>
  <w:style w:type="character" w:customStyle="1" w:styleId="NoteChar">
    <w:name w:val="Note Char"/>
    <w:link w:val="Note"/>
    <w:rsid w:val="000F3FA4"/>
    <w:rPr>
      <w:rFonts w:ascii="Arial" w:hAnsi="Arial"/>
      <w:sz w:val="18"/>
    </w:rPr>
  </w:style>
  <w:style w:type="paragraph" w:styleId="Revision">
    <w:name w:val="Revision"/>
    <w:hidden/>
    <w:uiPriority w:val="99"/>
    <w:semiHidden/>
    <w:rsid w:val="003138F6"/>
    <w:rPr>
      <w:sz w:val="24"/>
      <w:szCs w:val="24"/>
    </w:rPr>
  </w:style>
  <w:style w:type="character" w:styleId="EndnoteReference">
    <w:name w:val="endnote reference"/>
    <w:basedOn w:val="DefaultParagraphFont"/>
    <w:rsid w:val="004E4522"/>
    <w:rPr>
      <w:vertAlign w:val="superscript"/>
    </w:rPr>
  </w:style>
  <w:style w:type="character" w:customStyle="1" w:styleId="Continuedintitle">
    <w:name w:val="Continued (in title)"/>
    <w:basedOn w:val="DefaultParagraphFont"/>
    <w:rsid w:val="00DC5D0C"/>
    <w:rPr>
      <w:rFonts w:ascii="Arial" w:hAnsi="Arial"/>
      <w:b/>
      <w:sz w:val="18"/>
    </w:rPr>
  </w:style>
  <w:style w:type="character" w:styleId="FollowedHyperlink">
    <w:name w:val="FollowedHyperlink"/>
    <w:basedOn w:val="DefaultParagraphFont"/>
    <w:semiHidden/>
    <w:unhideWhenUsed/>
    <w:rsid w:val="0014552A"/>
    <w:rPr>
      <w:color w:val="800080" w:themeColor="followedHyperlink"/>
      <w:u w:val="single"/>
    </w:rPr>
  </w:style>
  <w:style w:type="paragraph" w:customStyle="1" w:styleId="Default">
    <w:name w:val="Default"/>
    <w:rsid w:val="000E350A"/>
    <w:pPr>
      <w:autoSpaceDE w:val="0"/>
      <w:autoSpaceDN w:val="0"/>
      <w:adjustRightInd w:val="0"/>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58289">
      <w:bodyDiv w:val="1"/>
      <w:marLeft w:val="0"/>
      <w:marRight w:val="0"/>
      <w:marTop w:val="0"/>
      <w:marBottom w:val="0"/>
      <w:divBdr>
        <w:top w:val="none" w:sz="0" w:space="0" w:color="auto"/>
        <w:left w:val="none" w:sz="0" w:space="0" w:color="auto"/>
        <w:bottom w:val="none" w:sz="0" w:space="0" w:color="auto"/>
        <w:right w:val="none" w:sz="0" w:space="0" w:color="auto"/>
      </w:divBdr>
    </w:div>
    <w:div w:id="635331240">
      <w:bodyDiv w:val="1"/>
      <w:marLeft w:val="0"/>
      <w:marRight w:val="0"/>
      <w:marTop w:val="0"/>
      <w:marBottom w:val="0"/>
      <w:divBdr>
        <w:top w:val="none" w:sz="0" w:space="0" w:color="auto"/>
        <w:left w:val="none" w:sz="0" w:space="0" w:color="auto"/>
        <w:bottom w:val="none" w:sz="0" w:space="0" w:color="auto"/>
        <w:right w:val="none" w:sz="0" w:space="0" w:color="auto"/>
      </w:divBdr>
      <w:divsChild>
        <w:div w:id="1864591275">
          <w:marLeft w:val="0"/>
          <w:marRight w:val="0"/>
          <w:marTop w:val="0"/>
          <w:marBottom w:val="0"/>
          <w:divBdr>
            <w:top w:val="none" w:sz="0" w:space="0" w:color="auto"/>
            <w:left w:val="none" w:sz="0" w:space="0" w:color="auto"/>
            <w:bottom w:val="none" w:sz="0" w:space="0" w:color="auto"/>
            <w:right w:val="none" w:sz="0" w:space="0" w:color="auto"/>
          </w:divBdr>
          <w:divsChild>
            <w:div w:id="1775511631">
              <w:marLeft w:val="0"/>
              <w:marRight w:val="0"/>
              <w:marTop w:val="0"/>
              <w:marBottom w:val="0"/>
              <w:divBdr>
                <w:top w:val="none" w:sz="0" w:space="0" w:color="auto"/>
                <w:left w:val="none" w:sz="0" w:space="0" w:color="auto"/>
                <w:bottom w:val="none" w:sz="0" w:space="0" w:color="auto"/>
                <w:right w:val="none" w:sz="0" w:space="0" w:color="auto"/>
              </w:divBdr>
              <w:divsChild>
                <w:div w:id="2018384740">
                  <w:marLeft w:val="0"/>
                  <w:marRight w:val="0"/>
                  <w:marTop w:val="0"/>
                  <w:marBottom w:val="0"/>
                  <w:divBdr>
                    <w:top w:val="none" w:sz="0" w:space="0" w:color="auto"/>
                    <w:left w:val="none" w:sz="0" w:space="0" w:color="auto"/>
                    <w:bottom w:val="none" w:sz="0" w:space="0" w:color="auto"/>
                    <w:right w:val="none" w:sz="0" w:space="0" w:color="auto"/>
                  </w:divBdr>
                  <w:divsChild>
                    <w:div w:id="60686429">
                      <w:marLeft w:val="0"/>
                      <w:marRight w:val="0"/>
                      <w:marTop w:val="0"/>
                      <w:marBottom w:val="0"/>
                      <w:divBdr>
                        <w:top w:val="none" w:sz="0" w:space="0" w:color="auto"/>
                        <w:left w:val="none" w:sz="0" w:space="0" w:color="auto"/>
                        <w:bottom w:val="none" w:sz="0" w:space="0" w:color="auto"/>
                        <w:right w:val="none" w:sz="0" w:space="0" w:color="auto"/>
                      </w:divBdr>
                      <w:divsChild>
                        <w:div w:id="644814813">
                          <w:marLeft w:val="0"/>
                          <w:marRight w:val="0"/>
                          <w:marTop w:val="0"/>
                          <w:marBottom w:val="0"/>
                          <w:divBdr>
                            <w:top w:val="single" w:sz="6" w:space="0" w:color="828282"/>
                            <w:left w:val="single" w:sz="6" w:space="0" w:color="828282"/>
                            <w:bottom w:val="single" w:sz="6" w:space="0" w:color="828282"/>
                            <w:right w:val="single" w:sz="6" w:space="0" w:color="828282"/>
                          </w:divBdr>
                          <w:divsChild>
                            <w:div w:id="476187590">
                              <w:marLeft w:val="0"/>
                              <w:marRight w:val="0"/>
                              <w:marTop w:val="0"/>
                              <w:marBottom w:val="0"/>
                              <w:divBdr>
                                <w:top w:val="none" w:sz="0" w:space="0" w:color="auto"/>
                                <w:left w:val="none" w:sz="0" w:space="0" w:color="auto"/>
                                <w:bottom w:val="none" w:sz="0" w:space="0" w:color="auto"/>
                                <w:right w:val="none" w:sz="0" w:space="0" w:color="auto"/>
                              </w:divBdr>
                              <w:divsChild>
                                <w:div w:id="1362392733">
                                  <w:marLeft w:val="0"/>
                                  <w:marRight w:val="0"/>
                                  <w:marTop w:val="0"/>
                                  <w:marBottom w:val="0"/>
                                  <w:divBdr>
                                    <w:top w:val="none" w:sz="0" w:space="0" w:color="auto"/>
                                    <w:left w:val="none" w:sz="0" w:space="0" w:color="auto"/>
                                    <w:bottom w:val="none" w:sz="0" w:space="0" w:color="auto"/>
                                    <w:right w:val="none" w:sz="0" w:space="0" w:color="auto"/>
                                  </w:divBdr>
                                  <w:divsChild>
                                    <w:div w:id="715276962">
                                      <w:marLeft w:val="0"/>
                                      <w:marRight w:val="0"/>
                                      <w:marTop w:val="0"/>
                                      <w:marBottom w:val="0"/>
                                      <w:divBdr>
                                        <w:top w:val="none" w:sz="0" w:space="0" w:color="auto"/>
                                        <w:left w:val="none" w:sz="0" w:space="0" w:color="auto"/>
                                        <w:bottom w:val="none" w:sz="0" w:space="0" w:color="auto"/>
                                        <w:right w:val="none" w:sz="0" w:space="0" w:color="auto"/>
                                      </w:divBdr>
                                      <w:divsChild>
                                        <w:div w:id="731120174">
                                          <w:marLeft w:val="0"/>
                                          <w:marRight w:val="0"/>
                                          <w:marTop w:val="0"/>
                                          <w:marBottom w:val="0"/>
                                          <w:divBdr>
                                            <w:top w:val="none" w:sz="0" w:space="0" w:color="auto"/>
                                            <w:left w:val="none" w:sz="0" w:space="0" w:color="auto"/>
                                            <w:bottom w:val="none" w:sz="0" w:space="0" w:color="auto"/>
                                            <w:right w:val="none" w:sz="0" w:space="0" w:color="auto"/>
                                          </w:divBdr>
                                          <w:divsChild>
                                            <w:div w:id="1762750530">
                                              <w:marLeft w:val="0"/>
                                              <w:marRight w:val="0"/>
                                              <w:marTop w:val="0"/>
                                              <w:marBottom w:val="0"/>
                                              <w:divBdr>
                                                <w:top w:val="none" w:sz="0" w:space="0" w:color="auto"/>
                                                <w:left w:val="none" w:sz="0" w:space="0" w:color="auto"/>
                                                <w:bottom w:val="none" w:sz="0" w:space="0" w:color="auto"/>
                                                <w:right w:val="none" w:sz="0" w:space="0" w:color="auto"/>
                                              </w:divBdr>
                                              <w:divsChild>
                                                <w:div w:id="3584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344108">
      <w:bodyDiv w:val="1"/>
      <w:marLeft w:val="0"/>
      <w:marRight w:val="0"/>
      <w:marTop w:val="0"/>
      <w:marBottom w:val="0"/>
      <w:divBdr>
        <w:top w:val="none" w:sz="0" w:space="0" w:color="auto"/>
        <w:left w:val="none" w:sz="0" w:space="0" w:color="auto"/>
        <w:bottom w:val="none" w:sz="0" w:space="0" w:color="auto"/>
        <w:right w:val="none" w:sz="0" w:space="0" w:color="auto"/>
      </w:divBdr>
    </w:div>
    <w:div w:id="963002773">
      <w:bodyDiv w:val="1"/>
      <w:marLeft w:val="0"/>
      <w:marRight w:val="0"/>
      <w:marTop w:val="0"/>
      <w:marBottom w:val="0"/>
      <w:divBdr>
        <w:top w:val="none" w:sz="0" w:space="0" w:color="auto"/>
        <w:left w:val="none" w:sz="0" w:space="0" w:color="auto"/>
        <w:bottom w:val="none" w:sz="0" w:space="0" w:color="auto"/>
        <w:right w:val="none" w:sz="0" w:space="0" w:color="auto"/>
      </w:divBdr>
      <w:divsChild>
        <w:div w:id="1044720251">
          <w:marLeft w:val="0"/>
          <w:marRight w:val="0"/>
          <w:marTop w:val="0"/>
          <w:marBottom w:val="0"/>
          <w:divBdr>
            <w:top w:val="none" w:sz="0" w:space="0" w:color="auto"/>
            <w:left w:val="none" w:sz="0" w:space="0" w:color="auto"/>
            <w:bottom w:val="none" w:sz="0" w:space="0" w:color="auto"/>
            <w:right w:val="none" w:sz="0" w:space="0" w:color="auto"/>
          </w:divBdr>
          <w:divsChild>
            <w:div w:id="1430009378">
              <w:marLeft w:val="0"/>
              <w:marRight w:val="0"/>
              <w:marTop w:val="0"/>
              <w:marBottom w:val="0"/>
              <w:divBdr>
                <w:top w:val="none" w:sz="0" w:space="0" w:color="auto"/>
                <w:left w:val="none" w:sz="0" w:space="0" w:color="auto"/>
                <w:bottom w:val="none" w:sz="0" w:space="0" w:color="auto"/>
                <w:right w:val="none" w:sz="0" w:space="0" w:color="auto"/>
              </w:divBdr>
              <w:divsChild>
                <w:div w:id="765612096">
                  <w:marLeft w:val="0"/>
                  <w:marRight w:val="0"/>
                  <w:marTop w:val="0"/>
                  <w:marBottom w:val="0"/>
                  <w:divBdr>
                    <w:top w:val="none" w:sz="0" w:space="0" w:color="auto"/>
                    <w:left w:val="none" w:sz="0" w:space="0" w:color="auto"/>
                    <w:bottom w:val="none" w:sz="0" w:space="0" w:color="auto"/>
                    <w:right w:val="none" w:sz="0" w:space="0" w:color="auto"/>
                  </w:divBdr>
                  <w:divsChild>
                    <w:div w:id="435172357">
                      <w:marLeft w:val="0"/>
                      <w:marRight w:val="0"/>
                      <w:marTop w:val="0"/>
                      <w:marBottom w:val="0"/>
                      <w:divBdr>
                        <w:top w:val="none" w:sz="0" w:space="0" w:color="auto"/>
                        <w:left w:val="none" w:sz="0" w:space="0" w:color="auto"/>
                        <w:bottom w:val="none" w:sz="0" w:space="0" w:color="auto"/>
                        <w:right w:val="none" w:sz="0" w:space="0" w:color="auto"/>
                      </w:divBdr>
                      <w:divsChild>
                        <w:div w:id="1985158650">
                          <w:marLeft w:val="0"/>
                          <w:marRight w:val="0"/>
                          <w:marTop w:val="0"/>
                          <w:marBottom w:val="0"/>
                          <w:divBdr>
                            <w:top w:val="none" w:sz="0" w:space="0" w:color="auto"/>
                            <w:left w:val="none" w:sz="0" w:space="0" w:color="auto"/>
                            <w:bottom w:val="none" w:sz="0" w:space="0" w:color="auto"/>
                            <w:right w:val="none" w:sz="0" w:space="0" w:color="auto"/>
                          </w:divBdr>
                          <w:divsChild>
                            <w:div w:id="307784878">
                              <w:marLeft w:val="0"/>
                              <w:marRight w:val="0"/>
                              <w:marTop w:val="0"/>
                              <w:marBottom w:val="0"/>
                              <w:divBdr>
                                <w:top w:val="none" w:sz="0" w:space="0" w:color="auto"/>
                                <w:left w:val="none" w:sz="0" w:space="0" w:color="auto"/>
                                <w:bottom w:val="none" w:sz="0" w:space="0" w:color="auto"/>
                                <w:right w:val="none" w:sz="0" w:space="0" w:color="auto"/>
                              </w:divBdr>
                            </w:div>
                            <w:div w:id="69547546">
                              <w:marLeft w:val="0"/>
                              <w:marRight w:val="0"/>
                              <w:marTop w:val="0"/>
                              <w:marBottom w:val="0"/>
                              <w:divBdr>
                                <w:top w:val="none" w:sz="0" w:space="0" w:color="auto"/>
                                <w:left w:val="none" w:sz="0" w:space="0" w:color="auto"/>
                                <w:bottom w:val="none" w:sz="0" w:space="0" w:color="auto"/>
                                <w:right w:val="none" w:sz="0" w:space="0" w:color="auto"/>
                              </w:divBdr>
                            </w:div>
                            <w:div w:id="3031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547033">
      <w:bodyDiv w:val="1"/>
      <w:marLeft w:val="0"/>
      <w:marRight w:val="0"/>
      <w:marTop w:val="0"/>
      <w:marBottom w:val="0"/>
      <w:divBdr>
        <w:top w:val="none" w:sz="0" w:space="0" w:color="auto"/>
        <w:left w:val="none" w:sz="0" w:space="0" w:color="auto"/>
        <w:bottom w:val="none" w:sz="0" w:space="0" w:color="auto"/>
        <w:right w:val="none" w:sz="0" w:space="0" w:color="auto"/>
      </w:divBdr>
    </w:div>
    <w:div w:id="1806238611">
      <w:bodyDiv w:val="1"/>
      <w:marLeft w:val="0"/>
      <w:marRight w:val="0"/>
      <w:marTop w:val="0"/>
      <w:marBottom w:val="0"/>
      <w:divBdr>
        <w:top w:val="none" w:sz="0" w:space="0" w:color="auto"/>
        <w:left w:val="none" w:sz="0" w:space="0" w:color="auto"/>
        <w:bottom w:val="none" w:sz="0" w:space="0" w:color="auto"/>
        <w:right w:val="none" w:sz="0" w:space="0" w:color="auto"/>
      </w:divBdr>
      <w:divsChild>
        <w:div w:id="1546214159">
          <w:marLeft w:val="0"/>
          <w:marRight w:val="0"/>
          <w:marTop w:val="0"/>
          <w:marBottom w:val="0"/>
          <w:divBdr>
            <w:top w:val="none" w:sz="0" w:space="0" w:color="auto"/>
            <w:left w:val="none" w:sz="0" w:space="0" w:color="auto"/>
            <w:bottom w:val="none" w:sz="0" w:space="0" w:color="auto"/>
            <w:right w:val="none" w:sz="0" w:space="0" w:color="auto"/>
          </w:divBdr>
          <w:divsChild>
            <w:div w:id="685402615">
              <w:marLeft w:val="0"/>
              <w:marRight w:val="0"/>
              <w:marTop w:val="0"/>
              <w:marBottom w:val="0"/>
              <w:divBdr>
                <w:top w:val="none" w:sz="0" w:space="0" w:color="auto"/>
                <w:left w:val="none" w:sz="0" w:space="0" w:color="auto"/>
                <w:bottom w:val="none" w:sz="0" w:space="0" w:color="auto"/>
                <w:right w:val="none" w:sz="0" w:space="0" w:color="auto"/>
              </w:divBdr>
              <w:divsChild>
                <w:div w:id="1909268777">
                  <w:marLeft w:val="0"/>
                  <w:marRight w:val="0"/>
                  <w:marTop w:val="0"/>
                  <w:marBottom w:val="0"/>
                  <w:divBdr>
                    <w:top w:val="none" w:sz="0" w:space="0" w:color="auto"/>
                    <w:left w:val="none" w:sz="0" w:space="0" w:color="auto"/>
                    <w:bottom w:val="none" w:sz="0" w:space="0" w:color="auto"/>
                    <w:right w:val="none" w:sz="0" w:space="0" w:color="auto"/>
                  </w:divBdr>
                  <w:divsChild>
                    <w:div w:id="131601679">
                      <w:marLeft w:val="0"/>
                      <w:marRight w:val="0"/>
                      <w:marTop w:val="0"/>
                      <w:marBottom w:val="0"/>
                      <w:divBdr>
                        <w:top w:val="none" w:sz="0" w:space="0" w:color="auto"/>
                        <w:left w:val="none" w:sz="0" w:space="0" w:color="auto"/>
                        <w:bottom w:val="none" w:sz="0" w:space="0" w:color="auto"/>
                        <w:right w:val="none" w:sz="0" w:space="0" w:color="auto"/>
                      </w:divBdr>
                      <w:divsChild>
                        <w:div w:id="1579635615">
                          <w:marLeft w:val="0"/>
                          <w:marRight w:val="0"/>
                          <w:marTop w:val="0"/>
                          <w:marBottom w:val="0"/>
                          <w:divBdr>
                            <w:top w:val="none" w:sz="0" w:space="0" w:color="auto"/>
                            <w:left w:val="none" w:sz="0" w:space="0" w:color="auto"/>
                            <w:bottom w:val="none" w:sz="0" w:space="0" w:color="auto"/>
                            <w:right w:val="none" w:sz="0" w:space="0" w:color="auto"/>
                          </w:divBdr>
                          <w:divsChild>
                            <w:div w:id="133834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11585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15625-B466-49A3-B064-9D3ABD78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263</TotalTime>
  <Pages>17</Pages>
  <Words>6281</Words>
  <Characters>36581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Overcoming Indigenous Disadvantage Report 2020</vt:lpstr>
    </vt:vector>
  </TitlesOfParts>
  <Company>Productivity Commission</Company>
  <LinksUpToDate>false</LinksUpToDate>
  <CharactersWithSpaces>42777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Overcoming Indigenous Disadvantage Report 2020</dc:title>
  <dc:subject/>
  <dc:creator>Steering Committee for the Review of Government Service Provision</dc:creator>
  <cp:keywords/>
  <dc:description/>
  <cp:lastModifiedBy>Frech, Tanya</cp:lastModifiedBy>
  <cp:revision>45</cp:revision>
  <cp:lastPrinted>2020-11-23T04:48:00Z</cp:lastPrinted>
  <dcterms:created xsi:type="dcterms:W3CDTF">2020-10-26T01:17:00Z</dcterms:created>
  <dcterms:modified xsi:type="dcterms:W3CDTF">2020-11-23T05:00:00Z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zotero-version="5.0.81"&gt;&lt;session id="mfXSapJZ"/&gt;&lt;style id="http://www.zotero.org/styles/Productivity-Commission" hasBibliography="1" bibliographyStyleHasBeenSet="1"/&gt;&lt;prefs&gt;&lt;pref name="fieldType" value="Field"/&gt;&lt;pref name="storeRefe</vt:lpwstr>
  </property>
  <property fmtid="{D5CDD505-2E9C-101B-9397-08002B2CF9AE}" pid="3" name="ZOTERO_PREF_2">
    <vt:lpwstr>rences" value="true"/&gt;&lt;pref name="automaticJournalAbbreviations" value="true"/&gt;&lt;/prefs&gt;&lt;/data&gt;</vt:lpwstr>
  </property>
</Properties>
</file>