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FEBFC" w14:textId="77777777" w:rsidR="00A33DFF" w:rsidRDefault="00517DC3" w:rsidP="00517DC3">
      <w:pPr>
        <w:pStyle w:val="Heading1"/>
        <w:spacing w:before="0"/>
      </w:pPr>
      <w:bookmarkStart w:id="0" w:name="ChapterNumber"/>
      <w:r>
        <w:t>11</w:t>
      </w:r>
      <w:bookmarkEnd w:id="0"/>
      <w:r>
        <w:tab/>
      </w:r>
      <w:bookmarkStart w:id="1" w:name="ChapterTitle"/>
      <w:r>
        <w:t>Safe and supportive communities</w:t>
      </w:r>
      <w:bookmarkEnd w:id="1"/>
    </w:p>
    <w:p w14:paraId="70CCFDA8" w14:textId="77777777" w:rsidR="00D71515" w:rsidRDefault="00D71515" w:rsidP="00D71515">
      <w:pPr>
        <w:pStyle w:val="BoxSpaceAbove"/>
      </w:pPr>
      <w:bookmarkStart w:id="2" w:name="begin"/>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D71515" w14:paraId="4CA5D5D2" w14:textId="77777777" w:rsidTr="00393732">
        <w:tc>
          <w:tcPr>
            <w:tcW w:w="5000" w:type="pct"/>
            <w:tcBorders>
              <w:top w:val="single" w:sz="6" w:space="0" w:color="78A22F"/>
              <w:left w:val="nil"/>
              <w:bottom w:val="nil"/>
              <w:right w:val="nil"/>
            </w:tcBorders>
            <w:shd w:val="clear" w:color="auto" w:fill="auto"/>
          </w:tcPr>
          <w:p w14:paraId="032C1171" w14:textId="77777777" w:rsidR="00D71515" w:rsidRPr="00784A05" w:rsidRDefault="00D71515" w:rsidP="00F53DE9">
            <w:pPr>
              <w:pStyle w:val="TableTitle"/>
            </w:pPr>
            <w:r>
              <w:t>Strategic areas for action</w:t>
            </w:r>
          </w:p>
        </w:tc>
      </w:tr>
      <w:tr w:rsidR="00D71515" w14:paraId="160EFEB1" w14:textId="77777777" w:rsidTr="00393732">
        <w:tc>
          <w:tcPr>
            <w:tcW w:w="5000" w:type="pct"/>
            <w:tcBorders>
              <w:top w:val="nil"/>
              <w:left w:val="nil"/>
              <w:bottom w:val="nil"/>
              <w:right w:val="nil"/>
            </w:tcBorders>
            <w:shd w:val="clear" w:color="auto" w:fill="auto"/>
          </w:tcPr>
          <w:p w14:paraId="1108B4DB" w14:textId="77777777" w:rsidR="00D71515" w:rsidRPr="008C0DD9" w:rsidRDefault="00D71515" w:rsidP="00F53DE9">
            <w:pPr>
              <w:pStyle w:val="TableTitle"/>
              <w:spacing w:before="0" w:after="0" w:line="240" w:lineRule="auto"/>
              <w:rPr>
                <w:sz w:val="10"/>
                <w:szCs w:val="10"/>
              </w:rPr>
            </w:pPr>
          </w:p>
        </w:tc>
      </w:tr>
      <w:tr w:rsidR="00D71515" w14:paraId="13F558D7" w14:textId="77777777" w:rsidTr="00393732">
        <w:tc>
          <w:tcPr>
            <w:tcW w:w="5000" w:type="pct"/>
            <w:tcBorders>
              <w:top w:val="nil"/>
              <w:left w:val="nil"/>
              <w:bottom w:val="nil"/>
              <w:right w:val="nil"/>
            </w:tcBorders>
            <w:shd w:val="clear" w:color="auto" w:fill="auto"/>
          </w:tcPr>
          <w:tbl>
            <w:tblPr>
              <w:tblW w:w="8483" w:type="dxa"/>
              <w:tblCellMar>
                <w:top w:w="28" w:type="dxa"/>
                <w:left w:w="0" w:type="dxa"/>
                <w:right w:w="0" w:type="dxa"/>
              </w:tblCellMar>
              <w:tblLook w:val="0000" w:firstRow="0" w:lastRow="0" w:firstColumn="0" w:lastColumn="0" w:noHBand="0" w:noVBand="0"/>
            </w:tblPr>
            <w:tblGrid>
              <w:gridCol w:w="1165"/>
              <w:gridCol w:w="116"/>
              <w:gridCol w:w="1112"/>
              <w:gridCol w:w="143"/>
              <w:gridCol w:w="260"/>
              <w:gridCol w:w="869"/>
              <w:gridCol w:w="141"/>
              <w:gridCol w:w="280"/>
              <w:gridCol w:w="570"/>
              <w:gridCol w:w="143"/>
              <w:gridCol w:w="580"/>
              <w:gridCol w:w="696"/>
              <w:gridCol w:w="141"/>
              <w:gridCol w:w="1137"/>
              <w:gridCol w:w="141"/>
              <w:gridCol w:w="989"/>
            </w:tblGrid>
            <w:tr w:rsidR="00D71515" w14:paraId="53F15297" w14:textId="77777777" w:rsidTr="00393732">
              <w:tc>
                <w:tcPr>
                  <w:tcW w:w="687" w:type="pct"/>
                  <w:tcBorders>
                    <w:top w:val="single" w:sz="6" w:space="0" w:color="BFBFBF"/>
                    <w:bottom w:val="single" w:sz="6" w:space="0" w:color="000000" w:themeColor="text1"/>
                  </w:tcBorders>
                  <w:shd w:val="clear" w:color="auto" w:fill="auto"/>
                  <w:tcMar>
                    <w:top w:w="28" w:type="dxa"/>
                  </w:tcMar>
                </w:tcPr>
                <w:p w14:paraId="584D8A91" w14:textId="09CC32DD" w:rsidR="00D71515" w:rsidRPr="008C0DD9" w:rsidRDefault="00D71515" w:rsidP="00F53DE9">
                  <w:pPr>
                    <w:pStyle w:val="TableColumnHeading"/>
                    <w:spacing w:before="0" w:after="0" w:line="240" w:lineRule="auto"/>
                    <w:ind w:right="28"/>
                    <w:jc w:val="center"/>
                    <w:rPr>
                      <w:i w:val="0"/>
                      <w:sz w:val="10"/>
                      <w:szCs w:val="10"/>
                    </w:rPr>
                  </w:pPr>
                </w:p>
              </w:tc>
              <w:tc>
                <w:tcPr>
                  <w:tcW w:w="69" w:type="pct"/>
                  <w:tcBorders>
                    <w:top w:val="single" w:sz="6" w:space="0" w:color="BFBFBF"/>
                  </w:tcBorders>
                  <w:shd w:val="clear" w:color="auto" w:fill="auto"/>
                </w:tcPr>
                <w:p w14:paraId="31C9B458" w14:textId="77777777" w:rsidR="00D71515" w:rsidRPr="008C0DD9" w:rsidRDefault="00D71515" w:rsidP="00F53DE9">
                  <w:pPr>
                    <w:pStyle w:val="TableColumnHeading"/>
                    <w:spacing w:before="0" w:after="0" w:line="240" w:lineRule="auto"/>
                    <w:ind w:right="28"/>
                    <w:jc w:val="center"/>
                    <w:rPr>
                      <w:i w:val="0"/>
                      <w:sz w:val="10"/>
                      <w:szCs w:val="10"/>
                    </w:rPr>
                  </w:pPr>
                </w:p>
              </w:tc>
              <w:tc>
                <w:tcPr>
                  <w:tcW w:w="656" w:type="pct"/>
                  <w:tcBorders>
                    <w:top w:val="single" w:sz="6" w:space="0" w:color="BFBFBF"/>
                    <w:bottom w:val="single" w:sz="6" w:space="0" w:color="000000" w:themeColor="text1"/>
                  </w:tcBorders>
                  <w:shd w:val="clear" w:color="auto" w:fill="auto"/>
                </w:tcPr>
                <w:p w14:paraId="22185B61" w14:textId="77777777" w:rsidR="00D71515" w:rsidRPr="008C0DD9" w:rsidRDefault="00D71515" w:rsidP="00F53DE9">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1B764FB0" w14:textId="77777777" w:rsidR="00D71515" w:rsidRPr="008C0DD9" w:rsidRDefault="00D71515" w:rsidP="00F53DE9">
                  <w:pPr>
                    <w:pStyle w:val="TableColumnHeading"/>
                    <w:spacing w:before="0" w:after="0" w:line="240" w:lineRule="auto"/>
                    <w:ind w:right="28"/>
                    <w:jc w:val="center"/>
                    <w:rPr>
                      <w:i w:val="0"/>
                      <w:sz w:val="10"/>
                      <w:szCs w:val="10"/>
                    </w:rPr>
                  </w:pPr>
                </w:p>
              </w:tc>
              <w:tc>
                <w:tcPr>
                  <w:tcW w:w="665" w:type="pct"/>
                  <w:gridSpan w:val="2"/>
                  <w:tcBorders>
                    <w:top w:val="single" w:sz="6" w:space="0" w:color="BFBFBF"/>
                    <w:bottom w:val="single" w:sz="6" w:space="0" w:color="000000" w:themeColor="text1"/>
                  </w:tcBorders>
                  <w:shd w:val="clear" w:color="auto" w:fill="auto"/>
                </w:tcPr>
                <w:p w14:paraId="24DBD64D" w14:textId="77777777" w:rsidR="00D71515" w:rsidRPr="008C0DD9" w:rsidRDefault="00D71515" w:rsidP="00F53DE9">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20B906C4" w14:textId="77777777" w:rsidR="00D71515" w:rsidRPr="008C0DD9" w:rsidRDefault="00D71515" w:rsidP="00F53DE9">
                  <w:pPr>
                    <w:pStyle w:val="TableColumnHeading"/>
                    <w:spacing w:before="0" w:after="0" w:line="240" w:lineRule="auto"/>
                    <w:ind w:right="28"/>
                    <w:jc w:val="center"/>
                    <w:rPr>
                      <w:i w:val="0"/>
                      <w:sz w:val="10"/>
                      <w:szCs w:val="10"/>
                    </w:rPr>
                  </w:pPr>
                </w:p>
              </w:tc>
              <w:tc>
                <w:tcPr>
                  <w:tcW w:w="501" w:type="pct"/>
                  <w:gridSpan w:val="2"/>
                  <w:tcBorders>
                    <w:top w:val="single" w:sz="6" w:space="0" w:color="BFBFBF"/>
                    <w:bottom w:val="single" w:sz="6" w:space="0" w:color="000000" w:themeColor="text1"/>
                  </w:tcBorders>
                  <w:shd w:val="clear" w:color="auto" w:fill="auto"/>
                </w:tcPr>
                <w:p w14:paraId="754548EB" w14:textId="77777777" w:rsidR="00D71515" w:rsidRPr="008C0DD9" w:rsidRDefault="00D71515" w:rsidP="00F53DE9">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7E0B56A7" w14:textId="77777777" w:rsidR="00D71515" w:rsidRPr="008C0DD9" w:rsidRDefault="00D71515" w:rsidP="00F53DE9">
                  <w:pPr>
                    <w:pStyle w:val="TableColumnHeading"/>
                    <w:spacing w:before="0" w:after="0" w:line="240" w:lineRule="auto"/>
                    <w:ind w:right="28"/>
                    <w:jc w:val="center"/>
                    <w:rPr>
                      <w:i w:val="0"/>
                      <w:sz w:val="10"/>
                      <w:szCs w:val="10"/>
                    </w:rPr>
                  </w:pPr>
                </w:p>
              </w:tc>
              <w:tc>
                <w:tcPr>
                  <w:tcW w:w="752" w:type="pct"/>
                  <w:gridSpan w:val="2"/>
                  <w:tcBorders>
                    <w:top w:val="single" w:sz="6" w:space="0" w:color="BFBFBF"/>
                    <w:bottom w:val="single" w:sz="6" w:space="0" w:color="000000" w:themeColor="text1"/>
                  </w:tcBorders>
                  <w:shd w:val="clear" w:color="auto" w:fill="auto"/>
                </w:tcPr>
                <w:p w14:paraId="14084B78" w14:textId="77777777" w:rsidR="00D71515" w:rsidRPr="008C0DD9" w:rsidRDefault="00D71515" w:rsidP="00F53DE9">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1D43E561" w14:textId="77777777" w:rsidR="00D71515" w:rsidRPr="008C0DD9" w:rsidRDefault="00D71515" w:rsidP="00F53DE9">
                  <w:pPr>
                    <w:pStyle w:val="TableColumnHeading"/>
                    <w:spacing w:before="0" w:after="0" w:line="240" w:lineRule="auto"/>
                    <w:ind w:right="28"/>
                    <w:jc w:val="center"/>
                    <w:rPr>
                      <w:i w:val="0"/>
                      <w:sz w:val="10"/>
                      <w:szCs w:val="10"/>
                    </w:rPr>
                  </w:pPr>
                </w:p>
              </w:tc>
              <w:tc>
                <w:tcPr>
                  <w:tcW w:w="670" w:type="pct"/>
                  <w:tcBorders>
                    <w:top w:val="single" w:sz="6" w:space="0" w:color="BFBFBF"/>
                    <w:bottom w:val="single" w:sz="6" w:space="0" w:color="000000" w:themeColor="text1"/>
                  </w:tcBorders>
                  <w:shd w:val="clear" w:color="auto" w:fill="auto"/>
                </w:tcPr>
                <w:p w14:paraId="50C38936" w14:textId="77777777" w:rsidR="00D71515" w:rsidRPr="008C0DD9" w:rsidRDefault="00D71515" w:rsidP="00F53DE9">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7873C7B0" w14:textId="77777777" w:rsidR="00D71515" w:rsidRPr="008C0DD9" w:rsidRDefault="00D71515" w:rsidP="00F53DE9">
                  <w:pPr>
                    <w:pStyle w:val="TableColumnHeading"/>
                    <w:spacing w:before="0" w:after="0" w:line="240" w:lineRule="auto"/>
                    <w:ind w:right="28"/>
                    <w:jc w:val="center"/>
                    <w:rPr>
                      <w:i w:val="0"/>
                      <w:sz w:val="10"/>
                      <w:szCs w:val="10"/>
                    </w:rPr>
                  </w:pPr>
                </w:p>
              </w:tc>
              <w:tc>
                <w:tcPr>
                  <w:tcW w:w="584" w:type="pct"/>
                  <w:tcBorders>
                    <w:top w:val="single" w:sz="6" w:space="0" w:color="BFBFBF"/>
                    <w:bottom w:val="single" w:sz="6" w:space="0" w:color="000000" w:themeColor="text1"/>
                  </w:tcBorders>
                  <w:shd w:val="clear" w:color="auto" w:fill="auto"/>
                </w:tcPr>
                <w:p w14:paraId="0CC09A6F" w14:textId="77777777" w:rsidR="00D71515" w:rsidRPr="008C0DD9" w:rsidRDefault="00D71515" w:rsidP="00F53DE9">
                  <w:pPr>
                    <w:pStyle w:val="TableColumnHeading"/>
                    <w:spacing w:before="0" w:after="0" w:line="240" w:lineRule="auto"/>
                    <w:ind w:right="28"/>
                    <w:jc w:val="center"/>
                    <w:rPr>
                      <w:i w:val="0"/>
                      <w:sz w:val="10"/>
                      <w:szCs w:val="10"/>
                    </w:rPr>
                  </w:pPr>
                </w:p>
              </w:tc>
            </w:tr>
            <w:tr w:rsidR="007F3CA2" w14:paraId="1ED8908E" w14:textId="77777777" w:rsidTr="00393732">
              <w:tc>
                <w:tcPr>
                  <w:tcW w:w="6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tcMar>
                </w:tcPr>
                <w:p w14:paraId="6BFA4285" w14:textId="77777777" w:rsidR="00D71515" w:rsidRPr="006A75BA" w:rsidRDefault="00D71515" w:rsidP="00F304F7">
                  <w:pPr>
                    <w:pStyle w:val="TableColumnHeading"/>
                    <w:ind w:left="0" w:right="0"/>
                    <w:jc w:val="center"/>
                    <w:rPr>
                      <w:i w:val="0"/>
                      <w:sz w:val="16"/>
                      <w:szCs w:val="16"/>
                    </w:rPr>
                  </w:pPr>
                  <w:r>
                    <w:rPr>
                      <w:i w:val="0"/>
                      <w:sz w:val="16"/>
                      <w:szCs w:val="16"/>
                    </w:rPr>
                    <w:t>Governance</w:t>
                  </w:r>
                  <w:r w:rsidR="00F304F7">
                    <w:rPr>
                      <w:i w:val="0"/>
                      <w:sz w:val="16"/>
                      <w:szCs w:val="16"/>
                    </w:rPr>
                    <w:t>,</w:t>
                  </w:r>
                  <w:r>
                    <w:rPr>
                      <w:i w:val="0"/>
                      <w:sz w:val="16"/>
                      <w:szCs w:val="16"/>
                    </w:rPr>
                    <w:t xml:space="preserve"> leadership and culture</w:t>
                  </w:r>
                </w:p>
              </w:tc>
              <w:tc>
                <w:tcPr>
                  <w:tcW w:w="69" w:type="pct"/>
                  <w:tcBorders>
                    <w:left w:val="single" w:sz="6" w:space="0" w:color="000000" w:themeColor="text1"/>
                    <w:right w:val="single" w:sz="6" w:space="0" w:color="000000" w:themeColor="text1"/>
                  </w:tcBorders>
                  <w:shd w:val="clear" w:color="auto" w:fill="auto"/>
                </w:tcPr>
                <w:p w14:paraId="7AD6D615" w14:textId="77777777" w:rsidR="00D71515" w:rsidRPr="006A75BA" w:rsidRDefault="00D71515" w:rsidP="00F53DE9">
                  <w:pPr>
                    <w:pStyle w:val="TableColumnHeading"/>
                    <w:ind w:right="28"/>
                    <w:jc w:val="center"/>
                    <w:rPr>
                      <w:i w:val="0"/>
                      <w:sz w:val="16"/>
                      <w:szCs w:val="16"/>
                    </w:rPr>
                  </w:pP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DFE7E1" w14:textId="77777777" w:rsidR="00D71515" w:rsidRPr="006A75BA" w:rsidRDefault="00D71515" w:rsidP="00F53DE9">
                  <w:pPr>
                    <w:pStyle w:val="TableColumnHeading"/>
                    <w:ind w:left="0" w:right="0"/>
                    <w:jc w:val="center"/>
                    <w:rPr>
                      <w:i w:val="0"/>
                      <w:sz w:val="16"/>
                      <w:szCs w:val="16"/>
                    </w:rPr>
                  </w:pPr>
                  <w:r>
                    <w:rPr>
                      <w:i w:val="0"/>
                      <w:sz w:val="16"/>
                      <w:szCs w:val="16"/>
                    </w:rPr>
                    <w:t>Early child development</w:t>
                  </w:r>
                </w:p>
              </w:tc>
              <w:tc>
                <w:tcPr>
                  <w:tcW w:w="84" w:type="pct"/>
                  <w:tcBorders>
                    <w:left w:val="single" w:sz="6" w:space="0" w:color="000000" w:themeColor="text1"/>
                    <w:right w:val="single" w:sz="6" w:space="0" w:color="000000" w:themeColor="text1"/>
                  </w:tcBorders>
                  <w:shd w:val="clear" w:color="auto" w:fill="auto"/>
                </w:tcPr>
                <w:p w14:paraId="0ECF6D25" w14:textId="77777777" w:rsidR="00D71515" w:rsidRPr="006A75BA" w:rsidRDefault="00D71515" w:rsidP="00F53DE9">
                  <w:pPr>
                    <w:pStyle w:val="TableColumnHeading"/>
                    <w:ind w:right="28"/>
                    <w:jc w:val="center"/>
                    <w:rPr>
                      <w:i w:val="0"/>
                      <w:sz w:val="16"/>
                      <w:szCs w:val="16"/>
                    </w:rPr>
                  </w:pPr>
                </w:p>
              </w:tc>
              <w:tc>
                <w:tcPr>
                  <w:tcW w:w="66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9AE614" w14:textId="77777777" w:rsidR="00D71515" w:rsidRPr="006A75BA" w:rsidRDefault="00D71515" w:rsidP="00F53DE9">
                  <w:pPr>
                    <w:pStyle w:val="TableColumnHeading"/>
                    <w:ind w:left="0" w:right="0"/>
                    <w:jc w:val="center"/>
                    <w:rPr>
                      <w:i w:val="0"/>
                      <w:sz w:val="16"/>
                      <w:szCs w:val="16"/>
                    </w:rPr>
                  </w:pPr>
                  <w:r>
                    <w:rPr>
                      <w:i w:val="0"/>
                      <w:sz w:val="16"/>
                      <w:szCs w:val="16"/>
                    </w:rPr>
                    <w:t>Education and training</w:t>
                  </w:r>
                </w:p>
              </w:tc>
              <w:tc>
                <w:tcPr>
                  <w:tcW w:w="83" w:type="pct"/>
                  <w:tcBorders>
                    <w:left w:val="single" w:sz="6" w:space="0" w:color="000000" w:themeColor="text1"/>
                    <w:right w:val="single" w:sz="6" w:space="0" w:color="000000" w:themeColor="text1"/>
                  </w:tcBorders>
                  <w:shd w:val="clear" w:color="auto" w:fill="auto"/>
                </w:tcPr>
                <w:p w14:paraId="3F796B9A" w14:textId="77777777" w:rsidR="00D71515" w:rsidRPr="006A75BA" w:rsidRDefault="00D71515" w:rsidP="00F53DE9">
                  <w:pPr>
                    <w:pStyle w:val="TableColumnHeading"/>
                    <w:ind w:right="28"/>
                    <w:jc w:val="center"/>
                    <w:rPr>
                      <w:i w:val="0"/>
                      <w:sz w:val="16"/>
                      <w:szCs w:val="16"/>
                    </w:rPr>
                  </w:pPr>
                </w:p>
              </w:tc>
              <w:tc>
                <w:tcPr>
                  <w:tcW w:w="50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21C0B9" w14:textId="77777777" w:rsidR="00D71515" w:rsidRPr="006A75BA" w:rsidRDefault="00D71515" w:rsidP="00F53DE9">
                  <w:pPr>
                    <w:pStyle w:val="TableColumnHeading"/>
                    <w:ind w:left="0" w:right="0"/>
                    <w:jc w:val="center"/>
                    <w:rPr>
                      <w:i w:val="0"/>
                      <w:sz w:val="16"/>
                      <w:szCs w:val="16"/>
                    </w:rPr>
                  </w:pPr>
                  <w:r>
                    <w:rPr>
                      <w:i w:val="0"/>
                      <w:sz w:val="16"/>
                      <w:szCs w:val="16"/>
                    </w:rPr>
                    <w:t>Healthy lives</w:t>
                  </w:r>
                </w:p>
              </w:tc>
              <w:tc>
                <w:tcPr>
                  <w:tcW w:w="84" w:type="pct"/>
                  <w:tcBorders>
                    <w:left w:val="single" w:sz="6" w:space="0" w:color="000000" w:themeColor="text1"/>
                    <w:right w:val="single" w:sz="6" w:space="0" w:color="000000" w:themeColor="text1"/>
                  </w:tcBorders>
                  <w:shd w:val="clear" w:color="auto" w:fill="auto"/>
                </w:tcPr>
                <w:p w14:paraId="19EB4184" w14:textId="77777777" w:rsidR="00D71515" w:rsidRPr="006A75BA" w:rsidRDefault="00D71515" w:rsidP="00F53DE9">
                  <w:pPr>
                    <w:pStyle w:val="TableColumnHeading"/>
                    <w:ind w:right="28"/>
                    <w:jc w:val="center"/>
                    <w:rPr>
                      <w:i w:val="0"/>
                      <w:sz w:val="16"/>
                      <w:szCs w:val="16"/>
                    </w:rPr>
                  </w:pPr>
                </w:p>
              </w:tc>
              <w:tc>
                <w:tcPr>
                  <w:tcW w:w="7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3D234A" w14:textId="77777777" w:rsidR="00D71515" w:rsidRPr="006A75BA" w:rsidRDefault="00D71515" w:rsidP="00F53DE9">
                  <w:pPr>
                    <w:pStyle w:val="TableColumnHeading"/>
                    <w:ind w:left="0" w:right="0"/>
                    <w:jc w:val="center"/>
                    <w:rPr>
                      <w:i w:val="0"/>
                      <w:sz w:val="16"/>
                      <w:szCs w:val="16"/>
                    </w:rPr>
                  </w:pPr>
                  <w:r>
                    <w:rPr>
                      <w:i w:val="0"/>
                      <w:sz w:val="16"/>
                      <w:szCs w:val="16"/>
                    </w:rPr>
                    <w:t>Economic participation</w:t>
                  </w:r>
                </w:p>
              </w:tc>
              <w:tc>
                <w:tcPr>
                  <w:tcW w:w="83" w:type="pct"/>
                  <w:tcBorders>
                    <w:left w:val="single" w:sz="6" w:space="0" w:color="000000" w:themeColor="text1"/>
                    <w:right w:val="single" w:sz="6" w:space="0" w:color="000000" w:themeColor="text1"/>
                  </w:tcBorders>
                  <w:shd w:val="clear" w:color="auto" w:fill="auto"/>
                </w:tcPr>
                <w:p w14:paraId="517FD2E1" w14:textId="77777777" w:rsidR="00D71515" w:rsidRPr="006A75BA" w:rsidRDefault="00D71515" w:rsidP="00F53DE9">
                  <w:pPr>
                    <w:pStyle w:val="TableColumnHeading"/>
                    <w:ind w:right="28"/>
                    <w:jc w:val="center"/>
                    <w:rPr>
                      <w:i w:val="0"/>
                      <w:sz w:val="16"/>
                      <w:szCs w:val="16"/>
                    </w:rPr>
                  </w:pP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C9EB77" w14:textId="77777777" w:rsidR="00D71515" w:rsidRPr="006A75BA" w:rsidRDefault="00D71515" w:rsidP="00F53DE9">
                  <w:pPr>
                    <w:pStyle w:val="TableColumnHeading"/>
                    <w:ind w:left="0" w:right="0"/>
                    <w:jc w:val="center"/>
                    <w:rPr>
                      <w:i w:val="0"/>
                      <w:sz w:val="16"/>
                      <w:szCs w:val="16"/>
                    </w:rPr>
                  </w:pPr>
                  <w:r>
                    <w:rPr>
                      <w:i w:val="0"/>
                      <w:sz w:val="16"/>
                      <w:szCs w:val="16"/>
                    </w:rPr>
                    <w:t>Home environment</w:t>
                  </w:r>
                </w:p>
              </w:tc>
              <w:tc>
                <w:tcPr>
                  <w:tcW w:w="83" w:type="pct"/>
                  <w:tcBorders>
                    <w:left w:val="single" w:sz="6" w:space="0" w:color="000000" w:themeColor="text1"/>
                    <w:right w:val="single" w:sz="6" w:space="0" w:color="000000" w:themeColor="text1"/>
                  </w:tcBorders>
                  <w:shd w:val="clear" w:color="auto" w:fill="auto"/>
                </w:tcPr>
                <w:p w14:paraId="705AF305" w14:textId="77777777" w:rsidR="00D71515" w:rsidRPr="006A75BA" w:rsidRDefault="00D71515" w:rsidP="00F53DE9">
                  <w:pPr>
                    <w:pStyle w:val="TableColumnHeading"/>
                    <w:ind w:right="28"/>
                    <w:jc w:val="center"/>
                    <w:rPr>
                      <w:i w:val="0"/>
                      <w:sz w:val="16"/>
                      <w:szCs w:val="16"/>
                    </w:rPr>
                  </w:pPr>
                </w:p>
              </w:tc>
              <w:tc>
                <w:tcPr>
                  <w:tcW w:w="5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Pr>
                <w:p w14:paraId="6C29E8E5" w14:textId="79C802A7" w:rsidR="00D71515" w:rsidRPr="006A75BA" w:rsidRDefault="001225FF" w:rsidP="00F53DE9">
                  <w:pPr>
                    <w:pStyle w:val="TableColumnHeading"/>
                    <w:ind w:left="0" w:right="0"/>
                    <w:jc w:val="center"/>
                    <w:rPr>
                      <w:i w:val="0"/>
                      <w:sz w:val="16"/>
                      <w:szCs w:val="16"/>
                    </w:rPr>
                  </w:pPr>
                  <w:r>
                    <w:rPr>
                      <w:noProof/>
                      <w:sz w:val="16"/>
                      <w:szCs w:val="16"/>
                    </w:rPr>
                    <mc:AlternateContent>
                      <mc:Choice Requires="wps">
                        <w:drawing>
                          <wp:anchor distT="0" distB="0" distL="114300" distR="114300" simplePos="0" relativeHeight="251660287" behindDoc="0" locked="0" layoutInCell="0" allowOverlap="1" wp14:anchorId="303B486C" wp14:editId="32C13783">
                            <wp:simplePos x="0" y="0"/>
                            <wp:positionH relativeFrom="column">
                              <wp:posOffset>297815</wp:posOffset>
                            </wp:positionH>
                            <wp:positionV relativeFrom="paragraph">
                              <wp:posOffset>483647</wp:posOffset>
                            </wp:positionV>
                            <wp:extent cx="0" cy="100965"/>
                            <wp:effectExtent l="38100" t="0" r="57150" b="51435"/>
                            <wp:wrapNone/>
                            <wp:docPr id="1" name="Line 1057" descr="connector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2F9E0" id="Line 1057" o:spid="_x0000_s1026" alt="connector arrow" style="position:absolute;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38.1pt" to="23.4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" o:allowincell="f">
                            <v:stroke endarrow="block" endarrowwidth="narrow" endarrowlength="short"/>
                          </v:line>
                        </w:pict>
                      </mc:Fallback>
                    </mc:AlternateContent>
                  </w:r>
                  <w:r w:rsidR="00D71515">
                    <w:rPr>
                      <w:i w:val="0"/>
                      <w:sz w:val="16"/>
                      <w:szCs w:val="16"/>
                    </w:rPr>
                    <w:t>Safe and supportive communities</w:t>
                  </w:r>
                </w:p>
              </w:tc>
            </w:tr>
            <w:tr w:rsidR="00D71515" w14:paraId="412A37D1" w14:textId="77777777" w:rsidTr="00393732">
              <w:tc>
                <w:tcPr>
                  <w:tcW w:w="1649" w:type="pct"/>
                  <w:gridSpan w:val="5"/>
                  <w:tcBorders>
                    <w:bottom w:val="single" w:sz="6" w:space="0" w:color="000000" w:themeColor="text1"/>
                  </w:tcBorders>
                </w:tcPr>
                <w:p w14:paraId="752E58B2" w14:textId="77777777" w:rsidR="00D71515" w:rsidRPr="008C0DD9" w:rsidRDefault="00D71515" w:rsidP="00F53DE9">
                  <w:pPr>
                    <w:pStyle w:val="TableUnitsRow"/>
                    <w:spacing w:before="0" w:after="0" w:line="240" w:lineRule="auto"/>
                    <w:jc w:val="left"/>
                    <w:rPr>
                      <w:sz w:val="10"/>
                      <w:szCs w:val="10"/>
                    </w:rPr>
                  </w:pPr>
                </w:p>
              </w:tc>
              <w:tc>
                <w:tcPr>
                  <w:tcW w:w="1522" w:type="pct"/>
                  <w:gridSpan w:val="6"/>
                  <w:tcBorders>
                    <w:bottom w:val="single" w:sz="6" w:space="0" w:color="000000" w:themeColor="text1"/>
                  </w:tcBorders>
                </w:tcPr>
                <w:p w14:paraId="0E0D9EF3" w14:textId="77777777" w:rsidR="00D71515" w:rsidRPr="008C0DD9" w:rsidRDefault="00D71515" w:rsidP="00F53DE9">
                  <w:pPr>
                    <w:pStyle w:val="TableUnitsRow"/>
                    <w:spacing w:before="0" w:after="0" w:line="240" w:lineRule="auto"/>
                    <w:rPr>
                      <w:sz w:val="10"/>
                      <w:szCs w:val="10"/>
                    </w:rPr>
                  </w:pPr>
                </w:p>
              </w:tc>
              <w:tc>
                <w:tcPr>
                  <w:tcW w:w="1830" w:type="pct"/>
                  <w:gridSpan w:val="5"/>
                  <w:tcBorders>
                    <w:bottom w:val="single" w:sz="6" w:space="0" w:color="000000" w:themeColor="text1"/>
                  </w:tcBorders>
                </w:tcPr>
                <w:p w14:paraId="3B97948A" w14:textId="77777777" w:rsidR="00D71515" w:rsidRPr="008C0DD9" w:rsidRDefault="00D71515" w:rsidP="00F53DE9">
                  <w:pPr>
                    <w:pStyle w:val="TableUnitsRow"/>
                    <w:spacing w:before="0" w:after="0" w:line="240" w:lineRule="auto"/>
                    <w:ind w:right="28"/>
                    <w:rPr>
                      <w:sz w:val="10"/>
                      <w:szCs w:val="10"/>
                    </w:rPr>
                  </w:pPr>
                </w:p>
              </w:tc>
            </w:tr>
            <w:tr w:rsidR="00D71515" w14:paraId="764399C0" w14:textId="77777777" w:rsidTr="00393732">
              <w:tc>
                <w:tcPr>
                  <w:tcW w:w="2409" w:type="pct"/>
                  <w:gridSpan w:val="8"/>
                  <w:tcBorders>
                    <w:top w:val="single" w:sz="6" w:space="0" w:color="000000" w:themeColor="text1"/>
                    <w:left w:val="single" w:sz="6" w:space="0" w:color="000000" w:themeColor="text1"/>
                    <w:bottom w:val="single" w:sz="6" w:space="0" w:color="000000" w:themeColor="text1"/>
                  </w:tcBorders>
                  <w:shd w:val="pct12" w:color="auto" w:fill="auto"/>
                </w:tcPr>
                <w:p w14:paraId="0BAC23EC" w14:textId="1A6D21C4" w:rsidR="00D71515" w:rsidRPr="00F30AF6" w:rsidRDefault="00517DC3" w:rsidP="00F53DE9">
                  <w:pPr>
                    <w:pStyle w:val="TableBodyText"/>
                    <w:spacing w:before="40"/>
                    <w:jc w:val="left"/>
                    <w:rPr>
                      <w:sz w:val="16"/>
                      <w:szCs w:val="16"/>
                      <w:lang w:eastAsia="en-US"/>
                    </w:rPr>
                  </w:pPr>
                  <w:r>
                    <w:rPr>
                      <w:sz w:val="16"/>
                      <w:szCs w:val="16"/>
                      <w:lang w:eastAsia="en-US"/>
                    </w:rPr>
                    <w:t>11.</w:t>
                  </w:r>
                  <w:r w:rsidR="00E86A06">
                    <w:rPr>
                      <w:sz w:val="16"/>
                      <w:szCs w:val="16"/>
                      <w:lang w:eastAsia="en-US"/>
                    </w:rPr>
                    <w:t>1</w:t>
                  </w:r>
                  <w:r w:rsidR="00D71515">
                    <w:rPr>
                      <w:sz w:val="16"/>
                      <w:szCs w:val="16"/>
                      <w:lang w:eastAsia="en-US"/>
                    </w:rPr>
                    <w:t xml:space="preserve">    </w:t>
                  </w:r>
                  <w:r w:rsidR="00D71515" w:rsidRPr="001C267D">
                    <w:rPr>
                      <w:sz w:val="16"/>
                      <w:szCs w:val="16"/>
                    </w:rPr>
                    <w:t>Alcohol consumption and harm</w:t>
                  </w:r>
                </w:p>
                <w:p w14:paraId="65EAC3CA" w14:textId="7DD0845A" w:rsidR="00D71515" w:rsidRPr="00F30AF6" w:rsidRDefault="00517DC3" w:rsidP="00F53DE9">
                  <w:pPr>
                    <w:pStyle w:val="TableBodyText"/>
                    <w:jc w:val="left"/>
                    <w:rPr>
                      <w:sz w:val="16"/>
                      <w:szCs w:val="16"/>
                      <w:lang w:eastAsia="en-US"/>
                    </w:rPr>
                  </w:pPr>
                  <w:r>
                    <w:rPr>
                      <w:sz w:val="16"/>
                      <w:szCs w:val="16"/>
                      <w:lang w:eastAsia="en-US"/>
                    </w:rPr>
                    <w:t>11.</w:t>
                  </w:r>
                  <w:r w:rsidR="00E86A06">
                    <w:rPr>
                      <w:sz w:val="16"/>
                      <w:szCs w:val="16"/>
                      <w:lang w:eastAsia="en-US"/>
                    </w:rPr>
                    <w:t>2</w:t>
                  </w:r>
                  <w:r w:rsidR="00D71515">
                    <w:rPr>
                      <w:noProof/>
                      <w:sz w:val="16"/>
                      <w:szCs w:val="16"/>
                      <w:lang w:eastAsia="en-US"/>
                    </w:rPr>
                    <w:t xml:space="preserve">    </w:t>
                  </w:r>
                  <w:r w:rsidR="00D71515" w:rsidRPr="001C267D">
                    <w:rPr>
                      <w:sz w:val="16"/>
                      <w:szCs w:val="16"/>
                    </w:rPr>
                    <w:t>Drug and other substance use and harm</w:t>
                  </w:r>
                </w:p>
                <w:p w14:paraId="7A65F8EA" w14:textId="08C895C9" w:rsidR="00D71515" w:rsidRPr="00D71515" w:rsidRDefault="00517DC3" w:rsidP="007D7EEB">
                  <w:pPr>
                    <w:pStyle w:val="TableBodyText"/>
                    <w:jc w:val="left"/>
                    <w:rPr>
                      <w:sz w:val="16"/>
                      <w:szCs w:val="16"/>
                      <w:lang w:eastAsia="en-US"/>
                    </w:rPr>
                  </w:pPr>
                  <w:r>
                    <w:rPr>
                      <w:sz w:val="16"/>
                      <w:szCs w:val="16"/>
                      <w:lang w:eastAsia="en-US"/>
                    </w:rPr>
                    <w:t>11.</w:t>
                  </w:r>
                  <w:r w:rsidR="00E86A06">
                    <w:rPr>
                      <w:sz w:val="16"/>
                      <w:szCs w:val="16"/>
                      <w:lang w:eastAsia="en-US"/>
                    </w:rPr>
                    <w:t>3</w:t>
                  </w:r>
                  <w:r w:rsidR="00D71515">
                    <w:rPr>
                      <w:noProof/>
                      <w:sz w:val="16"/>
                      <w:szCs w:val="16"/>
                      <w:lang w:eastAsia="en-US"/>
                    </w:rPr>
                    <w:t xml:space="preserve">    </w:t>
                  </w:r>
                  <w:r w:rsidR="007D7EEB">
                    <w:rPr>
                      <w:sz w:val="16"/>
                      <w:szCs w:val="16"/>
                    </w:rPr>
                    <w:t>Youth</w:t>
                  </w:r>
                  <w:r w:rsidR="007D7EEB" w:rsidRPr="001C267D">
                    <w:rPr>
                      <w:sz w:val="16"/>
                      <w:szCs w:val="16"/>
                    </w:rPr>
                    <w:t xml:space="preserve"> </w:t>
                  </w:r>
                  <w:r w:rsidR="00D71515" w:rsidRPr="001C267D">
                    <w:rPr>
                      <w:sz w:val="16"/>
                      <w:szCs w:val="16"/>
                    </w:rPr>
                    <w:t>diversions</w:t>
                  </w:r>
                </w:p>
              </w:tc>
              <w:tc>
                <w:tcPr>
                  <w:tcW w:w="2591" w:type="pct"/>
                  <w:gridSpan w:val="8"/>
                  <w:tcBorders>
                    <w:top w:val="single" w:sz="6" w:space="0" w:color="000000" w:themeColor="text1"/>
                    <w:bottom w:val="single" w:sz="6" w:space="0" w:color="000000" w:themeColor="text1"/>
                    <w:right w:val="single" w:sz="6" w:space="0" w:color="000000" w:themeColor="text1"/>
                  </w:tcBorders>
                  <w:shd w:val="pct12" w:color="auto" w:fill="auto"/>
                </w:tcPr>
                <w:p w14:paraId="350B35B9" w14:textId="6E8EC064" w:rsidR="00D71515" w:rsidRDefault="00517DC3" w:rsidP="00F53DE9">
                  <w:pPr>
                    <w:pStyle w:val="TableBodyText"/>
                    <w:spacing w:before="40"/>
                    <w:jc w:val="left"/>
                    <w:rPr>
                      <w:sz w:val="16"/>
                      <w:szCs w:val="16"/>
                      <w:lang w:eastAsia="en-US"/>
                    </w:rPr>
                  </w:pPr>
                  <w:r>
                    <w:rPr>
                      <w:sz w:val="16"/>
                      <w:szCs w:val="16"/>
                      <w:lang w:eastAsia="en-US"/>
                    </w:rPr>
                    <w:t>11.</w:t>
                  </w:r>
                  <w:r w:rsidR="00E86A06">
                    <w:rPr>
                      <w:sz w:val="16"/>
                      <w:szCs w:val="16"/>
                      <w:lang w:eastAsia="en-US"/>
                    </w:rPr>
                    <w:t>4</w:t>
                  </w:r>
                  <w:r w:rsidR="00D71515">
                    <w:rPr>
                      <w:sz w:val="16"/>
                      <w:szCs w:val="16"/>
                      <w:lang w:eastAsia="en-US"/>
                    </w:rPr>
                    <w:t xml:space="preserve">    </w:t>
                  </w:r>
                  <w:r w:rsidR="00D71515" w:rsidRPr="001C267D">
                    <w:rPr>
                      <w:sz w:val="16"/>
                      <w:szCs w:val="16"/>
                    </w:rPr>
                    <w:t>Repeat offending</w:t>
                  </w:r>
                </w:p>
                <w:p w14:paraId="0A18D8D8" w14:textId="427EEF7F" w:rsidR="00D71515" w:rsidRPr="00D71515" w:rsidRDefault="00517DC3" w:rsidP="00D71515">
                  <w:pPr>
                    <w:pStyle w:val="TableBodyText"/>
                    <w:spacing w:before="40"/>
                    <w:jc w:val="left"/>
                    <w:rPr>
                      <w:sz w:val="16"/>
                      <w:szCs w:val="16"/>
                      <w:lang w:eastAsia="en-US"/>
                    </w:rPr>
                  </w:pPr>
                  <w:r>
                    <w:rPr>
                      <w:sz w:val="16"/>
                      <w:szCs w:val="16"/>
                      <w:lang w:eastAsia="en-US"/>
                    </w:rPr>
                    <w:t>11.</w:t>
                  </w:r>
                  <w:r w:rsidR="00E86A06">
                    <w:rPr>
                      <w:sz w:val="16"/>
                      <w:szCs w:val="16"/>
                      <w:lang w:eastAsia="en-US"/>
                    </w:rPr>
                    <w:t>5</w:t>
                  </w:r>
                  <w:r w:rsidR="00D71515">
                    <w:rPr>
                      <w:noProof/>
                      <w:sz w:val="16"/>
                      <w:szCs w:val="16"/>
                      <w:lang w:eastAsia="en-US"/>
                    </w:rPr>
                    <w:t xml:space="preserve">    </w:t>
                  </w:r>
                  <w:r w:rsidR="00D71515">
                    <w:rPr>
                      <w:sz w:val="16"/>
                      <w:szCs w:val="16"/>
                    </w:rPr>
                    <w:t>Community functioning</w:t>
                  </w:r>
                </w:p>
              </w:tc>
            </w:tr>
            <w:tr w:rsidR="00D71515" w14:paraId="26103805" w14:textId="77777777" w:rsidTr="00393732">
              <w:tc>
                <w:tcPr>
                  <w:tcW w:w="1649" w:type="pct"/>
                  <w:gridSpan w:val="5"/>
                  <w:tcBorders>
                    <w:top w:val="single" w:sz="6" w:space="0" w:color="000000" w:themeColor="text1"/>
                  </w:tcBorders>
                  <w:shd w:val="clear" w:color="auto" w:fill="auto"/>
                </w:tcPr>
                <w:p w14:paraId="1A6E5F4D" w14:textId="77777777" w:rsidR="00D71515" w:rsidRPr="008C0DD9" w:rsidRDefault="00D71515" w:rsidP="00F53DE9">
                  <w:pPr>
                    <w:pStyle w:val="TableBodyText"/>
                    <w:spacing w:after="0" w:line="240" w:lineRule="auto"/>
                    <w:jc w:val="left"/>
                    <w:rPr>
                      <w:sz w:val="10"/>
                      <w:szCs w:val="10"/>
                    </w:rPr>
                  </w:pPr>
                </w:p>
              </w:tc>
              <w:tc>
                <w:tcPr>
                  <w:tcW w:w="1522" w:type="pct"/>
                  <w:gridSpan w:val="6"/>
                  <w:tcBorders>
                    <w:top w:val="single" w:sz="6" w:space="0" w:color="000000" w:themeColor="text1"/>
                  </w:tcBorders>
                  <w:shd w:val="clear" w:color="auto" w:fill="auto"/>
                </w:tcPr>
                <w:p w14:paraId="174ACCE4" w14:textId="77777777" w:rsidR="00D71515" w:rsidRPr="008C0DD9" w:rsidRDefault="00D71515" w:rsidP="00F53DE9">
                  <w:pPr>
                    <w:pStyle w:val="TableBodyText"/>
                    <w:spacing w:after="0" w:line="240" w:lineRule="auto"/>
                    <w:rPr>
                      <w:sz w:val="10"/>
                      <w:szCs w:val="10"/>
                    </w:rPr>
                  </w:pPr>
                </w:p>
              </w:tc>
              <w:tc>
                <w:tcPr>
                  <w:tcW w:w="1830" w:type="pct"/>
                  <w:gridSpan w:val="5"/>
                  <w:tcBorders>
                    <w:top w:val="single" w:sz="6" w:space="0" w:color="000000" w:themeColor="text1"/>
                  </w:tcBorders>
                  <w:shd w:val="clear" w:color="auto" w:fill="auto"/>
                </w:tcPr>
                <w:p w14:paraId="2BA2F7FC" w14:textId="77777777" w:rsidR="00D71515" w:rsidRPr="008C0DD9" w:rsidRDefault="00D71515" w:rsidP="00F53DE9">
                  <w:pPr>
                    <w:pStyle w:val="TableBodyText"/>
                    <w:spacing w:after="0" w:line="240" w:lineRule="auto"/>
                    <w:ind w:right="28"/>
                    <w:rPr>
                      <w:sz w:val="10"/>
                      <w:szCs w:val="10"/>
                    </w:rPr>
                  </w:pPr>
                </w:p>
              </w:tc>
            </w:tr>
          </w:tbl>
          <w:p w14:paraId="5741D781" w14:textId="77777777" w:rsidR="00D71515" w:rsidRDefault="00D71515" w:rsidP="00F53DE9">
            <w:pPr>
              <w:pStyle w:val="Box"/>
            </w:pPr>
          </w:p>
        </w:tc>
      </w:tr>
      <w:tr w:rsidR="00D71515" w14:paraId="1DB0DD1E" w14:textId="77777777" w:rsidTr="00393732">
        <w:tc>
          <w:tcPr>
            <w:tcW w:w="5000" w:type="pct"/>
            <w:tcBorders>
              <w:top w:val="nil"/>
              <w:left w:val="nil"/>
              <w:bottom w:val="single" w:sz="6" w:space="0" w:color="78A22F"/>
              <w:right w:val="nil"/>
            </w:tcBorders>
            <w:shd w:val="clear" w:color="auto" w:fill="auto"/>
          </w:tcPr>
          <w:p w14:paraId="465DF5F0" w14:textId="77777777" w:rsidR="00D71515" w:rsidRDefault="00D71515" w:rsidP="00F53DE9">
            <w:pPr>
              <w:pStyle w:val="Box"/>
              <w:spacing w:before="0" w:line="120" w:lineRule="exact"/>
            </w:pPr>
          </w:p>
        </w:tc>
      </w:tr>
      <w:tr w:rsidR="00D71515" w:rsidRPr="000863A5" w14:paraId="47A6D730" w14:textId="77777777" w:rsidTr="00393732">
        <w:tc>
          <w:tcPr>
            <w:tcW w:w="5000" w:type="pct"/>
            <w:tcBorders>
              <w:top w:val="single" w:sz="6" w:space="0" w:color="78A22F"/>
              <w:left w:val="nil"/>
              <w:bottom w:val="nil"/>
              <w:right w:val="nil"/>
            </w:tcBorders>
          </w:tcPr>
          <w:p w14:paraId="251F9514" w14:textId="77777777" w:rsidR="00D71515" w:rsidRPr="00626D32" w:rsidRDefault="00D71515" w:rsidP="00F53DE9">
            <w:pPr>
              <w:pStyle w:val="BoxSpaceBelow"/>
            </w:pPr>
          </w:p>
        </w:tc>
      </w:tr>
    </w:tbl>
    <w:p w14:paraId="669A2BBF" w14:textId="072E8A58" w:rsidR="00CB3C41" w:rsidRDefault="00CB3C41" w:rsidP="00120072">
      <w:pPr>
        <w:pStyle w:val="BodyText"/>
      </w:pPr>
      <w:r w:rsidRPr="00CB3C41">
        <w:t>Safe and supportive families and communities provide a resilient, caring and protective environment, promoting a range of positive outcomes.</w:t>
      </w:r>
      <w:r w:rsidR="00966CB8">
        <w:t xml:space="preserve"> </w:t>
      </w:r>
      <w:r w:rsidR="007D7EEB">
        <w:t>However, the histor</w:t>
      </w:r>
      <w:r w:rsidR="00520C91">
        <w:t xml:space="preserve">y of colonisation and intergenerational </w:t>
      </w:r>
      <w:r w:rsidR="007D7EEB">
        <w:t xml:space="preserve">trauma has </w:t>
      </w:r>
      <w:r w:rsidR="00520C91">
        <w:t>deeply affected</w:t>
      </w:r>
      <w:r w:rsidR="007D7EEB">
        <w:t xml:space="preserve"> </w:t>
      </w:r>
      <w:r w:rsidR="00520C91">
        <w:t xml:space="preserve">Aboriginal and Torres Strait Islander people </w:t>
      </w:r>
      <w:r w:rsidR="007D7EEB">
        <w:t xml:space="preserve">as individuals and communities in many ways. </w:t>
      </w:r>
      <w:r w:rsidR="00A600A0" w:rsidRPr="00A600A0">
        <w:t>Th</w:t>
      </w:r>
      <w:r w:rsidR="005B01B2">
        <w:t>is</w:t>
      </w:r>
      <w:r w:rsidR="00A600A0" w:rsidRPr="00A600A0">
        <w:t xml:space="preserve"> trauma has contributed to family and community disruption, alcohol and drug misuse, violence and harm</w:t>
      </w:r>
      <w:r w:rsidR="005B01B2">
        <w:t>,</w:t>
      </w:r>
      <w:r w:rsidR="00A600A0" w:rsidRPr="00A600A0">
        <w:t xml:space="preserve"> and contact with the justice system.</w:t>
      </w:r>
    </w:p>
    <w:p w14:paraId="438D1A06" w14:textId="26392A63" w:rsidR="009E1844" w:rsidRDefault="00C32A13" w:rsidP="00120072">
      <w:pPr>
        <w:pStyle w:val="BodyText"/>
      </w:pPr>
      <w:r w:rsidRPr="00C32A13">
        <w:t xml:space="preserve">The indicators in this strategic area for action focus on the key factors that </w:t>
      </w:r>
      <w:r w:rsidR="005B01B2">
        <w:t>affect the safety and supportiveness of</w:t>
      </w:r>
      <w:r w:rsidR="00751463">
        <w:t xml:space="preserve"> communities</w:t>
      </w:r>
      <w:r w:rsidRPr="00C32A13">
        <w:t>:</w:t>
      </w:r>
    </w:p>
    <w:p w14:paraId="172C37A4" w14:textId="77777777" w:rsidR="00CB3C41" w:rsidRDefault="00CB3C41" w:rsidP="00735BEF">
      <w:pPr>
        <w:pStyle w:val="ListBullet"/>
      </w:pPr>
      <w:r w:rsidRPr="00CB3C41">
        <w:t>alcohol consumption and harm</w:t>
      </w:r>
      <w:r>
        <w:t xml:space="preserve"> (section</w:t>
      </w:r>
      <w:r w:rsidR="00F46BD2">
        <w:t> </w:t>
      </w:r>
      <w:r>
        <w:t>11.1)</w:t>
      </w:r>
      <w:r w:rsidR="00735BEF">
        <w:t xml:space="preserve"> </w:t>
      </w:r>
      <w:r w:rsidR="00735BEF" w:rsidRPr="00735BEF">
        <w:t>—</w:t>
      </w:r>
      <w:r w:rsidR="00751463">
        <w:t xml:space="preserve"> e</w:t>
      </w:r>
      <w:r w:rsidR="00735BEF" w:rsidRPr="00735BEF">
        <w:t xml:space="preserve">xcessive alcohol consumption increases </w:t>
      </w:r>
      <w:r w:rsidR="00751463">
        <w:t>an individual</w:t>
      </w:r>
      <w:r w:rsidR="00404DC6">
        <w:t>’</w:t>
      </w:r>
      <w:r w:rsidR="00751463">
        <w:t>s r</w:t>
      </w:r>
      <w:r w:rsidR="00735BEF" w:rsidRPr="00735BEF">
        <w:t>isk</w:t>
      </w:r>
      <w:r w:rsidR="00751463">
        <w:t xml:space="preserve"> of</w:t>
      </w:r>
      <w:r w:rsidR="00735BEF" w:rsidRPr="00735BEF">
        <w:t xml:space="preserve"> </w:t>
      </w:r>
      <w:r w:rsidR="00751463">
        <w:t xml:space="preserve">death, disease and injury. </w:t>
      </w:r>
      <w:r w:rsidR="00735BEF" w:rsidRPr="00735BEF">
        <w:t>Alcohol</w:t>
      </w:r>
      <w:r w:rsidR="00751463">
        <w:t xml:space="preserve"> also</w:t>
      </w:r>
      <w:r w:rsidR="00735BEF" w:rsidRPr="00735BEF">
        <w:t xml:space="preserve"> </w:t>
      </w:r>
      <w:r w:rsidR="00751463">
        <w:t xml:space="preserve">contributes to </w:t>
      </w:r>
      <w:r w:rsidR="00735BEF" w:rsidRPr="00735BEF">
        <w:t>famil</w:t>
      </w:r>
      <w:r w:rsidR="00751463">
        <w:t>y</w:t>
      </w:r>
      <w:r w:rsidR="00CD3CA2">
        <w:t xml:space="preserve"> and community</w:t>
      </w:r>
      <w:r w:rsidR="00751463">
        <w:t xml:space="preserve"> related problems</w:t>
      </w:r>
      <w:r w:rsidR="00404DC6">
        <w:t>, such as</w:t>
      </w:r>
      <w:r w:rsidR="00751463">
        <w:t xml:space="preserve"> </w:t>
      </w:r>
      <w:r w:rsidR="00CD3CA2" w:rsidRPr="00735BEF">
        <w:t>child abuse and neglect</w:t>
      </w:r>
      <w:r w:rsidR="00735BEF" w:rsidRPr="00735BEF">
        <w:t xml:space="preserve">, </w:t>
      </w:r>
      <w:r w:rsidR="00283AE0">
        <w:t xml:space="preserve">work or </w:t>
      </w:r>
      <w:r w:rsidR="00735BEF" w:rsidRPr="00735BEF">
        <w:t>financial problems, fa</w:t>
      </w:r>
      <w:r w:rsidR="009F41A1">
        <w:t>mily breakdown</w:t>
      </w:r>
      <w:r w:rsidR="0080796C">
        <w:t>,</w:t>
      </w:r>
      <w:r w:rsidR="00404DC6">
        <w:t xml:space="preserve"> </w:t>
      </w:r>
      <w:r w:rsidR="009F41A1">
        <w:t>violence</w:t>
      </w:r>
      <w:r w:rsidR="00735BEF" w:rsidRPr="00735BEF">
        <w:t xml:space="preserve"> and crime</w:t>
      </w:r>
    </w:p>
    <w:p w14:paraId="165F51CB" w14:textId="26830CF8" w:rsidR="00CB3C41" w:rsidRDefault="00CB3C41" w:rsidP="00735BEF">
      <w:pPr>
        <w:pStyle w:val="ListBullet"/>
      </w:pPr>
      <w:r w:rsidRPr="00CB3C41">
        <w:t>drug and other substance use and harm</w:t>
      </w:r>
      <w:r>
        <w:t xml:space="preserve"> (section</w:t>
      </w:r>
      <w:r w:rsidR="00F46BD2">
        <w:t> </w:t>
      </w:r>
      <w:r>
        <w:t>11.2)</w:t>
      </w:r>
      <w:r w:rsidR="00735BEF">
        <w:t xml:space="preserve"> </w:t>
      </w:r>
      <w:r w:rsidR="00735BEF" w:rsidRPr="00735BEF">
        <w:t>—</w:t>
      </w:r>
      <w:r w:rsidR="00735BEF">
        <w:t xml:space="preserve"> </w:t>
      </w:r>
      <w:r w:rsidR="00735BEF" w:rsidRPr="00735BEF">
        <w:t xml:space="preserve">drug and other substance misuse contributes to illness and disease, accident and injury, violence and crime, </w:t>
      </w:r>
      <w:r w:rsidR="00554A33">
        <w:t xml:space="preserve">and </w:t>
      </w:r>
      <w:r w:rsidR="00735BEF" w:rsidRPr="00735BEF">
        <w:t>family and social disr</w:t>
      </w:r>
      <w:r w:rsidR="00350338">
        <w:t>uption</w:t>
      </w:r>
    </w:p>
    <w:p w14:paraId="61D18999" w14:textId="77777777" w:rsidR="00CB3C41" w:rsidRDefault="007D7EEB" w:rsidP="005F18A7">
      <w:pPr>
        <w:pStyle w:val="ListBullet"/>
      </w:pPr>
      <w:r>
        <w:t>youth</w:t>
      </w:r>
      <w:r w:rsidRPr="00CB3C41">
        <w:t xml:space="preserve"> </w:t>
      </w:r>
      <w:r w:rsidR="00CB3C41" w:rsidRPr="00CB3C41">
        <w:t>diversions</w:t>
      </w:r>
      <w:r w:rsidR="00CB3C41">
        <w:t xml:space="preserve"> (section</w:t>
      </w:r>
      <w:r w:rsidR="00F46BD2">
        <w:t> </w:t>
      </w:r>
      <w:r w:rsidR="00CB3C41">
        <w:t>11.3)</w:t>
      </w:r>
      <w:r w:rsidR="00735BEF">
        <w:t xml:space="preserve"> </w:t>
      </w:r>
      <w:r w:rsidR="00735BEF" w:rsidRPr="00735BEF">
        <w:t>—</w:t>
      </w:r>
      <w:r w:rsidR="00350338">
        <w:t xml:space="preserve"> </w:t>
      </w:r>
      <w:r w:rsidR="00186CDB">
        <w:t>diversionary alternative</w:t>
      </w:r>
      <w:r w:rsidR="00411A11">
        <w:t>s</w:t>
      </w:r>
      <w:r w:rsidR="00186CDB">
        <w:t xml:space="preserve"> in the juvenile justice system are aimed at reducing reoffending and the </w:t>
      </w:r>
      <w:r w:rsidR="00283AE0" w:rsidRPr="00283AE0">
        <w:t xml:space="preserve">negative labelling and stigmatisation associated with formal contact with the criminal justice system </w:t>
      </w:r>
    </w:p>
    <w:p w14:paraId="3E989CE8" w14:textId="77777777" w:rsidR="00CB3C41" w:rsidRDefault="00CB3C41" w:rsidP="00735BEF">
      <w:pPr>
        <w:pStyle w:val="ListBullet"/>
      </w:pPr>
      <w:r w:rsidRPr="00CB3C41">
        <w:t>repeat offending</w:t>
      </w:r>
      <w:r>
        <w:t xml:space="preserve"> (section</w:t>
      </w:r>
      <w:r w:rsidR="00F46BD2">
        <w:t> </w:t>
      </w:r>
      <w:r>
        <w:t>11.4)</w:t>
      </w:r>
      <w:r w:rsidR="00735BEF">
        <w:t xml:space="preserve"> </w:t>
      </w:r>
      <w:r w:rsidR="00735BEF" w:rsidRPr="00735BEF">
        <w:t>—</w:t>
      </w:r>
      <w:r w:rsidR="00350338">
        <w:t xml:space="preserve"> </w:t>
      </w:r>
      <w:r w:rsidR="005F18A7">
        <w:t>i</w:t>
      </w:r>
      <w:r w:rsidR="00735BEF" w:rsidRPr="00735BEF">
        <w:t xml:space="preserve">t is important that </w:t>
      </w:r>
      <w:r w:rsidR="00404DC6">
        <w:t>those</w:t>
      </w:r>
      <w:r w:rsidR="00A57076" w:rsidRPr="00735BEF">
        <w:t xml:space="preserve"> </w:t>
      </w:r>
      <w:r w:rsidR="00735BEF" w:rsidRPr="00735BEF">
        <w:t>who have had contact with the criminal justice system have the opportunity to integrate back into the community and lea</w:t>
      </w:r>
      <w:r w:rsidR="00815C63">
        <w:t>d positive and productive lives</w:t>
      </w:r>
    </w:p>
    <w:p w14:paraId="7FC84073" w14:textId="77777777" w:rsidR="00CB3C41" w:rsidRDefault="00CB3C41" w:rsidP="00553A54">
      <w:pPr>
        <w:pStyle w:val="ListBullet"/>
      </w:pPr>
      <w:r>
        <w:t>community functioning (section</w:t>
      </w:r>
      <w:r w:rsidR="00F46BD2">
        <w:t> </w:t>
      </w:r>
      <w:r>
        <w:t>11.5)</w:t>
      </w:r>
      <w:r w:rsidR="00735BEF">
        <w:t xml:space="preserve"> </w:t>
      </w:r>
      <w:r w:rsidR="00735BEF" w:rsidRPr="00735BEF">
        <w:t>—</w:t>
      </w:r>
      <w:r w:rsidR="00735BEF">
        <w:t xml:space="preserve"> </w:t>
      </w:r>
      <w:r w:rsidR="00404DC6">
        <w:t>individual wellbeing is influenced by community wellbeing, and vice versa. S</w:t>
      </w:r>
      <w:r w:rsidR="00A57076">
        <w:t>trong communit</w:t>
      </w:r>
      <w:r w:rsidR="007D7EEB">
        <w:t>ies</w:t>
      </w:r>
      <w:r w:rsidR="00404DC6">
        <w:t>,</w:t>
      </w:r>
      <w:r w:rsidR="00493EE7">
        <w:t xml:space="preserve"> as defined by Aboriginal and Torres Strait Islander </w:t>
      </w:r>
      <w:r w:rsidR="007D7EEB">
        <w:t>people</w:t>
      </w:r>
      <w:r w:rsidR="00404DC6">
        <w:t xml:space="preserve">, </w:t>
      </w:r>
      <w:r w:rsidR="00A57076">
        <w:t>will improve social, emotional and economic wellbeing.</w:t>
      </w:r>
    </w:p>
    <w:p w14:paraId="405D899E" w14:textId="77777777" w:rsidR="00CB3C41" w:rsidRDefault="00404DC6" w:rsidP="00CB3C41">
      <w:pPr>
        <w:pStyle w:val="BodyText"/>
      </w:pPr>
      <w:r>
        <w:lastRenderedPageBreak/>
        <w:t>S</w:t>
      </w:r>
      <w:r w:rsidR="00CB3C41">
        <w:t xml:space="preserve">afe and supportive communities can </w:t>
      </w:r>
      <w:r w:rsidR="00A57076">
        <w:t xml:space="preserve">have a </w:t>
      </w:r>
      <w:r w:rsidR="00CB3C41">
        <w:t xml:space="preserve">positive influence </w:t>
      </w:r>
      <w:r w:rsidR="00A57076">
        <w:t>across all</w:t>
      </w:r>
      <w:r w:rsidR="00CB3C41">
        <w:t xml:space="preserve"> </w:t>
      </w:r>
      <w:r>
        <w:t xml:space="preserve">the </w:t>
      </w:r>
      <w:r w:rsidR="00CB3C41">
        <w:t>COAG targets and headline indicators</w:t>
      </w:r>
      <w:r w:rsidR="00A57076">
        <w:t xml:space="preserve">. </w:t>
      </w:r>
      <w:r w:rsidR="00CB3C41">
        <w:t xml:space="preserve">Three headline indicators are </w:t>
      </w:r>
      <w:r>
        <w:t xml:space="preserve">particularly </w:t>
      </w:r>
      <w:r w:rsidR="00CB3C41">
        <w:t>associated with breakdown in family and community relationships:</w:t>
      </w:r>
    </w:p>
    <w:p w14:paraId="5F754664" w14:textId="77777777" w:rsidR="00CB3C41" w:rsidRDefault="00CB3C41" w:rsidP="00CB3C41">
      <w:pPr>
        <w:pStyle w:val="ListBullet"/>
      </w:pPr>
      <w:r>
        <w:t>substantiated child abuse and neglect (section</w:t>
      </w:r>
      <w:r w:rsidR="00F46BD2">
        <w:t> </w:t>
      </w:r>
      <w:r>
        <w:t>4.1</w:t>
      </w:r>
      <w:r w:rsidR="007D6540">
        <w:t>1</w:t>
      </w:r>
      <w:r>
        <w:t>)</w:t>
      </w:r>
    </w:p>
    <w:p w14:paraId="311A5BEC" w14:textId="77777777" w:rsidR="00CB3C41" w:rsidRDefault="00CB3C41" w:rsidP="00CB3C41">
      <w:pPr>
        <w:pStyle w:val="ListBullet"/>
      </w:pPr>
      <w:r>
        <w:t>family and community violence (section</w:t>
      </w:r>
      <w:r w:rsidR="00F46BD2">
        <w:t> </w:t>
      </w:r>
      <w:r>
        <w:t>4.1</w:t>
      </w:r>
      <w:r w:rsidR="007D6540">
        <w:t>2</w:t>
      </w:r>
      <w:r>
        <w:t>)</w:t>
      </w:r>
    </w:p>
    <w:p w14:paraId="5B452E4C" w14:textId="043E135E" w:rsidR="00CB3C41" w:rsidRDefault="00CB3C41" w:rsidP="00CB3C41">
      <w:pPr>
        <w:pStyle w:val="ListBullet"/>
      </w:pPr>
      <w:r>
        <w:t xml:space="preserve">imprisonment and </w:t>
      </w:r>
      <w:r w:rsidR="00683A22">
        <w:t>youth</w:t>
      </w:r>
      <w:r>
        <w:t xml:space="preserve"> detention (section</w:t>
      </w:r>
      <w:r w:rsidR="00F46BD2">
        <w:t> </w:t>
      </w:r>
      <w:r>
        <w:t>4.1</w:t>
      </w:r>
      <w:r w:rsidR="007D6540">
        <w:t>3</w:t>
      </w:r>
      <w:r>
        <w:t>).</w:t>
      </w:r>
    </w:p>
    <w:p w14:paraId="080DF0FB" w14:textId="1347EFC3" w:rsidR="00CB3C41" w:rsidRDefault="00CB3C41" w:rsidP="00CB3C41">
      <w:pPr>
        <w:pStyle w:val="BodyText"/>
      </w:pPr>
      <w:r>
        <w:t xml:space="preserve">Outcomes in </w:t>
      </w:r>
      <w:r w:rsidR="00554A33">
        <w:t>this</w:t>
      </w:r>
      <w:r>
        <w:t xml:space="preserve"> strategic area can be affected by outcomes in other strategic areas, or can influence outcomes in other areas:</w:t>
      </w:r>
    </w:p>
    <w:p w14:paraId="19E278B8" w14:textId="77777777" w:rsidR="0060314A" w:rsidRDefault="0060314A" w:rsidP="0060314A">
      <w:pPr>
        <w:pStyle w:val="ListBullet"/>
      </w:pPr>
      <w:r>
        <w:t>governance, leadership and culture (chapter</w:t>
      </w:r>
      <w:r w:rsidR="00F46BD2">
        <w:t> </w:t>
      </w:r>
      <w:r>
        <w:t>5)</w:t>
      </w:r>
    </w:p>
    <w:p w14:paraId="203DF2C7" w14:textId="77777777" w:rsidR="00CB3C41" w:rsidRDefault="00CB3C41" w:rsidP="00CB3C41">
      <w:pPr>
        <w:pStyle w:val="ListBullet"/>
      </w:pPr>
      <w:r>
        <w:t>early child development (chapter</w:t>
      </w:r>
      <w:r w:rsidR="00F46BD2">
        <w:t> </w:t>
      </w:r>
      <w:r w:rsidR="0060314A">
        <w:t>6</w:t>
      </w:r>
      <w:r>
        <w:t>)</w:t>
      </w:r>
    </w:p>
    <w:p w14:paraId="03977E29" w14:textId="77777777" w:rsidR="00CB3C41" w:rsidRDefault="00CB3C41" w:rsidP="00CB3C41">
      <w:pPr>
        <w:pStyle w:val="ListBullet"/>
      </w:pPr>
      <w:r>
        <w:t>education and training (chapter</w:t>
      </w:r>
      <w:r w:rsidR="00F46BD2">
        <w:t> </w:t>
      </w:r>
      <w:r w:rsidR="0060314A">
        <w:t>7</w:t>
      </w:r>
      <w:r>
        <w:t>)</w:t>
      </w:r>
    </w:p>
    <w:p w14:paraId="65CF9168" w14:textId="77777777" w:rsidR="00CB3C41" w:rsidRDefault="007D6540" w:rsidP="00CB3C41">
      <w:pPr>
        <w:pStyle w:val="ListBullet"/>
      </w:pPr>
      <w:r>
        <w:t>healthy lives</w:t>
      </w:r>
      <w:r w:rsidR="0060314A">
        <w:t xml:space="preserve"> (chapter</w:t>
      </w:r>
      <w:r w:rsidR="00F46BD2">
        <w:t> </w:t>
      </w:r>
      <w:r w:rsidR="0060314A">
        <w:t>8</w:t>
      </w:r>
      <w:r w:rsidR="00CB3C41">
        <w:t>)</w:t>
      </w:r>
    </w:p>
    <w:p w14:paraId="670A2A8E" w14:textId="77777777" w:rsidR="00CB3C41" w:rsidRDefault="00CB3C41" w:rsidP="00CB3C41">
      <w:pPr>
        <w:pStyle w:val="ListBullet"/>
      </w:pPr>
      <w:r>
        <w:t xml:space="preserve">economic participation </w:t>
      </w:r>
      <w:r w:rsidR="0060314A">
        <w:t>(chapter</w:t>
      </w:r>
      <w:r w:rsidR="00F46BD2">
        <w:t> </w:t>
      </w:r>
      <w:r w:rsidR="0060314A">
        <w:t>9</w:t>
      </w:r>
      <w:r>
        <w:t>)</w:t>
      </w:r>
    </w:p>
    <w:p w14:paraId="0C0F7962" w14:textId="77777777" w:rsidR="00CB3C41" w:rsidRDefault="00CB3C41" w:rsidP="00CB3C41">
      <w:pPr>
        <w:pStyle w:val="ListBullet"/>
      </w:pPr>
      <w:r>
        <w:t xml:space="preserve">home environment </w:t>
      </w:r>
      <w:r w:rsidR="0060314A">
        <w:t>(chapter</w:t>
      </w:r>
      <w:r w:rsidR="00F46BD2">
        <w:t> </w:t>
      </w:r>
      <w:r w:rsidR="0060314A">
        <w:t>10</w:t>
      </w:r>
      <w:r>
        <w:t>)</w:t>
      </w:r>
      <w:r w:rsidR="0060314A">
        <w:t>.</w:t>
      </w:r>
    </w:p>
    <w:p w14:paraId="48B05860" w14:textId="6DD22B1E" w:rsidR="00F056FC" w:rsidRDefault="00CB3C41" w:rsidP="00CB3C41">
      <w:pPr>
        <w:pStyle w:val="BodyText"/>
      </w:pPr>
      <w:r>
        <w:t xml:space="preserve">Attachment tables for this chapter are identified in references throughout this chapter by an ‘A’ suffix (for example, </w:t>
      </w:r>
      <w:r w:rsidR="00393732">
        <w:t>‘</w:t>
      </w:r>
      <w:r>
        <w:t>table</w:t>
      </w:r>
      <w:r w:rsidR="00F46BD2">
        <w:t> </w:t>
      </w:r>
      <w:r>
        <w:t>11A.1.1</w:t>
      </w:r>
      <w:r w:rsidR="00393732">
        <w:t>’</w:t>
      </w:r>
      <w:r>
        <w:t>). These tables can be found on the web page (</w:t>
      </w:r>
      <w:proofErr w:type="spellStart"/>
      <w:r w:rsidR="008422E6" w:rsidRPr="008422E6">
        <w:t>www.pc.gov.au</w:t>
      </w:r>
      <w:proofErr w:type="spellEnd"/>
      <w:r w:rsidR="008422E6" w:rsidRPr="008422E6">
        <w:t>/</w:t>
      </w:r>
      <w:proofErr w:type="spellStart"/>
      <w:r w:rsidR="008422E6" w:rsidRPr="008422E6">
        <w:t>oid2020</w:t>
      </w:r>
      <w:proofErr w:type="spellEnd"/>
      <w:r>
        <w:t>).</w:t>
      </w:r>
    </w:p>
    <w:p w14:paraId="6A48CF8B" w14:textId="32CD2093" w:rsidR="008422E6" w:rsidRDefault="008422E6">
      <w:pPr>
        <w:rPr>
          <w:szCs w:val="20"/>
        </w:rPr>
      </w:pPr>
      <w:r>
        <w:br w:type="page"/>
      </w:r>
    </w:p>
    <w:p w14:paraId="400294E7" w14:textId="77777777" w:rsidR="008422E6" w:rsidRPr="00F53DE9" w:rsidRDefault="008422E6" w:rsidP="008422E6">
      <w:pPr>
        <w:pStyle w:val="Heading2"/>
        <w:rPr>
          <w:rStyle w:val="BodyTextChar"/>
        </w:rPr>
      </w:pPr>
      <w:r w:rsidRPr="00F53DE9">
        <w:lastRenderedPageBreak/>
        <w:t>11.1</w:t>
      </w:r>
      <w:r w:rsidRPr="00F53DE9">
        <w:tab/>
        <w:t>Alcohol consumption and harm</w:t>
      </w:r>
      <w:r w:rsidRPr="0034535B">
        <w:rPr>
          <w:rStyle w:val="FootnoteReference"/>
          <w:rFonts w:ascii="Arial" w:hAnsi="Arial" w:cs="Arial"/>
        </w:rPr>
        <w:footnoteReference w:id="1"/>
      </w:r>
      <w:r w:rsidRPr="0034535B">
        <w:rPr>
          <w:rStyle w:val="BodyTextChar"/>
          <w:rFonts w:cs="Arial"/>
        </w:rPr>
        <w:t xml:space="preserve"> </w:t>
      </w:r>
    </w:p>
    <w:p w14:paraId="3E172FC5"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30EC83B0" w14:textId="77777777" w:rsidTr="00F53DE9">
        <w:tc>
          <w:tcPr>
            <w:tcW w:w="5000" w:type="pct"/>
            <w:tcBorders>
              <w:top w:val="single" w:sz="6" w:space="0" w:color="78A22F"/>
              <w:left w:val="nil"/>
              <w:bottom w:val="nil"/>
              <w:right w:val="nil"/>
            </w:tcBorders>
            <w:shd w:val="clear" w:color="auto" w:fill="F2F2F2"/>
          </w:tcPr>
          <w:p w14:paraId="1A9067D8" w14:textId="6BCC1C88" w:rsidR="008422E6" w:rsidRDefault="008422E6" w:rsidP="00F53DE9">
            <w:pPr>
              <w:pStyle w:val="BoxTitle"/>
            </w:pPr>
            <w:r>
              <w:rPr>
                <w:b w:val="0"/>
              </w:rPr>
              <w:t>Box 11.1.</w:t>
            </w:r>
            <w:r>
              <w:rPr>
                <w:b w:val="0"/>
                <w:noProof/>
              </w:rPr>
              <w:t>1</w:t>
            </w:r>
            <w:r>
              <w:tab/>
              <w:t>Key messages</w:t>
            </w:r>
          </w:p>
        </w:tc>
      </w:tr>
      <w:tr w:rsidR="008422E6" w14:paraId="0807A9EF" w14:textId="77777777" w:rsidTr="00F53DE9">
        <w:tc>
          <w:tcPr>
            <w:tcW w:w="5000" w:type="pct"/>
            <w:tcBorders>
              <w:top w:val="nil"/>
              <w:left w:val="nil"/>
              <w:bottom w:val="nil"/>
              <w:right w:val="nil"/>
            </w:tcBorders>
            <w:shd w:val="clear" w:color="auto" w:fill="F2F2F2"/>
          </w:tcPr>
          <w:p w14:paraId="7C84D5F1" w14:textId="77777777" w:rsidR="008422E6" w:rsidRDefault="008422E6" w:rsidP="00F53DE9">
            <w:pPr>
              <w:pStyle w:val="BoxListBullet"/>
            </w:pPr>
            <w:r w:rsidRPr="00233953">
              <w:t>Drinking alcohol at harmful levels comes with social and financial burden to the drinker, their families, and the people and community around them. Alcohol contributes to disability and death</w:t>
            </w:r>
            <w:r>
              <w:t>,</w:t>
            </w:r>
            <w:r w:rsidRPr="00233953">
              <w:t xml:space="preserve"> family violence </w:t>
            </w:r>
            <w:r>
              <w:t xml:space="preserve">and </w:t>
            </w:r>
            <w:r w:rsidRPr="00233953">
              <w:t>the burden of disease</w:t>
            </w:r>
            <w:r>
              <w:t>.</w:t>
            </w:r>
          </w:p>
          <w:p w14:paraId="0F108B0B" w14:textId="77777777" w:rsidR="008422E6" w:rsidRDefault="008422E6" w:rsidP="00F53DE9">
            <w:pPr>
              <w:pStyle w:val="BoxListBullet"/>
            </w:pPr>
            <w:r>
              <w:t>More than one-quarter of</w:t>
            </w:r>
            <w:r w:rsidRPr="004311C9">
              <w:t xml:space="preserve"> Aboriginal and Torres Strait Islander adults abstain from alcohol, </w:t>
            </w:r>
            <w:r>
              <w:t>with the proportion significantly higher in</w:t>
            </w:r>
            <w:r w:rsidRPr="004311C9">
              <w:t xml:space="preserve"> very remote areas</w:t>
            </w:r>
            <w:r>
              <w:t>. I</w:t>
            </w:r>
            <w:r w:rsidRPr="00F25926">
              <w:t>n 201</w:t>
            </w:r>
            <w:r>
              <w:t>8</w:t>
            </w:r>
            <w:r w:rsidRPr="00F25926">
              <w:noBreakHyphen/>
              <w:t>1</w:t>
            </w:r>
            <w:r>
              <w:t>9, 26 per </w:t>
            </w:r>
            <w:r w:rsidRPr="00F25926">
              <w:t xml:space="preserve">cent reported not consuming alcohol in the </w:t>
            </w:r>
            <w:r>
              <w:t>previous 12 months (including those who</w:t>
            </w:r>
            <w:r w:rsidRPr="00B5558D">
              <w:t xml:space="preserve"> have never consumed alcohol)</w:t>
            </w:r>
            <w:r>
              <w:t xml:space="preserve">. The proportion of abstainers in very remote areas (43 per cent) was double that in major cities (19 per cent). </w:t>
            </w:r>
          </w:p>
          <w:p w14:paraId="08B2EEA8" w14:textId="77777777" w:rsidR="008422E6" w:rsidRDefault="008422E6" w:rsidP="00F53DE9">
            <w:pPr>
              <w:pStyle w:val="BoxListBullet"/>
            </w:pPr>
            <w:r>
              <w:t xml:space="preserve">But some </w:t>
            </w:r>
            <w:r w:rsidRPr="004311C9">
              <w:t>Aboriginal an</w:t>
            </w:r>
            <w:r>
              <w:t xml:space="preserve">d Torres Strait Islander adults put themselves at risk of harm by exceeding alcohol consumption guidelines. In 2018-19, </w:t>
            </w:r>
            <w:r w:rsidRPr="00B5558D">
              <w:t xml:space="preserve">20 per cent reported exceeding lifetime alcohol risk guidelines (drinking </w:t>
            </w:r>
            <w:r>
              <w:t xml:space="preserve">an average of </w:t>
            </w:r>
            <w:r w:rsidRPr="00B5558D">
              <w:t>more than two standard drinks per da</w:t>
            </w:r>
            <w:r>
              <w:t>y</w:t>
            </w:r>
            <w:r w:rsidRPr="00B5558D">
              <w:t xml:space="preserve"> in the last week</w:t>
            </w:r>
            <w:r>
              <w:t>) and 53</w:t>
            </w:r>
            <w:r w:rsidRPr="00B5558D">
              <w:t xml:space="preserve"> per cent reported exceeding single occasion risk guidelines (drinking more than four standard drinks on a single occasion) </w:t>
            </w:r>
            <w:r>
              <w:t>on at least one occasion i</w:t>
            </w:r>
            <w:r w:rsidRPr="00B5558D">
              <w:t>n the last twelve months</w:t>
            </w:r>
            <w:r>
              <w:t xml:space="preserve">. </w:t>
            </w:r>
          </w:p>
          <w:p w14:paraId="537A4559" w14:textId="77777777" w:rsidR="008422E6" w:rsidRDefault="008422E6" w:rsidP="00F53DE9">
            <w:pPr>
              <w:pStyle w:val="BoxListBullet"/>
            </w:pPr>
            <w:r>
              <w:t xml:space="preserve">A higher proportion of </w:t>
            </w:r>
            <w:r w:rsidRPr="00421044">
              <w:t xml:space="preserve">Aboriginal and Torres Strait Islander </w:t>
            </w:r>
            <w:r>
              <w:t>adults</w:t>
            </w:r>
            <w:r w:rsidRPr="00421044">
              <w:t xml:space="preserve"> </w:t>
            </w:r>
            <w:r>
              <w:t xml:space="preserve">abstain from alcohol than </w:t>
            </w:r>
            <w:r>
              <w:br/>
              <w:t xml:space="preserve">non-Indigenous adults, but in turn a higher proportion of </w:t>
            </w:r>
            <w:r w:rsidRPr="00421044">
              <w:t xml:space="preserve">Aboriginal and Torres Strait Islander </w:t>
            </w:r>
            <w:r>
              <w:t>adults</w:t>
            </w:r>
            <w:r w:rsidRPr="00421044">
              <w:t xml:space="preserve"> </w:t>
            </w:r>
            <w:r>
              <w:t>exceed alcohol risk guidelines.</w:t>
            </w:r>
          </w:p>
          <w:p w14:paraId="14C34884" w14:textId="77777777" w:rsidR="008422E6" w:rsidRDefault="008422E6" w:rsidP="00F53DE9">
            <w:pPr>
              <w:pStyle w:val="BoxListBullet"/>
            </w:pPr>
            <w:r>
              <w:t xml:space="preserve">In line with the higher proportion of </w:t>
            </w:r>
            <w:r w:rsidRPr="005F72FD">
              <w:t>Aboriginal and Torres Strait Islander</w:t>
            </w:r>
            <w:r>
              <w:t xml:space="preserve"> adults exceeding alcohol risk guidelines, they are </w:t>
            </w:r>
            <w:r w:rsidRPr="00421044">
              <w:t xml:space="preserve">overrepresented in hospitalisations and </w:t>
            </w:r>
            <w:r>
              <w:t>in deaths</w:t>
            </w:r>
            <w:r w:rsidRPr="00421044">
              <w:t xml:space="preserve"> from alcohol</w:t>
            </w:r>
            <w:r>
              <w:t>-</w:t>
            </w:r>
            <w:r w:rsidRPr="00421044">
              <w:t>related conditions</w:t>
            </w:r>
            <w:r>
              <w:t xml:space="preserve"> – though with considerably lower numbers, and noting hospitalisations and deaths cover all ages.</w:t>
            </w:r>
            <w:r w:rsidRPr="002B6B76">
              <w:t xml:space="preserve"> After adjusting for differences in population a</w:t>
            </w:r>
            <w:r>
              <w:t>ge structures, for both alcohol-</w:t>
            </w:r>
            <w:r w:rsidRPr="002B6B76">
              <w:t>related hospitalisations</w:t>
            </w:r>
            <w:r>
              <w:t xml:space="preserve"> and </w:t>
            </w:r>
            <w:r w:rsidRPr="00F25926">
              <w:t>alcohol</w:t>
            </w:r>
            <w:r>
              <w:noBreakHyphen/>
            </w:r>
            <w:r w:rsidRPr="00F25926">
              <w:t>induced death</w:t>
            </w:r>
            <w:r>
              <w:t>s,</w:t>
            </w:r>
            <w:r w:rsidRPr="002B6B76">
              <w:t xml:space="preserve"> the rate for Aboriginal and Torres Strait Islander </w:t>
            </w:r>
            <w:r>
              <w:t>people</w:t>
            </w:r>
            <w:r w:rsidRPr="002B6B76">
              <w:t xml:space="preserve"> was </w:t>
            </w:r>
            <w:r>
              <w:t xml:space="preserve">around four </w:t>
            </w:r>
            <w:r w:rsidRPr="002B6B76">
              <w:t xml:space="preserve">times the rate for non-Indigenous </w:t>
            </w:r>
            <w:r>
              <w:t>people.</w:t>
            </w:r>
          </w:p>
          <w:p w14:paraId="22C1B9FC" w14:textId="77777777" w:rsidR="008422E6" w:rsidRDefault="008422E6" w:rsidP="00F53DE9">
            <w:pPr>
              <w:pStyle w:val="BoxListBullet"/>
            </w:pPr>
            <w:r>
              <w:t xml:space="preserve">The main component of the higher hospitalisation rates of </w:t>
            </w:r>
            <w:r w:rsidRPr="005F72FD">
              <w:t>Aboriginal and Torres Strait Islander</w:t>
            </w:r>
            <w:r>
              <w:t xml:space="preserve"> people from alcohol-related conditions was hospitalisations in remote areas for acute intoxication — in 2016–2018 this rate was more than four times the rate in 2010–2012, and is now 18 times the rate for non-Indigenous hospitalisations. </w:t>
            </w:r>
          </w:p>
          <w:p w14:paraId="7D08BDB4" w14:textId="77777777" w:rsidR="008422E6" w:rsidRPr="00B56B32" w:rsidRDefault="008422E6" w:rsidP="00F53DE9">
            <w:pPr>
              <w:pStyle w:val="BoxListBullet"/>
            </w:pPr>
            <w:r w:rsidRPr="00B56B32">
              <w:t xml:space="preserve">Programs and services </w:t>
            </w:r>
            <w:r>
              <w:t xml:space="preserve">to manage structural and individual risks for </w:t>
            </w:r>
            <w:r w:rsidRPr="00B56B32">
              <w:t xml:space="preserve">people </w:t>
            </w:r>
            <w:r>
              <w:t>who</w:t>
            </w:r>
            <w:r w:rsidRPr="00B56B32">
              <w:t xml:space="preserve"> drink alcohol at risky levels </w:t>
            </w:r>
            <w:r>
              <w:t>can</w:t>
            </w:r>
            <w:r w:rsidRPr="00B56B32">
              <w:t xml:space="preserve"> include restricting access to alcohol, inhibiting the appeal of alcohol and improving people’s mental wellbeing.</w:t>
            </w:r>
          </w:p>
          <w:p w14:paraId="53629554" w14:textId="77777777" w:rsidR="008422E6" w:rsidRDefault="008422E6" w:rsidP="00F53DE9">
            <w:pPr>
              <w:pStyle w:val="BoxListBullet"/>
            </w:pPr>
            <w:r w:rsidRPr="00471D9D">
              <w:t>In 2017</w:t>
            </w:r>
            <w:r w:rsidRPr="00471D9D">
              <w:noBreakHyphen/>
              <w:t>18, the proportion of Aboriginal and Torres Strait Islander homicides involving both the victim and offender having consumed alcohol at the time of the offence (55 per cent — 11</w:t>
            </w:r>
            <w:r>
              <w:t> </w:t>
            </w:r>
            <w:r w:rsidRPr="00471D9D">
              <w:t>out of 20) was higher than the proportion for non</w:t>
            </w:r>
            <w:r w:rsidRPr="00471D9D">
              <w:noBreakHyphen/>
              <w:t>Indigenous homicides (16 per cent — 22</w:t>
            </w:r>
            <w:r>
              <w:t> </w:t>
            </w:r>
            <w:r w:rsidRPr="00471D9D">
              <w:t>out of 135</w:t>
            </w:r>
            <w:r>
              <w:t>)</w:t>
            </w:r>
            <w:r w:rsidRPr="00471D9D">
              <w:t>.</w:t>
            </w:r>
            <w:r w:rsidRPr="00471D9D" w:rsidDel="001D137B">
              <w:t xml:space="preserve"> </w:t>
            </w:r>
            <w:r w:rsidRPr="00471D9D">
              <w:t>But for homicides where neither the victim nor offender drank, less than seven per cent were Aboriginal and Torres Strait Islander homicides, indicating overrepresentation for non</w:t>
            </w:r>
            <w:r w:rsidRPr="00471D9D">
              <w:noBreakHyphen/>
              <w:t>Indigenous people (albeit from very small numbers).</w:t>
            </w:r>
          </w:p>
        </w:tc>
      </w:tr>
      <w:tr w:rsidR="008422E6" w14:paraId="3E328876" w14:textId="77777777" w:rsidTr="00F53DE9">
        <w:tc>
          <w:tcPr>
            <w:tcW w:w="5000" w:type="pct"/>
            <w:tcBorders>
              <w:top w:val="nil"/>
              <w:left w:val="nil"/>
              <w:bottom w:val="single" w:sz="6" w:space="0" w:color="78A22F"/>
              <w:right w:val="nil"/>
            </w:tcBorders>
            <w:shd w:val="clear" w:color="auto" w:fill="F2F2F2"/>
          </w:tcPr>
          <w:p w14:paraId="290EF750" w14:textId="77777777" w:rsidR="008422E6" w:rsidRDefault="008422E6" w:rsidP="00F53DE9">
            <w:pPr>
              <w:pStyle w:val="Box"/>
              <w:spacing w:before="0" w:line="120" w:lineRule="exact"/>
            </w:pPr>
          </w:p>
        </w:tc>
      </w:tr>
      <w:tr w:rsidR="008422E6" w:rsidRPr="000863A5" w14:paraId="18F18806" w14:textId="77777777" w:rsidTr="00F53DE9">
        <w:tc>
          <w:tcPr>
            <w:tcW w:w="5000" w:type="pct"/>
            <w:tcBorders>
              <w:top w:val="single" w:sz="6" w:space="0" w:color="78A22F"/>
              <w:left w:val="nil"/>
              <w:bottom w:val="nil"/>
              <w:right w:val="nil"/>
            </w:tcBorders>
          </w:tcPr>
          <w:p w14:paraId="33A9ECE3" w14:textId="77777777" w:rsidR="008422E6" w:rsidRPr="00626D32" w:rsidRDefault="008422E6" w:rsidP="00F53DE9">
            <w:pPr>
              <w:pStyle w:val="BoxSpaceBelow"/>
            </w:pPr>
          </w:p>
        </w:tc>
      </w:tr>
    </w:tbl>
    <w:p w14:paraId="04FC1391"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44FFBDA6" w14:textId="77777777" w:rsidTr="00F53DE9">
        <w:tc>
          <w:tcPr>
            <w:tcW w:w="5000" w:type="pct"/>
            <w:tcBorders>
              <w:top w:val="single" w:sz="6" w:space="0" w:color="78A22F"/>
              <w:left w:val="nil"/>
              <w:bottom w:val="nil"/>
              <w:right w:val="nil"/>
            </w:tcBorders>
            <w:shd w:val="clear" w:color="auto" w:fill="F2F2F2"/>
          </w:tcPr>
          <w:p w14:paraId="55875CCB" w14:textId="0B244E47" w:rsidR="008422E6" w:rsidRDefault="008422E6" w:rsidP="00F53DE9">
            <w:pPr>
              <w:pStyle w:val="BoxTitle"/>
            </w:pPr>
            <w:r>
              <w:rPr>
                <w:b w:val="0"/>
              </w:rPr>
              <w:t>Box 11.1.2</w:t>
            </w:r>
            <w:r>
              <w:tab/>
              <w:t>Measures of a</w:t>
            </w:r>
            <w:r w:rsidRPr="00EE264C">
              <w:t>lcohol consumption and harm</w:t>
            </w:r>
          </w:p>
        </w:tc>
      </w:tr>
      <w:tr w:rsidR="008422E6" w14:paraId="7596B375" w14:textId="77777777" w:rsidTr="00F53DE9">
        <w:tc>
          <w:tcPr>
            <w:tcW w:w="5000" w:type="pct"/>
            <w:tcBorders>
              <w:top w:val="nil"/>
              <w:left w:val="nil"/>
              <w:bottom w:val="nil"/>
              <w:right w:val="nil"/>
            </w:tcBorders>
            <w:shd w:val="clear" w:color="auto" w:fill="F2F2F2"/>
          </w:tcPr>
          <w:p w14:paraId="221B6458" w14:textId="77777777" w:rsidR="008422E6" w:rsidRDefault="008422E6" w:rsidP="00F53DE9">
            <w:pPr>
              <w:pStyle w:val="Box"/>
            </w:pPr>
            <w:r w:rsidRPr="00F25926">
              <w:t>There is one main measure for this indicator</w:t>
            </w:r>
            <w:r>
              <w:t>:</w:t>
            </w:r>
          </w:p>
          <w:p w14:paraId="0FE5520C" w14:textId="77777777" w:rsidR="008422E6" w:rsidRDefault="008422E6" w:rsidP="00F53DE9">
            <w:pPr>
              <w:pStyle w:val="BoxListBullet"/>
            </w:pPr>
            <w:r w:rsidRPr="00F25926">
              <w:rPr>
                <w:i/>
              </w:rPr>
              <w:t>Levels of risky alcohol consumption</w:t>
            </w:r>
            <w:r w:rsidRPr="00F25926">
              <w:t xml:space="preserve"> is</w:t>
            </w:r>
            <w:r w:rsidRPr="00F25926">
              <w:rPr>
                <w:i/>
              </w:rPr>
              <w:t xml:space="preserve"> </w:t>
            </w:r>
            <w:r w:rsidRPr="00F25926">
              <w:t xml:space="preserve">defined as the proportion of </w:t>
            </w:r>
            <w:r>
              <w:t>people</w:t>
            </w:r>
            <w:r w:rsidRPr="00F25926">
              <w:t xml:space="preserve"> aged 18</w:t>
            </w:r>
            <w:r>
              <w:t> </w:t>
            </w:r>
            <w:r w:rsidRPr="00F25926">
              <w:t xml:space="preserve">years </w:t>
            </w:r>
            <w:r>
              <w:t>or</w:t>
            </w:r>
            <w:r w:rsidRPr="00F25926">
              <w:t xml:space="preserve"> over who consume alcohol at risky/high risk levels (</w:t>
            </w:r>
            <w:r w:rsidRPr="00AE4D7B">
              <w:t>more than two standard drinks on any day</w:t>
            </w:r>
            <w:r>
              <w:t>,</w:t>
            </w:r>
            <w:r w:rsidRPr="00AE4D7B">
              <w:t xml:space="preserve"> </w:t>
            </w:r>
            <w:r w:rsidRPr="00F25926">
              <w:t xml:space="preserve">based on the concept of ‘Lifetime risk of alcohol harm’ in the </w:t>
            </w:r>
            <w:r w:rsidRPr="00005B98">
              <w:t xml:space="preserve">National Health and Medical Research Council </w:t>
            </w:r>
            <w:r>
              <w:t>[</w:t>
            </w:r>
            <w:proofErr w:type="spellStart"/>
            <w:r w:rsidRPr="00F25926">
              <w:t>NHMRC</w:t>
            </w:r>
            <w:proofErr w:type="spellEnd"/>
            <w:r>
              <w:t>]</w:t>
            </w:r>
            <w:r w:rsidRPr="00F25926">
              <w:t xml:space="preserve"> </w:t>
            </w:r>
            <w:r>
              <w:t xml:space="preserve">2009 </w:t>
            </w:r>
            <w:r w:rsidRPr="00F25926">
              <w:t>guidelines)</w:t>
            </w:r>
            <w:r>
              <w:rPr>
                <w:rStyle w:val="FootnoteReference"/>
              </w:rPr>
              <w:footnoteReference w:id="2"/>
            </w:r>
            <w:r w:rsidRPr="00F25926">
              <w:t>.</w:t>
            </w:r>
          </w:p>
          <w:p w14:paraId="6B89542C" w14:textId="77777777" w:rsidR="008422E6" w:rsidRDefault="008422E6" w:rsidP="00F53DE9">
            <w:pPr>
              <w:pStyle w:val="Box"/>
            </w:pPr>
            <w:r w:rsidRPr="00F25926">
              <w:t xml:space="preserve">The most recent available data are from the ABS </w:t>
            </w:r>
            <w:r>
              <w:t>National</w:t>
            </w:r>
            <w:r w:rsidRPr="0075677E">
              <w:t xml:space="preserve"> Aboriginal and Torres Strait Islander </w:t>
            </w:r>
            <w:r>
              <w:t>Health</w:t>
            </w:r>
            <w:r w:rsidRPr="0075677E">
              <w:t xml:space="preserve"> Survey</w:t>
            </w:r>
            <w:r>
              <w:t xml:space="preserve"> (NATSIHS)</w:t>
            </w:r>
            <w:r w:rsidRPr="00F25926">
              <w:t xml:space="preserve"> for 201</w:t>
            </w:r>
            <w:r>
              <w:t>8</w:t>
            </w:r>
            <w:r w:rsidRPr="00F25926">
              <w:noBreakHyphen/>
              <w:t>1</w:t>
            </w:r>
            <w:r>
              <w:t>9</w:t>
            </w:r>
            <w:r w:rsidRPr="00F25926">
              <w:t xml:space="preserve"> (all jurisdictions</w:t>
            </w:r>
            <w:r>
              <w:t xml:space="preserve"> and</w:t>
            </w:r>
            <w:r w:rsidRPr="00F25926">
              <w:t xml:space="preserve"> remoteness</w:t>
            </w:r>
            <w:r>
              <w:t>). Data are provided for the population aged 18 years or over (for the main measure, which aligns with the National Indigenous Reform Agreement</w:t>
            </w:r>
            <w:r>
              <w:rPr>
                <w:rStyle w:val="FootnoteReference"/>
              </w:rPr>
              <w:footnoteReference w:id="3"/>
            </w:r>
            <w:r>
              <w:t>) with supplementary data provided on the population aged 15 years or over</w:t>
            </w:r>
            <w:r w:rsidRPr="00F25926">
              <w:t>.</w:t>
            </w:r>
            <w:r>
              <w:t xml:space="preserve"> </w:t>
            </w:r>
          </w:p>
          <w:p w14:paraId="0E6F1692" w14:textId="77777777" w:rsidR="008422E6" w:rsidRPr="00F25926" w:rsidRDefault="008422E6" w:rsidP="00F53DE9">
            <w:pPr>
              <w:pStyle w:val="Box"/>
            </w:pPr>
            <w:r w:rsidRPr="00F25926">
              <w:t>Three</w:t>
            </w:r>
            <w:r>
              <w:t xml:space="preserve"> </w:t>
            </w:r>
            <w:r w:rsidRPr="00F25926">
              <w:t>supplementary measures are also reported:</w:t>
            </w:r>
          </w:p>
          <w:p w14:paraId="56C198CF" w14:textId="77777777" w:rsidR="008422E6" w:rsidRPr="00F25926" w:rsidRDefault="008422E6" w:rsidP="00F53DE9">
            <w:pPr>
              <w:pStyle w:val="BoxListBullet"/>
            </w:pPr>
            <w:r w:rsidRPr="0045550E">
              <w:t>Alcohol related hospitalisations</w:t>
            </w:r>
            <w:r w:rsidRPr="00F25926">
              <w:t xml:space="preserve"> (all jurisdictions; sex; remoteness)</w:t>
            </w:r>
            <w:r>
              <w:rPr>
                <w:rStyle w:val="FootnoteReference"/>
              </w:rPr>
              <w:footnoteReference w:id="4"/>
            </w:r>
          </w:p>
          <w:p w14:paraId="5C1018C3" w14:textId="77777777" w:rsidR="008422E6" w:rsidRDefault="008422E6" w:rsidP="00F53DE9">
            <w:pPr>
              <w:pStyle w:val="BoxListBullet"/>
            </w:pPr>
            <w:r w:rsidRPr="0045550E">
              <w:t>Alcohol induced deaths</w:t>
            </w:r>
            <w:r w:rsidRPr="00F25926">
              <w:t xml:space="preserve"> (NSW, Queensland, WA, SA and the NT; sex)</w:t>
            </w:r>
          </w:p>
          <w:p w14:paraId="7092C954" w14:textId="77777777" w:rsidR="008422E6" w:rsidRDefault="008422E6" w:rsidP="00F53DE9">
            <w:pPr>
              <w:pStyle w:val="BoxListBullet"/>
            </w:pPr>
            <w:r w:rsidRPr="0045550E">
              <w:t>Alcohol involvement in homicides</w:t>
            </w:r>
            <w:r>
              <w:t xml:space="preserve"> (n</w:t>
            </w:r>
            <w:r w:rsidRPr="00F25926">
              <w:t>ational).</w:t>
            </w:r>
          </w:p>
          <w:p w14:paraId="4A428936" w14:textId="77777777" w:rsidR="008422E6" w:rsidRDefault="008422E6" w:rsidP="00F53DE9">
            <w:pPr>
              <w:pStyle w:val="Box"/>
            </w:pPr>
            <w:r w:rsidRPr="00902D2A">
              <w:t>Data on hospitalisations are from the AIHW Nati</w:t>
            </w:r>
            <w:r>
              <w:t xml:space="preserve">onal Hospital Morbidity Database. Latest data are for 2018-19. Data on deaths are from the ABS </w:t>
            </w:r>
            <w:r w:rsidRPr="0073463C">
              <w:t>Causes of Death</w:t>
            </w:r>
            <w:r>
              <w:t xml:space="preserve"> collection and latest data are for 2018. Data on homicides are from the Australian Institute of Criminology </w:t>
            </w:r>
            <w:r w:rsidRPr="0073463C">
              <w:t>National Homicide Monitoring Program</w:t>
            </w:r>
            <w:r>
              <w:t xml:space="preserve"> and latest data are for 2017-18.</w:t>
            </w:r>
          </w:p>
        </w:tc>
      </w:tr>
      <w:tr w:rsidR="008422E6" w14:paraId="1D28A443" w14:textId="77777777" w:rsidTr="00F53DE9">
        <w:tc>
          <w:tcPr>
            <w:tcW w:w="5000" w:type="pct"/>
            <w:tcBorders>
              <w:top w:val="nil"/>
              <w:left w:val="nil"/>
              <w:bottom w:val="single" w:sz="6" w:space="0" w:color="78A22F"/>
              <w:right w:val="nil"/>
            </w:tcBorders>
            <w:shd w:val="clear" w:color="auto" w:fill="F2F2F2"/>
          </w:tcPr>
          <w:p w14:paraId="316F7D5A" w14:textId="77777777" w:rsidR="008422E6" w:rsidRDefault="008422E6" w:rsidP="00F53DE9">
            <w:pPr>
              <w:pStyle w:val="Box"/>
              <w:spacing w:before="0" w:line="120" w:lineRule="exact"/>
            </w:pPr>
          </w:p>
        </w:tc>
      </w:tr>
      <w:tr w:rsidR="008422E6" w:rsidRPr="000863A5" w14:paraId="1853843E" w14:textId="77777777" w:rsidTr="00F53DE9">
        <w:tc>
          <w:tcPr>
            <w:tcW w:w="5000" w:type="pct"/>
            <w:tcBorders>
              <w:top w:val="single" w:sz="6" w:space="0" w:color="78A22F"/>
              <w:left w:val="nil"/>
              <w:bottom w:val="nil"/>
              <w:right w:val="nil"/>
            </w:tcBorders>
          </w:tcPr>
          <w:p w14:paraId="3B326B84" w14:textId="77777777" w:rsidR="008422E6" w:rsidRPr="00626D32" w:rsidRDefault="008422E6" w:rsidP="00F53DE9">
            <w:pPr>
              <w:pStyle w:val="BoxSpaceBelow"/>
            </w:pPr>
          </w:p>
        </w:tc>
      </w:tr>
    </w:tbl>
    <w:p w14:paraId="5704F778" w14:textId="67BAB632" w:rsidR="008422E6" w:rsidRDefault="008422E6" w:rsidP="008422E6">
      <w:pPr>
        <w:pStyle w:val="BodyText"/>
      </w:pPr>
      <w:r>
        <w:t xml:space="preserve">Australian adults drink alcohol for a range of societal and cultural reasons, and most do not drink at levels that place them at risk of harm. For children and young people under the age of 18 years there is no ‘safe’ or ‘no-risk’ level of drinking alcohol </w:t>
      </w:r>
      <w:r w:rsidRPr="005A168F">
        <w:rPr>
          <w:szCs w:val="24"/>
        </w:rPr>
        <w:t>(</w:t>
      </w:r>
      <w:proofErr w:type="spellStart"/>
      <w:r w:rsidRPr="005A168F">
        <w:rPr>
          <w:szCs w:val="24"/>
        </w:rPr>
        <w:t>NHMRC</w:t>
      </w:r>
      <w:proofErr w:type="spellEnd"/>
      <w:r w:rsidRPr="005A168F">
        <w:rPr>
          <w:szCs w:val="24"/>
        </w:rPr>
        <w:t> 2019)</w:t>
      </w:r>
      <w:r>
        <w:t>. In Australia, people under the age of 18 years are prohibited from purchasing or consuming alcohol, and people who sell or supply liquor to minors are committing an offence.</w:t>
      </w:r>
    </w:p>
    <w:p w14:paraId="7496923A" w14:textId="0FD0EE0F" w:rsidR="008422E6" w:rsidRDefault="008422E6" w:rsidP="008422E6">
      <w:pPr>
        <w:pStyle w:val="BodyText"/>
      </w:pPr>
      <w:r>
        <w:t xml:space="preserve">Drinking alcohol at harmful levels can create social and financial burdens both to the drinker, their families, and the people and community around them </w:t>
      </w:r>
      <w:r w:rsidRPr="008351C0">
        <w:rPr>
          <w:szCs w:val="24"/>
        </w:rPr>
        <w:t xml:space="preserve">(Commonwealth of Australia 2019; </w:t>
      </w:r>
      <w:proofErr w:type="spellStart"/>
      <w:r w:rsidRPr="008351C0">
        <w:rPr>
          <w:szCs w:val="24"/>
        </w:rPr>
        <w:t>NHMRC</w:t>
      </w:r>
      <w:proofErr w:type="spellEnd"/>
      <w:r w:rsidRPr="008351C0">
        <w:rPr>
          <w:szCs w:val="24"/>
        </w:rPr>
        <w:t> 2019)</w:t>
      </w:r>
      <w:r>
        <w:t>. Alcohol consumption</w:t>
      </w:r>
      <w:r w:rsidRPr="00F57857">
        <w:t xml:space="preserve"> </w:t>
      </w:r>
      <w:r>
        <w:t>at harmful levels:</w:t>
      </w:r>
    </w:p>
    <w:p w14:paraId="4F74C0E4" w14:textId="1DD214A9" w:rsidR="008422E6" w:rsidRDefault="008422E6" w:rsidP="008422E6">
      <w:pPr>
        <w:pStyle w:val="ListBullet"/>
      </w:pPr>
      <w:r w:rsidRPr="00C37E6E">
        <w:t xml:space="preserve">contributes to </w:t>
      </w:r>
      <w:r w:rsidRPr="00016726">
        <w:t xml:space="preserve">violence </w:t>
      </w:r>
      <w:r>
        <w:t>within communities</w:t>
      </w:r>
      <w:r w:rsidRPr="002F3F8A">
        <w:t>, and disability and death through accidents, assaults, suicide and homicide</w:t>
      </w:r>
      <w:r>
        <w:t xml:space="preserve"> </w:t>
      </w:r>
      <w:r w:rsidRPr="00D26958">
        <w:rPr>
          <w:szCs w:val="24"/>
        </w:rPr>
        <w:t xml:space="preserve">(AIHW 2020; Commonwealth of Australia 2019; </w:t>
      </w:r>
      <w:proofErr w:type="spellStart"/>
      <w:r w:rsidRPr="00D26958">
        <w:rPr>
          <w:szCs w:val="24"/>
        </w:rPr>
        <w:t>Snijder</w:t>
      </w:r>
      <w:proofErr w:type="spellEnd"/>
      <w:r w:rsidRPr="00D26958">
        <w:rPr>
          <w:szCs w:val="24"/>
        </w:rPr>
        <w:t xml:space="preserve"> et al. 2020)</w:t>
      </w:r>
      <w:r>
        <w:t xml:space="preserve">. Alcohol consumption and family violence is discussed in section 4.12 </w:t>
      </w:r>
      <w:r w:rsidRPr="008765A1">
        <w:rPr>
          <w:i/>
        </w:rPr>
        <w:t xml:space="preserve">Family and </w:t>
      </w:r>
      <w:r>
        <w:rPr>
          <w:i/>
        </w:rPr>
        <w:t>c</w:t>
      </w:r>
      <w:r w:rsidRPr="008765A1">
        <w:rPr>
          <w:i/>
        </w:rPr>
        <w:t xml:space="preserve">ommunity </w:t>
      </w:r>
      <w:r>
        <w:rPr>
          <w:i/>
        </w:rPr>
        <w:t>v</w:t>
      </w:r>
      <w:r w:rsidRPr="008765A1">
        <w:rPr>
          <w:i/>
        </w:rPr>
        <w:t>iolence</w:t>
      </w:r>
      <w:r>
        <w:t>.</w:t>
      </w:r>
    </w:p>
    <w:p w14:paraId="4D18D48D" w14:textId="18CFF9C8" w:rsidR="008422E6" w:rsidRDefault="008422E6" w:rsidP="008422E6">
      <w:pPr>
        <w:pStyle w:val="ListBullet"/>
      </w:pPr>
      <w:r>
        <w:lastRenderedPageBreak/>
        <w:t xml:space="preserve">contributes to the burden of disease including alcohol use disorders, multiple types of cancer, chronic liver disease and cognitive impairment </w:t>
      </w:r>
      <w:r w:rsidRPr="00852E00">
        <w:rPr>
          <w:szCs w:val="24"/>
        </w:rPr>
        <w:t xml:space="preserve">(Commonwealth of Australia 2019; Gao, </w:t>
      </w:r>
      <w:proofErr w:type="spellStart"/>
      <w:r w:rsidRPr="00852E00">
        <w:rPr>
          <w:szCs w:val="24"/>
        </w:rPr>
        <w:t>Ogeil</w:t>
      </w:r>
      <w:proofErr w:type="spellEnd"/>
      <w:r w:rsidRPr="00852E00">
        <w:rPr>
          <w:szCs w:val="24"/>
        </w:rPr>
        <w:t xml:space="preserve"> and Lloyd 2014)</w:t>
      </w:r>
      <w:r>
        <w:t xml:space="preserve">. </w:t>
      </w:r>
    </w:p>
    <w:p w14:paraId="4C9F0A60" w14:textId="5D308B5B" w:rsidR="008422E6" w:rsidRDefault="008422E6" w:rsidP="008422E6">
      <w:pPr>
        <w:pStyle w:val="ListBullet"/>
      </w:pPr>
      <w:r>
        <w:t xml:space="preserve">during pregnancy may </w:t>
      </w:r>
      <w:r w:rsidRPr="00016726">
        <w:t xml:space="preserve">cause physical and neurocognitive disorders termed ‘fetal alcohol spectrum disorders’ </w:t>
      </w:r>
      <w:r w:rsidRPr="00222A38">
        <w:rPr>
          <w:szCs w:val="24"/>
        </w:rPr>
        <w:t>(Fitzpatrick et al. 2012; Gray et al. 2018)</w:t>
      </w:r>
      <w:r w:rsidRPr="00016726">
        <w:t xml:space="preserve">. </w:t>
      </w:r>
      <w:r>
        <w:t>A</w:t>
      </w:r>
      <w:r w:rsidRPr="00016726">
        <w:t>lcohol consumption during pregnancy</w:t>
      </w:r>
      <w:r>
        <w:t xml:space="preserve"> is discussed in s</w:t>
      </w:r>
      <w:r w:rsidRPr="00016726">
        <w:t>ection </w:t>
      </w:r>
      <w:r>
        <w:t xml:space="preserve">6.2 </w:t>
      </w:r>
      <w:r w:rsidRPr="008765A1">
        <w:rPr>
          <w:i/>
        </w:rPr>
        <w:t xml:space="preserve">Health </w:t>
      </w:r>
      <w:r>
        <w:rPr>
          <w:i/>
        </w:rPr>
        <w:t>b</w:t>
      </w:r>
      <w:r w:rsidRPr="008765A1">
        <w:rPr>
          <w:i/>
        </w:rPr>
        <w:t xml:space="preserve">ehaviours during </w:t>
      </w:r>
      <w:r>
        <w:rPr>
          <w:i/>
        </w:rPr>
        <w:t>p</w:t>
      </w:r>
      <w:r w:rsidRPr="008765A1">
        <w:rPr>
          <w:i/>
        </w:rPr>
        <w:t>regnancy</w:t>
      </w:r>
      <w:r>
        <w:t>.</w:t>
      </w:r>
    </w:p>
    <w:p w14:paraId="0C5DE6F6" w14:textId="77777777" w:rsidR="008422E6" w:rsidRPr="00C61211" w:rsidRDefault="008422E6" w:rsidP="008422E6">
      <w:pPr>
        <w:pStyle w:val="BodyText"/>
      </w:pPr>
      <w:r>
        <w:t>People who engage in risky alcohol consumption, are not only at risk of harming themselves but also harming others</w:t>
      </w:r>
      <w:r w:rsidRPr="00C61211">
        <w:t>. Research suggests that alcohol-related harm affects the population in different ways:</w:t>
      </w:r>
    </w:p>
    <w:p w14:paraId="097215EE" w14:textId="77777777" w:rsidR="008422E6" w:rsidRPr="00C61211" w:rsidRDefault="008422E6" w:rsidP="008422E6">
      <w:pPr>
        <w:pStyle w:val="ListBullet"/>
      </w:pPr>
      <w:r w:rsidRPr="00C61211">
        <w:t>women are more likely to be harmed by household members and relatives</w:t>
      </w:r>
      <w:r>
        <w:t xml:space="preserve"> </w:t>
      </w:r>
    </w:p>
    <w:p w14:paraId="78C00587" w14:textId="77777777" w:rsidR="008422E6" w:rsidRPr="00C61211" w:rsidRDefault="008422E6" w:rsidP="008422E6">
      <w:pPr>
        <w:pStyle w:val="ListBullet"/>
      </w:pPr>
      <w:r w:rsidRPr="00C61211">
        <w:t>men are more likely to be harmed by friends, co-workers or strangers, and</w:t>
      </w:r>
    </w:p>
    <w:p w14:paraId="79A1037A" w14:textId="5E2EB12E" w:rsidR="008422E6" w:rsidRPr="00C61211" w:rsidRDefault="008422E6" w:rsidP="008422E6">
      <w:pPr>
        <w:pStyle w:val="ListBullet"/>
      </w:pPr>
      <w:r w:rsidRPr="00C61211">
        <w:t>young people who drink are at an increased risk of harm</w:t>
      </w:r>
      <w:r>
        <w:t>,</w:t>
      </w:r>
      <w:r w:rsidRPr="00C61211">
        <w:t xml:space="preserve"> and young men are </w:t>
      </w:r>
      <w:r>
        <w:t xml:space="preserve">more </w:t>
      </w:r>
      <w:r w:rsidRPr="00C61211">
        <w:t xml:space="preserve">likely to be harmed by their friends </w:t>
      </w:r>
      <w:r w:rsidRPr="00C61211">
        <w:rPr>
          <w:szCs w:val="24"/>
        </w:rPr>
        <w:t>(</w:t>
      </w:r>
      <w:proofErr w:type="spellStart"/>
      <w:r w:rsidRPr="00C61211">
        <w:rPr>
          <w:szCs w:val="24"/>
        </w:rPr>
        <w:t>Callinan</w:t>
      </w:r>
      <w:proofErr w:type="spellEnd"/>
      <w:r w:rsidRPr="00C61211">
        <w:rPr>
          <w:szCs w:val="24"/>
        </w:rPr>
        <w:t xml:space="preserve"> and Livingstone 2019)</w:t>
      </w:r>
      <w:r w:rsidRPr="00C61211">
        <w:t>.</w:t>
      </w:r>
    </w:p>
    <w:p w14:paraId="310F4DD7" w14:textId="77777777" w:rsidR="008422E6" w:rsidRPr="00016726" w:rsidRDefault="008422E6" w:rsidP="008422E6">
      <w:pPr>
        <w:pStyle w:val="Heading3"/>
      </w:pPr>
      <w:r>
        <w:t>Over one-quarter of</w:t>
      </w:r>
      <w:r w:rsidRPr="00C61211">
        <w:t xml:space="preserve"> Aboriginal and Torres Strait Islander adults abstain from alcohol, </w:t>
      </w:r>
      <w:r>
        <w:t>with the proportion in very remote areas significantly higher…</w:t>
      </w:r>
    </w:p>
    <w:p w14:paraId="332A07F3" w14:textId="77777777" w:rsidR="008422E6" w:rsidRDefault="008422E6" w:rsidP="008422E6">
      <w:pPr>
        <w:pStyle w:val="BodyText"/>
      </w:pPr>
      <w:r>
        <w:t xml:space="preserve">An increasing proportion of </w:t>
      </w:r>
      <w:r w:rsidRPr="00A7313F">
        <w:t>Aboriginal an</w:t>
      </w:r>
      <w:r>
        <w:t xml:space="preserve">d Torres Strait Islander adults are abstaining </w:t>
      </w:r>
      <w:r w:rsidRPr="00A7313F">
        <w:t>from alcohol</w:t>
      </w:r>
      <w:r>
        <w:t>.</w:t>
      </w:r>
      <w:r>
        <w:rPr>
          <w:rStyle w:val="FootnoteReference"/>
        </w:rPr>
        <w:footnoteReference w:id="5"/>
      </w:r>
      <w:r w:rsidRPr="00A7313F">
        <w:t xml:space="preserve"> </w:t>
      </w:r>
      <w:r w:rsidRPr="00D2484D">
        <w:t>In 201</w:t>
      </w:r>
      <w:r>
        <w:t>8</w:t>
      </w:r>
      <w:r>
        <w:noBreakHyphen/>
      </w:r>
      <w:r w:rsidRPr="00D2484D">
        <w:t>1</w:t>
      </w:r>
      <w:r>
        <w:t>9</w:t>
      </w:r>
      <w:r w:rsidRPr="00D2484D">
        <w:t xml:space="preserve">, </w:t>
      </w:r>
      <w:r w:rsidRPr="00B5558D">
        <w:t>26 per cent</w:t>
      </w:r>
      <w:r>
        <w:t xml:space="preserve"> </w:t>
      </w:r>
      <w:r w:rsidRPr="00D2484D">
        <w:t xml:space="preserve">of Aboriginal and Torres Strait Islander </w:t>
      </w:r>
      <w:r>
        <w:t>adults abstained</w:t>
      </w:r>
      <w:r w:rsidRPr="00B5558D">
        <w:t xml:space="preserve">, an increase from </w:t>
      </w:r>
      <w:r>
        <w:t xml:space="preserve">23 per cent in 2012-13 (table </w:t>
      </w:r>
      <w:proofErr w:type="spellStart"/>
      <w:r>
        <w:t>11A.1</w:t>
      </w:r>
      <w:r w:rsidRPr="00B5558D">
        <w:t>.1</w:t>
      </w:r>
      <w:proofErr w:type="spellEnd"/>
      <w:r w:rsidRPr="00B5558D">
        <w:t>)</w:t>
      </w:r>
      <w:r>
        <w:t xml:space="preserve">. </w:t>
      </w:r>
    </w:p>
    <w:p w14:paraId="6E7FBCC2" w14:textId="77777777" w:rsidR="008422E6" w:rsidRDefault="008422E6" w:rsidP="008422E6">
      <w:pPr>
        <w:pStyle w:val="BodyText"/>
      </w:pPr>
      <w:r w:rsidRPr="002A6466">
        <w:t xml:space="preserve">Aboriginal and Torres Strait Islander adults’ rates of abstinence </w:t>
      </w:r>
      <w:r>
        <w:t xml:space="preserve">are significantly higher in very remote areas. In 2018-19, the proportion of </w:t>
      </w:r>
      <w:r w:rsidRPr="00D2484D">
        <w:t xml:space="preserve">Aboriginal and Torres Strait Islander </w:t>
      </w:r>
      <w:r>
        <w:t xml:space="preserve">adults abstaining from alcohol in very remote areas (43 per cent) was twice the proportion for those in major cities (19 per cent) (table </w:t>
      </w:r>
      <w:proofErr w:type="spellStart"/>
      <w:r>
        <w:t>11A.1.2</w:t>
      </w:r>
      <w:proofErr w:type="spellEnd"/>
      <w:r w:rsidRPr="00B5558D">
        <w:t>)</w:t>
      </w:r>
      <w:r>
        <w:t>.</w:t>
      </w:r>
      <w:r w:rsidRPr="00DD54AA">
        <w:t xml:space="preserve"> </w:t>
      </w:r>
    </w:p>
    <w:p w14:paraId="35794342" w14:textId="77777777" w:rsidR="008422E6" w:rsidRDefault="008422E6" w:rsidP="008422E6">
      <w:pPr>
        <w:pStyle w:val="BodyText"/>
      </w:pPr>
      <w:r>
        <w:t>A higher proportion of Aboriginal and Torres Strait Islander adults abstain from drinking alcohol than non-Indigenous adults. Nationally in 2017–19, a</w:t>
      </w:r>
      <w:r w:rsidRPr="00E8789C">
        <w:t>fter adjusting for differences in population age structures</w:t>
      </w:r>
      <w:r>
        <w:t xml:space="preserve">, the proportion of Aboriginal and Torres Strait Islander adults abstaining was 1.4 times the proportion of non-Indigenous adults abstaining (figure 11.1.1). </w:t>
      </w:r>
    </w:p>
    <w:p w14:paraId="0815FA4B"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1C19C4AE" w14:textId="77777777" w:rsidTr="00F53DE9">
        <w:trPr>
          <w:tblHeader/>
        </w:trPr>
        <w:tc>
          <w:tcPr>
            <w:tcW w:w="5000" w:type="pct"/>
            <w:tcBorders>
              <w:top w:val="single" w:sz="6" w:space="0" w:color="78A22F"/>
              <w:left w:val="nil"/>
              <w:bottom w:val="nil"/>
              <w:right w:val="nil"/>
            </w:tcBorders>
            <w:shd w:val="clear" w:color="auto" w:fill="auto"/>
          </w:tcPr>
          <w:p w14:paraId="4E2FD561" w14:textId="06286318" w:rsidR="008422E6" w:rsidRPr="00176D3F" w:rsidRDefault="008422E6" w:rsidP="00F53DE9">
            <w:pPr>
              <w:pStyle w:val="ListNumber"/>
              <w:keepNext/>
              <w:keepLines/>
              <w:numPr>
                <w:ilvl w:val="0"/>
                <w:numId w:val="0"/>
              </w:numPr>
              <w:spacing w:after="80" w:line="280" w:lineRule="exact"/>
              <w:ind w:left="1474" w:hanging="1474"/>
              <w:jc w:val="left"/>
            </w:pPr>
            <w:r w:rsidRPr="00B95A96">
              <w:rPr>
                <w:rFonts w:ascii="Arial" w:hAnsi="Arial"/>
                <w:szCs w:val="24"/>
              </w:rPr>
              <w:t>Figure 11.1.</w:t>
            </w:r>
            <w:r>
              <w:rPr>
                <w:rFonts w:ascii="Arial" w:hAnsi="Arial"/>
                <w:noProof/>
                <w:szCs w:val="24"/>
              </w:rPr>
              <w:t>1</w:t>
            </w:r>
            <w:r>
              <w:tab/>
            </w:r>
            <w:r>
              <w:rPr>
                <w:rFonts w:ascii="Arial" w:hAnsi="Arial"/>
                <w:b/>
                <w:szCs w:val="24"/>
              </w:rPr>
              <w:t xml:space="preserve">Adults abstaining from </w:t>
            </w:r>
            <w:r w:rsidRPr="00B95A96">
              <w:rPr>
                <w:rFonts w:ascii="Arial" w:hAnsi="Arial"/>
                <w:b/>
                <w:szCs w:val="24"/>
              </w:rPr>
              <w:t xml:space="preserve">alcohol </w:t>
            </w:r>
            <w:r>
              <w:rPr>
                <w:rFonts w:ascii="Arial" w:hAnsi="Arial"/>
                <w:b/>
                <w:szCs w:val="24"/>
              </w:rPr>
              <w:t>by</w:t>
            </w:r>
            <w:r w:rsidRPr="00B95A96">
              <w:rPr>
                <w:rFonts w:ascii="Arial" w:hAnsi="Arial"/>
                <w:b/>
                <w:szCs w:val="24"/>
              </w:rPr>
              <w:t xml:space="preserve"> remoteness area, </w:t>
            </w:r>
            <w:r>
              <w:rPr>
                <w:rFonts w:ascii="Arial" w:hAnsi="Arial"/>
                <w:b/>
                <w:szCs w:val="24"/>
              </w:rPr>
              <w:t xml:space="preserve">by Indigenous status, </w:t>
            </w:r>
            <w:r w:rsidRPr="00B95A96">
              <w:rPr>
                <w:rFonts w:ascii="Arial" w:hAnsi="Arial"/>
                <w:b/>
                <w:szCs w:val="24"/>
              </w:rPr>
              <w:t>201</w:t>
            </w:r>
            <w:r>
              <w:rPr>
                <w:rFonts w:ascii="Arial" w:hAnsi="Arial"/>
                <w:b/>
                <w:szCs w:val="24"/>
              </w:rPr>
              <w:t>7</w:t>
            </w:r>
            <w:r>
              <w:rPr>
                <w:rFonts w:ascii="Arial" w:hAnsi="Arial" w:cs="Arial"/>
                <w:b/>
                <w:szCs w:val="24"/>
              </w:rPr>
              <w:t>–</w:t>
            </w:r>
            <w:r w:rsidRPr="00B95A96">
              <w:rPr>
                <w:rFonts w:ascii="Arial" w:hAnsi="Arial"/>
                <w:b/>
                <w:szCs w:val="24"/>
              </w:rPr>
              <w:t>19</w:t>
            </w:r>
            <w:r>
              <w:rPr>
                <w:rFonts w:ascii="Arial" w:hAnsi="Arial"/>
                <w:b/>
                <w:szCs w:val="24"/>
              </w:rPr>
              <w:t xml:space="preserve"> (age-standardised rate)</w:t>
            </w:r>
            <w:proofErr w:type="spellStart"/>
            <w:r w:rsidRPr="00E758EB">
              <w:rPr>
                <w:rStyle w:val="NoteLabel"/>
                <w:sz w:val="20"/>
              </w:rPr>
              <w:t>a,b,c</w:t>
            </w:r>
            <w:proofErr w:type="spellEnd"/>
          </w:p>
        </w:tc>
      </w:tr>
      <w:tr w:rsidR="008422E6" w14:paraId="10C829FB" w14:textId="77777777" w:rsidTr="00F53DE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422E6" w:rsidRPr="00B1465D" w14:paraId="0CF193B5" w14:textId="77777777" w:rsidTr="00F53DE9">
              <w:trPr>
                <w:tblHeader/>
                <w:jc w:val="center"/>
              </w:trPr>
              <w:tc>
                <w:tcPr>
                  <w:tcW w:w="5000" w:type="pct"/>
                  <w:tcBorders>
                    <w:top w:val="nil"/>
                    <w:bottom w:val="nil"/>
                  </w:tcBorders>
                </w:tcPr>
                <w:p w14:paraId="239B03E8" w14:textId="35D9F9F9" w:rsidR="008422E6" w:rsidRPr="00B1465D" w:rsidRDefault="00493FBD" w:rsidP="00F53DE9">
                  <w:pPr>
                    <w:pStyle w:val="Figure"/>
                    <w:spacing w:before="60" w:after="60"/>
                    <w:rPr>
                      <w:rFonts w:ascii="Arial" w:hAnsi="Arial" w:cs="Arial"/>
                      <w:sz w:val="18"/>
                      <w:szCs w:val="18"/>
                    </w:rPr>
                  </w:pPr>
                  <w:r w:rsidRPr="00493FBD">
                    <w:rPr>
                      <w:noProof/>
                    </w:rPr>
                    <w:drawing>
                      <wp:inline distT="0" distB="0" distL="0" distR="0" wp14:anchorId="157AEC72" wp14:editId="7CE69B79">
                        <wp:extent cx="5372100" cy="2705100"/>
                        <wp:effectExtent l="0" t="0" r="0" b="0"/>
                        <wp:docPr id="2" name="Picture 2" descr="Figure 11.1.1 Adults abstaining from alcohol by remoteness area, by Indigenous status, 2017–19 (age-standardised rat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2705100"/>
                                </a:xfrm>
                                <a:prstGeom prst="rect">
                                  <a:avLst/>
                                </a:prstGeom>
                                <a:noFill/>
                                <a:ln>
                                  <a:noFill/>
                                </a:ln>
                              </pic:spPr>
                            </pic:pic>
                          </a:graphicData>
                        </a:graphic>
                      </wp:inline>
                    </w:drawing>
                  </w:r>
                </w:p>
              </w:tc>
            </w:tr>
          </w:tbl>
          <w:p w14:paraId="2ABC319D" w14:textId="77777777" w:rsidR="008422E6" w:rsidRDefault="008422E6" w:rsidP="00F53DE9">
            <w:pPr>
              <w:pStyle w:val="Figure"/>
            </w:pPr>
          </w:p>
        </w:tc>
      </w:tr>
      <w:tr w:rsidR="008422E6" w:rsidRPr="00176D3F" w14:paraId="00B16F70" w14:textId="77777777" w:rsidTr="00F53DE9">
        <w:tc>
          <w:tcPr>
            <w:tcW w:w="5000" w:type="pct"/>
            <w:tcBorders>
              <w:top w:val="nil"/>
              <w:left w:val="nil"/>
              <w:bottom w:val="nil"/>
              <w:right w:val="nil"/>
            </w:tcBorders>
            <w:shd w:val="clear" w:color="auto" w:fill="auto"/>
          </w:tcPr>
          <w:p w14:paraId="69FF42C5" w14:textId="77777777" w:rsidR="008422E6" w:rsidRPr="00176D3F" w:rsidRDefault="008422E6" w:rsidP="00F53DE9">
            <w:pPr>
              <w:pStyle w:val="ListNumber"/>
              <w:keepLines/>
              <w:numPr>
                <w:ilvl w:val="0"/>
                <w:numId w:val="0"/>
              </w:numPr>
              <w:spacing w:before="80" w:line="220" w:lineRule="exact"/>
            </w:pPr>
            <w:r>
              <w:rPr>
                <w:rStyle w:val="NoteLabel"/>
              </w:rPr>
              <w:t>a</w:t>
            </w:r>
            <w:r>
              <w:t xml:space="preserve"> </w:t>
            </w:r>
            <w:r w:rsidRPr="00565407">
              <w:rPr>
                <w:rFonts w:ascii="Arial" w:hAnsi="Arial"/>
                <w:sz w:val="18"/>
              </w:rPr>
              <w:t xml:space="preserve">Error </w:t>
            </w:r>
            <w:r w:rsidRPr="009E0E66">
              <w:rPr>
                <w:rFonts w:ascii="Arial" w:hAnsi="Arial"/>
                <w:sz w:val="18"/>
              </w:rPr>
              <w:t xml:space="preserve">bars represent the 95 per cent confidence interval associated with each point estimate. </w:t>
            </w:r>
            <w:r w:rsidRPr="009E0E66">
              <w:rPr>
                <w:rStyle w:val="NoteLabel"/>
              </w:rPr>
              <w:t>b</w:t>
            </w:r>
            <w:r>
              <w:rPr>
                <w:rFonts w:ascii="Arial" w:hAnsi="Arial"/>
                <w:sz w:val="18"/>
              </w:rPr>
              <w:t xml:space="preserve"> See table </w:t>
            </w:r>
            <w:proofErr w:type="spellStart"/>
            <w:r w:rsidRPr="009E0E66">
              <w:rPr>
                <w:rFonts w:ascii="Arial" w:hAnsi="Arial"/>
                <w:sz w:val="18"/>
              </w:rPr>
              <w:t>11A.1.</w:t>
            </w:r>
            <w:r>
              <w:rPr>
                <w:rFonts w:ascii="Arial" w:hAnsi="Arial"/>
                <w:sz w:val="18"/>
              </w:rPr>
              <w:t>3</w:t>
            </w:r>
            <w:proofErr w:type="spellEnd"/>
            <w:r>
              <w:rPr>
                <w:rFonts w:ascii="Arial" w:hAnsi="Arial"/>
                <w:sz w:val="18"/>
              </w:rPr>
              <w:t>-</w:t>
            </w:r>
            <w:r w:rsidRPr="009E0E66">
              <w:rPr>
                <w:rFonts w:ascii="Arial" w:hAnsi="Arial"/>
                <w:sz w:val="18"/>
              </w:rPr>
              <w:t>4 for detailed</w:t>
            </w:r>
            <w:r w:rsidRPr="00565407">
              <w:rPr>
                <w:rFonts w:ascii="Arial" w:hAnsi="Arial"/>
                <w:sz w:val="18"/>
              </w:rPr>
              <w:t xml:space="preserve"> definitions, footnotes and caveats.</w:t>
            </w:r>
            <w:r>
              <w:rPr>
                <w:rFonts w:ascii="Arial" w:hAnsi="Arial"/>
                <w:sz w:val="18"/>
              </w:rPr>
              <w:t xml:space="preserve"> </w:t>
            </w:r>
            <w:r w:rsidRPr="00E758EB">
              <w:rPr>
                <w:rStyle w:val="NoteLabel"/>
              </w:rPr>
              <w:t>c</w:t>
            </w:r>
            <w:r>
              <w:rPr>
                <w:rFonts w:ascii="Arial" w:hAnsi="Arial"/>
                <w:sz w:val="18"/>
              </w:rPr>
              <w:t xml:space="preserve"> The total for non-Indigenous adults does not include very remote areas as data were not collected in these areas for non-Indigenous people.</w:t>
            </w:r>
          </w:p>
        </w:tc>
      </w:tr>
      <w:tr w:rsidR="008422E6" w:rsidRPr="00176D3F" w14:paraId="318B2363" w14:textId="77777777" w:rsidTr="00F53DE9">
        <w:tc>
          <w:tcPr>
            <w:tcW w:w="5000" w:type="pct"/>
            <w:tcBorders>
              <w:top w:val="nil"/>
              <w:left w:val="nil"/>
              <w:bottom w:val="nil"/>
              <w:right w:val="nil"/>
            </w:tcBorders>
            <w:shd w:val="clear" w:color="auto" w:fill="auto"/>
          </w:tcPr>
          <w:p w14:paraId="320CD66F" w14:textId="77777777" w:rsidR="008422E6" w:rsidRPr="009E0E66" w:rsidRDefault="008422E6" w:rsidP="00F53DE9">
            <w:pPr>
              <w:pStyle w:val="Subtitle"/>
              <w:keepNext w:val="0"/>
              <w:spacing w:before="80" w:after="0" w:line="220" w:lineRule="exact"/>
              <w:ind w:left="0"/>
              <w:jc w:val="both"/>
              <w:rPr>
                <w:sz w:val="18"/>
                <w:szCs w:val="18"/>
              </w:rPr>
            </w:pPr>
            <w:r w:rsidRPr="009E0E66">
              <w:rPr>
                <w:i/>
                <w:sz w:val="18"/>
                <w:szCs w:val="18"/>
              </w:rPr>
              <w:t>Source</w:t>
            </w:r>
            <w:r w:rsidRPr="009E0E66">
              <w:rPr>
                <w:sz w:val="18"/>
                <w:szCs w:val="18"/>
              </w:rPr>
              <w:t xml:space="preserve">: </w:t>
            </w:r>
            <w:r w:rsidRPr="00D01B04">
              <w:rPr>
                <w:sz w:val="18"/>
                <w:szCs w:val="18"/>
              </w:rPr>
              <w:t xml:space="preserve">ABS </w:t>
            </w:r>
            <w:r>
              <w:rPr>
                <w:sz w:val="18"/>
                <w:szCs w:val="18"/>
              </w:rPr>
              <w:t>(</w:t>
            </w:r>
            <w:r w:rsidRPr="00D01B04">
              <w:rPr>
                <w:sz w:val="18"/>
                <w:szCs w:val="18"/>
              </w:rPr>
              <w:t>2019</w:t>
            </w:r>
            <w:r>
              <w:rPr>
                <w:sz w:val="18"/>
                <w:szCs w:val="18"/>
              </w:rPr>
              <w:t>)</w:t>
            </w:r>
            <w:r w:rsidRPr="00D01B04">
              <w:rPr>
                <w:sz w:val="18"/>
                <w:szCs w:val="18"/>
              </w:rPr>
              <w:t xml:space="preserve"> </w:t>
            </w:r>
            <w:r w:rsidRPr="00F75285">
              <w:rPr>
                <w:i/>
                <w:sz w:val="18"/>
                <w:szCs w:val="18"/>
              </w:rPr>
              <w:t>National Aboriginal and Torres Strait Islander Health Survey, 2018-19</w:t>
            </w:r>
            <w:r w:rsidRPr="00D01B04">
              <w:rPr>
                <w:sz w:val="18"/>
                <w:szCs w:val="18"/>
              </w:rPr>
              <w:t>, Cat. no. 4715.0, Canberra;</w:t>
            </w:r>
            <w:r>
              <w:rPr>
                <w:sz w:val="18"/>
                <w:szCs w:val="18"/>
              </w:rPr>
              <w:t xml:space="preserve"> t</w:t>
            </w:r>
            <w:r w:rsidRPr="009E0E66">
              <w:rPr>
                <w:sz w:val="18"/>
                <w:szCs w:val="18"/>
              </w:rPr>
              <w:t>able</w:t>
            </w:r>
            <w:r>
              <w:rPr>
                <w:sz w:val="18"/>
                <w:szCs w:val="18"/>
              </w:rPr>
              <w:t>s</w:t>
            </w:r>
            <w:r w:rsidRPr="009E0E66">
              <w:rPr>
                <w:sz w:val="18"/>
                <w:szCs w:val="18"/>
              </w:rPr>
              <w:t xml:space="preserve"> </w:t>
            </w:r>
            <w:proofErr w:type="spellStart"/>
            <w:r w:rsidRPr="009E0E66">
              <w:rPr>
                <w:sz w:val="18"/>
                <w:szCs w:val="18"/>
              </w:rPr>
              <w:t>11A.1.</w:t>
            </w:r>
            <w:r>
              <w:rPr>
                <w:sz w:val="18"/>
                <w:szCs w:val="18"/>
              </w:rPr>
              <w:t>3</w:t>
            </w:r>
            <w:proofErr w:type="spellEnd"/>
            <w:r>
              <w:rPr>
                <w:sz w:val="18"/>
                <w:szCs w:val="18"/>
              </w:rPr>
              <w:t>-</w:t>
            </w:r>
            <w:r w:rsidRPr="009E0E66">
              <w:rPr>
                <w:sz w:val="18"/>
                <w:szCs w:val="18"/>
              </w:rPr>
              <w:t>4.</w:t>
            </w:r>
          </w:p>
        </w:tc>
      </w:tr>
      <w:tr w:rsidR="008422E6" w14:paraId="4B87B73D" w14:textId="77777777" w:rsidTr="00F53DE9">
        <w:tc>
          <w:tcPr>
            <w:tcW w:w="5000" w:type="pct"/>
            <w:tcBorders>
              <w:top w:val="nil"/>
              <w:left w:val="nil"/>
              <w:bottom w:val="single" w:sz="6" w:space="0" w:color="78A22F"/>
              <w:right w:val="nil"/>
            </w:tcBorders>
            <w:shd w:val="clear" w:color="auto" w:fill="auto"/>
          </w:tcPr>
          <w:p w14:paraId="41D961BF" w14:textId="77777777" w:rsidR="008422E6" w:rsidRDefault="008422E6" w:rsidP="00F53DE9">
            <w:pPr>
              <w:pStyle w:val="Figurespace"/>
            </w:pPr>
          </w:p>
        </w:tc>
      </w:tr>
    </w:tbl>
    <w:p w14:paraId="308D6F09" w14:textId="77777777" w:rsidR="008422E6" w:rsidRDefault="008422E6" w:rsidP="008422E6">
      <w:pPr>
        <w:pStyle w:val="Heading3"/>
        <w:jc w:val="both"/>
      </w:pPr>
      <w:r>
        <w:t xml:space="preserve">… but some </w:t>
      </w:r>
      <w:r w:rsidRPr="00C61211">
        <w:t xml:space="preserve">Aboriginal and Torres Strait Islander </w:t>
      </w:r>
      <w:r>
        <w:t>adults put themselves at risk of harm by exceeding alcohol consumption guidelines</w:t>
      </w:r>
    </w:p>
    <w:p w14:paraId="3CE977DF" w14:textId="77777777" w:rsidR="008422E6" w:rsidRDefault="008422E6" w:rsidP="008422E6">
      <w:pPr>
        <w:pStyle w:val="BodyText"/>
      </w:pPr>
      <w:r>
        <w:t>High l</w:t>
      </w:r>
      <w:r w:rsidRPr="00C3214A">
        <w:t xml:space="preserve">evels of alcohol consumption can </w:t>
      </w:r>
      <w:r>
        <w:t>increase the risk of lifetime harm. This happens when</w:t>
      </w:r>
      <w:r w:rsidRPr="00B5558D">
        <w:t xml:space="preserve"> more than two standard drinks </w:t>
      </w:r>
      <w:r>
        <w:t>are consumed on average every day.</w:t>
      </w:r>
      <w:r w:rsidRPr="001F2085">
        <w:t xml:space="preserve"> </w:t>
      </w:r>
      <w:r>
        <w:t xml:space="preserve">Risky alcohol consumption can also occur on a single occasion, </w:t>
      </w:r>
      <w:r w:rsidRPr="00CF11F6">
        <w:t xml:space="preserve">when more than </w:t>
      </w:r>
      <w:r w:rsidRPr="00B5558D">
        <w:t>four standard drinks</w:t>
      </w:r>
      <w:r w:rsidRPr="00CF11F6">
        <w:t xml:space="preserve"> </w:t>
      </w:r>
      <w:r>
        <w:t>are consumed.</w:t>
      </w:r>
    </w:p>
    <w:p w14:paraId="63A88A6A" w14:textId="77777777" w:rsidR="008422E6" w:rsidRDefault="008422E6" w:rsidP="008422E6">
      <w:pPr>
        <w:pStyle w:val="BodyText"/>
      </w:pPr>
      <w:r>
        <w:t>The proportion of Aboriginal and Torres Strait Islander adults exceeding the alcohol consumption guidelines has remained stable for lifetime risk, but has increased slightly for single occasion risk. Nationally i</w:t>
      </w:r>
      <w:r w:rsidRPr="00D2484D">
        <w:t>n 201</w:t>
      </w:r>
      <w:r>
        <w:t>8</w:t>
      </w:r>
      <w:r>
        <w:noBreakHyphen/>
        <w:t>19</w:t>
      </w:r>
      <w:r w:rsidRPr="00D2484D">
        <w:t xml:space="preserve">, </w:t>
      </w:r>
      <w:r>
        <w:t xml:space="preserve">the proportion of </w:t>
      </w:r>
      <w:r w:rsidRPr="00D2484D">
        <w:t xml:space="preserve">Aboriginal and Torres Strait Islander </w:t>
      </w:r>
      <w:r>
        <w:t xml:space="preserve">adults who </w:t>
      </w:r>
      <w:r w:rsidRPr="00D2484D">
        <w:t>exceed</w:t>
      </w:r>
      <w:r>
        <w:t>ed</w:t>
      </w:r>
      <w:r w:rsidRPr="00D2484D">
        <w:t xml:space="preserve"> lifetime risk guidelines</w:t>
      </w:r>
      <w:r>
        <w:t xml:space="preserve"> </w:t>
      </w:r>
      <w:r w:rsidRPr="00B5558D">
        <w:t>in the last week</w:t>
      </w:r>
      <w:r>
        <w:t xml:space="preserve"> was 20 per cent (similar to 2012-13). The proportion exceeding the single occasion risk guidelines on at least one occasion in the previous 12 months decreased from 57 per cent in 2012-13 to 53 per cent in 2018-19, with this decrease driven by a decrease in those exceeding less often than once a week (the proportion exceeding less often than once a week decreased from 37 per cent to 34 per cent) (table </w:t>
      </w:r>
      <w:proofErr w:type="spellStart"/>
      <w:r>
        <w:t>11A.1.1</w:t>
      </w:r>
      <w:proofErr w:type="spellEnd"/>
      <w:r>
        <w:t>).</w:t>
      </w:r>
    </w:p>
    <w:p w14:paraId="53D2EDA2" w14:textId="77777777" w:rsidR="008422E6" w:rsidRDefault="008422E6" w:rsidP="008422E6">
      <w:pPr>
        <w:pStyle w:val="BodyText"/>
      </w:pPr>
      <w:r>
        <w:t>Men are more likely to exceed the risk guidelines for alcohol than women. For Aboriginal and Torres Strait Islander people aged 15 years or over in 2018-19, the proportion of males exceeding</w:t>
      </w:r>
      <w:r w:rsidRPr="00D366E3">
        <w:t xml:space="preserve"> </w:t>
      </w:r>
      <w:r w:rsidRPr="00D2484D">
        <w:t>lifetime risk guidelines</w:t>
      </w:r>
      <w:r>
        <w:t xml:space="preserve"> </w:t>
      </w:r>
      <w:r w:rsidRPr="00B5558D">
        <w:t>in the last week</w:t>
      </w:r>
      <w:r>
        <w:t xml:space="preserve"> (28 per cent) was nearly three times the </w:t>
      </w:r>
      <w:r>
        <w:lastRenderedPageBreak/>
        <w:t>proportion of females (10 per cent) and the proportion of males exceeding</w:t>
      </w:r>
      <w:r w:rsidRPr="00D366E3">
        <w:t xml:space="preserve"> </w:t>
      </w:r>
      <w:r>
        <w:t xml:space="preserve">single occasion risk guidelines on at least one occasion in the previous 12 months (61 per cent) was also significantly higher than the proportion of females (40 per cent) (table </w:t>
      </w:r>
      <w:proofErr w:type="spellStart"/>
      <w:r>
        <w:t>11A.1.5</w:t>
      </w:r>
      <w:proofErr w:type="spellEnd"/>
      <w:r>
        <w:t>).</w:t>
      </w:r>
    </w:p>
    <w:p w14:paraId="5DF3339F" w14:textId="77777777" w:rsidR="008422E6" w:rsidRDefault="008422E6" w:rsidP="008422E6">
      <w:pPr>
        <w:pStyle w:val="BodyText"/>
      </w:pPr>
      <w:r>
        <w:t xml:space="preserve">After adjusting for differences in age structures, the proportions exceeding the alcohol consumption guidelines were higher for Aboriginal and Torre Strait Islander adults compared to non-Indigenous adults, except for the proportions exceeding the single occasion risk guidelines less often than once a week (both around 30 per cent) (table </w:t>
      </w:r>
      <w:proofErr w:type="spellStart"/>
      <w:r>
        <w:t>11A.1.3</w:t>
      </w:r>
      <w:proofErr w:type="spellEnd"/>
      <w:r>
        <w:t>).</w:t>
      </w:r>
    </w:p>
    <w:p w14:paraId="56103772" w14:textId="73928B0E" w:rsidR="008422E6" w:rsidRDefault="008422E6" w:rsidP="008422E6">
      <w:pPr>
        <w:pStyle w:val="BodyText"/>
      </w:pPr>
      <w:r>
        <w:t xml:space="preserve">Single occasion risky </w:t>
      </w:r>
      <w:r w:rsidRPr="00CF11F6">
        <w:t xml:space="preserve">alcohol consumption </w:t>
      </w:r>
      <w:r>
        <w:t xml:space="preserve">is more prevalent amongst young people, especially after 18 years, once alcohol consumption is not prohibited. People that begin drinking hazardously at a young age are at increased risk of developing alcohol use disorders later in life </w:t>
      </w:r>
      <w:r w:rsidRPr="00BB13AF">
        <w:rPr>
          <w:szCs w:val="24"/>
        </w:rPr>
        <w:t>(</w:t>
      </w:r>
      <w:proofErr w:type="spellStart"/>
      <w:r w:rsidRPr="00BB13AF">
        <w:rPr>
          <w:szCs w:val="24"/>
        </w:rPr>
        <w:t>Freyer</w:t>
      </w:r>
      <w:proofErr w:type="spellEnd"/>
      <w:r w:rsidRPr="00BB13AF">
        <w:rPr>
          <w:szCs w:val="24"/>
        </w:rPr>
        <w:t>, Morley and Haber 2016)</w:t>
      </w:r>
      <w:r>
        <w:t>. Aboriginal and Torres Strait Islander young adults are the age group with the highest proportion of those exceeding single occasion risk guideline at least once in the last year, with 65 per cent of young people aged 18–24 years and 62 per cent of young people aged 25–34 years old exceeding the guidelines at least once, compared to 54 per cent for all Aboriginal and Torres Strait Islander people aged 18 years or over (table </w:t>
      </w:r>
      <w:proofErr w:type="spellStart"/>
      <w:r>
        <w:t>11A.1.6</w:t>
      </w:r>
      <w:proofErr w:type="spellEnd"/>
      <w:r>
        <w:t>).</w:t>
      </w:r>
    </w:p>
    <w:p w14:paraId="472C04B4" w14:textId="77777777" w:rsidR="008422E6" w:rsidRDefault="008422E6" w:rsidP="008422E6">
      <w:pPr>
        <w:pStyle w:val="Heading3"/>
      </w:pPr>
      <w:r>
        <w:t>How can the levels of risky</w:t>
      </w:r>
      <w:r w:rsidRPr="00BB4E52">
        <w:t xml:space="preserve"> alcohol consumption </w:t>
      </w:r>
      <w:r>
        <w:t>be reduced?</w:t>
      </w:r>
    </w:p>
    <w:p w14:paraId="7EBD43A1" w14:textId="77777777" w:rsidR="008422E6" w:rsidRDefault="008422E6" w:rsidP="008422E6">
      <w:pPr>
        <w:pStyle w:val="BodyText"/>
      </w:pPr>
      <w:r>
        <w:t xml:space="preserve">Risky alcohol consumption is associated with structural and </w:t>
      </w:r>
      <w:r w:rsidRPr="002D4854">
        <w:t>individual risk factors</w:t>
      </w:r>
      <w:r>
        <w:t>. Most of the research that looks at how to address these factors and related harms does not specifically relate to Aboriginal and Torres Strait Islander people. However, the following approaches may be relevant.</w:t>
      </w:r>
    </w:p>
    <w:p w14:paraId="3DD87A50" w14:textId="2DD81277" w:rsidR="008422E6" w:rsidRDefault="008422E6" w:rsidP="008422E6">
      <w:pPr>
        <w:pStyle w:val="ListBullet"/>
      </w:pPr>
      <w:r>
        <w:t xml:space="preserve">Restricting access to alcohol is one approach, noting that there can be unintended consequences with increases in ‘sly grog’ </w:t>
      </w:r>
      <w:r w:rsidRPr="00AB251B">
        <w:rPr>
          <w:szCs w:val="24"/>
        </w:rPr>
        <w:t>(Robertson, Fitts and Clough 2017)</w:t>
      </w:r>
      <w:r>
        <w:t xml:space="preserve">. Restrictions can include the number of take away outlets </w:t>
      </w:r>
      <w:r w:rsidRPr="00827B13">
        <w:rPr>
          <w:szCs w:val="24"/>
        </w:rPr>
        <w:t>(Smith et al. 2019)</w:t>
      </w:r>
      <w:r>
        <w:t xml:space="preserve"> or by using liquor permits and alcohol management plans that determine the sale, timing and distribution of </w:t>
      </w:r>
      <w:r w:rsidRPr="00B661B9">
        <w:t>alcohol</w:t>
      </w:r>
      <w:r>
        <w:t>. These measures</w:t>
      </w:r>
      <w:r w:rsidRPr="00B661B9">
        <w:t xml:space="preserve"> </w:t>
      </w:r>
      <w:r>
        <w:t xml:space="preserve">are in </w:t>
      </w:r>
      <w:r w:rsidRPr="00B661B9">
        <w:t>use</w:t>
      </w:r>
      <w:r>
        <w:t xml:space="preserve"> in some, mainly Aboriginal, communities in WA, Queensland and the NT. The effectiveness of permits depends on the broader liquor management system including the agencies and procedures required to have a permit </w:t>
      </w:r>
      <w:r w:rsidRPr="00B661B9">
        <w:rPr>
          <w:szCs w:val="24"/>
        </w:rPr>
        <w:t>(</w:t>
      </w:r>
      <w:proofErr w:type="spellStart"/>
      <w:r w:rsidRPr="00B661B9">
        <w:rPr>
          <w:szCs w:val="24"/>
        </w:rPr>
        <w:t>d’Abbs</w:t>
      </w:r>
      <w:proofErr w:type="spellEnd"/>
      <w:r w:rsidRPr="00B661B9">
        <w:rPr>
          <w:szCs w:val="24"/>
        </w:rPr>
        <w:t xml:space="preserve"> and </w:t>
      </w:r>
      <w:proofErr w:type="spellStart"/>
      <w:r w:rsidRPr="00B661B9">
        <w:rPr>
          <w:szCs w:val="24"/>
        </w:rPr>
        <w:t>Crundall</w:t>
      </w:r>
      <w:proofErr w:type="spellEnd"/>
      <w:r w:rsidRPr="004630C8">
        <w:rPr>
          <w:szCs w:val="24"/>
        </w:rPr>
        <w:t> 2019)</w:t>
      </w:r>
      <w:r>
        <w:t xml:space="preserve"> </w:t>
      </w:r>
    </w:p>
    <w:p w14:paraId="34D92E99" w14:textId="77777777" w:rsidR="008422E6" w:rsidRDefault="008422E6" w:rsidP="008422E6">
      <w:pPr>
        <w:pStyle w:val="ListBullet"/>
      </w:pPr>
      <w:r>
        <w:t>Reducing the demand for alcohol is another approach. This can be achieved by:</w:t>
      </w:r>
    </w:p>
    <w:p w14:paraId="0ADD6DC4" w14:textId="1699E85B" w:rsidR="008422E6" w:rsidRPr="00FF3A84" w:rsidRDefault="008422E6" w:rsidP="008422E6">
      <w:pPr>
        <w:pStyle w:val="ListBullet2"/>
      </w:pPr>
      <w:r>
        <w:t>i</w:t>
      </w:r>
      <w:r w:rsidRPr="00FF3A84">
        <w:t xml:space="preserve">nhibiting the appeal of alcohol — alcohol marketing and advertising has been found to induce young people to drink alcohol and engage in risky drinking </w:t>
      </w:r>
      <w:r w:rsidRPr="00FF3A84">
        <w:rPr>
          <w:szCs w:val="24"/>
        </w:rPr>
        <w:t>(Jernigan et al. 2017)</w:t>
      </w:r>
      <w:r>
        <w:t xml:space="preserve"> </w:t>
      </w:r>
      <w:r w:rsidRPr="00FF3A84">
        <w:t xml:space="preserve">and to encourage young people under the age of 18 to drink </w:t>
      </w:r>
      <w:r w:rsidRPr="00FF3A84">
        <w:rPr>
          <w:szCs w:val="24"/>
        </w:rPr>
        <w:t xml:space="preserve">(Sargent and </w:t>
      </w:r>
      <w:proofErr w:type="spellStart"/>
      <w:r w:rsidRPr="00FF3A84">
        <w:rPr>
          <w:szCs w:val="24"/>
        </w:rPr>
        <w:t>Babor</w:t>
      </w:r>
      <w:proofErr w:type="spellEnd"/>
      <w:r w:rsidRPr="00FF3A84">
        <w:rPr>
          <w:szCs w:val="24"/>
        </w:rPr>
        <w:t> 2020)</w:t>
      </w:r>
    </w:p>
    <w:p w14:paraId="6BC8A4EF" w14:textId="319B950E" w:rsidR="008422E6" w:rsidRDefault="008422E6" w:rsidP="008422E6">
      <w:pPr>
        <w:pStyle w:val="ListBullet2"/>
      </w:pPr>
      <w:r>
        <w:t>i</w:t>
      </w:r>
      <w:r w:rsidRPr="00FF3A84">
        <w:t xml:space="preserve">mproving people’s mental wellbeing — </w:t>
      </w:r>
      <w:r>
        <w:t>a</w:t>
      </w:r>
      <w:r w:rsidRPr="00FF3A84">
        <w:t>lcohol use disorders</w:t>
      </w:r>
      <w:r>
        <w:rPr>
          <w:rStyle w:val="FootnoteReference"/>
        </w:rPr>
        <w:footnoteReference w:id="6"/>
      </w:r>
      <w:r w:rsidRPr="00FF3A84">
        <w:t xml:space="preserve"> often co-occur with mental health disorders</w:t>
      </w:r>
      <w:r>
        <w:t xml:space="preserve"> </w:t>
      </w:r>
      <w:r w:rsidRPr="00A6692D">
        <w:rPr>
          <w:szCs w:val="24"/>
        </w:rPr>
        <w:t>(</w:t>
      </w:r>
      <w:proofErr w:type="spellStart"/>
      <w:r w:rsidRPr="00A6692D">
        <w:rPr>
          <w:szCs w:val="24"/>
        </w:rPr>
        <w:t>Freyer</w:t>
      </w:r>
      <w:proofErr w:type="spellEnd"/>
      <w:r w:rsidRPr="00A6692D">
        <w:rPr>
          <w:szCs w:val="24"/>
        </w:rPr>
        <w:t>, Morley and Haber 2016; Wood et al. 2020)</w:t>
      </w:r>
      <w:r>
        <w:t xml:space="preserve"> and </w:t>
      </w:r>
      <w:r>
        <w:lastRenderedPageBreak/>
        <w:t>p</w:t>
      </w:r>
      <w:r w:rsidRPr="003E0CEC">
        <w:t>eople who die by suicide have a higher risk of an alcohol-use disorder</w:t>
      </w:r>
      <w:r>
        <w:t xml:space="preserve"> at the time of death </w:t>
      </w:r>
      <w:r w:rsidRPr="00D803EE">
        <w:rPr>
          <w:szCs w:val="24"/>
        </w:rPr>
        <w:t xml:space="preserve">(Chong et al. 2020; </w:t>
      </w:r>
      <w:proofErr w:type="spellStart"/>
      <w:r w:rsidRPr="00D803EE">
        <w:rPr>
          <w:szCs w:val="24"/>
        </w:rPr>
        <w:t>Kolves</w:t>
      </w:r>
      <w:proofErr w:type="spellEnd"/>
      <w:r w:rsidRPr="00D803EE">
        <w:rPr>
          <w:szCs w:val="24"/>
        </w:rPr>
        <w:t xml:space="preserve"> et al. 2017)</w:t>
      </w:r>
      <w:r>
        <w:t xml:space="preserve">. Mental health programs to </w:t>
      </w:r>
      <w:r w:rsidRPr="00841075">
        <w:t>improv</w:t>
      </w:r>
      <w:r>
        <w:t>e</w:t>
      </w:r>
      <w:r w:rsidRPr="00841075">
        <w:t xml:space="preserve"> </w:t>
      </w:r>
      <w:r>
        <w:t>mental wellbeing may have a role in reducing alcohol consumption</w:t>
      </w:r>
    </w:p>
    <w:p w14:paraId="0B6C4F87" w14:textId="77777777" w:rsidR="008422E6" w:rsidRDefault="008422E6" w:rsidP="008422E6">
      <w:pPr>
        <w:pStyle w:val="ListBullet2"/>
      </w:pPr>
      <w:r>
        <w:t>engaging Aboriginal and Torres Strait Islander young people in education or employment through mentoring, sport or music programs provided by Aboriginal community controlled organisations may also reduce demand for alcohol and other drugs, however there is little research that provides evidence for this as an alcohol demand reduction strategy.</w:t>
      </w:r>
    </w:p>
    <w:p w14:paraId="55339455" w14:textId="7066FF22" w:rsidR="008422E6" w:rsidRDefault="008422E6" w:rsidP="008422E6">
      <w:pPr>
        <w:pStyle w:val="BodyText"/>
      </w:pPr>
      <w:r>
        <w:t xml:space="preserve">Culturally safe services or programs that are designed and </w:t>
      </w:r>
      <w:r w:rsidRPr="00553299">
        <w:t xml:space="preserve">implemented by Aboriginal and Torres Strait Islander people </w:t>
      </w:r>
      <w:r>
        <w:t>may</w:t>
      </w:r>
      <w:r w:rsidRPr="00553299">
        <w:t xml:space="preserve"> deliver better </w:t>
      </w:r>
      <w:r w:rsidRPr="00FF3A84">
        <w:t xml:space="preserve">outcomes in reducing risky alcohol </w:t>
      </w:r>
      <w:r>
        <w:t xml:space="preserve">consumption </w:t>
      </w:r>
      <w:r w:rsidRPr="00FF3A84">
        <w:t xml:space="preserve">levels </w:t>
      </w:r>
      <w:r w:rsidRPr="00CE6374">
        <w:rPr>
          <w:szCs w:val="24"/>
        </w:rPr>
        <w:t xml:space="preserve">(Cass 2019; Gray et al. 2018; Harrison et al. 2019; </w:t>
      </w:r>
      <w:proofErr w:type="spellStart"/>
      <w:r w:rsidRPr="00CE6374">
        <w:rPr>
          <w:szCs w:val="24"/>
        </w:rPr>
        <w:t>Shanthosh</w:t>
      </w:r>
      <w:proofErr w:type="spellEnd"/>
      <w:r w:rsidRPr="00CE6374">
        <w:rPr>
          <w:szCs w:val="24"/>
        </w:rPr>
        <w:t xml:space="preserve"> et al. 2018)</w:t>
      </w:r>
      <w:r w:rsidRPr="00FF3A84">
        <w:t>.</w:t>
      </w:r>
      <w:r>
        <w:t xml:space="preserve"> A global systematic review of Indigenous-led alcohol controls (including six Australian initiatives) concluded that these could be effective in improving health and social outcomes </w:t>
      </w:r>
      <w:r w:rsidRPr="00840041">
        <w:rPr>
          <w:szCs w:val="24"/>
        </w:rPr>
        <w:t>(</w:t>
      </w:r>
      <w:proofErr w:type="spellStart"/>
      <w:r w:rsidRPr="00840041">
        <w:rPr>
          <w:szCs w:val="24"/>
        </w:rPr>
        <w:t>Muhunthan</w:t>
      </w:r>
      <w:proofErr w:type="spellEnd"/>
      <w:r w:rsidRPr="00840041">
        <w:rPr>
          <w:szCs w:val="24"/>
        </w:rPr>
        <w:t xml:space="preserve"> et al. 2017)</w:t>
      </w:r>
      <w:r>
        <w:t xml:space="preserve">. On the flipside, there is evidence that for some communities the impact of government policies and programs aimed at reducing alcohol consumption have had unintended (and negative) consequences </w:t>
      </w:r>
      <w:r w:rsidRPr="00840041">
        <w:rPr>
          <w:szCs w:val="24"/>
        </w:rPr>
        <w:t>(</w:t>
      </w:r>
      <w:proofErr w:type="spellStart"/>
      <w:r w:rsidRPr="00840041">
        <w:rPr>
          <w:szCs w:val="24"/>
        </w:rPr>
        <w:t>d’Abbs</w:t>
      </w:r>
      <w:proofErr w:type="spellEnd"/>
      <w:r w:rsidRPr="00840041">
        <w:rPr>
          <w:szCs w:val="24"/>
        </w:rPr>
        <w:t xml:space="preserve">, </w:t>
      </w:r>
      <w:proofErr w:type="spellStart"/>
      <w:r w:rsidRPr="00840041">
        <w:rPr>
          <w:szCs w:val="24"/>
        </w:rPr>
        <w:t>Burlayn</w:t>
      </w:r>
      <w:proofErr w:type="spellEnd"/>
      <w:r w:rsidRPr="00840041">
        <w:rPr>
          <w:szCs w:val="24"/>
        </w:rPr>
        <w:t xml:space="preserve"> and </w:t>
      </w:r>
      <w:proofErr w:type="spellStart"/>
      <w:r w:rsidRPr="00840041">
        <w:rPr>
          <w:szCs w:val="24"/>
        </w:rPr>
        <w:t>Jamijin</w:t>
      </w:r>
      <w:proofErr w:type="spellEnd"/>
      <w:r w:rsidRPr="001C2096">
        <w:rPr>
          <w:szCs w:val="24"/>
        </w:rPr>
        <w:t> 2019; Robertson, Fitts and Clough 2017)</w:t>
      </w:r>
      <w:r>
        <w:t>.</w:t>
      </w:r>
    </w:p>
    <w:p w14:paraId="36CE53C0" w14:textId="77777777" w:rsidR="008422E6" w:rsidRPr="008B11E6" w:rsidRDefault="008422E6" w:rsidP="008422E6">
      <w:pPr>
        <w:pStyle w:val="Heading3"/>
        <w:jc w:val="both"/>
      </w:pPr>
      <w:r w:rsidRPr="00B85E9D">
        <w:t xml:space="preserve">Aboriginal and Torres Strait Islander people </w:t>
      </w:r>
      <w:r>
        <w:t>are</w:t>
      </w:r>
      <w:r w:rsidRPr="00FF1B7D">
        <w:t xml:space="preserve"> </w:t>
      </w:r>
      <w:r w:rsidRPr="0073463C">
        <w:t>overrepresented in hospitalisations</w:t>
      </w:r>
      <w:r w:rsidRPr="009D40CF">
        <w:t xml:space="preserve"> </w:t>
      </w:r>
      <w:r>
        <w:t xml:space="preserve">and deaths </w:t>
      </w:r>
      <w:r w:rsidRPr="00B85E9D">
        <w:t>from alcohol</w:t>
      </w:r>
      <w:r>
        <w:t>-</w:t>
      </w:r>
      <w:r w:rsidRPr="00B85E9D">
        <w:t xml:space="preserve">related </w:t>
      </w:r>
      <w:r w:rsidRPr="00FF1B7D">
        <w:t xml:space="preserve">conditions </w:t>
      </w:r>
    </w:p>
    <w:p w14:paraId="246FC28B" w14:textId="77777777" w:rsidR="008422E6" w:rsidRDefault="008422E6" w:rsidP="008422E6">
      <w:pPr>
        <w:pStyle w:val="BodyText"/>
      </w:pPr>
      <w:r>
        <w:t xml:space="preserve">In line with the higher proportion of </w:t>
      </w:r>
      <w:r w:rsidRPr="005F72FD">
        <w:t>Aboriginal and Torres Strait Islander</w:t>
      </w:r>
      <w:r>
        <w:t xml:space="preserve"> adults exceeding alcohol risk guidelines, </w:t>
      </w:r>
      <w:r w:rsidRPr="005F72FD">
        <w:t>Aboriginal and Torres Strait Islander</w:t>
      </w:r>
      <w:r>
        <w:t xml:space="preserve"> people are </w:t>
      </w:r>
      <w:r w:rsidRPr="00421044">
        <w:t>overrepresented in hospitalisations from alcohol</w:t>
      </w:r>
      <w:r>
        <w:t>-</w:t>
      </w:r>
      <w:r w:rsidRPr="00421044">
        <w:t>related conditions</w:t>
      </w:r>
      <w:r>
        <w:t>, though at considerably lower numbers. In 2016–2018, a</w:t>
      </w:r>
      <w:r w:rsidRPr="00E8789C">
        <w:t xml:space="preserve">fter adjusting for differences in population age structures, </w:t>
      </w:r>
      <w:r>
        <w:t>the rate of alcohol</w:t>
      </w:r>
      <w:r>
        <w:noBreakHyphen/>
        <w:t xml:space="preserve">related hospitalisations for </w:t>
      </w:r>
      <w:r w:rsidRPr="00E8789C">
        <w:t>Aboriginal and Torres Strait Islander</w:t>
      </w:r>
      <w:r>
        <w:t xml:space="preserve"> people was almost four times the rate for non</w:t>
      </w:r>
      <w:r>
        <w:noBreakHyphen/>
        <w:t>Indigenous people (table </w:t>
      </w:r>
      <w:proofErr w:type="spellStart"/>
      <w:r>
        <w:t>11A.1.18</w:t>
      </w:r>
      <w:proofErr w:type="spellEnd"/>
      <w:r>
        <w:t>).</w:t>
      </w:r>
      <w:r w:rsidRPr="00986B15">
        <w:t xml:space="preserve"> </w:t>
      </w:r>
      <w:r>
        <w:t xml:space="preserve">Putting this in context with those exceeding alcohol risk guidelines, the numbers of alcohol-related hospitalisations and deaths in 2016–2018 is less than 2 per cent of the number of people who exceeded the single occasion alcohol risk guidelines in 2018-19 (tables </w:t>
      </w:r>
      <w:proofErr w:type="spellStart"/>
      <w:r>
        <w:t>11A.1.19</w:t>
      </w:r>
      <w:proofErr w:type="spellEnd"/>
      <w:r>
        <w:t xml:space="preserve"> and </w:t>
      </w:r>
      <w:proofErr w:type="spellStart"/>
      <w:r>
        <w:t>11A.1.5</w:t>
      </w:r>
      <w:proofErr w:type="spellEnd"/>
      <w:r>
        <w:t>).</w:t>
      </w:r>
    </w:p>
    <w:p w14:paraId="6E872782" w14:textId="77777777" w:rsidR="008422E6" w:rsidRDefault="008422E6" w:rsidP="008422E6">
      <w:pPr>
        <w:pStyle w:val="BodyText"/>
      </w:pPr>
      <w:r>
        <w:t xml:space="preserve">The main component of the higher hospitalisation rates of </w:t>
      </w:r>
      <w:r w:rsidRPr="005F72FD">
        <w:t>Aboriginal and Torres Strait Islander</w:t>
      </w:r>
      <w:r>
        <w:t xml:space="preserve"> people from alcohol-related conditions is hospitalisations in remote areas for acute intoxication — in 2016–2018 this rate was almost twice the rate in 2010–2012, and is now 18 times the rate for equivalent non-Indigenous hospitalisations (table </w:t>
      </w:r>
      <w:proofErr w:type="spellStart"/>
      <w:r>
        <w:t>11A.1.19</w:t>
      </w:r>
      <w:proofErr w:type="spellEnd"/>
      <w:r>
        <w:t xml:space="preserve">). </w:t>
      </w:r>
    </w:p>
    <w:p w14:paraId="52039E56" w14:textId="38B2F89A" w:rsidR="008422E6" w:rsidRDefault="008422E6" w:rsidP="008422E6">
      <w:pPr>
        <w:pStyle w:val="BodyText"/>
      </w:pPr>
      <w:r w:rsidRPr="00471D9D">
        <w:t>Over the past 20 years, the age</w:t>
      </w:r>
      <w:r w:rsidRPr="00471D9D">
        <w:noBreakHyphen/>
        <w:t xml:space="preserve">standardised rate of Aboriginal and Torres Strait Islander deaths related to alcohol has decreased, though is still around four times the rate for equivalent non-Indigenous deaths (table </w:t>
      </w:r>
      <w:proofErr w:type="spellStart"/>
      <w:r w:rsidRPr="00471D9D">
        <w:t>11A.1.23</w:t>
      </w:r>
      <w:proofErr w:type="spellEnd"/>
      <w:r w:rsidRPr="00471D9D">
        <w:t xml:space="preserve">). Liver diseases leading to cirrhosis are among the most common contributor to the mortality gap between Indigenous and other Australian adults </w:t>
      </w:r>
      <w:r w:rsidRPr="00471D9D">
        <w:rPr>
          <w:szCs w:val="24"/>
        </w:rPr>
        <w:t>(Valery et al. 2020)</w:t>
      </w:r>
      <w:r w:rsidRPr="00471D9D">
        <w:t xml:space="preserve">. In 2014–2018, of the 467 deaths of Aboriginal and Torres Strait Islander people related to alcohol use, more than half were from alcoholic liver disease (table </w:t>
      </w:r>
      <w:proofErr w:type="spellStart"/>
      <w:r w:rsidRPr="00471D9D">
        <w:t>1</w:t>
      </w:r>
      <w:r>
        <w:t>1</w:t>
      </w:r>
      <w:r w:rsidRPr="00471D9D">
        <w:t>A.1.21</w:t>
      </w:r>
      <w:proofErr w:type="spellEnd"/>
      <w:r w:rsidRPr="00471D9D">
        <w:t xml:space="preserve">). However, a decrease in hospitalisations for alcoholic liver disease </w:t>
      </w:r>
      <w:r w:rsidRPr="00471D9D">
        <w:lastRenderedPageBreak/>
        <w:t>is occurring (from an age standardised rate of 100 to 67 per 100 000 population) (table </w:t>
      </w:r>
      <w:proofErr w:type="spellStart"/>
      <w:r w:rsidRPr="00471D9D">
        <w:t>11A.1.15</w:t>
      </w:r>
      <w:proofErr w:type="spellEnd"/>
      <w:r w:rsidRPr="00471D9D">
        <w:t>).</w:t>
      </w:r>
    </w:p>
    <w:p w14:paraId="6FDE29AC" w14:textId="229B84AF" w:rsidR="008422E6" w:rsidRDefault="008422E6" w:rsidP="008422E6">
      <w:pPr>
        <w:pStyle w:val="BodyText"/>
      </w:pPr>
      <w:r>
        <w:t xml:space="preserve">People with alcohol use disorders tend to wait until significant harm to their health has occurred before they seek help, and Aboriginal and Torres Strait Islander people experience barriers which further delay the help they need, including racism, and a lack of culturally appropriate services and resources </w:t>
      </w:r>
      <w:r w:rsidRPr="00B12684">
        <w:rPr>
          <w:szCs w:val="24"/>
        </w:rPr>
        <w:t>(Islam et al. 2018)</w:t>
      </w:r>
      <w:r>
        <w:t>. This may mean that Aboriginal and Torres Strait Islander people are more likely to be hospitalised when their needs could have originally been met by a primary and community health service.</w:t>
      </w:r>
    </w:p>
    <w:p w14:paraId="38F1A2EC" w14:textId="77777777" w:rsidR="008422E6" w:rsidRPr="00D054CB" w:rsidRDefault="008422E6" w:rsidP="008422E6">
      <w:pPr>
        <w:pStyle w:val="Heading3"/>
      </w:pPr>
      <w:r w:rsidRPr="00D054CB">
        <w:t xml:space="preserve">Alcohol </w:t>
      </w:r>
      <w:r>
        <w:t xml:space="preserve">appears to be a contributing factor to </w:t>
      </w:r>
      <w:r w:rsidRPr="00D054CB">
        <w:t>homicides</w:t>
      </w:r>
      <w:r>
        <w:t xml:space="preserve"> involving </w:t>
      </w:r>
      <w:r w:rsidRPr="001015E8">
        <w:t xml:space="preserve">Aboriginal and Torres Strait Islander </w:t>
      </w:r>
      <w:r>
        <w:t xml:space="preserve">people as victim and offender </w:t>
      </w:r>
    </w:p>
    <w:p w14:paraId="2903FFE4" w14:textId="77777777" w:rsidR="008422E6" w:rsidRDefault="008422E6" w:rsidP="008422E6">
      <w:pPr>
        <w:pStyle w:val="BodyText"/>
      </w:pPr>
      <w:r>
        <w:t>Nationally i</w:t>
      </w:r>
      <w:r w:rsidRPr="001015E8">
        <w:t>n 201</w:t>
      </w:r>
      <w:r>
        <w:t>7</w:t>
      </w:r>
      <w:r w:rsidRPr="001015E8">
        <w:noBreakHyphen/>
        <w:t>1</w:t>
      </w:r>
      <w:r>
        <w:t>8</w:t>
      </w:r>
      <w:r w:rsidRPr="001015E8">
        <w:t xml:space="preserve">, there were </w:t>
      </w:r>
      <w:r>
        <w:t>196</w:t>
      </w:r>
      <w:r w:rsidRPr="001015E8">
        <w:t xml:space="preserve"> homicide incidents</w:t>
      </w:r>
      <w:r>
        <w:t xml:space="preserve"> resulting in 202 victims of homicide</w:t>
      </w:r>
      <w:r w:rsidRPr="001015E8">
        <w:t xml:space="preserve"> (section 4.12</w:t>
      </w:r>
      <w:r>
        <w:t xml:space="preserve"> </w:t>
      </w:r>
      <w:r w:rsidRPr="000257D6">
        <w:rPr>
          <w:i/>
        </w:rPr>
        <w:t>Family and community violence</w:t>
      </w:r>
      <w:r w:rsidRPr="001015E8">
        <w:t xml:space="preserve">, </w:t>
      </w:r>
      <w:r w:rsidRPr="001A7774">
        <w:t>tables </w:t>
      </w:r>
      <w:proofErr w:type="spellStart"/>
      <w:r w:rsidRPr="001A7774">
        <w:t>4A.12.24</w:t>
      </w:r>
      <w:proofErr w:type="spellEnd"/>
      <w:r w:rsidRPr="001A7774">
        <w:t xml:space="preserve"> and </w:t>
      </w:r>
      <w:proofErr w:type="spellStart"/>
      <w:r w:rsidRPr="001A7774">
        <w:t>4A.12.26</w:t>
      </w:r>
      <w:proofErr w:type="spellEnd"/>
      <w:r w:rsidRPr="001A7774">
        <w:t>),</w:t>
      </w:r>
      <w:r>
        <w:t xml:space="preserve"> of which </w:t>
      </w:r>
      <w:r w:rsidRPr="001015E8">
        <w:t xml:space="preserve">the Indigenous status of victims and offenders were known in </w:t>
      </w:r>
      <w:r>
        <w:t>167</w:t>
      </w:r>
      <w:r w:rsidRPr="001015E8">
        <w:t xml:space="preserve"> incidents. Among these</w:t>
      </w:r>
      <w:r>
        <w:t xml:space="preserve"> 167 incidents</w:t>
      </w:r>
      <w:r w:rsidRPr="001015E8">
        <w:t xml:space="preserve">, </w:t>
      </w:r>
      <w:r>
        <w:t>20</w:t>
      </w:r>
      <w:r w:rsidRPr="001015E8">
        <w:t xml:space="preserve"> involved Aboriginal and Torres Strait Islander </w:t>
      </w:r>
      <w:r>
        <w:t>people</w:t>
      </w:r>
      <w:r w:rsidRPr="001015E8">
        <w:t xml:space="preserve"> as both victims and offenders. </w:t>
      </w:r>
      <w:r w:rsidRPr="00471D9D">
        <w:t>In 11 of these incidents (55 per cent), both the victim and offender had consumed alcohol at the time of the offence. In comparison, of the 135 homicide incidents involving only non</w:t>
      </w:r>
      <w:r w:rsidRPr="00471D9D">
        <w:noBreakHyphen/>
        <w:t>Indigenous victims and offenders, 22 (16 per cent) involved both the victim and offender consuming alcohol (table </w:t>
      </w:r>
      <w:proofErr w:type="spellStart"/>
      <w:r w:rsidRPr="00471D9D">
        <w:t>11A.1.24</w:t>
      </w:r>
      <w:proofErr w:type="spellEnd"/>
      <w:r w:rsidRPr="00471D9D">
        <w:t>).</w:t>
      </w:r>
    </w:p>
    <w:p w14:paraId="197CA499" w14:textId="77777777" w:rsidR="008422E6" w:rsidRDefault="008422E6" w:rsidP="008422E6">
      <w:pPr>
        <w:pStyle w:val="Heading3"/>
      </w:pPr>
      <w:r w:rsidRPr="00762680">
        <w:t>Future directions in data</w:t>
      </w:r>
    </w:p>
    <w:p w14:paraId="5DC34218" w14:textId="77777777" w:rsidR="008422E6" w:rsidRDefault="008422E6" w:rsidP="008422E6">
      <w:pPr>
        <w:pStyle w:val="BodyText"/>
      </w:pPr>
      <w:r>
        <w:t xml:space="preserve">The </w:t>
      </w:r>
      <w:proofErr w:type="spellStart"/>
      <w:r>
        <w:t>NHMRC</w:t>
      </w:r>
      <w:proofErr w:type="spellEnd"/>
      <w:r>
        <w:t xml:space="preserve"> guidelines on which the indicator for alcohol consumption and harm is based are currently being reviewed. The draft guideline recommendations differ from the 2009 </w:t>
      </w:r>
      <w:proofErr w:type="spellStart"/>
      <w:r>
        <w:t>NHMRC</w:t>
      </w:r>
      <w:proofErr w:type="spellEnd"/>
      <w:r>
        <w:t xml:space="preserve"> guidelines and, if implemented, this will alter the comparability of historical data. </w:t>
      </w:r>
    </w:p>
    <w:p w14:paraId="26CB7B9F" w14:textId="4221425D" w:rsidR="008422E6" w:rsidRDefault="008422E6" w:rsidP="008422E6">
      <w:pPr>
        <w:pStyle w:val="BodyText"/>
      </w:pPr>
      <w:r w:rsidRPr="00D054CB">
        <w:t xml:space="preserve">Data on </w:t>
      </w:r>
      <w:r>
        <w:t>alcohol use</w:t>
      </w:r>
      <w:r w:rsidRPr="00D054CB">
        <w:t xml:space="preserve"> are derived from surveys which are limited by sampling, survey administration and questionnaire design and may underestimate actual consumption </w:t>
      </w:r>
      <w:r>
        <w:rPr>
          <w:szCs w:val="24"/>
        </w:rPr>
        <w:t>(Gray </w:t>
      </w:r>
      <w:r w:rsidRPr="00C16887">
        <w:rPr>
          <w:szCs w:val="24"/>
        </w:rPr>
        <w:t>and Wilkes 2010; Lee et al. 2014)</w:t>
      </w:r>
      <w:r w:rsidRPr="00D054CB">
        <w:t>. Results of previous ABS surveys and administrative data collections on use of alcohol and illegal drugs suggest a tendency for respondents to underreport actua</w:t>
      </w:r>
      <w:r>
        <w:t xml:space="preserve">l consumption levels </w:t>
      </w:r>
      <w:r w:rsidRPr="009D401C">
        <w:rPr>
          <w:szCs w:val="24"/>
        </w:rPr>
        <w:t>(ABS 2016)</w:t>
      </w:r>
      <w:r>
        <w:t xml:space="preserve">, and whilst </w:t>
      </w:r>
      <w:r w:rsidRPr="00D054CB">
        <w:t>national surveys may provide a broad indication of the prevalence</w:t>
      </w:r>
      <w:r>
        <w:t xml:space="preserve"> of alcohol use</w:t>
      </w:r>
      <w:r w:rsidRPr="00D054CB">
        <w:t xml:space="preserve">, any significant regional variation is concealed. Reliable population estimates of </w:t>
      </w:r>
      <w:r>
        <w:t>alcohol</w:t>
      </w:r>
      <w:r w:rsidRPr="00D054CB">
        <w:t xml:space="preserve"> use are fundamental to inform funding and the design of initiatives to prevent and treat harmful use </w:t>
      </w:r>
      <w:r w:rsidRPr="009D401C">
        <w:rPr>
          <w:szCs w:val="24"/>
        </w:rPr>
        <w:t>(Lee et al. 2014)</w:t>
      </w:r>
      <w:r w:rsidRPr="00D054CB">
        <w:t>.</w:t>
      </w:r>
    </w:p>
    <w:p w14:paraId="675241A0" w14:textId="77777777" w:rsidR="008422E6" w:rsidRDefault="008422E6" w:rsidP="008422E6">
      <w:pPr>
        <w:pStyle w:val="BodyText"/>
      </w:pPr>
    </w:p>
    <w:p w14:paraId="59AC802C" w14:textId="77777777" w:rsidR="008422E6" w:rsidRDefault="008422E6" w:rsidP="008422E6">
      <w:pPr>
        <w:pStyle w:val="Heading3"/>
      </w:pPr>
      <w:r>
        <w:lastRenderedPageBreak/>
        <w:t>References</w:t>
      </w:r>
    </w:p>
    <w:p w14:paraId="6077B9BD" w14:textId="73763A1B" w:rsidR="0034535B" w:rsidRPr="00502861" w:rsidRDefault="0034535B" w:rsidP="0034535B">
      <w:pPr>
        <w:pStyle w:val="Reference"/>
        <w:rPr>
          <w:sz w:val="20"/>
        </w:rPr>
      </w:pPr>
      <w:proofErr w:type="spellStart"/>
      <w:r w:rsidRPr="00502861">
        <w:rPr>
          <w:sz w:val="20"/>
        </w:rPr>
        <w:t>d’Abbs</w:t>
      </w:r>
      <w:proofErr w:type="spellEnd"/>
      <w:r w:rsidRPr="00502861">
        <w:rPr>
          <w:sz w:val="20"/>
        </w:rPr>
        <w:t xml:space="preserve">, P., </w:t>
      </w:r>
      <w:proofErr w:type="spellStart"/>
      <w:r w:rsidRPr="00502861">
        <w:rPr>
          <w:sz w:val="20"/>
        </w:rPr>
        <w:t>Burlayn</w:t>
      </w:r>
      <w:proofErr w:type="spellEnd"/>
      <w:r w:rsidRPr="00502861">
        <w:rPr>
          <w:sz w:val="20"/>
        </w:rPr>
        <w:t xml:space="preserve"> and </w:t>
      </w:r>
      <w:proofErr w:type="spellStart"/>
      <w:r w:rsidRPr="00502861">
        <w:rPr>
          <w:sz w:val="20"/>
        </w:rPr>
        <w:t>Jamijin</w:t>
      </w:r>
      <w:proofErr w:type="spellEnd"/>
      <w:r w:rsidRPr="00502861">
        <w:rPr>
          <w:sz w:val="20"/>
        </w:rPr>
        <w:t xml:space="preserve"> 2019, ‘Aboriginal alcohol policy and practice in Australia: A case study of unintended consequences’, </w:t>
      </w:r>
      <w:r w:rsidRPr="00502861">
        <w:rPr>
          <w:i/>
          <w:iCs/>
          <w:sz w:val="20"/>
        </w:rPr>
        <w:t>International Journal of Drug Policy</w:t>
      </w:r>
      <w:r w:rsidRPr="00502861">
        <w:rPr>
          <w:sz w:val="20"/>
        </w:rPr>
        <w:t>, vol. 66, pp. 9–14.</w:t>
      </w:r>
    </w:p>
    <w:p w14:paraId="6C1D7F05" w14:textId="77777777" w:rsidR="0034535B" w:rsidRPr="00502861" w:rsidRDefault="0034535B" w:rsidP="0034535B">
      <w:pPr>
        <w:pStyle w:val="Reference"/>
        <w:rPr>
          <w:sz w:val="20"/>
        </w:rPr>
      </w:pPr>
      <w:proofErr w:type="spellStart"/>
      <w:r w:rsidRPr="00502861">
        <w:rPr>
          <w:sz w:val="20"/>
        </w:rPr>
        <w:t>d’Abbs</w:t>
      </w:r>
      <w:proofErr w:type="spellEnd"/>
      <w:r w:rsidRPr="00502861">
        <w:rPr>
          <w:sz w:val="20"/>
        </w:rPr>
        <w:t xml:space="preserve">, P. and </w:t>
      </w:r>
      <w:proofErr w:type="spellStart"/>
      <w:r w:rsidRPr="00502861">
        <w:rPr>
          <w:sz w:val="20"/>
        </w:rPr>
        <w:t>Crundall</w:t>
      </w:r>
      <w:proofErr w:type="spellEnd"/>
      <w:r w:rsidRPr="00502861">
        <w:rPr>
          <w:sz w:val="20"/>
        </w:rPr>
        <w:t xml:space="preserve">, I. 2019, ‘Do individual liquor permit systems help Indigenous communities to manage alcohol?’, </w:t>
      </w:r>
      <w:r w:rsidRPr="00502861">
        <w:rPr>
          <w:i/>
          <w:iCs/>
          <w:sz w:val="20"/>
        </w:rPr>
        <w:t>Drug and Alcohol Review</w:t>
      </w:r>
      <w:r w:rsidRPr="00502861">
        <w:rPr>
          <w:sz w:val="20"/>
        </w:rPr>
        <w:t>, vol. 38, no. 7, pp. 766–773.</w:t>
      </w:r>
    </w:p>
    <w:p w14:paraId="429ECA38" w14:textId="77777777" w:rsidR="0034535B" w:rsidRPr="00502861" w:rsidRDefault="0034535B" w:rsidP="0034535B">
      <w:pPr>
        <w:pStyle w:val="Reference"/>
        <w:rPr>
          <w:sz w:val="20"/>
        </w:rPr>
      </w:pPr>
      <w:r w:rsidRPr="00502861">
        <w:rPr>
          <w:sz w:val="20"/>
        </w:rPr>
        <w:t xml:space="preserve">ABS (Australian Bureau of Statistics) 2016, </w:t>
      </w:r>
      <w:r w:rsidRPr="00502861">
        <w:rPr>
          <w:i/>
          <w:iCs/>
          <w:sz w:val="20"/>
        </w:rPr>
        <w:t>National Aboriginal and Torres Strait Islander Social Survey, 2014-15</w:t>
      </w:r>
      <w:r w:rsidRPr="00502861">
        <w:rPr>
          <w:sz w:val="20"/>
        </w:rPr>
        <w:t>, Cat. no. 4714.0, Canberra.</w:t>
      </w:r>
    </w:p>
    <w:p w14:paraId="60C0934B" w14:textId="77777777" w:rsidR="0034535B" w:rsidRPr="00502861" w:rsidRDefault="0034535B" w:rsidP="0034535B">
      <w:pPr>
        <w:pStyle w:val="Reference"/>
        <w:rPr>
          <w:sz w:val="20"/>
        </w:rPr>
      </w:pPr>
      <w:r w:rsidRPr="00502861">
        <w:rPr>
          <w:sz w:val="20"/>
        </w:rPr>
        <w:t xml:space="preserve">AIHW (Australian Institute of Health and Welfare) 2020, </w:t>
      </w:r>
      <w:r w:rsidRPr="00502861">
        <w:rPr>
          <w:i/>
          <w:iCs/>
          <w:sz w:val="20"/>
        </w:rPr>
        <w:t>National Drug Strategy Household Survey 2019</w:t>
      </w:r>
      <w:r w:rsidRPr="00502861">
        <w:rPr>
          <w:sz w:val="20"/>
        </w:rPr>
        <w:t xml:space="preserve">, Drug Statistics Series no. 32, </w:t>
      </w:r>
      <w:proofErr w:type="spellStart"/>
      <w:r w:rsidRPr="00502861">
        <w:rPr>
          <w:sz w:val="20"/>
        </w:rPr>
        <w:t>PHE</w:t>
      </w:r>
      <w:proofErr w:type="spellEnd"/>
      <w:r w:rsidRPr="00502861">
        <w:rPr>
          <w:sz w:val="20"/>
        </w:rPr>
        <w:t xml:space="preserve"> 270, Canberra.</w:t>
      </w:r>
    </w:p>
    <w:p w14:paraId="56DF92FD" w14:textId="77777777" w:rsidR="0034535B" w:rsidRPr="00502861" w:rsidRDefault="0034535B" w:rsidP="0034535B">
      <w:pPr>
        <w:pStyle w:val="Reference"/>
        <w:rPr>
          <w:sz w:val="20"/>
        </w:rPr>
      </w:pPr>
      <w:proofErr w:type="spellStart"/>
      <w:r w:rsidRPr="00502861">
        <w:rPr>
          <w:sz w:val="20"/>
        </w:rPr>
        <w:t>Callinan</w:t>
      </w:r>
      <w:proofErr w:type="spellEnd"/>
      <w:r w:rsidRPr="00502861">
        <w:rPr>
          <w:sz w:val="20"/>
        </w:rPr>
        <w:t xml:space="preserve">, S. and Livingstone, M. 2019, ‘Australian drinkers who harm others: A snapshot’, in </w:t>
      </w:r>
      <w:proofErr w:type="spellStart"/>
      <w:r w:rsidRPr="00502861">
        <w:rPr>
          <w:sz w:val="20"/>
        </w:rPr>
        <w:t>Laslett</w:t>
      </w:r>
      <w:proofErr w:type="spellEnd"/>
      <w:r w:rsidRPr="00502861">
        <w:rPr>
          <w:sz w:val="20"/>
        </w:rPr>
        <w:t xml:space="preserve">, A., Room, R., </w:t>
      </w:r>
      <w:proofErr w:type="spellStart"/>
      <w:r w:rsidRPr="00502861">
        <w:rPr>
          <w:sz w:val="20"/>
        </w:rPr>
        <w:t>Waleewong</w:t>
      </w:r>
      <w:proofErr w:type="spellEnd"/>
      <w:r w:rsidRPr="00502861">
        <w:rPr>
          <w:sz w:val="20"/>
        </w:rPr>
        <w:t xml:space="preserve">, O., </w:t>
      </w:r>
      <w:proofErr w:type="spellStart"/>
      <w:r w:rsidRPr="00502861">
        <w:rPr>
          <w:sz w:val="20"/>
        </w:rPr>
        <w:t>Stanesby</w:t>
      </w:r>
      <w:proofErr w:type="spellEnd"/>
      <w:r w:rsidRPr="00502861">
        <w:rPr>
          <w:sz w:val="20"/>
        </w:rPr>
        <w:t xml:space="preserve">, O. and </w:t>
      </w:r>
      <w:proofErr w:type="spellStart"/>
      <w:r w:rsidRPr="00502861">
        <w:rPr>
          <w:sz w:val="20"/>
        </w:rPr>
        <w:t>Callinan</w:t>
      </w:r>
      <w:proofErr w:type="spellEnd"/>
      <w:r w:rsidRPr="00502861">
        <w:rPr>
          <w:sz w:val="20"/>
        </w:rPr>
        <w:t xml:space="preserve">, S. (eds), </w:t>
      </w:r>
      <w:r w:rsidRPr="00502861">
        <w:rPr>
          <w:i/>
          <w:iCs/>
          <w:sz w:val="20"/>
        </w:rPr>
        <w:t>Harm to Others from Drinking: Patterns in Nine Societies</w:t>
      </w:r>
      <w:r w:rsidRPr="00502861">
        <w:rPr>
          <w:sz w:val="20"/>
        </w:rPr>
        <w:t>, World Health Organization, Geneva.</w:t>
      </w:r>
    </w:p>
    <w:p w14:paraId="5A16DF95" w14:textId="77777777" w:rsidR="0034535B" w:rsidRPr="00502861" w:rsidRDefault="0034535B" w:rsidP="0034535B">
      <w:pPr>
        <w:pStyle w:val="Reference"/>
        <w:rPr>
          <w:sz w:val="20"/>
        </w:rPr>
      </w:pPr>
      <w:r w:rsidRPr="00502861">
        <w:rPr>
          <w:sz w:val="20"/>
        </w:rPr>
        <w:t xml:space="preserve">Cass, M. 2019, </w:t>
      </w:r>
      <w:r w:rsidRPr="00502861">
        <w:rPr>
          <w:i/>
          <w:iCs/>
          <w:sz w:val="20"/>
        </w:rPr>
        <w:t>2018 Evaluation of the Aboriginal Drug and Alcohol Council’s Makin’ Tracks Program</w:t>
      </w:r>
      <w:r w:rsidRPr="00502861">
        <w:rPr>
          <w:sz w:val="20"/>
        </w:rPr>
        <w:t>, National Drug Research Institute, Curtin University, Perth, WA.</w:t>
      </w:r>
    </w:p>
    <w:p w14:paraId="3A8C31A5" w14:textId="77777777" w:rsidR="0034535B" w:rsidRPr="00502861" w:rsidRDefault="0034535B" w:rsidP="0034535B">
      <w:pPr>
        <w:pStyle w:val="Reference"/>
        <w:rPr>
          <w:sz w:val="20"/>
        </w:rPr>
      </w:pPr>
      <w:r w:rsidRPr="00502861">
        <w:rPr>
          <w:sz w:val="20"/>
        </w:rPr>
        <w:t xml:space="preserve">Chong, D., Buckley, N., Schumann, J. and Chitty, K. 2020, ‘Acute alcohol use in Australian coronial suicide cases, 2010–2015’, </w:t>
      </w:r>
      <w:r w:rsidRPr="00502861">
        <w:rPr>
          <w:i/>
          <w:iCs/>
          <w:sz w:val="20"/>
        </w:rPr>
        <w:t>Drug and Alcohol Dependence</w:t>
      </w:r>
      <w:r w:rsidRPr="00502861">
        <w:rPr>
          <w:sz w:val="20"/>
        </w:rPr>
        <w:t>.</w:t>
      </w:r>
    </w:p>
    <w:p w14:paraId="2F594A9A" w14:textId="77777777" w:rsidR="0034535B" w:rsidRPr="00502861" w:rsidRDefault="0034535B" w:rsidP="0034535B">
      <w:pPr>
        <w:pStyle w:val="Reference"/>
        <w:rPr>
          <w:sz w:val="20"/>
        </w:rPr>
      </w:pPr>
      <w:r w:rsidRPr="00502861">
        <w:rPr>
          <w:sz w:val="20"/>
        </w:rPr>
        <w:t xml:space="preserve">Commonwealth of Australia 2019, </w:t>
      </w:r>
      <w:r w:rsidRPr="00502861">
        <w:rPr>
          <w:i/>
          <w:iCs/>
          <w:sz w:val="20"/>
        </w:rPr>
        <w:t>National Alcohol Strategy 2019–2028</w:t>
      </w:r>
      <w:r w:rsidRPr="00502861">
        <w:rPr>
          <w:sz w:val="20"/>
        </w:rPr>
        <w:t>, Department of Health, Canberra.</w:t>
      </w:r>
    </w:p>
    <w:p w14:paraId="0F8FD09D" w14:textId="77777777" w:rsidR="0034535B" w:rsidRPr="00502861" w:rsidRDefault="0034535B" w:rsidP="0034535B">
      <w:pPr>
        <w:pStyle w:val="Reference"/>
        <w:rPr>
          <w:sz w:val="20"/>
        </w:rPr>
      </w:pPr>
      <w:r w:rsidRPr="00502861">
        <w:rPr>
          <w:sz w:val="20"/>
        </w:rPr>
        <w:t xml:space="preserve">Fitzpatrick, J.P., Elliott, </w:t>
      </w:r>
      <w:proofErr w:type="spellStart"/>
      <w:r w:rsidRPr="00502861">
        <w:rPr>
          <w:sz w:val="20"/>
        </w:rPr>
        <w:t>E.J</w:t>
      </w:r>
      <w:proofErr w:type="spellEnd"/>
      <w:r w:rsidRPr="00502861">
        <w:rPr>
          <w:sz w:val="20"/>
        </w:rPr>
        <w:t xml:space="preserve">., Latimer, J., Carter, M., Oscar, J., Ferreira, M., Olson, H.C., Lucas, B., </w:t>
      </w:r>
      <w:proofErr w:type="spellStart"/>
      <w:r w:rsidRPr="00502861">
        <w:rPr>
          <w:sz w:val="20"/>
        </w:rPr>
        <w:t>Doney</w:t>
      </w:r>
      <w:proofErr w:type="spellEnd"/>
      <w:r w:rsidRPr="00502861">
        <w:rPr>
          <w:sz w:val="20"/>
        </w:rPr>
        <w:t xml:space="preserve">, R., Salter, C., </w:t>
      </w:r>
      <w:proofErr w:type="spellStart"/>
      <w:r w:rsidRPr="00502861">
        <w:rPr>
          <w:sz w:val="20"/>
        </w:rPr>
        <w:t>Peadon</w:t>
      </w:r>
      <w:proofErr w:type="spellEnd"/>
      <w:r w:rsidRPr="00502861">
        <w:rPr>
          <w:sz w:val="20"/>
        </w:rPr>
        <w:t xml:space="preserve">, E., Hawkes, G. and Hand, M. 2012, ‘The </w:t>
      </w:r>
      <w:proofErr w:type="spellStart"/>
      <w:r w:rsidRPr="00502861">
        <w:rPr>
          <w:sz w:val="20"/>
        </w:rPr>
        <w:t>Lililwan</w:t>
      </w:r>
      <w:proofErr w:type="spellEnd"/>
      <w:r w:rsidRPr="00502861">
        <w:rPr>
          <w:sz w:val="20"/>
        </w:rPr>
        <w:t xml:space="preserve"> Project: Study Protocol for a Population-based Active Case Ascertainment Study of the Prevalence of Fetal Alcohol Spectrum Disorders in Remote Australian Aboriginal Communities’, </w:t>
      </w:r>
      <w:proofErr w:type="spellStart"/>
      <w:r w:rsidRPr="00502861">
        <w:rPr>
          <w:i/>
          <w:iCs/>
          <w:sz w:val="20"/>
        </w:rPr>
        <w:t>BMJ</w:t>
      </w:r>
      <w:proofErr w:type="spellEnd"/>
      <w:r w:rsidRPr="00502861">
        <w:rPr>
          <w:i/>
          <w:iCs/>
          <w:sz w:val="20"/>
        </w:rPr>
        <w:t xml:space="preserve"> Open</w:t>
      </w:r>
      <w:r w:rsidRPr="00502861">
        <w:rPr>
          <w:sz w:val="20"/>
        </w:rPr>
        <w:t>, vol. 2, no. 3.</w:t>
      </w:r>
    </w:p>
    <w:p w14:paraId="1B42C245" w14:textId="77777777" w:rsidR="0034535B" w:rsidRPr="00502861" w:rsidRDefault="0034535B" w:rsidP="0034535B">
      <w:pPr>
        <w:pStyle w:val="Reference"/>
        <w:rPr>
          <w:sz w:val="20"/>
        </w:rPr>
      </w:pPr>
      <w:proofErr w:type="spellStart"/>
      <w:r w:rsidRPr="00502861">
        <w:rPr>
          <w:sz w:val="20"/>
        </w:rPr>
        <w:t>Freyer</w:t>
      </w:r>
      <w:proofErr w:type="spellEnd"/>
      <w:r w:rsidRPr="00502861">
        <w:rPr>
          <w:sz w:val="20"/>
        </w:rPr>
        <w:t xml:space="preserve">, C., Morley, K. and Haber, P. 2016, ‘Alcohol use disorders in Australia’, </w:t>
      </w:r>
      <w:r w:rsidRPr="00502861">
        <w:rPr>
          <w:i/>
          <w:iCs/>
          <w:sz w:val="20"/>
        </w:rPr>
        <w:t>Internal Medicine Journal</w:t>
      </w:r>
      <w:r w:rsidRPr="00502861">
        <w:rPr>
          <w:sz w:val="20"/>
        </w:rPr>
        <w:t>, vol. 46, no. 11, pp. 1259–1268.</w:t>
      </w:r>
    </w:p>
    <w:p w14:paraId="6B23A37C" w14:textId="77777777" w:rsidR="0034535B" w:rsidRPr="00502861" w:rsidRDefault="0034535B" w:rsidP="0034535B">
      <w:pPr>
        <w:pStyle w:val="Reference"/>
        <w:rPr>
          <w:sz w:val="20"/>
        </w:rPr>
      </w:pPr>
      <w:r w:rsidRPr="00502861">
        <w:rPr>
          <w:sz w:val="20"/>
        </w:rPr>
        <w:t xml:space="preserve">Gao, C., </w:t>
      </w:r>
      <w:proofErr w:type="spellStart"/>
      <w:r w:rsidRPr="00502861">
        <w:rPr>
          <w:sz w:val="20"/>
        </w:rPr>
        <w:t>Ogeil</w:t>
      </w:r>
      <w:proofErr w:type="spellEnd"/>
      <w:r w:rsidRPr="00502861">
        <w:rPr>
          <w:sz w:val="20"/>
        </w:rPr>
        <w:t xml:space="preserve">, R.P. and Lloyd, B. 2014, </w:t>
      </w:r>
      <w:r w:rsidRPr="00502861">
        <w:rPr>
          <w:i/>
          <w:iCs/>
          <w:sz w:val="20"/>
        </w:rPr>
        <w:t>Alcohol’s Burden of Disease in Australia</w:t>
      </w:r>
      <w:r w:rsidRPr="00502861">
        <w:rPr>
          <w:sz w:val="20"/>
        </w:rPr>
        <w:t>, Foundation for Alcohol Research and Education; VicHealth; Turning Point, Canberra.</w:t>
      </w:r>
    </w:p>
    <w:p w14:paraId="5143C4C1" w14:textId="77777777" w:rsidR="0034535B" w:rsidRPr="00502861" w:rsidRDefault="0034535B" w:rsidP="0034535B">
      <w:pPr>
        <w:pStyle w:val="Reference"/>
        <w:rPr>
          <w:sz w:val="20"/>
        </w:rPr>
      </w:pPr>
      <w:r w:rsidRPr="00502861">
        <w:rPr>
          <w:sz w:val="20"/>
        </w:rPr>
        <w:t xml:space="preserve">Gray, D., Cartwright, K., </w:t>
      </w:r>
      <w:proofErr w:type="spellStart"/>
      <w:r w:rsidRPr="00502861">
        <w:rPr>
          <w:sz w:val="20"/>
        </w:rPr>
        <w:t>Stearne</w:t>
      </w:r>
      <w:proofErr w:type="spellEnd"/>
      <w:r w:rsidRPr="00502861">
        <w:rPr>
          <w:sz w:val="20"/>
        </w:rPr>
        <w:t xml:space="preserve">, A., </w:t>
      </w:r>
      <w:proofErr w:type="spellStart"/>
      <w:r w:rsidRPr="00502861">
        <w:rPr>
          <w:sz w:val="20"/>
        </w:rPr>
        <w:t>Saggers</w:t>
      </w:r>
      <w:proofErr w:type="spellEnd"/>
      <w:r w:rsidRPr="00502861">
        <w:rPr>
          <w:sz w:val="20"/>
        </w:rPr>
        <w:t xml:space="preserve">, S., Wilkes, E. and Wilson, M. 2018, </w:t>
      </w:r>
      <w:r w:rsidRPr="00502861">
        <w:rPr>
          <w:i/>
          <w:iCs/>
          <w:sz w:val="20"/>
        </w:rPr>
        <w:t>Review of the Harmful Use of Alcohol Among Aboriginal and Torres Strait Islander People</w:t>
      </w:r>
      <w:r w:rsidRPr="00502861">
        <w:rPr>
          <w:sz w:val="20"/>
        </w:rPr>
        <w:t xml:space="preserve">, Australian Indigenous </w:t>
      </w:r>
      <w:proofErr w:type="spellStart"/>
      <w:r w:rsidRPr="00502861">
        <w:rPr>
          <w:sz w:val="20"/>
        </w:rPr>
        <w:t>HealthInfoNet</w:t>
      </w:r>
      <w:proofErr w:type="spellEnd"/>
      <w:r w:rsidRPr="00502861">
        <w:rPr>
          <w:sz w:val="20"/>
        </w:rPr>
        <w:t>.</w:t>
      </w:r>
    </w:p>
    <w:p w14:paraId="2FE011EE" w14:textId="77777777" w:rsidR="0034535B" w:rsidRPr="00502861" w:rsidRDefault="0034535B" w:rsidP="0034535B">
      <w:pPr>
        <w:pStyle w:val="Reference"/>
        <w:rPr>
          <w:sz w:val="20"/>
        </w:rPr>
      </w:pPr>
      <w:r w:rsidRPr="00502861">
        <w:rPr>
          <w:sz w:val="20"/>
        </w:rPr>
        <w:t xml:space="preserve">—— and Wilkes, E. 2010, </w:t>
      </w:r>
      <w:r w:rsidRPr="00502861">
        <w:rPr>
          <w:i/>
          <w:iCs/>
          <w:sz w:val="20"/>
        </w:rPr>
        <w:t>Reducing Alcohol and Other Drug Related Harm</w:t>
      </w:r>
      <w:r w:rsidRPr="00502861">
        <w:rPr>
          <w:sz w:val="20"/>
        </w:rPr>
        <w:t>, 3, Closing the Gap Clearinghouse, AIHW and AIFS.</w:t>
      </w:r>
    </w:p>
    <w:p w14:paraId="421CADEE" w14:textId="77777777" w:rsidR="0034535B" w:rsidRPr="00502861" w:rsidRDefault="0034535B" w:rsidP="0034535B">
      <w:pPr>
        <w:pStyle w:val="Reference"/>
        <w:rPr>
          <w:sz w:val="20"/>
        </w:rPr>
      </w:pPr>
      <w:r w:rsidRPr="00502861">
        <w:rPr>
          <w:sz w:val="20"/>
        </w:rPr>
        <w:t xml:space="preserve">Harrison, </w:t>
      </w:r>
      <w:proofErr w:type="spellStart"/>
      <w:r w:rsidRPr="00502861">
        <w:rPr>
          <w:sz w:val="20"/>
        </w:rPr>
        <w:t>K.H</w:t>
      </w:r>
      <w:proofErr w:type="spellEnd"/>
      <w:r w:rsidRPr="00502861">
        <w:rPr>
          <w:sz w:val="20"/>
        </w:rPr>
        <w:t xml:space="preserve">., Lee, K.K., Dobbins, T., Wilson, S., Hayman, N., </w:t>
      </w:r>
      <w:proofErr w:type="spellStart"/>
      <w:r w:rsidRPr="00502861">
        <w:rPr>
          <w:sz w:val="20"/>
        </w:rPr>
        <w:t>Ivers</w:t>
      </w:r>
      <w:proofErr w:type="spellEnd"/>
      <w:r w:rsidRPr="00502861">
        <w:rPr>
          <w:sz w:val="20"/>
        </w:rPr>
        <w:t xml:space="preserve">, R., Haber, P.S., Conigrave, J.H., Johnson, D., </w:t>
      </w:r>
      <w:proofErr w:type="spellStart"/>
      <w:r w:rsidRPr="00502861">
        <w:rPr>
          <w:sz w:val="20"/>
        </w:rPr>
        <w:t>Hummerston</w:t>
      </w:r>
      <w:proofErr w:type="spellEnd"/>
      <w:r w:rsidRPr="00502861">
        <w:rPr>
          <w:sz w:val="20"/>
        </w:rPr>
        <w:t xml:space="preserve">, B., Gray, D. and Conigrave, K. 2019, ‘Supporting Aboriginal Community Controlled Health Services to deliver alcohol care: Protocol for a cluster randomised controlled trial’, </w:t>
      </w:r>
      <w:r w:rsidRPr="00502861">
        <w:rPr>
          <w:i/>
          <w:iCs/>
          <w:sz w:val="20"/>
        </w:rPr>
        <w:t>British Medical Journal Open</w:t>
      </w:r>
      <w:r w:rsidRPr="00502861">
        <w:rPr>
          <w:sz w:val="20"/>
        </w:rPr>
        <w:t>, vol. 9, no. 11.</w:t>
      </w:r>
    </w:p>
    <w:p w14:paraId="61494E76" w14:textId="77777777" w:rsidR="0034535B" w:rsidRPr="00502861" w:rsidRDefault="0034535B" w:rsidP="0034535B">
      <w:pPr>
        <w:pStyle w:val="Reference"/>
        <w:rPr>
          <w:sz w:val="20"/>
        </w:rPr>
      </w:pPr>
      <w:r w:rsidRPr="00502861">
        <w:rPr>
          <w:sz w:val="20"/>
        </w:rPr>
        <w:t xml:space="preserve">Islam, M.M., Oni, H.T., Lee, </w:t>
      </w:r>
      <w:proofErr w:type="spellStart"/>
      <w:r w:rsidRPr="00502861">
        <w:rPr>
          <w:sz w:val="20"/>
        </w:rPr>
        <w:t>K.S.K</w:t>
      </w:r>
      <w:proofErr w:type="spellEnd"/>
      <w:r w:rsidRPr="00502861">
        <w:rPr>
          <w:sz w:val="20"/>
        </w:rPr>
        <w:t xml:space="preserve">., Hayman, N., Wilson, S., Harrison, K., </w:t>
      </w:r>
      <w:proofErr w:type="spellStart"/>
      <w:r w:rsidRPr="00502861">
        <w:rPr>
          <w:sz w:val="20"/>
        </w:rPr>
        <w:t>Hummerston</w:t>
      </w:r>
      <w:proofErr w:type="spellEnd"/>
      <w:r w:rsidRPr="00502861">
        <w:rPr>
          <w:sz w:val="20"/>
        </w:rPr>
        <w:t xml:space="preserve">, B., </w:t>
      </w:r>
      <w:proofErr w:type="spellStart"/>
      <w:r w:rsidRPr="00502861">
        <w:rPr>
          <w:sz w:val="20"/>
        </w:rPr>
        <w:t>Ivers</w:t>
      </w:r>
      <w:proofErr w:type="spellEnd"/>
      <w:r w:rsidRPr="00502861">
        <w:rPr>
          <w:sz w:val="20"/>
        </w:rPr>
        <w:t xml:space="preserve">, R. and Conigrave, </w:t>
      </w:r>
      <w:proofErr w:type="spellStart"/>
      <w:r w:rsidRPr="00502861">
        <w:rPr>
          <w:sz w:val="20"/>
        </w:rPr>
        <w:t>K.M</w:t>
      </w:r>
      <w:proofErr w:type="spellEnd"/>
      <w:r w:rsidRPr="00502861">
        <w:rPr>
          <w:sz w:val="20"/>
        </w:rPr>
        <w:t xml:space="preserve">. 2018, ‘Standardised alcohol screening in primary health care services targeting Aboriginal and Torres Strait Islander peoples in Australia’, </w:t>
      </w:r>
      <w:r w:rsidRPr="00502861">
        <w:rPr>
          <w:i/>
          <w:iCs/>
          <w:sz w:val="20"/>
        </w:rPr>
        <w:t>Addiction Science &amp; Clinical Practice</w:t>
      </w:r>
      <w:r w:rsidRPr="00502861">
        <w:rPr>
          <w:sz w:val="20"/>
        </w:rPr>
        <w:t>, vol. 13, no. 1, p. 5.</w:t>
      </w:r>
    </w:p>
    <w:p w14:paraId="5453FE40" w14:textId="77777777" w:rsidR="0034535B" w:rsidRPr="00502861" w:rsidRDefault="0034535B" w:rsidP="0034535B">
      <w:pPr>
        <w:pStyle w:val="Reference"/>
        <w:rPr>
          <w:sz w:val="20"/>
        </w:rPr>
      </w:pPr>
      <w:r w:rsidRPr="00502861">
        <w:rPr>
          <w:sz w:val="20"/>
        </w:rPr>
        <w:lastRenderedPageBreak/>
        <w:t xml:space="preserve">Jernigan, D., Noel, J., Landon, J., Thornton, N. and </w:t>
      </w:r>
      <w:proofErr w:type="spellStart"/>
      <w:r w:rsidRPr="00502861">
        <w:rPr>
          <w:sz w:val="20"/>
        </w:rPr>
        <w:t>Lobstein</w:t>
      </w:r>
      <w:proofErr w:type="spellEnd"/>
      <w:r w:rsidRPr="00502861">
        <w:rPr>
          <w:sz w:val="20"/>
        </w:rPr>
        <w:t xml:space="preserve">, T. 2017, ‘Alcohol marketing and youth alcohol consumption: a systematic review of longitudinal studies published since 2008’, </w:t>
      </w:r>
      <w:r w:rsidRPr="00502861">
        <w:rPr>
          <w:i/>
          <w:iCs/>
          <w:sz w:val="20"/>
        </w:rPr>
        <w:t>Addiction</w:t>
      </w:r>
      <w:r w:rsidRPr="00502861">
        <w:rPr>
          <w:sz w:val="20"/>
        </w:rPr>
        <w:t>, vol. 112, no. </w:t>
      </w:r>
      <w:proofErr w:type="spellStart"/>
      <w:r w:rsidRPr="00502861">
        <w:rPr>
          <w:sz w:val="20"/>
        </w:rPr>
        <w:t>S1</w:t>
      </w:r>
      <w:proofErr w:type="spellEnd"/>
      <w:r w:rsidRPr="00502861">
        <w:rPr>
          <w:sz w:val="20"/>
        </w:rPr>
        <w:t>, pp. 7–20.</w:t>
      </w:r>
    </w:p>
    <w:p w14:paraId="354DC0FB" w14:textId="77777777" w:rsidR="0034535B" w:rsidRPr="00502861" w:rsidRDefault="0034535B" w:rsidP="0034535B">
      <w:pPr>
        <w:pStyle w:val="Reference"/>
        <w:rPr>
          <w:sz w:val="20"/>
        </w:rPr>
      </w:pPr>
      <w:proofErr w:type="spellStart"/>
      <w:r w:rsidRPr="00502861">
        <w:rPr>
          <w:sz w:val="20"/>
        </w:rPr>
        <w:t>Kolves</w:t>
      </w:r>
      <w:proofErr w:type="spellEnd"/>
      <w:r w:rsidRPr="00502861">
        <w:rPr>
          <w:sz w:val="20"/>
        </w:rPr>
        <w:t xml:space="preserve">, K., Draper, B., Snowdon, J. and De Leo, D. 2017, ‘Alcohol-use disorders and suicide: Results from a psychological autopsy study in Australia’, </w:t>
      </w:r>
      <w:r w:rsidRPr="00502861">
        <w:rPr>
          <w:i/>
          <w:iCs/>
          <w:sz w:val="20"/>
        </w:rPr>
        <w:t>Alcohol</w:t>
      </w:r>
      <w:r w:rsidRPr="00502861">
        <w:rPr>
          <w:sz w:val="20"/>
        </w:rPr>
        <w:t>, vol. 64, pp. 29–35.</w:t>
      </w:r>
    </w:p>
    <w:p w14:paraId="02F12DF6" w14:textId="77777777" w:rsidR="0034535B" w:rsidRPr="00502861" w:rsidRDefault="0034535B" w:rsidP="0034535B">
      <w:pPr>
        <w:pStyle w:val="Reference"/>
        <w:rPr>
          <w:sz w:val="20"/>
        </w:rPr>
      </w:pPr>
      <w:r w:rsidRPr="00502861">
        <w:rPr>
          <w:sz w:val="20"/>
        </w:rPr>
        <w:t xml:space="preserve">Lee, K., </w:t>
      </w:r>
      <w:proofErr w:type="spellStart"/>
      <w:r w:rsidRPr="00502861">
        <w:rPr>
          <w:sz w:val="20"/>
        </w:rPr>
        <w:t>Chikritzhs</w:t>
      </w:r>
      <w:proofErr w:type="spellEnd"/>
      <w:r w:rsidRPr="00502861">
        <w:rPr>
          <w:sz w:val="20"/>
        </w:rPr>
        <w:t xml:space="preserve">, T., Wilson, S., Wilkes, E., Gray, D., Room, R. and Conigrave, K. 2014, ‘Better methods to collect self-reported alcohol and other drug use data from Aboriginal and Torres Strait Islander Australians’, </w:t>
      </w:r>
      <w:r w:rsidRPr="00502861">
        <w:rPr>
          <w:i/>
          <w:iCs/>
          <w:sz w:val="20"/>
        </w:rPr>
        <w:t>Drug and Alcohol Review</w:t>
      </w:r>
      <w:r w:rsidRPr="00502861">
        <w:rPr>
          <w:sz w:val="20"/>
        </w:rPr>
        <w:t>, vol. 33, no. 5, pp. 466–472.</w:t>
      </w:r>
    </w:p>
    <w:p w14:paraId="797CE27F" w14:textId="77777777" w:rsidR="0034535B" w:rsidRPr="00502861" w:rsidRDefault="0034535B" w:rsidP="0034535B">
      <w:pPr>
        <w:pStyle w:val="Reference"/>
        <w:rPr>
          <w:sz w:val="20"/>
        </w:rPr>
      </w:pPr>
      <w:proofErr w:type="spellStart"/>
      <w:r w:rsidRPr="00502861">
        <w:rPr>
          <w:sz w:val="20"/>
        </w:rPr>
        <w:t>Muhunthan</w:t>
      </w:r>
      <w:proofErr w:type="spellEnd"/>
      <w:r w:rsidRPr="00502861">
        <w:rPr>
          <w:sz w:val="20"/>
        </w:rPr>
        <w:t xml:space="preserve">, J., Angell, B., Hackett, M., Wilson, A., Latimer, J., </w:t>
      </w:r>
      <w:proofErr w:type="spellStart"/>
      <w:r w:rsidRPr="00502861">
        <w:rPr>
          <w:sz w:val="20"/>
        </w:rPr>
        <w:t>Eades</w:t>
      </w:r>
      <w:proofErr w:type="spellEnd"/>
      <w:r w:rsidRPr="00502861">
        <w:rPr>
          <w:sz w:val="20"/>
        </w:rPr>
        <w:t xml:space="preserve">, A.-M. and Jan, S. 2017, ‘Global systematic review of Indigenous community-led legal interventions to control alcohol’, </w:t>
      </w:r>
      <w:r w:rsidRPr="00502861">
        <w:rPr>
          <w:i/>
          <w:iCs/>
          <w:sz w:val="20"/>
        </w:rPr>
        <w:t>British Medical Journal Open</w:t>
      </w:r>
      <w:r w:rsidRPr="00502861">
        <w:rPr>
          <w:sz w:val="20"/>
        </w:rPr>
        <w:t>, vol. 7, no. 3.</w:t>
      </w:r>
    </w:p>
    <w:p w14:paraId="470A21D1" w14:textId="77777777" w:rsidR="0034535B" w:rsidRPr="00502861" w:rsidRDefault="0034535B" w:rsidP="0034535B">
      <w:pPr>
        <w:pStyle w:val="Reference"/>
        <w:rPr>
          <w:sz w:val="20"/>
        </w:rPr>
      </w:pPr>
      <w:proofErr w:type="spellStart"/>
      <w:r w:rsidRPr="00502861">
        <w:rPr>
          <w:sz w:val="20"/>
        </w:rPr>
        <w:t>NHMRC</w:t>
      </w:r>
      <w:proofErr w:type="spellEnd"/>
      <w:r w:rsidRPr="00502861">
        <w:rPr>
          <w:sz w:val="20"/>
        </w:rPr>
        <w:t xml:space="preserve"> (National Health and Medical Research Council) 2019, </w:t>
      </w:r>
      <w:r w:rsidRPr="00502861">
        <w:rPr>
          <w:i/>
          <w:iCs/>
          <w:sz w:val="20"/>
        </w:rPr>
        <w:t>Draft Australian Guidelines to Reduce Health Risks from Drinking Alcohol</w:t>
      </w:r>
      <w:r w:rsidRPr="00502861">
        <w:rPr>
          <w:sz w:val="20"/>
        </w:rPr>
        <w:t xml:space="preserve">, </w:t>
      </w:r>
      <w:proofErr w:type="spellStart"/>
      <w:r w:rsidRPr="00502861">
        <w:rPr>
          <w:sz w:val="20"/>
        </w:rPr>
        <w:t>NHMRC</w:t>
      </w:r>
      <w:proofErr w:type="spellEnd"/>
      <w:r w:rsidRPr="00502861">
        <w:rPr>
          <w:sz w:val="20"/>
        </w:rPr>
        <w:t>, Canberra.</w:t>
      </w:r>
    </w:p>
    <w:p w14:paraId="6AC02D42" w14:textId="77777777" w:rsidR="0034535B" w:rsidRPr="00502861" w:rsidRDefault="0034535B" w:rsidP="0034535B">
      <w:pPr>
        <w:pStyle w:val="Reference"/>
        <w:rPr>
          <w:sz w:val="20"/>
        </w:rPr>
      </w:pPr>
      <w:r w:rsidRPr="00502861">
        <w:rPr>
          <w:sz w:val="20"/>
        </w:rPr>
        <w:t xml:space="preserve">Robertson, J.A., Fitts, M.S. and Clough, A.R. 2017, ‘Unintended impacts of alcohol restrictions on alcohol and other drug use in Indigenous communities in Queensland (Australia)’, </w:t>
      </w:r>
      <w:r w:rsidRPr="00502861">
        <w:rPr>
          <w:i/>
          <w:iCs/>
          <w:sz w:val="20"/>
        </w:rPr>
        <w:t>International Journal of Drug Policy</w:t>
      </w:r>
      <w:r w:rsidRPr="00502861">
        <w:rPr>
          <w:sz w:val="20"/>
        </w:rPr>
        <w:t>, vol. 41, pp. 34–40.</w:t>
      </w:r>
    </w:p>
    <w:p w14:paraId="6995311D" w14:textId="77777777" w:rsidR="0034535B" w:rsidRPr="00502861" w:rsidRDefault="0034535B" w:rsidP="0034535B">
      <w:pPr>
        <w:pStyle w:val="Reference"/>
        <w:rPr>
          <w:sz w:val="20"/>
        </w:rPr>
      </w:pPr>
      <w:r w:rsidRPr="00502861">
        <w:rPr>
          <w:sz w:val="20"/>
        </w:rPr>
        <w:t xml:space="preserve">Sargent, J.D. and </w:t>
      </w:r>
      <w:proofErr w:type="spellStart"/>
      <w:r w:rsidRPr="00502861">
        <w:rPr>
          <w:sz w:val="20"/>
        </w:rPr>
        <w:t>Babor</w:t>
      </w:r>
      <w:proofErr w:type="spellEnd"/>
      <w:r w:rsidRPr="00502861">
        <w:rPr>
          <w:sz w:val="20"/>
        </w:rPr>
        <w:t xml:space="preserve">, T.F. 2020, ‘The relationship between exposure to alcohol marketing and underage drinking Is causal’, </w:t>
      </w:r>
      <w:r w:rsidRPr="00502861">
        <w:rPr>
          <w:i/>
          <w:iCs/>
          <w:sz w:val="20"/>
        </w:rPr>
        <w:t>Journal of Studies on Alcohol and Drugs, Supplement</w:t>
      </w:r>
      <w:r w:rsidRPr="00502861">
        <w:rPr>
          <w:sz w:val="20"/>
        </w:rPr>
        <w:t>, no. </w:t>
      </w:r>
      <w:proofErr w:type="spellStart"/>
      <w:r w:rsidRPr="00502861">
        <w:rPr>
          <w:sz w:val="20"/>
        </w:rPr>
        <w:t>s19</w:t>
      </w:r>
      <w:proofErr w:type="spellEnd"/>
      <w:r w:rsidRPr="00502861">
        <w:rPr>
          <w:sz w:val="20"/>
        </w:rPr>
        <w:t>, pp. 113–124.</w:t>
      </w:r>
    </w:p>
    <w:p w14:paraId="1B8A1435" w14:textId="77777777" w:rsidR="0034535B" w:rsidRPr="00502861" w:rsidRDefault="0034535B" w:rsidP="0034535B">
      <w:pPr>
        <w:pStyle w:val="Reference"/>
        <w:rPr>
          <w:sz w:val="20"/>
        </w:rPr>
      </w:pPr>
      <w:proofErr w:type="spellStart"/>
      <w:r w:rsidRPr="00502861">
        <w:rPr>
          <w:sz w:val="20"/>
        </w:rPr>
        <w:t>Shanthosh</w:t>
      </w:r>
      <w:proofErr w:type="spellEnd"/>
      <w:r w:rsidRPr="00502861">
        <w:rPr>
          <w:sz w:val="20"/>
        </w:rPr>
        <w:t xml:space="preserve">, J., Angell, B., Wilson, A., Latimer, J., Hackett, </w:t>
      </w:r>
      <w:proofErr w:type="spellStart"/>
      <w:r w:rsidRPr="00502861">
        <w:rPr>
          <w:sz w:val="20"/>
        </w:rPr>
        <w:t>M.L</w:t>
      </w:r>
      <w:proofErr w:type="spellEnd"/>
      <w:r w:rsidRPr="00502861">
        <w:rPr>
          <w:sz w:val="20"/>
        </w:rPr>
        <w:t xml:space="preserve">., </w:t>
      </w:r>
      <w:proofErr w:type="spellStart"/>
      <w:r w:rsidRPr="00502861">
        <w:rPr>
          <w:sz w:val="20"/>
        </w:rPr>
        <w:t>Eades</w:t>
      </w:r>
      <w:proofErr w:type="spellEnd"/>
      <w:r w:rsidRPr="00502861">
        <w:rPr>
          <w:sz w:val="20"/>
        </w:rPr>
        <w:t xml:space="preserve">, A.-M. and Jan, S. 2018, ‘Generating sustainable collective action: Models of community control and governance of alcohol supply in Indigenous minority populations’, </w:t>
      </w:r>
      <w:r w:rsidRPr="00502861">
        <w:rPr>
          <w:i/>
          <w:iCs/>
          <w:sz w:val="20"/>
        </w:rPr>
        <w:t>International Journal of Drug Policy</w:t>
      </w:r>
      <w:r w:rsidRPr="00502861">
        <w:rPr>
          <w:sz w:val="20"/>
        </w:rPr>
        <w:t>, vol. 62, pp. 78–85.</w:t>
      </w:r>
    </w:p>
    <w:p w14:paraId="1B35F399" w14:textId="77777777" w:rsidR="0034535B" w:rsidRPr="00502861" w:rsidRDefault="0034535B" w:rsidP="0034535B">
      <w:pPr>
        <w:pStyle w:val="Reference"/>
        <w:rPr>
          <w:sz w:val="20"/>
        </w:rPr>
      </w:pPr>
      <w:r w:rsidRPr="00502861">
        <w:rPr>
          <w:sz w:val="20"/>
        </w:rPr>
        <w:t xml:space="preserve">Smith, K., Langton, M., </w:t>
      </w:r>
      <w:proofErr w:type="spellStart"/>
      <w:r w:rsidRPr="00502861">
        <w:rPr>
          <w:sz w:val="20"/>
        </w:rPr>
        <w:t>Chenhall</w:t>
      </w:r>
      <w:proofErr w:type="spellEnd"/>
      <w:r w:rsidRPr="00502861">
        <w:rPr>
          <w:sz w:val="20"/>
        </w:rPr>
        <w:t xml:space="preserve">, R., Smith, P. and </w:t>
      </w:r>
      <w:proofErr w:type="spellStart"/>
      <w:r w:rsidRPr="00502861">
        <w:rPr>
          <w:sz w:val="20"/>
        </w:rPr>
        <w:t>Bawden</w:t>
      </w:r>
      <w:proofErr w:type="spellEnd"/>
      <w:r w:rsidRPr="00502861">
        <w:rPr>
          <w:sz w:val="20"/>
        </w:rPr>
        <w:t xml:space="preserve">, S. 2019, </w:t>
      </w:r>
      <w:r w:rsidRPr="00502861">
        <w:rPr>
          <w:i/>
          <w:iCs/>
          <w:sz w:val="20"/>
        </w:rPr>
        <w:t xml:space="preserve">The Alcohol Management Plan at </w:t>
      </w:r>
      <w:proofErr w:type="spellStart"/>
      <w:r w:rsidRPr="00502861">
        <w:rPr>
          <w:i/>
          <w:iCs/>
          <w:sz w:val="20"/>
        </w:rPr>
        <w:t>Pormpuraaw</w:t>
      </w:r>
      <w:proofErr w:type="spellEnd"/>
      <w:r w:rsidRPr="00502861">
        <w:rPr>
          <w:i/>
          <w:iCs/>
          <w:sz w:val="20"/>
        </w:rPr>
        <w:t>, Queensland, Australia: An Ethnographic Community-based Study</w:t>
      </w:r>
      <w:r w:rsidRPr="00502861">
        <w:rPr>
          <w:sz w:val="20"/>
        </w:rPr>
        <w:t>, Foundation for Alcohol Research and Education.</w:t>
      </w:r>
    </w:p>
    <w:p w14:paraId="7FCEECDA" w14:textId="77777777" w:rsidR="0034535B" w:rsidRPr="00502861" w:rsidRDefault="0034535B" w:rsidP="0034535B">
      <w:pPr>
        <w:pStyle w:val="Reference"/>
        <w:rPr>
          <w:sz w:val="20"/>
        </w:rPr>
      </w:pPr>
      <w:proofErr w:type="spellStart"/>
      <w:r w:rsidRPr="00502861">
        <w:rPr>
          <w:sz w:val="20"/>
        </w:rPr>
        <w:t>Snijder</w:t>
      </w:r>
      <w:proofErr w:type="spellEnd"/>
      <w:r w:rsidRPr="00502861">
        <w:rPr>
          <w:sz w:val="20"/>
        </w:rPr>
        <w:t xml:space="preserve">, M., Calabria, B., Dobbins, T. and </w:t>
      </w:r>
      <w:proofErr w:type="spellStart"/>
      <w:r w:rsidRPr="00502861">
        <w:rPr>
          <w:sz w:val="20"/>
        </w:rPr>
        <w:t>Shakeshaft</w:t>
      </w:r>
      <w:proofErr w:type="spellEnd"/>
      <w:r w:rsidRPr="00502861">
        <w:rPr>
          <w:sz w:val="20"/>
        </w:rPr>
        <w:t xml:space="preserve">, A. 2020, ‘Factors associated with alcohol-related injuries for Aboriginal and non-Aboriginal Australians: An observational study’, </w:t>
      </w:r>
      <w:r w:rsidRPr="00502861">
        <w:rPr>
          <w:i/>
          <w:iCs/>
          <w:sz w:val="20"/>
        </w:rPr>
        <w:t>International Journal of Environmental Research and Public Health</w:t>
      </w:r>
      <w:r w:rsidRPr="00502861">
        <w:rPr>
          <w:sz w:val="20"/>
        </w:rPr>
        <w:t>, vol. 17, no. 2, p. 387.</w:t>
      </w:r>
    </w:p>
    <w:p w14:paraId="406150D8" w14:textId="77777777" w:rsidR="0034535B" w:rsidRPr="00502861" w:rsidRDefault="0034535B" w:rsidP="0034535B">
      <w:pPr>
        <w:pStyle w:val="Reference"/>
        <w:rPr>
          <w:sz w:val="20"/>
        </w:rPr>
      </w:pPr>
      <w:r w:rsidRPr="00502861">
        <w:rPr>
          <w:sz w:val="20"/>
        </w:rPr>
        <w:t xml:space="preserve">Valery, P., Clark, P., Pratt, G., </w:t>
      </w:r>
      <w:proofErr w:type="spellStart"/>
      <w:r w:rsidRPr="00502861">
        <w:rPr>
          <w:sz w:val="20"/>
        </w:rPr>
        <w:t>Bernardes</w:t>
      </w:r>
      <w:proofErr w:type="spellEnd"/>
      <w:r w:rsidRPr="00502861">
        <w:rPr>
          <w:sz w:val="20"/>
        </w:rPr>
        <w:t xml:space="preserve">, C., </w:t>
      </w:r>
      <w:proofErr w:type="spellStart"/>
      <w:r w:rsidRPr="00502861">
        <w:rPr>
          <w:sz w:val="20"/>
        </w:rPr>
        <w:t>Hartel</w:t>
      </w:r>
      <w:proofErr w:type="spellEnd"/>
      <w:r w:rsidRPr="00502861">
        <w:rPr>
          <w:sz w:val="20"/>
        </w:rPr>
        <w:t xml:space="preserve">, G., </w:t>
      </w:r>
      <w:proofErr w:type="spellStart"/>
      <w:r w:rsidRPr="00502861">
        <w:rPr>
          <w:sz w:val="20"/>
        </w:rPr>
        <w:t>Toombs</w:t>
      </w:r>
      <w:proofErr w:type="spellEnd"/>
      <w:r w:rsidRPr="00502861">
        <w:rPr>
          <w:sz w:val="20"/>
        </w:rPr>
        <w:t xml:space="preserve">, M., Irvine, K. and Powell, E. 2020, ‘Hospitalisation for cirrhosis in Australia: Disparities in presentation and outcomes for Indigenous Australians’, </w:t>
      </w:r>
      <w:r w:rsidRPr="00502861">
        <w:rPr>
          <w:i/>
          <w:iCs/>
          <w:sz w:val="20"/>
        </w:rPr>
        <w:t>International Journal for Equity in Health</w:t>
      </w:r>
      <w:r w:rsidRPr="00502861">
        <w:rPr>
          <w:sz w:val="20"/>
        </w:rPr>
        <w:t>, vol. 19, no. 27.</w:t>
      </w:r>
    </w:p>
    <w:p w14:paraId="70674CCD" w14:textId="77777777" w:rsidR="0034535B" w:rsidRPr="00502861" w:rsidRDefault="0034535B" w:rsidP="0034535B">
      <w:pPr>
        <w:pStyle w:val="Reference"/>
      </w:pPr>
      <w:r w:rsidRPr="00502861">
        <w:rPr>
          <w:sz w:val="20"/>
        </w:rPr>
        <w:t xml:space="preserve">Wood, L., Hickey, J., Werner, M., Davies, A. and Stafford, A. 2020, ‘“If you have mental health, alcohol and drug use issues you often fall through the cracks of the health system”: Tackling this challenge through a novel dual diagnosis outreach service for people experiencing homelessness’, </w:t>
      </w:r>
      <w:r w:rsidRPr="00502861">
        <w:rPr>
          <w:i/>
          <w:iCs/>
          <w:sz w:val="20"/>
        </w:rPr>
        <w:t>Parity</w:t>
      </w:r>
      <w:r w:rsidRPr="00502861">
        <w:rPr>
          <w:sz w:val="20"/>
        </w:rPr>
        <w:t>, vol. 33, no. 2.</w:t>
      </w:r>
    </w:p>
    <w:p w14:paraId="45FA489D" w14:textId="667A0DF4" w:rsidR="0034535B" w:rsidRPr="008351C0" w:rsidRDefault="0034535B" w:rsidP="0034535B">
      <w:pPr>
        <w:pStyle w:val="Reference"/>
      </w:pPr>
    </w:p>
    <w:p w14:paraId="391ED987" w14:textId="7F1470A0" w:rsidR="008422E6" w:rsidRPr="008422E6" w:rsidRDefault="008422E6" w:rsidP="008422E6">
      <w:pPr>
        <w:pStyle w:val="Reference"/>
      </w:pPr>
    </w:p>
    <w:p w14:paraId="026778DA" w14:textId="106F7EC7" w:rsidR="008422E6" w:rsidRDefault="008422E6">
      <w:pPr>
        <w:rPr>
          <w:szCs w:val="20"/>
        </w:rPr>
      </w:pPr>
      <w:r>
        <w:br w:type="page"/>
      </w:r>
    </w:p>
    <w:p w14:paraId="4EF0DE78" w14:textId="77777777" w:rsidR="008422E6" w:rsidRPr="00F53DE9" w:rsidRDefault="008422E6" w:rsidP="008422E6">
      <w:pPr>
        <w:pStyle w:val="Heading2"/>
      </w:pPr>
      <w:r w:rsidRPr="00F53DE9">
        <w:lastRenderedPageBreak/>
        <w:t>11.2</w:t>
      </w:r>
      <w:r w:rsidRPr="00F53DE9">
        <w:tab/>
        <w:t>Drug and other substance use and harm</w:t>
      </w:r>
      <w:r w:rsidRPr="0034535B">
        <w:rPr>
          <w:rStyle w:val="FootnoteReference"/>
          <w:rFonts w:ascii="Arial" w:hAnsi="Arial" w:cs="Arial"/>
        </w:rPr>
        <w:footnoteReference w:id="7"/>
      </w:r>
    </w:p>
    <w:p w14:paraId="09937BE3" w14:textId="77777777" w:rsidR="008422E6" w:rsidRDefault="008422E6" w:rsidP="008422E6">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422E6" w14:paraId="1538E560" w14:textId="77777777" w:rsidTr="00F53DE9">
        <w:tc>
          <w:tcPr>
            <w:tcW w:w="5000" w:type="pct"/>
            <w:tcBorders>
              <w:top w:val="single" w:sz="6" w:space="0" w:color="78A22F"/>
              <w:left w:val="nil"/>
              <w:bottom w:val="nil"/>
              <w:right w:val="nil"/>
            </w:tcBorders>
            <w:shd w:val="clear" w:color="auto" w:fill="F2F2F2"/>
          </w:tcPr>
          <w:p w14:paraId="7A046238" w14:textId="1F25D446" w:rsidR="008422E6" w:rsidRDefault="008422E6" w:rsidP="00F53DE9">
            <w:pPr>
              <w:pStyle w:val="BoxTitle"/>
            </w:pPr>
            <w:r>
              <w:rPr>
                <w:b w:val="0"/>
              </w:rPr>
              <w:t>Box 11.2.</w:t>
            </w:r>
            <w:r>
              <w:rPr>
                <w:b w:val="0"/>
                <w:noProof/>
              </w:rPr>
              <w:t>1</w:t>
            </w:r>
            <w:r>
              <w:tab/>
              <w:t>Key messages</w:t>
            </w:r>
          </w:p>
        </w:tc>
      </w:tr>
      <w:tr w:rsidR="008422E6" w14:paraId="25A6F1E5" w14:textId="77777777" w:rsidTr="00F53DE9">
        <w:tc>
          <w:tcPr>
            <w:tcW w:w="5000" w:type="pct"/>
            <w:tcBorders>
              <w:top w:val="nil"/>
              <w:left w:val="nil"/>
              <w:bottom w:val="nil"/>
              <w:right w:val="nil"/>
            </w:tcBorders>
            <w:shd w:val="clear" w:color="auto" w:fill="F2F2F2"/>
          </w:tcPr>
          <w:p w14:paraId="42C43E0F" w14:textId="77777777" w:rsidR="008422E6" w:rsidRPr="000B1434" w:rsidRDefault="008422E6" w:rsidP="00F53DE9">
            <w:pPr>
              <w:pStyle w:val="BoxListBullet"/>
            </w:pPr>
            <w:r w:rsidRPr="000B1434">
              <w:t xml:space="preserve">Misuse of legal and illegal </w:t>
            </w:r>
            <w:r>
              <w:t>substances</w:t>
            </w:r>
            <w:r w:rsidRPr="000B1434">
              <w:t xml:space="preserve"> can negatively affect the lives of individuals, families and communities. </w:t>
            </w:r>
            <w:r>
              <w:t>U</w:t>
            </w:r>
            <w:r w:rsidRPr="000B1434">
              <w:t>sers are more susceptible to illness and accident, and injecting drug users who share needles are at a greater risk of blood</w:t>
            </w:r>
            <w:r>
              <w:rPr>
                <w:rFonts w:ascii="Times New Roman" w:hAnsi="Times New Roman"/>
              </w:rPr>
              <w:t>‑</w:t>
            </w:r>
            <w:r w:rsidRPr="000B1434">
              <w:t>borne diseases.</w:t>
            </w:r>
          </w:p>
          <w:p w14:paraId="7D8DA966" w14:textId="77777777" w:rsidR="008422E6" w:rsidRPr="000B1434" w:rsidRDefault="008422E6" w:rsidP="00F53DE9">
            <w:pPr>
              <w:pStyle w:val="BoxListBullet"/>
            </w:pPr>
            <w:r w:rsidRPr="000B1434">
              <w:t xml:space="preserve">Illicit </w:t>
            </w:r>
            <w:r>
              <w:t>substance</w:t>
            </w:r>
            <w:r w:rsidRPr="000B1434">
              <w:t xml:space="preserve"> use often co-occurs with mental illness and psychological distress. </w:t>
            </w:r>
            <w:r>
              <w:t>It</w:t>
            </w:r>
            <w:r w:rsidRPr="000B1434">
              <w:t xml:space="preserve"> can contribute to the onset of, and prevent recovery from, mental illness and is a major risk factor for suicide.</w:t>
            </w:r>
          </w:p>
          <w:p w14:paraId="3EA8BA19" w14:textId="77777777" w:rsidR="008422E6" w:rsidRDefault="008422E6" w:rsidP="00F53DE9">
            <w:pPr>
              <w:pStyle w:val="BoxListBullet"/>
            </w:pPr>
            <w:r w:rsidRPr="000B1434">
              <w:t>The</w:t>
            </w:r>
            <w:r>
              <w:t xml:space="preserve"> majority of </w:t>
            </w:r>
            <w:r w:rsidRPr="005F4EF4">
              <w:t>Aboriginal and Torres Strait Islander</w:t>
            </w:r>
            <w:r w:rsidRPr="006743C0">
              <w:t xml:space="preserve"> </w:t>
            </w:r>
            <w:r w:rsidRPr="000B1434">
              <w:t>adults</w:t>
            </w:r>
            <w:r>
              <w:t xml:space="preserve"> do not illicitly use substances. In 2018-19, 70 per cent reported not illicitly using in the past 12 months.</w:t>
            </w:r>
          </w:p>
          <w:p w14:paraId="69F8174A" w14:textId="77777777" w:rsidR="008422E6" w:rsidRDefault="008422E6" w:rsidP="00F53DE9">
            <w:pPr>
              <w:pStyle w:val="BoxListBullet"/>
            </w:pPr>
            <w:r w:rsidRPr="00A439DD">
              <w:t xml:space="preserve">But the proportion who report </w:t>
            </w:r>
            <w:r>
              <w:t xml:space="preserve">that </w:t>
            </w:r>
            <w:r w:rsidRPr="00A439DD">
              <w:t xml:space="preserve">they are </w:t>
            </w:r>
            <w:r>
              <w:t xml:space="preserve">illicitly using </w:t>
            </w:r>
            <w:r w:rsidRPr="00A439DD">
              <w:t xml:space="preserve">is increasing over time. </w:t>
            </w:r>
            <w:r>
              <w:t>Most</w:t>
            </w:r>
            <w:r w:rsidRPr="00A439DD">
              <w:t xml:space="preserve"> illicit use is </w:t>
            </w:r>
            <w:r>
              <w:t>use of</w:t>
            </w:r>
            <w:r w:rsidRPr="00A439DD">
              <w:t xml:space="preserve"> </w:t>
            </w:r>
            <w:r w:rsidRPr="00F56CF9">
              <w:t>marijuana</w:t>
            </w:r>
            <w:r w:rsidRPr="00A439DD">
              <w:t>, hashish or cannabis resin</w:t>
            </w:r>
            <w:r>
              <w:t xml:space="preserve"> (different forms of the cannabis plant), and its</w:t>
            </w:r>
            <w:r w:rsidRPr="00F56CF9">
              <w:t xml:space="preserve"> increase in recent year</w:t>
            </w:r>
            <w:r>
              <w:t>s</w:t>
            </w:r>
            <w:r w:rsidRPr="00F56CF9">
              <w:t xml:space="preserve"> is drive</w:t>
            </w:r>
            <w:r>
              <w:t>n</w:t>
            </w:r>
            <w:r w:rsidRPr="00F56CF9">
              <w:t xml:space="preserve"> by increases in regional and </w:t>
            </w:r>
            <w:r w:rsidRPr="00A439DD">
              <w:t>very remote areas.</w:t>
            </w:r>
            <w:r w:rsidRPr="00F56CF9">
              <w:t xml:space="preserve"> </w:t>
            </w:r>
            <w:r>
              <w:t>I</w:t>
            </w:r>
            <w:r w:rsidRPr="00F56CF9">
              <w:t>n 2018-19</w:t>
            </w:r>
            <w:r>
              <w:t>,</w:t>
            </w:r>
            <w:r w:rsidRPr="00F56CF9">
              <w:t xml:space="preserve"> there were no significant differences across remoteness areas.</w:t>
            </w:r>
          </w:p>
          <w:p w14:paraId="6DA2534A" w14:textId="77777777" w:rsidR="008422E6" w:rsidRDefault="008422E6" w:rsidP="00F53DE9">
            <w:pPr>
              <w:pStyle w:val="BoxListBullet"/>
            </w:pPr>
            <w:r>
              <w:t xml:space="preserve">In line with reported use, the proportion of </w:t>
            </w:r>
            <w:r w:rsidRPr="000B1434">
              <w:t>drug-related hospitalisations</w:t>
            </w:r>
            <w:r>
              <w:t xml:space="preserve"> has also increased over time </w:t>
            </w:r>
            <w:r>
              <w:rPr>
                <w:rFonts w:cs="Arial"/>
              </w:rPr>
              <w:t>—</w:t>
            </w:r>
            <w:r>
              <w:t xml:space="preserve"> and more so for Aboriginal and Torres Strait Islander people than for non</w:t>
            </w:r>
            <w:r>
              <w:noBreakHyphen/>
              <w:t>Indigenous people.</w:t>
            </w:r>
          </w:p>
          <w:p w14:paraId="07621CD2" w14:textId="77777777" w:rsidR="008422E6" w:rsidRPr="000B1434" w:rsidRDefault="008422E6" w:rsidP="00F53DE9">
            <w:pPr>
              <w:pStyle w:val="BoxListBullet"/>
            </w:pPr>
            <w:r>
              <w:t>In 2018-19, more than half of all drug-related hospitalisations we</w:t>
            </w:r>
            <w:r w:rsidRPr="000B1434">
              <w:t xml:space="preserve">re related to mental and behavioural disorders. </w:t>
            </w:r>
            <w:r>
              <w:t>F</w:t>
            </w:r>
            <w:r w:rsidRPr="000B1434">
              <w:t>or Aboriginal and Torres Strait Islander people</w:t>
            </w:r>
            <w:r>
              <w:t>,</w:t>
            </w:r>
            <w:r w:rsidRPr="000B1434">
              <w:t xml:space="preserve"> this propo</w:t>
            </w:r>
            <w:r>
              <w:t>rtion was larger, at 60 per cent.</w:t>
            </w:r>
          </w:p>
          <w:p w14:paraId="59F85D29" w14:textId="77777777" w:rsidR="008422E6" w:rsidRDefault="008422E6" w:rsidP="00F53DE9">
            <w:pPr>
              <w:pStyle w:val="BoxListBullet"/>
            </w:pPr>
            <w:r>
              <w:t>Re</w:t>
            </w:r>
            <w:r w:rsidRPr="00444630">
              <w:t>sponding to the needs of Aboriginal and Torres Strait Islander people who</w:t>
            </w:r>
            <w:r>
              <w:t xml:space="preserve"> illicitly</w:t>
            </w:r>
            <w:r w:rsidRPr="00444630">
              <w:t xml:space="preserve"> use substances requires an understanding of what </w:t>
            </w:r>
            <w:r>
              <w:t xml:space="preserve">is </w:t>
            </w:r>
            <w:r w:rsidRPr="00444630">
              <w:t>driv</w:t>
            </w:r>
            <w:r>
              <w:t>ing</w:t>
            </w:r>
            <w:r w:rsidRPr="00444630">
              <w:t xml:space="preserve"> demand</w:t>
            </w:r>
            <w:r>
              <w:t>. It appears that there is limited research on this and, therefore,</w:t>
            </w:r>
            <w:r w:rsidRPr="00D33FA6">
              <w:t xml:space="preserve"> a lack of evidence o</w:t>
            </w:r>
            <w:r>
              <w:t>n</w:t>
            </w:r>
            <w:r w:rsidRPr="00D33FA6">
              <w:t xml:space="preserve"> </w:t>
            </w:r>
            <w:r>
              <w:t>whether</w:t>
            </w:r>
            <w:r w:rsidRPr="00D33FA6">
              <w:t xml:space="preserve"> programs are effective </w:t>
            </w:r>
            <w:r>
              <w:t>in</w:t>
            </w:r>
            <w:r w:rsidRPr="00D33FA6">
              <w:t xml:space="preserve"> </w:t>
            </w:r>
            <w:r>
              <w:t>addressing the drivers of demand</w:t>
            </w:r>
            <w:r w:rsidRPr="00057F00">
              <w:t xml:space="preserve">. </w:t>
            </w:r>
          </w:p>
          <w:p w14:paraId="281AC291" w14:textId="77777777" w:rsidR="008422E6" w:rsidRPr="000B1434" w:rsidRDefault="008422E6" w:rsidP="00F53DE9">
            <w:pPr>
              <w:pStyle w:val="BoxListBullet"/>
            </w:pPr>
            <w:r>
              <w:t>While r</w:t>
            </w:r>
            <w:r w:rsidRPr="00EA2404">
              <w:t>educ</w:t>
            </w:r>
            <w:r>
              <w:t>ing</w:t>
            </w:r>
            <w:r w:rsidRPr="00EA2404">
              <w:t xml:space="preserve"> the supply of </w:t>
            </w:r>
            <w:r>
              <w:t xml:space="preserve">some </w:t>
            </w:r>
            <w:r w:rsidRPr="00EA2404">
              <w:t>substances</w:t>
            </w:r>
            <w:r>
              <w:t xml:space="preserve"> can reduce illicit substance use, if the drivers of illicit use are not also addressed there can be unintended consequences (such as the use of alternative substances).</w:t>
            </w:r>
          </w:p>
        </w:tc>
      </w:tr>
      <w:tr w:rsidR="008422E6" w14:paraId="17206449" w14:textId="77777777" w:rsidTr="00F53DE9">
        <w:tc>
          <w:tcPr>
            <w:tcW w:w="5000" w:type="pct"/>
            <w:tcBorders>
              <w:top w:val="nil"/>
              <w:left w:val="nil"/>
              <w:bottom w:val="single" w:sz="6" w:space="0" w:color="78A22F"/>
              <w:right w:val="nil"/>
            </w:tcBorders>
            <w:shd w:val="clear" w:color="auto" w:fill="F2F2F2"/>
          </w:tcPr>
          <w:p w14:paraId="109AA108" w14:textId="77777777" w:rsidR="008422E6" w:rsidRPr="000B1434" w:rsidRDefault="008422E6" w:rsidP="00F53DE9">
            <w:pPr>
              <w:pStyle w:val="Box"/>
              <w:spacing w:before="0" w:line="120" w:lineRule="exact"/>
            </w:pPr>
          </w:p>
        </w:tc>
      </w:tr>
      <w:tr w:rsidR="008422E6" w:rsidRPr="000863A5" w14:paraId="230CE582" w14:textId="77777777" w:rsidTr="00F53DE9">
        <w:tc>
          <w:tcPr>
            <w:tcW w:w="5000" w:type="pct"/>
            <w:tcBorders>
              <w:top w:val="single" w:sz="6" w:space="0" w:color="78A22F"/>
              <w:left w:val="nil"/>
              <w:bottom w:val="nil"/>
              <w:right w:val="nil"/>
            </w:tcBorders>
          </w:tcPr>
          <w:p w14:paraId="50B3F6B9" w14:textId="77777777" w:rsidR="008422E6" w:rsidRPr="000B1434" w:rsidRDefault="008422E6" w:rsidP="00F53DE9">
            <w:pPr>
              <w:pStyle w:val="BoxSpaceBelow"/>
            </w:pPr>
          </w:p>
        </w:tc>
      </w:tr>
    </w:tbl>
    <w:p w14:paraId="40CD7EF3"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422E6" w14:paraId="62BB119B" w14:textId="77777777" w:rsidTr="00F53DE9">
        <w:tc>
          <w:tcPr>
            <w:tcW w:w="5000" w:type="pct"/>
            <w:tcBorders>
              <w:top w:val="single" w:sz="6" w:space="0" w:color="78A22F"/>
              <w:left w:val="nil"/>
              <w:bottom w:val="nil"/>
              <w:right w:val="nil"/>
            </w:tcBorders>
            <w:shd w:val="clear" w:color="auto" w:fill="F2F2F2"/>
          </w:tcPr>
          <w:p w14:paraId="268BF823" w14:textId="30F29CB8" w:rsidR="008422E6" w:rsidRDefault="008422E6" w:rsidP="00F53DE9">
            <w:pPr>
              <w:pStyle w:val="BoxTitle"/>
            </w:pPr>
            <w:r>
              <w:rPr>
                <w:b w:val="0"/>
              </w:rPr>
              <w:t>Box 11.2.</w:t>
            </w:r>
            <w:r>
              <w:rPr>
                <w:b w:val="0"/>
                <w:noProof/>
              </w:rPr>
              <w:t>2</w:t>
            </w:r>
            <w:r>
              <w:tab/>
              <w:t>Measures of drug and other substance use and harm</w:t>
            </w:r>
          </w:p>
        </w:tc>
      </w:tr>
      <w:tr w:rsidR="008422E6" w14:paraId="23FD18E4" w14:textId="77777777" w:rsidTr="00F53DE9">
        <w:tc>
          <w:tcPr>
            <w:tcW w:w="5000" w:type="pct"/>
            <w:tcBorders>
              <w:top w:val="nil"/>
              <w:left w:val="nil"/>
              <w:bottom w:val="nil"/>
              <w:right w:val="nil"/>
            </w:tcBorders>
            <w:shd w:val="clear" w:color="auto" w:fill="F2F2F2"/>
          </w:tcPr>
          <w:p w14:paraId="3D9F5EAB" w14:textId="77777777" w:rsidR="008422E6" w:rsidRDefault="008422E6" w:rsidP="00F53DE9">
            <w:pPr>
              <w:pStyle w:val="Box"/>
            </w:pPr>
            <w:r>
              <w:t xml:space="preserve">There is one main measure for this indicator. </w:t>
            </w:r>
            <w:r w:rsidRPr="000F5A2B">
              <w:rPr>
                <w:i/>
              </w:rPr>
              <w:t>Illicit use of</w:t>
            </w:r>
            <w:r>
              <w:t xml:space="preserve"> </w:t>
            </w:r>
            <w:r>
              <w:rPr>
                <w:i/>
              </w:rPr>
              <w:t>s</w:t>
            </w:r>
            <w:r w:rsidRPr="006F512E">
              <w:rPr>
                <w:i/>
              </w:rPr>
              <w:t>ubstance</w:t>
            </w:r>
            <w:r>
              <w:rPr>
                <w:i/>
              </w:rPr>
              <w:t>s</w:t>
            </w:r>
            <w:r>
              <w:t xml:space="preserve"> is defined as the </w:t>
            </w:r>
            <w:r w:rsidRPr="006F512E">
              <w:t xml:space="preserve">proportion of </w:t>
            </w:r>
            <w:r>
              <w:t xml:space="preserve">adults </w:t>
            </w:r>
            <w:r w:rsidRPr="006F512E">
              <w:t>who r</w:t>
            </w:r>
            <w:r>
              <w:t xml:space="preserve">eported </w:t>
            </w:r>
            <w:r w:rsidRPr="006F512E">
              <w:t>us</w:t>
            </w:r>
            <w:r>
              <w:t>ing</w:t>
            </w:r>
            <w:r w:rsidRPr="006F512E">
              <w:t xml:space="preserve"> illicit </w:t>
            </w:r>
            <w:r>
              <w:t>substances or misusing licit substances in the previous 12 months.</w:t>
            </w:r>
            <w:r>
              <w:rPr>
                <w:rStyle w:val="FootnoteReference"/>
              </w:rPr>
              <w:footnoteReference w:id="8"/>
            </w:r>
            <w:r>
              <w:t xml:space="preserve"> Data are sourced from the ABS National</w:t>
            </w:r>
            <w:r w:rsidRPr="00F71C31">
              <w:t xml:space="preserve"> Aboriginal and Torres Strait Islander Health Survey</w:t>
            </w:r>
            <w:r w:rsidRPr="004C2BA3">
              <w:t xml:space="preserve"> (</w:t>
            </w:r>
            <w:r>
              <w:t>NATSIHS)/</w:t>
            </w:r>
            <w:r w:rsidRPr="00F71C31">
              <w:t>National Aboriginal and Torres Strait Islander Social Survey</w:t>
            </w:r>
            <w:r w:rsidRPr="00DB7392">
              <w:t xml:space="preserve"> </w:t>
            </w:r>
            <w:r>
              <w:t>(NATSISS), with the most recent available data for 2018</w:t>
            </w:r>
            <w:r>
              <w:noBreakHyphen/>
              <w:t xml:space="preserve">19 from the NATSIHS (all jurisdictions; sex; age). Data were not available for </w:t>
            </w:r>
            <w:r w:rsidRPr="00AE2387">
              <w:t>remote areas</w:t>
            </w:r>
            <w:r w:rsidRPr="00AE2387" w:rsidDel="00070647">
              <w:t xml:space="preserve"> </w:t>
            </w:r>
            <w:r>
              <w:t xml:space="preserve">in </w:t>
            </w:r>
            <w:r w:rsidRPr="00AE2387">
              <w:t>the 2004</w:t>
            </w:r>
            <w:r>
              <w:noBreakHyphen/>
              <w:t>05 survey, or for non</w:t>
            </w:r>
            <w:r>
              <w:noBreakHyphen/>
              <w:t>Indigenous people.</w:t>
            </w:r>
          </w:p>
          <w:p w14:paraId="25FFAD86" w14:textId="77777777" w:rsidR="008422E6" w:rsidRDefault="008422E6" w:rsidP="00F53DE9">
            <w:pPr>
              <w:pStyle w:val="Box"/>
              <w:keepNext w:val="0"/>
            </w:pPr>
            <w:r>
              <w:t>Three supplementary measures are also reported by Indigenous status:</w:t>
            </w:r>
          </w:p>
          <w:p w14:paraId="5CB0BAA1" w14:textId="77777777" w:rsidR="008422E6" w:rsidRDefault="008422E6" w:rsidP="00F53DE9">
            <w:pPr>
              <w:pStyle w:val="BoxListBullet"/>
              <w:keepNext w:val="0"/>
            </w:pPr>
            <w:r>
              <w:t>Drug-</w:t>
            </w:r>
            <w:r w:rsidRPr="006F512E">
              <w:t>related hospitalisations</w:t>
            </w:r>
            <w:r>
              <w:t xml:space="preserve"> (all jurisdictions; sex; remoteness)</w:t>
            </w:r>
          </w:p>
          <w:p w14:paraId="02F4A13D" w14:textId="77777777" w:rsidR="008422E6" w:rsidRDefault="008422E6" w:rsidP="00F53DE9">
            <w:pPr>
              <w:pStyle w:val="BoxListBullet"/>
              <w:keepNext w:val="0"/>
            </w:pPr>
            <w:r>
              <w:t>Drug-</w:t>
            </w:r>
            <w:r w:rsidRPr="006F512E">
              <w:t>induced deaths</w:t>
            </w:r>
            <w:r>
              <w:t xml:space="preserve"> (</w:t>
            </w:r>
            <w:r w:rsidRPr="00D1156D">
              <w:t>NSW, Queensland, WA, SA and the NT; sex</w:t>
            </w:r>
            <w:r>
              <w:t>)</w:t>
            </w:r>
          </w:p>
          <w:p w14:paraId="7DDA401A" w14:textId="77777777" w:rsidR="008422E6" w:rsidRDefault="008422E6" w:rsidP="00F53DE9">
            <w:pPr>
              <w:pStyle w:val="BoxListBullet"/>
              <w:keepNext w:val="0"/>
            </w:pPr>
            <w:r>
              <w:t>D</w:t>
            </w:r>
            <w:r w:rsidRPr="006F512E">
              <w:t>rug involvement in homicides</w:t>
            </w:r>
            <w:r>
              <w:t xml:space="preserve"> </w:t>
            </w:r>
            <w:r w:rsidRPr="00D1156D">
              <w:t>(</w:t>
            </w:r>
            <w:r>
              <w:t>n</w:t>
            </w:r>
            <w:r w:rsidRPr="00D1156D">
              <w:t>ational</w:t>
            </w:r>
            <w:r>
              <w:t>).</w:t>
            </w:r>
          </w:p>
          <w:p w14:paraId="38DA2653" w14:textId="77777777" w:rsidR="008422E6" w:rsidRDefault="008422E6" w:rsidP="00F53DE9">
            <w:pPr>
              <w:pStyle w:val="Box"/>
            </w:pPr>
            <w:r w:rsidRPr="00902D2A">
              <w:t>Data on hospitalisations are from the AIHW Nati</w:t>
            </w:r>
            <w:r>
              <w:t>onal Hospital Morbidity Database.</w:t>
            </w:r>
            <w:r>
              <w:rPr>
                <w:rStyle w:val="FootnoteReference"/>
              </w:rPr>
              <w:footnoteReference w:id="9"/>
            </w:r>
            <w:r>
              <w:t xml:space="preserve"> The latest data are for 2018-19. Data on deaths are from the ABS </w:t>
            </w:r>
            <w:r w:rsidRPr="0073463C">
              <w:t>Causes of Death</w:t>
            </w:r>
            <w:r>
              <w:t xml:space="preserve"> collection, and the latest data are for 2018. Data on homicides are from the Australian Institute of Criminology </w:t>
            </w:r>
            <w:r w:rsidRPr="0073463C">
              <w:t>National Homicide Monitoring Program</w:t>
            </w:r>
            <w:r>
              <w:t xml:space="preserve"> and the latest data are for 2017-18.</w:t>
            </w:r>
          </w:p>
        </w:tc>
      </w:tr>
      <w:tr w:rsidR="008422E6" w14:paraId="7A11DFFD" w14:textId="77777777" w:rsidTr="00F53DE9">
        <w:tc>
          <w:tcPr>
            <w:tcW w:w="5000" w:type="pct"/>
            <w:tcBorders>
              <w:top w:val="nil"/>
              <w:left w:val="nil"/>
              <w:bottom w:val="single" w:sz="6" w:space="0" w:color="78A22F"/>
              <w:right w:val="nil"/>
            </w:tcBorders>
            <w:shd w:val="clear" w:color="auto" w:fill="F2F2F2"/>
          </w:tcPr>
          <w:p w14:paraId="3FB0BB65" w14:textId="77777777" w:rsidR="008422E6" w:rsidRDefault="008422E6" w:rsidP="00F53DE9">
            <w:pPr>
              <w:pStyle w:val="Box"/>
              <w:spacing w:before="0" w:line="120" w:lineRule="exact"/>
            </w:pPr>
          </w:p>
        </w:tc>
      </w:tr>
      <w:tr w:rsidR="008422E6" w:rsidRPr="000863A5" w14:paraId="74E62F7D" w14:textId="77777777" w:rsidTr="00F53DE9">
        <w:tc>
          <w:tcPr>
            <w:tcW w:w="5000" w:type="pct"/>
            <w:tcBorders>
              <w:top w:val="single" w:sz="6" w:space="0" w:color="78A22F"/>
              <w:left w:val="nil"/>
              <w:bottom w:val="nil"/>
              <w:right w:val="nil"/>
            </w:tcBorders>
          </w:tcPr>
          <w:p w14:paraId="1ACAE5FF" w14:textId="77777777" w:rsidR="008422E6" w:rsidRPr="00626D32" w:rsidRDefault="008422E6" w:rsidP="00F53DE9">
            <w:pPr>
              <w:pStyle w:val="BoxSpaceBelow"/>
            </w:pPr>
          </w:p>
        </w:tc>
      </w:tr>
    </w:tbl>
    <w:p w14:paraId="3DB8D608" w14:textId="264E5EE4" w:rsidR="008422E6" w:rsidRDefault="008422E6" w:rsidP="008422E6">
      <w:pPr>
        <w:pStyle w:val="BodyText"/>
      </w:pPr>
      <w:r>
        <w:t>M</w:t>
      </w:r>
      <w:r w:rsidRPr="004355B4">
        <w:t>isuse of legal</w:t>
      </w:r>
      <w:r>
        <w:t xml:space="preserve"> and illegal</w:t>
      </w:r>
      <w:r w:rsidRPr="004355B4">
        <w:t xml:space="preserve"> drugs </w:t>
      </w:r>
      <w:r>
        <w:t xml:space="preserve">can </w:t>
      </w:r>
      <w:r w:rsidRPr="004355B4">
        <w:t>negative</w:t>
      </w:r>
      <w:r>
        <w:t>ly</w:t>
      </w:r>
      <w:r w:rsidRPr="004355B4">
        <w:t xml:space="preserve"> </w:t>
      </w:r>
      <w:r>
        <w:t>affect the lives of</w:t>
      </w:r>
      <w:r w:rsidRPr="004355B4">
        <w:t xml:space="preserve"> individuals, families and communities</w:t>
      </w:r>
      <w:r>
        <w:t>.</w:t>
      </w:r>
      <w:r w:rsidRPr="004355B4">
        <w:t xml:space="preserve"> </w:t>
      </w:r>
      <w:r>
        <w:t xml:space="preserve">People who misuse substances are more susceptible to illness (including mental illness — see section 8.7 </w:t>
      </w:r>
      <w:r w:rsidRPr="005B5CA3">
        <w:rPr>
          <w:i/>
        </w:rPr>
        <w:t>Mental health</w:t>
      </w:r>
      <w:r>
        <w:t xml:space="preserve">) and accident, and injecting drug users who share needles are at a greater risk of blood‑borne diseases such as HIV and hepatitis </w:t>
      </w:r>
      <w:r w:rsidRPr="00D23B68">
        <w:rPr>
          <w:szCs w:val="24"/>
        </w:rPr>
        <w:t>(</w:t>
      </w:r>
      <w:proofErr w:type="spellStart"/>
      <w:r w:rsidRPr="00D23B68">
        <w:rPr>
          <w:szCs w:val="24"/>
        </w:rPr>
        <w:t>Baldock</w:t>
      </w:r>
      <w:proofErr w:type="spellEnd"/>
      <w:r w:rsidRPr="00D23B68">
        <w:rPr>
          <w:szCs w:val="24"/>
        </w:rPr>
        <w:t xml:space="preserve"> and Lindsay 2020; Teoh, Moses and McCullough 2019; Treloar, Mao and Wilson 2016)</w:t>
      </w:r>
      <w:r>
        <w:t>.</w:t>
      </w:r>
    </w:p>
    <w:p w14:paraId="76F7C20D" w14:textId="7A0B9A6F" w:rsidR="008422E6" w:rsidRPr="00D23B68" w:rsidRDefault="008422E6" w:rsidP="008422E6">
      <w:pPr>
        <w:pStyle w:val="BodyText"/>
      </w:pPr>
      <w:r>
        <w:t xml:space="preserve">Substance misuse is also a factor in suicide across the Australian population </w:t>
      </w:r>
      <w:r w:rsidRPr="004D6DCA">
        <w:rPr>
          <w:szCs w:val="24"/>
        </w:rPr>
        <w:t>(Agrawal et al. 2017; Zahra et al. 2020)</w:t>
      </w:r>
      <w:r>
        <w:t>, and specifically for</w:t>
      </w:r>
      <w:r w:rsidRPr="000167EE">
        <w:t xml:space="preserve"> Aboriginal and Torres Strait Islander people</w:t>
      </w:r>
      <w:r>
        <w:t xml:space="preserve"> </w:t>
      </w:r>
      <w:r w:rsidRPr="005C5545">
        <w:rPr>
          <w:szCs w:val="24"/>
        </w:rPr>
        <w:t>(Dickson et al. 2019)</w:t>
      </w:r>
      <w:r>
        <w:t xml:space="preserve">. A study of a group of Aboriginal and Torres Strait Islander prisoners in Queensland found that mental illness and lifetime suicide thoughts and attempts were significantly more likely among those with a substance use disorder </w:t>
      </w:r>
      <w:r w:rsidRPr="00CF16C2">
        <w:rPr>
          <w:szCs w:val="24"/>
        </w:rPr>
        <w:t>(Heffernan et al. 2016)</w:t>
      </w:r>
      <w:r>
        <w:t>.</w:t>
      </w:r>
      <w:r w:rsidRPr="00F50B18">
        <w:t xml:space="preserve"> </w:t>
      </w:r>
      <w:r>
        <w:t xml:space="preserve">Suicide and self-harm are discussed in section 8.8 </w:t>
      </w:r>
      <w:r w:rsidRPr="00513F68">
        <w:rPr>
          <w:i/>
        </w:rPr>
        <w:t>Suicide and self-harm</w:t>
      </w:r>
      <w:r>
        <w:t>.</w:t>
      </w:r>
    </w:p>
    <w:p w14:paraId="19DC6210" w14:textId="48C3FD72" w:rsidR="008422E6" w:rsidRDefault="008422E6" w:rsidP="008422E6">
      <w:pPr>
        <w:pStyle w:val="BodyText"/>
      </w:pPr>
      <w:r>
        <w:t xml:space="preserve">Illicit substance use by parents can affect children both pre- and post‑birth. </w:t>
      </w:r>
      <w:r w:rsidRPr="005857FF">
        <w:t xml:space="preserve">Pregnant women who take drugs </w:t>
      </w:r>
      <w:r>
        <w:t>can</w:t>
      </w:r>
      <w:r w:rsidRPr="005857FF">
        <w:t xml:space="preserve"> affect the health and </w:t>
      </w:r>
      <w:r>
        <w:t xml:space="preserve">wellbeing of their unborn children, and some babies are born with addiction issues. Prenatal exposure to volatile substances (when people deliberately inhale chemical vapours to produce altered states) can lead to birth prematurity, delays in development, neuro-behavioural problems and physical malformations </w:t>
      </w:r>
      <w:r w:rsidRPr="00952B7D">
        <w:rPr>
          <w:szCs w:val="24"/>
        </w:rPr>
        <w:t>(</w:t>
      </w:r>
      <w:proofErr w:type="spellStart"/>
      <w:r w:rsidRPr="00952B7D">
        <w:rPr>
          <w:szCs w:val="24"/>
        </w:rPr>
        <w:t>Marel</w:t>
      </w:r>
      <w:proofErr w:type="spellEnd"/>
      <w:r w:rsidRPr="00952B7D">
        <w:rPr>
          <w:szCs w:val="24"/>
        </w:rPr>
        <w:t xml:space="preserve">, MacLean and </w:t>
      </w:r>
      <w:proofErr w:type="spellStart"/>
      <w:r w:rsidRPr="00952B7D">
        <w:rPr>
          <w:szCs w:val="24"/>
        </w:rPr>
        <w:t>Midford</w:t>
      </w:r>
      <w:proofErr w:type="spellEnd"/>
      <w:r w:rsidRPr="004B0666">
        <w:rPr>
          <w:szCs w:val="24"/>
        </w:rPr>
        <w:t> 2015)</w:t>
      </w:r>
      <w:r>
        <w:t xml:space="preserve">. And parents who misuse substances can find caring for children more difficult. </w:t>
      </w:r>
      <w:r w:rsidRPr="004355B4">
        <w:t xml:space="preserve">Use of illicit </w:t>
      </w:r>
      <w:r>
        <w:t>substances</w:t>
      </w:r>
      <w:r w:rsidRPr="004355B4">
        <w:t xml:space="preserve"> during pregnancy</w:t>
      </w:r>
      <w:r>
        <w:t xml:space="preserve"> and when caring for </w:t>
      </w:r>
      <w:r>
        <w:lastRenderedPageBreak/>
        <w:t xml:space="preserve">children </w:t>
      </w:r>
      <w:r w:rsidRPr="004355B4">
        <w:t>is discussed in section 6.2</w:t>
      </w:r>
      <w:r>
        <w:t xml:space="preserve"> </w:t>
      </w:r>
      <w:r w:rsidRPr="005B5CA3">
        <w:rPr>
          <w:i/>
        </w:rPr>
        <w:t>Health behaviours during pregnancy</w:t>
      </w:r>
      <w:r>
        <w:t xml:space="preserve"> and section 4.11 </w:t>
      </w:r>
      <w:r w:rsidRPr="005B5CA3">
        <w:rPr>
          <w:i/>
        </w:rPr>
        <w:t>Substantiated child abuse and neglect</w:t>
      </w:r>
      <w:r w:rsidRPr="004355B4">
        <w:t>.</w:t>
      </w:r>
    </w:p>
    <w:p w14:paraId="36AAC4AC" w14:textId="4D7EC292" w:rsidR="008422E6" w:rsidRDefault="008422E6" w:rsidP="008422E6">
      <w:pPr>
        <w:pStyle w:val="BodyText"/>
      </w:pPr>
      <w:r>
        <w:t xml:space="preserve">Illicit substance use is often associated with crime (and therefore imprisonment) and violence (from methamphetamine users in particular) </w:t>
      </w:r>
      <w:r w:rsidRPr="00952B7D">
        <w:rPr>
          <w:szCs w:val="24"/>
        </w:rPr>
        <w:t>(</w:t>
      </w:r>
      <w:proofErr w:type="spellStart"/>
      <w:r w:rsidRPr="00952B7D">
        <w:rPr>
          <w:szCs w:val="24"/>
        </w:rPr>
        <w:t>Goldsmid</w:t>
      </w:r>
      <w:proofErr w:type="spellEnd"/>
      <w:r w:rsidRPr="00952B7D">
        <w:rPr>
          <w:szCs w:val="24"/>
        </w:rPr>
        <w:t xml:space="preserve"> and Willis </w:t>
      </w:r>
      <w:r w:rsidRPr="004B0666">
        <w:rPr>
          <w:szCs w:val="24"/>
        </w:rPr>
        <w:t xml:space="preserve">2016; Macrae and </w:t>
      </w:r>
      <w:proofErr w:type="spellStart"/>
      <w:r w:rsidRPr="004B0666">
        <w:rPr>
          <w:szCs w:val="24"/>
        </w:rPr>
        <w:t>Hoareau</w:t>
      </w:r>
      <w:proofErr w:type="spellEnd"/>
      <w:r w:rsidRPr="004B0666">
        <w:rPr>
          <w:szCs w:val="24"/>
        </w:rPr>
        <w:t xml:space="preserve"> 2016; </w:t>
      </w:r>
      <w:proofErr w:type="spellStart"/>
      <w:r w:rsidRPr="004B0666">
        <w:rPr>
          <w:szCs w:val="24"/>
        </w:rPr>
        <w:t>Marel</w:t>
      </w:r>
      <w:proofErr w:type="spellEnd"/>
      <w:r w:rsidRPr="004B0666">
        <w:rPr>
          <w:szCs w:val="24"/>
        </w:rPr>
        <w:t xml:space="preserve">, MacLean and </w:t>
      </w:r>
      <w:proofErr w:type="spellStart"/>
      <w:r w:rsidRPr="004B0666">
        <w:rPr>
          <w:szCs w:val="24"/>
        </w:rPr>
        <w:t>Midford</w:t>
      </w:r>
      <w:proofErr w:type="spellEnd"/>
      <w:r w:rsidRPr="004B0666">
        <w:rPr>
          <w:szCs w:val="24"/>
        </w:rPr>
        <w:t> 2015)</w:t>
      </w:r>
      <w:r>
        <w:rPr>
          <w:szCs w:val="24"/>
        </w:rPr>
        <w:t xml:space="preserve">. </w:t>
      </w:r>
      <w:r w:rsidRPr="004355B4">
        <w:t xml:space="preserve">Use of illicit </w:t>
      </w:r>
      <w:r>
        <w:t>substances</w:t>
      </w:r>
      <w:r w:rsidRPr="004355B4">
        <w:t xml:space="preserve"> </w:t>
      </w:r>
      <w:r>
        <w:t xml:space="preserve">is also </w:t>
      </w:r>
      <w:r w:rsidRPr="004355B4">
        <w:t>discussed in section </w:t>
      </w:r>
      <w:r>
        <w:t>4</w:t>
      </w:r>
      <w:r w:rsidRPr="004355B4">
        <w:t>.</w:t>
      </w:r>
      <w:r>
        <w:t xml:space="preserve">12 </w:t>
      </w:r>
      <w:r>
        <w:rPr>
          <w:i/>
        </w:rPr>
        <w:t>Family and c</w:t>
      </w:r>
      <w:r w:rsidRPr="005B5CA3">
        <w:rPr>
          <w:i/>
        </w:rPr>
        <w:t xml:space="preserve">ommunity </w:t>
      </w:r>
      <w:r>
        <w:rPr>
          <w:i/>
        </w:rPr>
        <w:t>v</w:t>
      </w:r>
      <w:r w:rsidRPr="005B5CA3">
        <w:rPr>
          <w:i/>
        </w:rPr>
        <w:t>iolence</w:t>
      </w:r>
      <w:r>
        <w:t>.</w:t>
      </w:r>
    </w:p>
    <w:p w14:paraId="5047D18D" w14:textId="77777777" w:rsidR="008422E6" w:rsidRPr="00C61B14" w:rsidRDefault="008422E6" w:rsidP="008422E6">
      <w:pPr>
        <w:pStyle w:val="Heading3"/>
        <w:jc w:val="both"/>
      </w:pPr>
      <w:r>
        <w:t xml:space="preserve">Most </w:t>
      </w:r>
      <w:r w:rsidRPr="00876206">
        <w:t xml:space="preserve">Aboriginal and Torres Strait Islander </w:t>
      </w:r>
      <w:r>
        <w:t>adults do not illicitly use substances, but use of marijuana, hashish and cannabis is increasing…</w:t>
      </w:r>
    </w:p>
    <w:p w14:paraId="6E3EEA9B" w14:textId="77777777" w:rsidR="008422E6" w:rsidRDefault="008422E6" w:rsidP="008422E6">
      <w:pPr>
        <w:pStyle w:val="BodyText"/>
      </w:pPr>
      <w:r>
        <w:t>Most</w:t>
      </w:r>
      <w:r w:rsidRPr="00675FF5">
        <w:t xml:space="preserve"> Aboriginal and Torres Strait Islander adults</w:t>
      </w:r>
      <w:r>
        <w:t xml:space="preserve"> do not illicitly use substances. In 2018-19, 70 per cent of </w:t>
      </w:r>
      <w:r w:rsidRPr="00876206">
        <w:t xml:space="preserve">Aboriginal and Torres Strait Islander </w:t>
      </w:r>
      <w:r>
        <w:t xml:space="preserve">adults </w:t>
      </w:r>
      <w:r w:rsidRPr="00876206">
        <w:t>reported</w:t>
      </w:r>
      <w:r>
        <w:t xml:space="preserve"> not illicitly using substances in the last </w:t>
      </w:r>
      <w:r w:rsidRPr="00876206">
        <w:t>12</w:t>
      </w:r>
      <w:r>
        <w:t> </w:t>
      </w:r>
      <w:r w:rsidRPr="00876206">
        <w:t xml:space="preserve">months </w:t>
      </w:r>
      <w:r>
        <w:t>(table </w:t>
      </w:r>
      <w:proofErr w:type="spellStart"/>
      <w:r>
        <w:t>11A.2.1</w:t>
      </w:r>
      <w:proofErr w:type="spellEnd"/>
      <w:r>
        <w:t>)</w:t>
      </w:r>
      <w:r w:rsidRPr="00876206">
        <w:t>.</w:t>
      </w:r>
      <w:r>
        <w:t xml:space="preserve"> For those illicitly using substances, the use</w:t>
      </w:r>
      <w:r w:rsidDel="006743C0">
        <w:t xml:space="preserve"> </w:t>
      </w:r>
      <w:r>
        <w:t xml:space="preserve">occurs most commonly in young adult men. For </w:t>
      </w:r>
      <w:r w:rsidRPr="00876206">
        <w:t>Aboriginal and Torres Strait Islander</w:t>
      </w:r>
      <w:r>
        <w:t xml:space="preserve"> men aged </w:t>
      </w:r>
      <w:r w:rsidRPr="00CF2968">
        <w:t>25</w:t>
      </w:r>
      <w:r>
        <w:t>–</w:t>
      </w:r>
      <w:r w:rsidRPr="00CF2968">
        <w:t>34 years</w:t>
      </w:r>
      <w:r>
        <w:t>, half reported illicitly using substances in the last 12 months (table </w:t>
      </w:r>
      <w:proofErr w:type="spellStart"/>
      <w:r>
        <w:t>11A.2.6</w:t>
      </w:r>
      <w:proofErr w:type="spellEnd"/>
      <w:r>
        <w:t xml:space="preserve">). </w:t>
      </w:r>
    </w:p>
    <w:p w14:paraId="7EBB3B15" w14:textId="77777777" w:rsidR="008422E6" w:rsidRDefault="008422E6" w:rsidP="008422E6">
      <w:pPr>
        <w:pStyle w:val="BodyText"/>
      </w:pPr>
      <w:r>
        <w:t>The majority of illicit substance use (around 85 per cent) is of m</w:t>
      </w:r>
      <w:r w:rsidRPr="00023093">
        <w:t>arijuana, hashish or cannabis resin</w:t>
      </w:r>
      <w:r>
        <w:t xml:space="preserve"> (table </w:t>
      </w:r>
      <w:proofErr w:type="spellStart"/>
      <w:r>
        <w:t>11A.2.1</w:t>
      </w:r>
      <w:proofErr w:type="spellEnd"/>
      <w:r>
        <w:t xml:space="preserve">). The proportion of Aboriginal and Torres Strait Islander adults illicitly using these substances has increased over time: it was around 18–20 per cent from 2002 to 2014-15, before increasing to 24 per cent in 2018-19 (table </w:t>
      </w:r>
      <w:proofErr w:type="spellStart"/>
      <w:r>
        <w:t>11A.2.3</w:t>
      </w:r>
      <w:proofErr w:type="spellEnd"/>
      <w:r>
        <w:t xml:space="preserve">). This increase has been driven by increasing proportions of users in regional and </w:t>
      </w:r>
      <w:r w:rsidRPr="00AC2DA6">
        <w:t>very</w:t>
      </w:r>
      <w:r>
        <w:t xml:space="preserve"> remote areas in the last four years (figure 11.2.1).</w:t>
      </w:r>
    </w:p>
    <w:p w14:paraId="6FD6A1B7" w14:textId="77777777" w:rsidR="008422E6" w:rsidRPr="00E705D9" w:rsidRDefault="008422E6" w:rsidP="008422E6">
      <w:pPr>
        <w:pStyle w:val="Heading3"/>
      </w:pPr>
      <w:r>
        <w:t>… and h</w:t>
      </w:r>
      <w:r w:rsidRPr="0073463C">
        <w:t>ospitalisations</w:t>
      </w:r>
      <w:r w:rsidRPr="009D40CF">
        <w:t xml:space="preserve"> </w:t>
      </w:r>
      <w:r>
        <w:t xml:space="preserve">and deaths </w:t>
      </w:r>
      <w:r w:rsidRPr="00B85E9D">
        <w:t xml:space="preserve">from </w:t>
      </w:r>
      <w:r>
        <w:t>d</w:t>
      </w:r>
      <w:r w:rsidRPr="00E705D9">
        <w:t>rug</w:t>
      </w:r>
      <w:r>
        <w:t>-</w:t>
      </w:r>
      <w:r w:rsidRPr="00E705D9">
        <w:t xml:space="preserve">related </w:t>
      </w:r>
      <w:r>
        <w:t>issues are also increasing</w:t>
      </w:r>
    </w:p>
    <w:p w14:paraId="1806EAE2" w14:textId="47E02515" w:rsidR="008422E6" w:rsidRDefault="008422E6" w:rsidP="008422E6">
      <w:pPr>
        <w:pStyle w:val="BodyText"/>
      </w:pPr>
      <w:r w:rsidRPr="00F53DE9">
        <w:t>While the rate of drug-related hospitalisations has increased for all Australians over the past decade, it has increased more for Aboriginal and Torres Strait Islander people. The rate</w:t>
      </w:r>
      <w:r>
        <w:t xml:space="preserve"> of drug</w:t>
      </w:r>
      <w:r>
        <w:noBreakHyphen/>
        <w:t>related hospitalisations</w:t>
      </w:r>
      <w:r w:rsidRPr="00421044">
        <w:t xml:space="preserve"> </w:t>
      </w:r>
      <w:r>
        <w:t xml:space="preserve">for </w:t>
      </w:r>
      <w:r w:rsidRPr="00421044">
        <w:t>Aboriginal and Torres Strait Islander people</w:t>
      </w:r>
      <w:r>
        <w:t xml:space="preserve"> has more than</w:t>
      </w:r>
      <w:r w:rsidRPr="00421044">
        <w:t xml:space="preserve"> </w:t>
      </w:r>
      <w:r>
        <w:t>doubled (from 391 per 100 000 population in 2010-11 to 777 per 100 000 population in 2018</w:t>
      </w:r>
      <w:r>
        <w:noBreakHyphen/>
        <w:t xml:space="preserve">19), compared with a 20 per cent increase for non-Indigenous people. After adjusting for differences in population age structures, the drug-related hospitalisation rate for Aboriginal and Torres Strait Islander people was more than three times the rate for </w:t>
      </w:r>
      <w:r>
        <w:br/>
        <w:t xml:space="preserve">non-Indigenous people (up from a ratio of around 2:1 in 2010-11) (table </w:t>
      </w:r>
      <w:proofErr w:type="spellStart"/>
      <w:r>
        <w:t>11A.2.8</w:t>
      </w:r>
      <w:proofErr w:type="spellEnd"/>
      <w:r>
        <w:t>).</w:t>
      </w:r>
    </w:p>
    <w:p w14:paraId="7CFB6FDD" w14:textId="6F88DA74" w:rsidR="00F53DE9" w:rsidRPr="00F53DE9" w:rsidRDefault="00F53DE9" w:rsidP="008422E6">
      <w:pPr>
        <w:pStyle w:val="BodyText"/>
      </w:pPr>
      <w:r>
        <w:t xml:space="preserve">Around half of all drug-related hospitalisations for non-Indigenous people are related to mental and behavioural disorders (the remainder are related to poisoning, including accidental poisoning, and other). But for Aboriginal and Torres Strait Islander people this proportion is larger, at 60 per cent. In 2018-19, after adjusting for population age structures, Aboriginal and </w:t>
      </w:r>
      <w:r w:rsidR="005F4D1E">
        <w:t xml:space="preserve">Torres Strait Islander people were hospitalised for drug-related mental and behavioural disorders at four times the rate of non-Indigenous people (table </w:t>
      </w:r>
      <w:proofErr w:type="spellStart"/>
      <w:r w:rsidR="005F4D1E">
        <w:t>11A.2.8</w:t>
      </w:r>
      <w:proofErr w:type="spellEnd"/>
      <w:r w:rsidR="005F4D1E">
        <w:t>).</w:t>
      </w:r>
    </w:p>
    <w:p w14:paraId="76C2B865"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68B845C0" w14:textId="77777777" w:rsidTr="00F53DE9">
        <w:trPr>
          <w:tblHeader/>
        </w:trPr>
        <w:tc>
          <w:tcPr>
            <w:tcW w:w="5000" w:type="pct"/>
            <w:tcBorders>
              <w:top w:val="single" w:sz="6" w:space="0" w:color="78A22F"/>
              <w:left w:val="nil"/>
              <w:bottom w:val="nil"/>
              <w:right w:val="nil"/>
            </w:tcBorders>
            <w:shd w:val="clear" w:color="auto" w:fill="auto"/>
          </w:tcPr>
          <w:p w14:paraId="2728F128" w14:textId="0E4E7F88" w:rsidR="008422E6" w:rsidRPr="00176D3F" w:rsidRDefault="008422E6" w:rsidP="00F53DE9">
            <w:pPr>
              <w:pStyle w:val="FigureTitle"/>
            </w:pPr>
            <w:r w:rsidRPr="00784A05">
              <w:rPr>
                <w:b w:val="0"/>
              </w:rPr>
              <w:t xml:space="preserve">Figure </w:t>
            </w:r>
            <w:r>
              <w:rPr>
                <w:b w:val="0"/>
              </w:rPr>
              <w:t>11.2.</w:t>
            </w:r>
            <w:r>
              <w:rPr>
                <w:b w:val="0"/>
                <w:noProof/>
              </w:rPr>
              <w:t>1</w:t>
            </w:r>
            <w:r>
              <w:tab/>
              <w:t>M</w:t>
            </w:r>
            <w:r w:rsidRPr="00023093">
              <w:t>arij</w:t>
            </w:r>
            <w:r>
              <w:t xml:space="preserve">uana, hashish or cannabis resin </w:t>
            </w:r>
            <w:r w:rsidRPr="001B7545">
              <w:t xml:space="preserve">use for Aboriginal and Torres Strait Islander </w:t>
            </w:r>
            <w:r>
              <w:t>adults</w:t>
            </w:r>
            <w:r w:rsidRPr="001B7545">
              <w:t>, by remoteness</w:t>
            </w:r>
            <w:r>
              <w:t>, by year</w:t>
            </w:r>
            <w:proofErr w:type="spellStart"/>
            <w:r w:rsidRPr="002522F9">
              <w:rPr>
                <w:rStyle w:val="NoteLabel"/>
                <w:b/>
              </w:rPr>
              <w:t>a,b</w:t>
            </w:r>
            <w:r>
              <w:rPr>
                <w:rStyle w:val="NoteLabel"/>
                <w:b/>
              </w:rPr>
              <w:t>,c</w:t>
            </w:r>
            <w:proofErr w:type="spellEnd"/>
          </w:p>
        </w:tc>
      </w:tr>
      <w:tr w:rsidR="008422E6" w14:paraId="25E552EE" w14:textId="77777777" w:rsidTr="00F53DE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422E6" w:rsidRPr="00B1465D" w14:paraId="6641B99A" w14:textId="77777777" w:rsidTr="00F53DE9">
              <w:trPr>
                <w:tblHeader/>
                <w:jc w:val="center"/>
              </w:trPr>
              <w:tc>
                <w:tcPr>
                  <w:tcW w:w="5000" w:type="pct"/>
                  <w:tcBorders>
                    <w:top w:val="nil"/>
                    <w:bottom w:val="nil"/>
                  </w:tcBorders>
                </w:tcPr>
                <w:p w14:paraId="0058B5C3" w14:textId="1997F78F" w:rsidR="008422E6" w:rsidRPr="00B1465D" w:rsidRDefault="00493FBD" w:rsidP="00F53DE9">
                  <w:pPr>
                    <w:pStyle w:val="Figure"/>
                    <w:spacing w:before="60" w:after="60"/>
                    <w:rPr>
                      <w:rFonts w:ascii="Arial" w:hAnsi="Arial" w:cs="Arial"/>
                      <w:sz w:val="18"/>
                      <w:szCs w:val="18"/>
                    </w:rPr>
                  </w:pPr>
                  <w:r w:rsidRPr="00493FBD">
                    <w:rPr>
                      <w:noProof/>
                    </w:rPr>
                    <w:drawing>
                      <wp:inline distT="0" distB="0" distL="0" distR="0" wp14:anchorId="7B9718D2" wp14:editId="35E75EA7">
                        <wp:extent cx="5362575" cy="2876550"/>
                        <wp:effectExtent l="0" t="0" r="0" b="0"/>
                        <wp:docPr id="5" name="Picture 5" descr="Figure 11.2.1 Marijuana, hashish or cannabis resin use for Aboriginal and Torres Strait Islander adults, by remoteness, by year&#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2575" cy="2876550"/>
                                </a:xfrm>
                                <a:prstGeom prst="rect">
                                  <a:avLst/>
                                </a:prstGeom>
                                <a:noFill/>
                                <a:ln>
                                  <a:noFill/>
                                </a:ln>
                              </pic:spPr>
                            </pic:pic>
                          </a:graphicData>
                        </a:graphic>
                      </wp:inline>
                    </w:drawing>
                  </w:r>
                </w:p>
              </w:tc>
            </w:tr>
          </w:tbl>
          <w:p w14:paraId="027A38E5" w14:textId="77777777" w:rsidR="008422E6" w:rsidRDefault="008422E6" w:rsidP="00F53DE9">
            <w:pPr>
              <w:pStyle w:val="Figure"/>
            </w:pPr>
          </w:p>
        </w:tc>
      </w:tr>
      <w:tr w:rsidR="008422E6" w:rsidRPr="00176D3F" w14:paraId="6727DF5A" w14:textId="77777777" w:rsidTr="00F53DE9">
        <w:tc>
          <w:tcPr>
            <w:tcW w:w="5000" w:type="pct"/>
            <w:tcBorders>
              <w:top w:val="nil"/>
              <w:left w:val="nil"/>
              <w:bottom w:val="nil"/>
              <w:right w:val="nil"/>
            </w:tcBorders>
            <w:shd w:val="clear" w:color="auto" w:fill="auto"/>
          </w:tcPr>
          <w:p w14:paraId="69AB2E9B" w14:textId="77777777" w:rsidR="008422E6" w:rsidRPr="00176D3F" w:rsidRDefault="008422E6" w:rsidP="00F53DE9">
            <w:pPr>
              <w:pStyle w:val="Note"/>
            </w:pPr>
            <w:r>
              <w:rPr>
                <w:rStyle w:val="NoteLabel"/>
              </w:rPr>
              <w:t>a</w:t>
            </w:r>
            <w:r>
              <w:t xml:space="preserve"> </w:t>
            </w:r>
            <w:r w:rsidRPr="00565407">
              <w:t>Error bars represent the 95 per cent confidence interval associated with each point estimate.</w:t>
            </w:r>
            <w:r>
              <w:t xml:space="preserve"> </w:t>
            </w:r>
            <w:r>
              <w:rPr>
                <w:rStyle w:val="NoteLabel"/>
              </w:rPr>
              <w:t>b</w:t>
            </w:r>
            <w:r w:rsidRPr="00565407">
              <w:t xml:space="preserve"> See </w:t>
            </w:r>
            <w:r>
              <w:br/>
            </w:r>
            <w:r w:rsidRPr="00565407">
              <w:t xml:space="preserve">table </w:t>
            </w:r>
            <w:proofErr w:type="spellStart"/>
            <w:r>
              <w:t>11</w:t>
            </w:r>
            <w:r w:rsidRPr="00565407">
              <w:t>A.</w:t>
            </w:r>
            <w:r>
              <w:t>2.3</w:t>
            </w:r>
            <w:proofErr w:type="spellEnd"/>
            <w:r w:rsidRPr="00565407">
              <w:t xml:space="preserve"> for detailed definitions, footnotes and caveats.</w:t>
            </w:r>
            <w:r>
              <w:t xml:space="preserve"> </w:t>
            </w:r>
            <w:r w:rsidRPr="005C0C60">
              <w:rPr>
                <w:rStyle w:val="NoteLabel"/>
              </w:rPr>
              <w:t>c</w:t>
            </w:r>
            <w:r>
              <w:t xml:space="preserve"> Data are not available for remote and very remote areas in 2004-05.</w:t>
            </w:r>
          </w:p>
        </w:tc>
      </w:tr>
      <w:tr w:rsidR="008422E6" w:rsidRPr="00176D3F" w14:paraId="2C8161C5" w14:textId="77777777" w:rsidTr="00F53DE9">
        <w:tc>
          <w:tcPr>
            <w:tcW w:w="5000" w:type="pct"/>
            <w:tcBorders>
              <w:top w:val="nil"/>
              <w:left w:val="nil"/>
              <w:bottom w:val="nil"/>
              <w:right w:val="nil"/>
            </w:tcBorders>
            <w:shd w:val="clear" w:color="auto" w:fill="auto"/>
          </w:tcPr>
          <w:p w14:paraId="7FB060E0" w14:textId="77777777" w:rsidR="008422E6" w:rsidRPr="00176D3F" w:rsidRDefault="008422E6" w:rsidP="00F53DE9">
            <w:pPr>
              <w:pStyle w:val="Source"/>
            </w:pPr>
            <w:r>
              <w:rPr>
                <w:i/>
              </w:rPr>
              <w:t>S</w:t>
            </w:r>
            <w:r w:rsidRPr="00784A05">
              <w:rPr>
                <w:i/>
              </w:rPr>
              <w:t>ource</w:t>
            </w:r>
            <w:r w:rsidRPr="00176D3F">
              <w:t xml:space="preserve">: </w:t>
            </w:r>
            <w:r>
              <w:t xml:space="preserve">ABS (unpublished) </w:t>
            </w:r>
            <w:r w:rsidRPr="00136480">
              <w:t>National Aboriginal Torres Strait Islander Health Survey (various years)</w:t>
            </w:r>
            <w:r>
              <w:t>;</w:t>
            </w:r>
            <w:r w:rsidRPr="00136480">
              <w:t xml:space="preserve"> table</w:t>
            </w:r>
            <w:r>
              <w:t> </w:t>
            </w:r>
            <w:proofErr w:type="spellStart"/>
            <w:r>
              <w:t>11</w:t>
            </w:r>
            <w:r w:rsidRPr="00136480">
              <w:t>A.</w:t>
            </w:r>
            <w:r>
              <w:t>2.3</w:t>
            </w:r>
            <w:proofErr w:type="spellEnd"/>
            <w:r w:rsidRPr="00136480">
              <w:t>.</w:t>
            </w:r>
          </w:p>
        </w:tc>
      </w:tr>
      <w:tr w:rsidR="008422E6" w14:paraId="15B3B726" w14:textId="77777777" w:rsidTr="00F53DE9">
        <w:tc>
          <w:tcPr>
            <w:tcW w:w="5000" w:type="pct"/>
            <w:tcBorders>
              <w:top w:val="nil"/>
              <w:left w:val="nil"/>
              <w:bottom w:val="single" w:sz="6" w:space="0" w:color="78A22F"/>
              <w:right w:val="nil"/>
            </w:tcBorders>
            <w:shd w:val="clear" w:color="auto" w:fill="auto"/>
          </w:tcPr>
          <w:p w14:paraId="7A9087B9" w14:textId="77777777" w:rsidR="008422E6" w:rsidRDefault="008422E6" w:rsidP="00F53DE9">
            <w:pPr>
              <w:pStyle w:val="Figurespace"/>
            </w:pPr>
          </w:p>
        </w:tc>
      </w:tr>
      <w:tr w:rsidR="008422E6" w:rsidRPr="000863A5" w14:paraId="70A8D168" w14:textId="77777777" w:rsidTr="00F53DE9">
        <w:tc>
          <w:tcPr>
            <w:tcW w:w="5000" w:type="pct"/>
            <w:tcBorders>
              <w:top w:val="single" w:sz="6" w:space="0" w:color="78A22F"/>
              <w:left w:val="nil"/>
              <w:bottom w:val="nil"/>
              <w:right w:val="nil"/>
            </w:tcBorders>
          </w:tcPr>
          <w:p w14:paraId="2A85F8DC" w14:textId="77777777" w:rsidR="008422E6" w:rsidRPr="00626D32" w:rsidRDefault="008422E6" w:rsidP="00F53DE9">
            <w:pPr>
              <w:pStyle w:val="BoxSpaceBelow"/>
            </w:pPr>
          </w:p>
        </w:tc>
      </w:tr>
    </w:tbl>
    <w:p w14:paraId="1776798C" w14:textId="77777777" w:rsidR="008422E6" w:rsidRDefault="008422E6" w:rsidP="008422E6">
      <w:pPr>
        <w:pStyle w:val="BodyText"/>
      </w:pPr>
      <w:r w:rsidRPr="005F4D1E">
        <w:t xml:space="preserve">The increase in the rate of drug-related hospitalisations is seen across all remoteness areas and for all people, but is more pronounced for Aboriginal and Torres Strait Islander people in major cities and regional areas </w:t>
      </w:r>
      <w:r>
        <w:t xml:space="preserve">(table </w:t>
      </w:r>
      <w:proofErr w:type="spellStart"/>
      <w:r>
        <w:t>11A.2.11</w:t>
      </w:r>
      <w:proofErr w:type="spellEnd"/>
      <w:r>
        <w:t>).</w:t>
      </w:r>
    </w:p>
    <w:p w14:paraId="37219F97" w14:textId="77777777" w:rsidR="008422E6" w:rsidRDefault="008422E6" w:rsidP="008422E6">
      <w:pPr>
        <w:pStyle w:val="BodyText"/>
      </w:pPr>
      <w:r>
        <w:t>Drug-induced deaths</w:t>
      </w:r>
      <w:r>
        <w:rPr>
          <w:rStyle w:val="FootnoteReference"/>
        </w:rPr>
        <w:footnoteReference w:id="10"/>
      </w:r>
      <w:r>
        <w:t xml:space="preserve"> have also increased for both Aboriginal and Torres Strait Islander and </w:t>
      </w:r>
      <w:r>
        <w:br/>
        <w:t xml:space="preserve">non-Indigenous people. In </w:t>
      </w:r>
      <w:r w:rsidRPr="00FF01FF">
        <w:t>2014−2018</w:t>
      </w:r>
      <w:r>
        <w:t>, a</w:t>
      </w:r>
      <w:r w:rsidRPr="00E66D71">
        <w:t>fter adjusting for differences in population age structures, the drug</w:t>
      </w:r>
      <w:r>
        <w:noBreakHyphen/>
      </w:r>
      <w:r w:rsidRPr="00E66D71">
        <w:t xml:space="preserve">induced death rate for Aboriginal and Torres Strait Islander </w:t>
      </w:r>
      <w:r>
        <w:t>people</w:t>
      </w:r>
      <w:r w:rsidRPr="00E66D71">
        <w:t xml:space="preserve"> was </w:t>
      </w:r>
      <w:r>
        <w:t>around twice</w:t>
      </w:r>
      <w:r w:rsidRPr="00E66D71">
        <w:t xml:space="preserve"> the rate for non</w:t>
      </w:r>
      <w:r w:rsidRPr="00E66D71">
        <w:noBreakHyphen/>
        <w:t xml:space="preserve">Indigenous </w:t>
      </w:r>
      <w:r>
        <w:t xml:space="preserve">people, up from a ratio of 1.6:1 in </w:t>
      </w:r>
      <w:r w:rsidRPr="00FF01FF">
        <w:t>2009−2013</w:t>
      </w:r>
      <w:r>
        <w:t xml:space="preserve"> (table </w:t>
      </w:r>
      <w:proofErr w:type="spellStart"/>
      <w:r>
        <w:t>11A.2.14</w:t>
      </w:r>
      <w:proofErr w:type="spellEnd"/>
      <w:r>
        <w:t>). The largest increase in the age-standardised rate over this period was for Aboriginal and Torres Strait Islander males (from 12 to 17 per 100 000 population) (table </w:t>
      </w:r>
      <w:proofErr w:type="spellStart"/>
      <w:r>
        <w:t>11A.2.14</w:t>
      </w:r>
      <w:proofErr w:type="spellEnd"/>
      <w:r>
        <w:t>).</w:t>
      </w:r>
    </w:p>
    <w:p w14:paraId="1FF43262" w14:textId="77777777" w:rsidR="008422E6" w:rsidRDefault="008422E6" w:rsidP="008422E6">
      <w:pPr>
        <w:pStyle w:val="BodyText"/>
      </w:pPr>
      <w:r>
        <w:t>Data on drug involvements in homicides are included in</w:t>
      </w:r>
      <w:r w:rsidRPr="002221DA">
        <w:rPr>
          <w:color w:val="FF0000"/>
          <w:sz w:val="20"/>
        </w:rPr>
        <w:t xml:space="preserve"> </w:t>
      </w:r>
      <w:r w:rsidRPr="00C924BB">
        <w:t>table </w:t>
      </w:r>
      <w:proofErr w:type="spellStart"/>
      <w:r w:rsidRPr="00C924BB">
        <w:t>11A.2.15</w:t>
      </w:r>
      <w:proofErr w:type="spellEnd"/>
      <w:r w:rsidRPr="00C924BB">
        <w:t>. The number of Aboriginal and Torres Strait Islander homicide incidents and the influence of drugs on the victim</w:t>
      </w:r>
      <w:r>
        <w:t>s</w:t>
      </w:r>
      <w:r w:rsidRPr="00C924BB">
        <w:t xml:space="preserve"> and/or offender</w:t>
      </w:r>
      <w:r>
        <w:t>s</w:t>
      </w:r>
      <w:r w:rsidRPr="00C924BB">
        <w:t xml:space="preserve"> are small and difficult to interpret. Numbers </w:t>
      </w:r>
      <w:r>
        <w:t xml:space="preserve">have </w:t>
      </w:r>
      <w:r w:rsidRPr="00C924BB">
        <w:t>fluctuated</w:t>
      </w:r>
      <w:r>
        <w:t>,</w:t>
      </w:r>
      <w:r w:rsidRPr="00C924BB">
        <w:t xml:space="preserve"> with no clear trend over the period 1999</w:t>
      </w:r>
      <w:r w:rsidRPr="00C924BB">
        <w:noBreakHyphen/>
        <w:t>2000 to 2017</w:t>
      </w:r>
      <w:r w:rsidRPr="00C924BB">
        <w:noBreakHyphen/>
        <w:t>18.</w:t>
      </w:r>
    </w:p>
    <w:p w14:paraId="763D9ADC" w14:textId="77777777" w:rsidR="008422E6" w:rsidRDefault="008422E6" w:rsidP="008422E6">
      <w:pPr>
        <w:pStyle w:val="Heading3"/>
        <w:jc w:val="both"/>
      </w:pPr>
      <w:r>
        <w:lastRenderedPageBreak/>
        <w:t>More evidence is required on the drivers of use to effectively respond</w:t>
      </w:r>
    </w:p>
    <w:p w14:paraId="346AF224" w14:textId="17F03C23" w:rsidR="008422E6" w:rsidRDefault="008422E6" w:rsidP="008422E6">
      <w:pPr>
        <w:pStyle w:val="BodyText"/>
      </w:pPr>
      <w:r>
        <w:t>R</w:t>
      </w:r>
      <w:r w:rsidRPr="000C5ED8">
        <w:t xml:space="preserve">esponding to the needs of Aboriginal and Torres Strait Islander </w:t>
      </w:r>
      <w:r>
        <w:t>people who illicitly use substances</w:t>
      </w:r>
      <w:r w:rsidRPr="000C5ED8">
        <w:t xml:space="preserve"> requires </w:t>
      </w:r>
      <w:r>
        <w:t xml:space="preserve">an understanding of what drives demand, but the evidence on this is sparse (see </w:t>
      </w:r>
      <w:proofErr w:type="spellStart"/>
      <w:r>
        <w:t>Leske</w:t>
      </w:r>
      <w:proofErr w:type="spellEnd"/>
      <w:r>
        <w:t xml:space="preserve"> et al </w:t>
      </w:r>
      <w:r w:rsidRPr="004C37A6">
        <w:t>(2016)</w:t>
      </w:r>
      <w:r>
        <w:t xml:space="preserve"> and </w:t>
      </w:r>
      <w:proofErr w:type="spellStart"/>
      <w:r>
        <w:t>Snijder</w:t>
      </w:r>
      <w:proofErr w:type="spellEnd"/>
      <w:r>
        <w:t xml:space="preserve"> et al </w:t>
      </w:r>
      <w:r w:rsidRPr="004C37A6">
        <w:t>(2020)</w:t>
      </w:r>
      <w:r>
        <w:rPr>
          <w:rStyle w:val="FootnoteReference"/>
        </w:rPr>
        <w:footnoteReference w:id="11"/>
      </w:r>
      <w:r>
        <w:t xml:space="preserve">). For example, one study on cannabis use found that peers potentially had an impact on use </w:t>
      </w:r>
      <w:r w:rsidRPr="00A10611">
        <w:rPr>
          <w:szCs w:val="24"/>
        </w:rPr>
        <w:t>(</w:t>
      </w:r>
      <w:proofErr w:type="spellStart"/>
      <w:r w:rsidRPr="00A10611">
        <w:rPr>
          <w:szCs w:val="24"/>
        </w:rPr>
        <w:t>Geia</w:t>
      </w:r>
      <w:proofErr w:type="spellEnd"/>
      <w:r w:rsidRPr="00A10611">
        <w:rPr>
          <w:szCs w:val="24"/>
        </w:rPr>
        <w:t xml:space="preserve"> et al.</w:t>
      </w:r>
      <w:r w:rsidRPr="00B86C8E">
        <w:rPr>
          <w:szCs w:val="24"/>
        </w:rPr>
        <w:t> 2018; Intergovernmental Committee on Drugs 2014)</w:t>
      </w:r>
      <w:r>
        <w:t xml:space="preserve">, while another found that use was linked to perceived calming or self-regulating benefits </w:t>
      </w:r>
      <w:r w:rsidRPr="00354458">
        <w:rPr>
          <w:szCs w:val="24"/>
        </w:rPr>
        <w:t>(Graham and Clough 2019)</w:t>
      </w:r>
      <w:r>
        <w:t>. But these findings do not explain what the underlying drivers are that make a person more likely to be influenced by peers, or why they need a substance to calm them.</w:t>
      </w:r>
    </w:p>
    <w:p w14:paraId="05D8319D" w14:textId="44E78E48" w:rsidR="008422E6" w:rsidRDefault="008422E6" w:rsidP="008422E6">
      <w:pPr>
        <w:pStyle w:val="BodyText"/>
      </w:pPr>
      <w:r>
        <w:t xml:space="preserve">When </w:t>
      </w:r>
      <w:r w:rsidRPr="000C5ED8">
        <w:t xml:space="preserve">Aboriginal and Torres Strait Islander people </w:t>
      </w:r>
      <w:r>
        <w:t xml:space="preserve">use substances for relief, this </w:t>
      </w:r>
      <w:r w:rsidRPr="000C5ED8">
        <w:t xml:space="preserve">must be considered within the context of trauma </w:t>
      </w:r>
      <w:r>
        <w:t xml:space="preserve">and its continuing intergenerational impacts as a result of </w:t>
      </w:r>
      <w:r w:rsidRPr="000C5ED8">
        <w:t xml:space="preserve">colonisation, dispossession and economic exclusion </w:t>
      </w:r>
      <w:r w:rsidRPr="000F5A2B">
        <w:t>(</w:t>
      </w:r>
      <w:proofErr w:type="spellStart"/>
      <w:r w:rsidRPr="000F5A2B">
        <w:t>Calma</w:t>
      </w:r>
      <w:proofErr w:type="spellEnd"/>
      <w:r w:rsidRPr="000F5A2B">
        <w:t xml:space="preserve">, Dudgeon and Bray 2017; Macrae and </w:t>
      </w:r>
      <w:proofErr w:type="spellStart"/>
      <w:r w:rsidRPr="000F5A2B">
        <w:t>Hoareau</w:t>
      </w:r>
      <w:proofErr w:type="spellEnd"/>
      <w:r w:rsidRPr="000F5A2B">
        <w:t> 2016)</w:t>
      </w:r>
      <w:r w:rsidRPr="000C5ED8">
        <w:t>.</w:t>
      </w:r>
      <w:r w:rsidRPr="00A84CBB">
        <w:t xml:space="preserve"> </w:t>
      </w:r>
      <w:r>
        <w:t xml:space="preserve">For example, in research on Aboriginal use of methamphetamine, participants identified historical trauma, contemporary disadvantage and racism, along with incarceration and other social factors (such as those related to education, employment and housing) as the cause of the market for ice and other drugs within Aboriginal and Torres Strait Islander communities </w:t>
      </w:r>
      <w:r w:rsidRPr="000F5A2B">
        <w:t xml:space="preserve">(MacLean, </w:t>
      </w:r>
      <w:proofErr w:type="spellStart"/>
      <w:r w:rsidRPr="000F5A2B">
        <w:t>Hengsen</w:t>
      </w:r>
      <w:proofErr w:type="spellEnd"/>
      <w:r w:rsidRPr="000F5A2B">
        <w:t xml:space="preserve"> and Stephens 2017; </w:t>
      </w:r>
      <w:proofErr w:type="spellStart"/>
      <w:r w:rsidRPr="000F5A2B">
        <w:t>Snijder</w:t>
      </w:r>
      <w:proofErr w:type="spellEnd"/>
      <w:r w:rsidRPr="000F5A2B">
        <w:t xml:space="preserve"> and Kershaw 2019)</w:t>
      </w:r>
      <w:r>
        <w:t>.</w:t>
      </w:r>
    </w:p>
    <w:p w14:paraId="51F4020A" w14:textId="2AE619B5" w:rsidR="008422E6" w:rsidRDefault="008422E6" w:rsidP="008422E6">
      <w:pPr>
        <w:pStyle w:val="BodyText"/>
      </w:pPr>
      <w:r>
        <w:t xml:space="preserve">A recent study of a residential drug and alcohol treatment program for young Aboriginal and Torres Strait Islander people found that culturally relevant modes of treatment, and taking a harm-minimisation and holistic approach to the factors in the young person’s life, saw a reduction in the levels of self-harm, substance misuse, and arrests </w:t>
      </w:r>
      <w:r w:rsidRPr="00845FE2">
        <w:rPr>
          <w:szCs w:val="24"/>
        </w:rPr>
        <w:t>(Nathan et al. 2020)</w:t>
      </w:r>
      <w:r>
        <w:t>.</w:t>
      </w:r>
    </w:p>
    <w:p w14:paraId="18FF27B5" w14:textId="70D08102" w:rsidR="008422E6" w:rsidRPr="00C924BB" w:rsidRDefault="008422E6" w:rsidP="008422E6">
      <w:pPr>
        <w:pStyle w:val="BodyText"/>
      </w:pPr>
      <w:r>
        <w:t xml:space="preserve">In addition to addressing the demand for substances, there is also a need to reduce the supply of substances for illicit use. But unintended consequences, such as the use of replacement substances, need to be considered. For example, the Government replaced regular unleaded petrol with low aromatic fuel in a number of regional and remote locations, which significantly reduced petrol sniffing; however, some petrol sniffers have moved to alcohol or cannabis instead </w:t>
      </w:r>
      <w:r w:rsidRPr="00A86D69">
        <w:rPr>
          <w:szCs w:val="24"/>
        </w:rPr>
        <w:t>(</w:t>
      </w:r>
      <w:proofErr w:type="spellStart"/>
      <w:r w:rsidRPr="00A86D69">
        <w:rPr>
          <w:szCs w:val="24"/>
        </w:rPr>
        <w:t>d’Abbs</w:t>
      </w:r>
      <w:proofErr w:type="spellEnd"/>
      <w:r w:rsidRPr="00A86D69">
        <w:rPr>
          <w:szCs w:val="24"/>
        </w:rPr>
        <w:t xml:space="preserve"> et al.</w:t>
      </w:r>
      <w:r w:rsidRPr="00A10611">
        <w:rPr>
          <w:szCs w:val="24"/>
        </w:rPr>
        <w:t> 2019)</w:t>
      </w:r>
      <w:r>
        <w:t>.</w:t>
      </w:r>
    </w:p>
    <w:p w14:paraId="0FA2F7B7" w14:textId="77777777" w:rsidR="008422E6" w:rsidRPr="00C61B14" w:rsidRDefault="008422E6" w:rsidP="008422E6">
      <w:pPr>
        <w:pStyle w:val="Heading3"/>
      </w:pPr>
      <w:r w:rsidRPr="00C61B14">
        <w:t>Future directions in data</w:t>
      </w:r>
    </w:p>
    <w:p w14:paraId="7A05DA5B" w14:textId="51895BEB" w:rsidR="008422E6" w:rsidRPr="00C61B14" w:rsidRDefault="008422E6" w:rsidP="008422E6">
      <w:pPr>
        <w:pStyle w:val="BodyText"/>
      </w:pPr>
      <w:r>
        <w:t>Data on i</w:t>
      </w:r>
      <w:r w:rsidRPr="00B85C9B">
        <w:t xml:space="preserve">llicit </w:t>
      </w:r>
      <w:r>
        <w:t>substance</w:t>
      </w:r>
      <w:r w:rsidRPr="00B85C9B">
        <w:t xml:space="preserve"> use in Australia </w:t>
      </w:r>
      <w:r>
        <w:t xml:space="preserve">are based </w:t>
      </w:r>
      <w:r w:rsidRPr="00B85C9B">
        <w:t>on self-reported survey data</w:t>
      </w:r>
      <w:r>
        <w:t xml:space="preserve">. The data may under-estimate consumption, </w:t>
      </w:r>
      <w:r w:rsidRPr="00B85C9B">
        <w:t xml:space="preserve">because </w:t>
      </w:r>
      <w:r>
        <w:t xml:space="preserve">these </w:t>
      </w:r>
      <w:r w:rsidRPr="00B85C9B">
        <w:t>drugs are illegal to possess</w:t>
      </w:r>
      <w:r>
        <w:t xml:space="preserve"> </w:t>
      </w:r>
      <w:r w:rsidRPr="00B85C9B">
        <w:rPr>
          <w:szCs w:val="24"/>
        </w:rPr>
        <w:t xml:space="preserve">(Macrae and </w:t>
      </w:r>
      <w:proofErr w:type="spellStart"/>
      <w:r w:rsidRPr="00B85C9B">
        <w:rPr>
          <w:szCs w:val="24"/>
        </w:rPr>
        <w:t>Hoareau</w:t>
      </w:r>
      <w:proofErr w:type="spellEnd"/>
      <w:r w:rsidRPr="00B85C9B">
        <w:rPr>
          <w:szCs w:val="24"/>
        </w:rPr>
        <w:t> 2016)</w:t>
      </w:r>
      <w:r>
        <w:t xml:space="preserve"> and this may affect respondents’ willingness to respond honestly. Results of previous ABS surveys and administrative data collections on the use of alcohol and illegal drugs suggest a tendency for respondents to underreport actual consumption levels </w:t>
      </w:r>
      <w:r w:rsidRPr="00D80BD9">
        <w:rPr>
          <w:szCs w:val="24"/>
        </w:rPr>
        <w:t>(ABS 2016)</w:t>
      </w:r>
      <w:r>
        <w:t xml:space="preserve"> — and, whilst national surveys may provide a broad indication of the prevalence of drug use, any significant regional variation is concealed. </w:t>
      </w:r>
      <w:r w:rsidRPr="00152D32">
        <w:t>The National Aborigi</w:t>
      </w:r>
      <w:r>
        <w:t xml:space="preserve">nal and </w:t>
      </w:r>
      <w:r>
        <w:lastRenderedPageBreak/>
        <w:t>Torres Strait Islander Peoples’ D</w:t>
      </w:r>
      <w:r w:rsidRPr="00152D32">
        <w:t xml:space="preserve">rug </w:t>
      </w:r>
      <w:r>
        <w:t>S</w:t>
      </w:r>
      <w:r w:rsidRPr="00152D32">
        <w:t>trategy 2014</w:t>
      </w:r>
      <w:r>
        <w:t>–</w:t>
      </w:r>
      <w:r w:rsidRPr="00152D32">
        <w:t xml:space="preserve">2019 </w:t>
      </w:r>
      <w:r w:rsidRPr="00152D32">
        <w:rPr>
          <w:szCs w:val="24"/>
        </w:rPr>
        <w:t>(Intergovernmental Committee on Drugs 2014)</w:t>
      </w:r>
      <w:r>
        <w:t xml:space="preserve"> prioritises the </w:t>
      </w:r>
      <w:r w:rsidRPr="00152D32">
        <w:t>establish</w:t>
      </w:r>
      <w:r>
        <w:t>ment of</w:t>
      </w:r>
      <w:r w:rsidRPr="00152D32">
        <w:t xml:space="preserve"> meaningful performance measure</w:t>
      </w:r>
      <w:r>
        <w:t>s</w:t>
      </w:r>
      <w:r w:rsidRPr="00152D32">
        <w:t xml:space="preserve"> with effective data collection to support community-led monitoring and evaluation.</w:t>
      </w:r>
      <w:r>
        <w:t xml:space="preserve"> Given the rise in cannabis use in conjunction with tobacco by Aboriginal and Torres Strait Islander young people, data to support an understanding of this mix would be useful.</w:t>
      </w:r>
      <w:r>
        <w:rPr>
          <w:b/>
          <w:color w:val="FF0000"/>
        </w:rPr>
        <w:t xml:space="preserve"> </w:t>
      </w:r>
    </w:p>
    <w:p w14:paraId="4D96BBB6" w14:textId="4AB960BD" w:rsidR="008422E6" w:rsidRDefault="008422E6" w:rsidP="008422E6">
      <w:pPr>
        <w:pStyle w:val="Heading3"/>
      </w:pPr>
      <w:r>
        <w:t>References</w:t>
      </w:r>
    </w:p>
    <w:p w14:paraId="5442FB55" w14:textId="1E52B86E" w:rsidR="0034535B" w:rsidRPr="00EF11AE" w:rsidRDefault="0034535B" w:rsidP="0034535B">
      <w:pPr>
        <w:pStyle w:val="Reference"/>
        <w:rPr>
          <w:sz w:val="20"/>
        </w:rPr>
      </w:pPr>
      <w:proofErr w:type="spellStart"/>
      <w:r w:rsidRPr="00EF11AE">
        <w:rPr>
          <w:sz w:val="20"/>
        </w:rPr>
        <w:t>d’Abbs</w:t>
      </w:r>
      <w:proofErr w:type="spellEnd"/>
      <w:r w:rsidRPr="00EF11AE">
        <w:rPr>
          <w:sz w:val="20"/>
        </w:rPr>
        <w:t xml:space="preserve">, P., Gillick, V., Hodson, S., Kavanagh, M., Payne, S. and Ray, T. 2019, </w:t>
      </w:r>
      <w:r w:rsidRPr="00EF11AE">
        <w:rPr>
          <w:i/>
          <w:iCs/>
          <w:sz w:val="20"/>
        </w:rPr>
        <w:t>Longitudinal Research into Petrol Sniffing and Other Substance Abuse Trends in Indigenous Communities</w:t>
      </w:r>
      <w:r w:rsidRPr="00EF11AE">
        <w:rPr>
          <w:sz w:val="20"/>
        </w:rPr>
        <w:t>, University of Queensland.</w:t>
      </w:r>
    </w:p>
    <w:p w14:paraId="28B0D455" w14:textId="77777777" w:rsidR="0034535B" w:rsidRPr="00EF11AE" w:rsidRDefault="0034535B" w:rsidP="0034535B">
      <w:pPr>
        <w:pStyle w:val="Reference"/>
        <w:rPr>
          <w:sz w:val="20"/>
        </w:rPr>
      </w:pPr>
      <w:r w:rsidRPr="00EF11AE">
        <w:rPr>
          <w:sz w:val="20"/>
        </w:rPr>
        <w:t xml:space="preserve">ABS (Australian Bureau of Statistics) 2016, </w:t>
      </w:r>
      <w:r w:rsidRPr="00EF11AE">
        <w:rPr>
          <w:i/>
          <w:iCs/>
          <w:sz w:val="20"/>
        </w:rPr>
        <w:t>National Aboriginal and Torres Strait Islander Social Survey, 2014-15</w:t>
      </w:r>
      <w:r w:rsidRPr="00EF11AE">
        <w:rPr>
          <w:sz w:val="20"/>
        </w:rPr>
        <w:t>, Cat. no. 4714.0, Canberra.</w:t>
      </w:r>
    </w:p>
    <w:p w14:paraId="22CE7C4D" w14:textId="77777777" w:rsidR="0034535B" w:rsidRPr="00EF11AE" w:rsidRDefault="0034535B" w:rsidP="0034535B">
      <w:pPr>
        <w:pStyle w:val="Reference"/>
        <w:rPr>
          <w:sz w:val="20"/>
        </w:rPr>
      </w:pPr>
      <w:r w:rsidRPr="00EF11AE">
        <w:rPr>
          <w:sz w:val="20"/>
        </w:rPr>
        <w:t xml:space="preserve">Agrawal, A., Tillman, R., </w:t>
      </w:r>
      <w:proofErr w:type="spellStart"/>
      <w:r w:rsidRPr="00EF11AE">
        <w:rPr>
          <w:sz w:val="20"/>
        </w:rPr>
        <w:t>Grucza</w:t>
      </w:r>
      <w:proofErr w:type="spellEnd"/>
      <w:r w:rsidRPr="00EF11AE">
        <w:rPr>
          <w:sz w:val="20"/>
        </w:rPr>
        <w:t xml:space="preserve">, R.A., Nelson, E.C., McCutcheon, V.V., Few, L., Conner, </w:t>
      </w:r>
      <w:proofErr w:type="spellStart"/>
      <w:r w:rsidRPr="00EF11AE">
        <w:rPr>
          <w:sz w:val="20"/>
        </w:rPr>
        <w:t>K.R</w:t>
      </w:r>
      <w:proofErr w:type="spellEnd"/>
      <w:r w:rsidRPr="00EF11AE">
        <w:rPr>
          <w:sz w:val="20"/>
        </w:rPr>
        <w:t xml:space="preserve">., Lynskey, M.T., Dick, D.M., </w:t>
      </w:r>
      <w:proofErr w:type="spellStart"/>
      <w:r w:rsidRPr="00EF11AE">
        <w:rPr>
          <w:sz w:val="20"/>
        </w:rPr>
        <w:t>Edenberg</w:t>
      </w:r>
      <w:proofErr w:type="spellEnd"/>
      <w:r w:rsidRPr="00EF11AE">
        <w:rPr>
          <w:sz w:val="20"/>
        </w:rPr>
        <w:t xml:space="preserve">, H.J., </w:t>
      </w:r>
      <w:proofErr w:type="spellStart"/>
      <w:r w:rsidRPr="00EF11AE">
        <w:rPr>
          <w:sz w:val="20"/>
        </w:rPr>
        <w:t>Hesselbrock</w:t>
      </w:r>
      <w:proofErr w:type="spellEnd"/>
      <w:r w:rsidRPr="00EF11AE">
        <w:rPr>
          <w:sz w:val="20"/>
        </w:rPr>
        <w:t xml:space="preserve">, </w:t>
      </w:r>
      <w:proofErr w:type="spellStart"/>
      <w:r w:rsidRPr="00EF11AE">
        <w:rPr>
          <w:sz w:val="20"/>
        </w:rPr>
        <w:t>V.M</w:t>
      </w:r>
      <w:proofErr w:type="spellEnd"/>
      <w:r w:rsidRPr="00EF11AE">
        <w:rPr>
          <w:sz w:val="20"/>
        </w:rPr>
        <w:t xml:space="preserve">., Kramer, J.R., </w:t>
      </w:r>
      <w:proofErr w:type="spellStart"/>
      <w:r w:rsidRPr="00EF11AE">
        <w:rPr>
          <w:sz w:val="20"/>
        </w:rPr>
        <w:t>Kuperman</w:t>
      </w:r>
      <w:proofErr w:type="spellEnd"/>
      <w:r w:rsidRPr="00EF11AE">
        <w:rPr>
          <w:sz w:val="20"/>
        </w:rPr>
        <w:t xml:space="preserve">, S., </w:t>
      </w:r>
      <w:proofErr w:type="spellStart"/>
      <w:r w:rsidRPr="00EF11AE">
        <w:rPr>
          <w:sz w:val="20"/>
        </w:rPr>
        <w:t>Nurnberger</w:t>
      </w:r>
      <w:proofErr w:type="spellEnd"/>
      <w:r w:rsidRPr="00EF11AE">
        <w:rPr>
          <w:sz w:val="20"/>
        </w:rPr>
        <w:t xml:space="preserve">, </w:t>
      </w:r>
      <w:proofErr w:type="spellStart"/>
      <w:r w:rsidRPr="00EF11AE">
        <w:rPr>
          <w:sz w:val="20"/>
        </w:rPr>
        <w:t>J.I</w:t>
      </w:r>
      <w:proofErr w:type="spellEnd"/>
      <w:r w:rsidRPr="00EF11AE">
        <w:rPr>
          <w:sz w:val="20"/>
        </w:rPr>
        <w:t xml:space="preserve">., </w:t>
      </w:r>
      <w:proofErr w:type="spellStart"/>
      <w:r w:rsidRPr="00EF11AE">
        <w:rPr>
          <w:sz w:val="20"/>
        </w:rPr>
        <w:t>Schuckit</w:t>
      </w:r>
      <w:proofErr w:type="spellEnd"/>
      <w:r w:rsidRPr="00EF11AE">
        <w:rPr>
          <w:sz w:val="20"/>
        </w:rPr>
        <w:t xml:space="preserve">, M.A., </w:t>
      </w:r>
      <w:proofErr w:type="spellStart"/>
      <w:r w:rsidRPr="00EF11AE">
        <w:rPr>
          <w:sz w:val="20"/>
        </w:rPr>
        <w:t>Porjesz</w:t>
      </w:r>
      <w:proofErr w:type="spellEnd"/>
      <w:r w:rsidRPr="00EF11AE">
        <w:rPr>
          <w:sz w:val="20"/>
        </w:rPr>
        <w:t xml:space="preserve">, B. and </w:t>
      </w:r>
      <w:proofErr w:type="spellStart"/>
      <w:r w:rsidRPr="00EF11AE">
        <w:rPr>
          <w:sz w:val="20"/>
        </w:rPr>
        <w:t>Bucholz</w:t>
      </w:r>
      <w:proofErr w:type="spellEnd"/>
      <w:r w:rsidRPr="00EF11AE">
        <w:rPr>
          <w:sz w:val="20"/>
        </w:rPr>
        <w:t xml:space="preserve">, K.K. 2017, ‘Reciprocal relationships between substance use and disorders and suicidal ideation and suicide attempts in the Collaborative Study of the Genetics of Alcoholism’, </w:t>
      </w:r>
      <w:r w:rsidRPr="00EF11AE">
        <w:rPr>
          <w:i/>
          <w:iCs/>
          <w:sz w:val="20"/>
        </w:rPr>
        <w:t>Journal of Affective Disorders</w:t>
      </w:r>
      <w:r w:rsidRPr="00EF11AE">
        <w:rPr>
          <w:sz w:val="20"/>
        </w:rPr>
        <w:t>, vol. 213, pp. 96–104.</w:t>
      </w:r>
    </w:p>
    <w:p w14:paraId="66834B05" w14:textId="77777777" w:rsidR="0034535B" w:rsidRPr="00EF11AE" w:rsidRDefault="0034535B" w:rsidP="0034535B">
      <w:pPr>
        <w:pStyle w:val="Reference"/>
        <w:rPr>
          <w:sz w:val="20"/>
        </w:rPr>
      </w:pPr>
      <w:proofErr w:type="spellStart"/>
      <w:r w:rsidRPr="00EF11AE">
        <w:rPr>
          <w:sz w:val="20"/>
        </w:rPr>
        <w:t>Baldock</w:t>
      </w:r>
      <w:proofErr w:type="spellEnd"/>
      <w:r w:rsidRPr="00EF11AE">
        <w:rPr>
          <w:sz w:val="20"/>
        </w:rPr>
        <w:t xml:space="preserve">, M. and Lindsay, T. 2020, ‘Illicit drugs are now more common than alcohol among South Australian crash-involved drivers and riders’, </w:t>
      </w:r>
      <w:r w:rsidRPr="00EF11AE">
        <w:rPr>
          <w:i/>
          <w:iCs/>
          <w:sz w:val="20"/>
        </w:rPr>
        <w:t>Traffic Injury Prevention</w:t>
      </w:r>
      <w:r w:rsidRPr="00EF11AE">
        <w:rPr>
          <w:sz w:val="20"/>
        </w:rPr>
        <w:t>, vol. 21, no. 1, pp. 1–6.</w:t>
      </w:r>
    </w:p>
    <w:p w14:paraId="55E1EFBB" w14:textId="77777777" w:rsidR="0034535B" w:rsidRPr="00EF11AE" w:rsidRDefault="0034535B" w:rsidP="0034535B">
      <w:pPr>
        <w:pStyle w:val="Reference"/>
        <w:rPr>
          <w:sz w:val="20"/>
        </w:rPr>
      </w:pPr>
      <w:proofErr w:type="spellStart"/>
      <w:r w:rsidRPr="00EF11AE">
        <w:rPr>
          <w:sz w:val="20"/>
        </w:rPr>
        <w:t>Calma</w:t>
      </w:r>
      <w:proofErr w:type="spellEnd"/>
      <w:r w:rsidRPr="00EF11AE">
        <w:rPr>
          <w:sz w:val="20"/>
        </w:rPr>
        <w:t xml:space="preserve">, T., Dudgeon, P. and Bray, A. 2017, ‘Aboriginal and Torres Strait Islander social and emotional wellbeing and mental health’, </w:t>
      </w:r>
      <w:r w:rsidRPr="00EF11AE">
        <w:rPr>
          <w:i/>
          <w:iCs/>
          <w:sz w:val="20"/>
        </w:rPr>
        <w:t>Australian Psychologist</w:t>
      </w:r>
      <w:r w:rsidRPr="00EF11AE">
        <w:rPr>
          <w:sz w:val="20"/>
        </w:rPr>
        <w:t>, vol. 52, no. 4, pp. 255–260.</w:t>
      </w:r>
    </w:p>
    <w:p w14:paraId="57B6CEDF" w14:textId="77777777" w:rsidR="0034535B" w:rsidRPr="00EF11AE" w:rsidRDefault="0034535B" w:rsidP="0034535B">
      <w:pPr>
        <w:pStyle w:val="Reference"/>
        <w:rPr>
          <w:sz w:val="20"/>
        </w:rPr>
      </w:pPr>
      <w:r w:rsidRPr="00EF11AE">
        <w:rPr>
          <w:sz w:val="20"/>
        </w:rPr>
        <w:t xml:space="preserve">Dickson, J.M., Cruise, K., McCall, C.A. and Taylor, P.J. 2019, ‘A systematic review of the antecedents and prevalence of suicide, self-harm and suicide ideation in Australian Aboriginal and Torres Strait Islander youth’, </w:t>
      </w:r>
      <w:r w:rsidRPr="00EF11AE">
        <w:rPr>
          <w:i/>
          <w:iCs/>
          <w:sz w:val="20"/>
        </w:rPr>
        <w:t>International Journal of Environmental Research and Public Health</w:t>
      </w:r>
      <w:r w:rsidRPr="00EF11AE">
        <w:rPr>
          <w:sz w:val="20"/>
        </w:rPr>
        <w:t>, vol. 16, no. 17, p. 3154.</w:t>
      </w:r>
    </w:p>
    <w:p w14:paraId="1B2B171B" w14:textId="77777777" w:rsidR="0034535B" w:rsidRPr="00EF11AE" w:rsidRDefault="0034535B" w:rsidP="0034535B">
      <w:pPr>
        <w:pStyle w:val="Reference"/>
        <w:rPr>
          <w:sz w:val="20"/>
        </w:rPr>
      </w:pPr>
      <w:proofErr w:type="spellStart"/>
      <w:r w:rsidRPr="00EF11AE">
        <w:rPr>
          <w:sz w:val="20"/>
        </w:rPr>
        <w:t>Geia</w:t>
      </w:r>
      <w:proofErr w:type="spellEnd"/>
      <w:r w:rsidRPr="00EF11AE">
        <w:rPr>
          <w:sz w:val="20"/>
        </w:rPr>
        <w:t xml:space="preserve">, L., </w:t>
      </w:r>
      <w:proofErr w:type="spellStart"/>
      <w:r w:rsidRPr="00EF11AE">
        <w:rPr>
          <w:sz w:val="20"/>
        </w:rPr>
        <w:t>Broadfield</w:t>
      </w:r>
      <w:proofErr w:type="spellEnd"/>
      <w:r w:rsidRPr="00EF11AE">
        <w:rPr>
          <w:sz w:val="20"/>
        </w:rPr>
        <w:t xml:space="preserve">, K., Grainger, D., Day, A. and Watkin‐Lui, F. 2018, ‘Adolescent and young adult substance use in Australian Indigenous communities: a systematic review of demand control program outcomes’, </w:t>
      </w:r>
      <w:r w:rsidRPr="00EF11AE">
        <w:rPr>
          <w:i/>
          <w:iCs/>
          <w:sz w:val="20"/>
        </w:rPr>
        <w:t>Australian and New Zealand Journal of Public Health</w:t>
      </w:r>
      <w:r w:rsidRPr="00EF11AE">
        <w:rPr>
          <w:sz w:val="20"/>
        </w:rPr>
        <w:t>, vol. 42, no. 3, pp. 254–261.</w:t>
      </w:r>
    </w:p>
    <w:p w14:paraId="5F223555" w14:textId="77777777" w:rsidR="0034535B" w:rsidRPr="00EF11AE" w:rsidRDefault="0034535B" w:rsidP="0034535B">
      <w:pPr>
        <w:pStyle w:val="Reference"/>
        <w:rPr>
          <w:sz w:val="20"/>
        </w:rPr>
      </w:pPr>
      <w:proofErr w:type="spellStart"/>
      <w:r w:rsidRPr="00EF11AE">
        <w:rPr>
          <w:sz w:val="20"/>
        </w:rPr>
        <w:t>Goldsmid</w:t>
      </w:r>
      <w:proofErr w:type="spellEnd"/>
      <w:r w:rsidRPr="00EF11AE">
        <w:rPr>
          <w:sz w:val="20"/>
        </w:rPr>
        <w:t xml:space="preserve">, S. and Willis, M. 2016, </w:t>
      </w:r>
      <w:r w:rsidRPr="00EF11AE">
        <w:rPr>
          <w:i/>
          <w:iCs/>
          <w:sz w:val="20"/>
        </w:rPr>
        <w:t>Methamphetamine Use and Acquisitive Crime: Evidence of a Relationship</w:t>
      </w:r>
      <w:r w:rsidRPr="00EF11AE">
        <w:rPr>
          <w:sz w:val="20"/>
        </w:rPr>
        <w:t>, October, 516, Trends &amp; Issues in Crime and Criminal Justice, Australian Institute of Criminology.</w:t>
      </w:r>
    </w:p>
    <w:p w14:paraId="3E64E581" w14:textId="77777777" w:rsidR="0034535B" w:rsidRPr="00EF11AE" w:rsidRDefault="0034535B" w:rsidP="0034535B">
      <w:pPr>
        <w:pStyle w:val="Reference"/>
        <w:rPr>
          <w:sz w:val="20"/>
        </w:rPr>
      </w:pPr>
      <w:r w:rsidRPr="00EF11AE">
        <w:rPr>
          <w:sz w:val="20"/>
        </w:rPr>
        <w:t xml:space="preserve">Graham, </w:t>
      </w:r>
      <w:proofErr w:type="spellStart"/>
      <w:r w:rsidRPr="00EF11AE">
        <w:rPr>
          <w:sz w:val="20"/>
        </w:rPr>
        <w:t>V.E</w:t>
      </w:r>
      <w:proofErr w:type="spellEnd"/>
      <w:r w:rsidRPr="00EF11AE">
        <w:rPr>
          <w:sz w:val="20"/>
        </w:rPr>
        <w:t xml:space="preserve">. and Clough, A.R. 2019, ‘“Need everyone helping to keep off because everyone helping to keep on” – Reducing harms from cannabis use in remote Indigenous Australian communities involves more than just users’, </w:t>
      </w:r>
      <w:r w:rsidRPr="00EF11AE">
        <w:rPr>
          <w:i/>
          <w:iCs/>
          <w:sz w:val="20"/>
        </w:rPr>
        <w:t>Substance Use &amp; Misuse</w:t>
      </w:r>
      <w:r w:rsidRPr="00EF11AE">
        <w:rPr>
          <w:sz w:val="20"/>
        </w:rPr>
        <w:t>, vol. 54, no. 5, pp. 699–712.</w:t>
      </w:r>
    </w:p>
    <w:p w14:paraId="3FC567B8" w14:textId="77777777" w:rsidR="0034535B" w:rsidRPr="00EF11AE" w:rsidRDefault="0034535B" w:rsidP="0034535B">
      <w:pPr>
        <w:pStyle w:val="Reference"/>
        <w:rPr>
          <w:sz w:val="20"/>
        </w:rPr>
      </w:pPr>
      <w:r w:rsidRPr="00EF11AE">
        <w:rPr>
          <w:sz w:val="20"/>
        </w:rPr>
        <w:t xml:space="preserve">Heffernan, E., Davidson, F., Andersen, K. and </w:t>
      </w:r>
      <w:proofErr w:type="spellStart"/>
      <w:r w:rsidRPr="00EF11AE">
        <w:rPr>
          <w:sz w:val="20"/>
        </w:rPr>
        <w:t>Kinner</w:t>
      </w:r>
      <w:proofErr w:type="spellEnd"/>
      <w:r w:rsidRPr="00EF11AE">
        <w:rPr>
          <w:sz w:val="20"/>
        </w:rPr>
        <w:t xml:space="preserve">, S. 2016, ‘Substance use disorders among Aboriginal and Torres Strait Islander people in custody: A public health opportunity’, </w:t>
      </w:r>
      <w:r w:rsidRPr="00EF11AE">
        <w:rPr>
          <w:i/>
          <w:iCs/>
          <w:sz w:val="20"/>
        </w:rPr>
        <w:t>Health &amp; Justice</w:t>
      </w:r>
      <w:r w:rsidRPr="00EF11AE">
        <w:rPr>
          <w:sz w:val="20"/>
        </w:rPr>
        <w:t>, vol. 4, no. 1, p. 12.</w:t>
      </w:r>
    </w:p>
    <w:p w14:paraId="1328E03A" w14:textId="77777777" w:rsidR="0034535B" w:rsidRPr="00EF11AE" w:rsidRDefault="0034535B" w:rsidP="0034535B">
      <w:pPr>
        <w:pStyle w:val="Reference"/>
        <w:rPr>
          <w:sz w:val="20"/>
        </w:rPr>
      </w:pPr>
      <w:r w:rsidRPr="00EF11AE">
        <w:rPr>
          <w:sz w:val="20"/>
        </w:rPr>
        <w:t xml:space="preserve">Intergovernmental Committee on Drugs 2014, </w:t>
      </w:r>
      <w:r w:rsidRPr="00EF11AE">
        <w:rPr>
          <w:i/>
          <w:iCs/>
          <w:sz w:val="20"/>
        </w:rPr>
        <w:t>National Aboriginal and Torres Strait Islander Peoples’ Drug Strategy 2014–2019</w:t>
      </w:r>
      <w:r w:rsidRPr="00EF11AE">
        <w:rPr>
          <w:sz w:val="20"/>
        </w:rPr>
        <w:t>, A sub-strategy of the National Drug Strategy 2010–2015.</w:t>
      </w:r>
    </w:p>
    <w:p w14:paraId="222ED781" w14:textId="77777777" w:rsidR="0034535B" w:rsidRPr="00EF11AE" w:rsidRDefault="0034535B" w:rsidP="0034535B">
      <w:pPr>
        <w:pStyle w:val="Reference"/>
        <w:rPr>
          <w:sz w:val="20"/>
        </w:rPr>
      </w:pPr>
      <w:proofErr w:type="spellStart"/>
      <w:r w:rsidRPr="00EF11AE">
        <w:rPr>
          <w:sz w:val="20"/>
        </w:rPr>
        <w:t>Leske</w:t>
      </w:r>
      <w:proofErr w:type="spellEnd"/>
      <w:r w:rsidRPr="00EF11AE">
        <w:rPr>
          <w:sz w:val="20"/>
        </w:rPr>
        <w:t xml:space="preserve">, S., Harris, M.G., </w:t>
      </w:r>
      <w:proofErr w:type="spellStart"/>
      <w:r w:rsidRPr="00EF11AE">
        <w:rPr>
          <w:sz w:val="20"/>
        </w:rPr>
        <w:t>Charlson</w:t>
      </w:r>
      <w:proofErr w:type="spellEnd"/>
      <w:r w:rsidRPr="00EF11AE">
        <w:rPr>
          <w:sz w:val="20"/>
        </w:rPr>
        <w:t xml:space="preserve">, F.J., Ferrari, A.J., Baxter, A.J., Logan, J.M., </w:t>
      </w:r>
      <w:proofErr w:type="spellStart"/>
      <w:r w:rsidRPr="00EF11AE">
        <w:rPr>
          <w:sz w:val="20"/>
        </w:rPr>
        <w:t>Toombs</w:t>
      </w:r>
      <w:proofErr w:type="spellEnd"/>
      <w:r w:rsidRPr="00EF11AE">
        <w:rPr>
          <w:sz w:val="20"/>
        </w:rPr>
        <w:t xml:space="preserve">, M. and Whiteford, H. 2016, ‘Systematic review of interventions for Indigenous adults with mental and substance use disorders </w:t>
      </w:r>
      <w:r w:rsidRPr="00EF11AE">
        <w:rPr>
          <w:sz w:val="20"/>
        </w:rPr>
        <w:lastRenderedPageBreak/>
        <w:t xml:space="preserve">in Australia, Canada, New Zealand and the United States’, </w:t>
      </w:r>
      <w:r w:rsidRPr="00EF11AE">
        <w:rPr>
          <w:i/>
          <w:iCs/>
          <w:sz w:val="20"/>
        </w:rPr>
        <w:t>Australian &amp; New Zealand Journal of Psychiatry</w:t>
      </w:r>
      <w:r w:rsidRPr="00EF11AE">
        <w:rPr>
          <w:sz w:val="20"/>
        </w:rPr>
        <w:t>, vol. 50, no. 11, pp. 1040–1054.</w:t>
      </w:r>
    </w:p>
    <w:p w14:paraId="7A0E3FCF" w14:textId="77777777" w:rsidR="0034535B" w:rsidRPr="00EF11AE" w:rsidRDefault="0034535B" w:rsidP="0034535B">
      <w:pPr>
        <w:pStyle w:val="Reference"/>
        <w:rPr>
          <w:sz w:val="20"/>
        </w:rPr>
      </w:pPr>
      <w:r w:rsidRPr="00EF11AE">
        <w:rPr>
          <w:sz w:val="20"/>
        </w:rPr>
        <w:t xml:space="preserve">MacLean, S., </w:t>
      </w:r>
      <w:proofErr w:type="spellStart"/>
      <w:r w:rsidRPr="00EF11AE">
        <w:rPr>
          <w:sz w:val="20"/>
        </w:rPr>
        <w:t>Hengsen</w:t>
      </w:r>
      <w:proofErr w:type="spellEnd"/>
      <w:r w:rsidRPr="00EF11AE">
        <w:rPr>
          <w:sz w:val="20"/>
        </w:rPr>
        <w:t xml:space="preserve">, R. and Stephens, R. 2017, ‘Critical considerations in responding to crystal </w:t>
      </w:r>
      <w:proofErr w:type="spellStart"/>
      <w:r w:rsidRPr="00EF11AE">
        <w:rPr>
          <w:sz w:val="20"/>
        </w:rPr>
        <w:t>methamphertamine</w:t>
      </w:r>
      <w:proofErr w:type="spellEnd"/>
      <w:r w:rsidRPr="00EF11AE">
        <w:rPr>
          <w:sz w:val="20"/>
        </w:rPr>
        <w:t xml:space="preserve"> use in Australian Aboriginal communities’, </w:t>
      </w:r>
      <w:r w:rsidRPr="00EF11AE">
        <w:rPr>
          <w:i/>
          <w:iCs/>
          <w:sz w:val="20"/>
        </w:rPr>
        <w:t>Drug and Alcohol Review</w:t>
      </w:r>
      <w:r w:rsidRPr="00EF11AE">
        <w:rPr>
          <w:sz w:val="20"/>
        </w:rPr>
        <w:t>, vol. 36.</w:t>
      </w:r>
    </w:p>
    <w:p w14:paraId="0FB2E123" w14:textId="77777777" w:rsidR="0034535B" w:rsidRPr="00EF11AE" w:rsidRDefault="0034535B" w:rsidP="0034535B">
      <w:pPr>
        <w:pStyle w:val="Reference"/>
        <w:rPr>
          <w:sz w:val="20"/>
        </w:rPr>
      </w:pPr>
      <w:r w:rsidRPr="00EF11AE">
        <w:rPr>
          <w:sz w:val="20"/>
        </w:rPr>
        <w:t xml:space="preserve">Macrae, A. and </w:t>
      </w:r>
      <w:proofErr w:type="spellStart"/>
      <w:r w:rsidRPr="00EF11AE">
        <w:rPr>
          <w:sz w:val="20"/>
        </w:rPr>
        <w:t>Hoareau</w:t>
      </w:r>
      <w:proofErr w:type="spellEnd"/>
      <w:r w:rsidRPr="00EF11AE">
        <w:rPr>
          <w:sz w:val="20"/>
        </w:rPr>
        <w:t xml:space="preserve">, J. 2016, </w:t>
      </w:r>
      <w:r w:rsidRPr="00EF11AE">
        <w:rPr>
          <w:i/>
          <w:iCs/>
          <w:sz w:val="20"/>
        </w:rPr>
        <w:t>Review of Illicit Drug Use Among Indigenous Peoples</w:t>
      </w:r>
      <w:r w:rsidRPr="00EF11AE">
        <w:rPr>
          <w:sz w:val="20"/>
        </w:rPr>
        <w:t xml:space="preserve">, Australian Indigenous </w:t>
      </w:r>
      <w:proofErr w:type="spellStart"/>
      <w:r w:rsidRPr="00EF11AE">
        <w:rPr>
          <w:sz w:val="20"/>
        </w:rPr>
        <w:t>HealthInfoNet</w:t>
      </w:r>
      <w:proofErr w:type="spellEnd"/>
      <w:r w:rsidRPr="00EF11AE">
        <w:rPr>
          <w:sz w:val="20"/>
        </w:rPr>
        <w:t>., p. 25.</w:t>
      </w:r>
    </w:p>
    <w:p w14:paraId="5C73B5C8" w14:textId="77777777" w:rsidR="0034535B" w:rsidRPr="00EF11AE" w:rsidRDefault="0034535B" w:rsidP="0034535B">
      <w:pPr>
        <w:pStyle w:val="Reference"/>
        <w:rPr>
          <w:sz w:val="20"/>
        </w:rPr>
      </w:pPr>
      <w:proofErr w:type="spellStart"/>
      <w:r w:rsidRPr="00EF11AE">
        <w:rPr>
          <w:sz w:val="20"/>
        </w:rPr>
        <w:t>Marel</w:t>
      </w:r>
      <w:proofErr w:type="spellEnd"/>
      <w:r w:rsidRPr="00EF11AE">
        <w:rPr>
          <w:sz w:val="20"/>
        </w:rPr>
        <w:t xml:space="preserve">, C., MacLean, S. and </w:t>
      </w:r>
      <w:proofErr w:type="spellStart"/>
      <w:r w:rsidRPr="00EF11AE">
        <w:rPr>
          <w:sz w:val="20"/>
        </w:rPr>
        <w:t>Midford</w:t>
      </w:r>
      <w:proofErr w:type="spellEnd"/>
      <w:r w:rsidRPr="00EF11AE">
        <w:rPr>
          <w:sz w:val="20"/>
        </w:rPr>
        <w:t xml:space="preserve">, R. 2015, ‘Review of volatile substance use among Aboriginal and Torres Strait Islander people’, </w:t>
      </w:r>
      <w:r w:rsidRPr="00EF11AE">
        <w:rPr>
          <w:i/>
          <w:iCs/>
          <w:sz w:val="20"/>
        </w:rPr>
        <w:t>Australian Indigenous Health Reviews</w:t>
      </w:r>
      <w:r w:rsidRPr="00EF11AE">
        <w:rPr>
          <w:sz w:val="20"/>
        </w:rPr>
        <w:t>, no. 16.</w:t>
      </w:r>
    </w:p>
    <w:p w14:paraId="5E11B117" w14:textId="77777777" w:rsidR="0034535B" w:rsidRPr="00EF11AE" w:rsidRDefault="0034535B" w:rsidP="0034535B">
      <w:pPr>
        <w:pStyle w:val="Reference"/>
        <w:rPr>
          <w:sz w:val="20"/>
        </w:rPr>
      </w:pPr>
      <w:r w:rsidRPr="00EF11AE">
        <w:rPr>
          <w:sz w:val="20"/>
        </w:rPr>
        <w:t xml:space="preserve">Nathan, S., Maru, K., Williams, M., Palmer, K. and </w:t>
      </w:r>
      <w:proofErr w:type="spellStart"/>
      <w:r w:rsidRPr="00EF11AE">
        <w:rPr>
          <w:sz w:val="20"/>
        </w:rPr>
        <w:t>Rawstorne</w:t>
      </w:r>
      <w:proofErr w:type="spellEnd"/>
      <w:r w:rsidRPr="00EF11AE">
        <w:rPr>
          <w:sz w:val="20"/>
        </w:rPr>
        <w:t xml:space="preserve">, P. 2020, ‘Koori voices: self-harm, suicide attempts, arrests and substance use among Aboriginal and Torres Strait Islander adolescents following residential treatment’, </w:t>
      </w:r>
      <w:r w:rsidRPr="00EF11AE">
        <w:rPr>
          <w:i/>
          <w:iCs/>
          <w:sz w:val="20"/>
        </w:rPr>
        <w:t>Health &amp; Justice</w:t>
      </w:r>
      <w:r w:rsidRPr="00EF11AE">
        <w:rPr>
          <w:sz w:val="20"/>
        </w:rPr>
        <w:t>, vol. 8, no. 1, p. 4.</w:t>
      </w:r>
    </w:p>
    <w:p w14:paraId="67C3ADB9" w14:textId="77777777" w:rsidR="0034535B" w:rsidRPr="00EF11AE" w:rsidRDefault="0034535B" w:rsidP="0034535B">
      <w:pPr>
        <w:pStyle w:val="Reference"/>
        <w:rPr>
          <w:sz w:val="20"/>
        </w:rPr>
      </w:pPr>
      <w:proofErr w:type="spellStart"/>
      <w:r w:rsidRPr="00EF11AE">
        <w:rPr>
          <w:sz w:val="20"/>
        </w:rPr>
        <w:t>Snijder</w:t>
      </w:r>
      <w:proofErr w:type="spellEnd"/>
      <w:r w:rsidRPr="00EF11AE">
        <w:rPr>
          <w:sz w:val="20"/>
        </w:rPr>
        <w:t xml:space="preserve">, M. and Kershaw, S. 2019, ‘Review of methamphetamine use among Aboriginal and Torres Strait Islander people’, </w:t>
      </w:r>
      <w:r w:rsidRPr="00EF11AE">
        <w:rPr>
          <w:i/>
          <w:iCs/>
          <w:sz w:val="20"/>
        </w:rPr>
        <w:t>Australian Indigenous Health Bulletin</w:t>
      </w:r>
      <w:r w:rsidRPr="00EF11AE">
        <w:rPr>
          <w:sz w:val="20"/>
        </w:rPr>
        <w:t>, vol. 19, no. 3.</w:t>
      </w:r>
    </w:p>
    <w:p w14:paraId="58EC8166" w14:textId="77777777" w:rsidR="0034535B" w:rsidRPr="00EF11AE" w:rsidRDefault="0034535B" w:rsidP="0034535B">
      <w:pPr>
        <w:pStyle w:val="Reference"/>
        <w:rPr>
          <w:sz w:val="20"/>
        </w:rPr>
      </w:pPr>
      <w:proofErr w:type="spellStart"/>
      <w:r w:rsidRPr="00EF11AE">
        <w:rPr>
          <w:sz w:val="20"/>
        </w:rPr>
        <w:t>Snijder</w:t>
      </w:r>
      <w:proofErr w:type="spellEnd"/>
      <w:r w:rsidRPr="00EF11AE">
        <w:rPr>
          <w:sz w:val="20"/>
        </w:rPr>
        <w:t xml:space="preserve">, M., Stapinski, L., Lees, B., Ward, J., Conrod, P., </w:t>
      </w:r>
      <w:proofErr w:type="spellStart"/>
      <w:r w:rsidRPr="00EF11AE">
        <w:rPr>
          <w:sz w:val="20"/>
        </w:rPr>
        <w:t>Mushquash</w:t>
      </w:r>
      <w:proofErr w:type="spellEnd"/>
      <w:r w:rsidRPr="00EF11AE">
        <w:rPr>
          <w:sz w:val="20"/>
        </w:rPr>
        <w:t xml:space="preserve">, C., Belone, L., Champion, K., Chapman, C., </w:t>
      </w:r>
      <w:proofErr w:type="spellStart"/>
      <w:r w:rsidRPr="00EF11AE">
        <w:rPr>
          <w:sz w:val="20"/>
        </w:rPr>
        <w:t>Teesson</w:t>
      </w:r>
      <w:proofErr w:type="spellEnd"/>
      <w:r w:rsidRPr="00EF11AE">
        <w:rPr>
          <w:sz w:val="20"/>
        </w:rPr>
        <w:t xml:space="preserve">, M. and Newton, N. 2020, ‘Preventing substance use among Indigenous adolescents in the USA, Canada, Australia and New Zealand: A systematic review of the literature’, </w:t>
      </w:r>
      <w:r w:rsidRPr="00EF11AE">
        <w:rPr>
          <w:i/>
          <w:iCs/>
          <w:sz w:val="20"/>
        </w:rPr>
        <w:t>Prevention Science</w:t>
      </w:r>
      <w:r w:rsidRPr="00EF11AE">
        <w:rPr>
          <w:sz w:val="20"/>
        </w:rPr>
        <w:t>, vol. 21, no. 1, pp. 65–85.</w:t>
      </w:r>
    </w:p>
    <w:p w14:paraId="042D152D" w14:textId="77777777" w:rsidR="0034535B" w:rsidRPr="00EF11AE" w:rsidRDefault="0034535B" w:rsidP="0034535B">
      <w:pPr>
        <w:pStyle w:val="Reference"/>
        <w:rPr>
          <w:sz w:val="20"/>
        </w:rPr>
      </w:pPr>
      <w:r w:rsidRPr="00EF11AE">
        <w:rPr>
          <w:sz w:val="20"/>
        </w:rPr>
        <w:t xml:space="preserve">Teoh, L., Moses, G. and McCullough, M.J. 2019, ‘Oral manifestations of illicit drug use’, </w:t>
      </w:r>
      <w:r w:rsidRPr="00EF11AE">
        <w:rPr>
          <w:i/>
          <w:iCs/>
          <w:sz w:val="20"/>
        </w:rPr>
        <w:t>Australian Dental Journal</w:t>
      </w:r>
      <w:r w:rsidRPr="00EF11AE">
        <w:rPr>
          <w:sz w:val="20"/>
        </w:rPr>
        <w:t>, vol. 64, no. 3, pp. 213–222.</w:t>
      </w:r>
    </w:p>
    <w:p w14:paraId="50922122" w14:textId="77777777" w:rsidR="0034535B" w:rsidRPr="00EF11AE" w:rsidRDefault="0034535B" w:rsidP="0034535B">
      <w:pPr>
        <w:pStyle w:val="Reference"/>
        <w:rPr>
          <w:sz w:val="20"/>
        </w:rPr>
      </w:pPr>
      <w:r w:rsidRPr="00EF11AE">
        <w:rPr>
          <w:sz w:val="20"/>
        </w:rPr>
        <w:t xml:space="preserve">Treloar, C., Mao, L. and Wilson, H. 2016, ‘Beyond equipment distribution in Needle and Syringe Programmes: an exploratory analysis of blood-borne virus risk and other measures of client need’, </w:t>
      </w:r>
      <w:r w:rsidRPr="00EF11AE">
        <w:rPr>
          <w:i/>
          <w:iCs/>
          <w:sz w:val="20"/>
        </w:rPr>
        <w:t>Harm Reduction Journal</w:t>
      </w:r>
      <w:r w:rsidRPr="00EF11AE">
        <w:rPr>
          <w:sz w:val="20"/>
        </w:rPr>
        <w:t>, vol. 13, no. 1, p. 18.</w:t>
      </w:r>
    </w:p>
    <w:p w14:paraId="110E01A0" w14:textId="77777777" w:rsidR="0034535B" w:rsidRPr="00EF11AE" w:rsidRDefault="0034535B" w:rsidP="0034535B">
      <w:pPr>
        <w:pStyle w:val="Reference"/>
        <w:rPr>
          <w:sz w:val="20"/>
        </w:rPr>
      </w:pPr>
      <w:r w:rsidRPr="00EF11AE">
        <w:rPr>
          <w:sz w:val="20"/>
        </w:rPr>
        <w:t xml:space="preserve">Zahra, E., Darke, S., Degenhardt, L. and Campbell, G. 2020, ‘Rates, characteristics and manner of cannabis-related deaths in Australia 2000–2018’, </w:t>
      </w:r>
      <w:r w:rsidRPr="00EF11AE">
        <w:rPr>
          <w:i/>
          <w:iCs/>
          <w:sz w:val="20"/>
        </w:rPr>
        <w:t>Drug and Alcohol Dependence</w:t>
      </w:r>
      <w:r w:rsidRPr="00EF11AE">
        <w:rPr>
          <w:sz w:val="20"/>
        </w:rPr>
        <w:t>, vol. 212.</w:t>
      </w:r>
    </w:p>
    <w:p w14:paraId="61611CA8" w14:textId="22F7FA86" w:rsidR="0034535B" w:rsidRPr="00E9693D" w:rsidRDefault="0034535B" w:rsidP="0034535B">
      <w:pPr>
        <w:pStyle w:val="Reference"/>
      </w:pPr>
    </w:p>
    <w:p w14:paraId="44C1023C" w14:textId="77777777" w:rsidR="0034535B" w:rsidRPr="0034535B" w:rsidRDefault="0034535B" w:rsidP="0034535B">
      <w:pPr>
        <w:pStyle w:val="BodyText"/>
      </w:pPr>
    </w:p>
    <w:p w14:paraId="208A0671" w14:textId="5223D991" w:rsidR="008422E6" w:rsidRDefault="008422E6">
      <w:pPr>
        <w:rPr>
          <w:szCs w:val="20"/>
        </w:rPr>
      </w:pPr>
      <w:r>
        <w:br w:type="page"/>
      </w:r>
    </w:p>
    <w:p w14:paraId="6B9F572D" w14:textId="77777777" w:rsidR="008422E6" w:rsidRDefault="008422E6" w:rsidP="008422E6">
      <w:pPr>
        <w:pStyle w:val="Heading2"/>
      </w:pPr>
      <w:r>
        <w:lastRenderedPageBreak/>
        <w:t>11.3</w:t>
      </w:r>
      <w:r>
        <w:tab/>
        <w:t>Youth diversions</w:t>
      </w:r>
      <w:r w:rsidRPr="0034535B">
        <w:rPr>
          <w:rStyle w:val="FootnoteReference"/>
          <w:rFonts w:ascii="Arial" w:hAnsi="Arial" w:cs="Arial"/>
        </w:rPr>
        <w:footnoteReference w:id="12"/>
      </w:r>
    </w:p>
    <w:p w14:paraId="5AE043F8"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5416B4F1" w14:textId="77777777" w:rsidTr="00F53DE9">
        <w:trPr>
          <w:tblHeader/>
        </w:trPr>
        <w:tc>
          <w:tcPr>
            <w:tcW w:w="5000" w:type="pct"/>
            <w:tcBorders>
              <w:top w:val="single" w:sz="6" w:space="0" w:color="78A22F"/>
              <w:left w:val="nil"/>
              <w:bottom w:val="nil"/>
              <w:right w:val="nil"/>
            </w:tcBorders>
            <w:shd w:val="clear" w:color="auto" w:fill="F2F2F2"/>
          </w:tcPr>
          <w:p w14:paraId="689C6D37" w14:textId="74FA82C4" w:rsidR="008422E6" w:rsidRDefault="008422E6" w:rsidP="00F53DE9">
            <w:pPr>
              <w:pStyle w:val="BoxTitle"/>
            </w:pPr>
            <w:r>
              <w:rPr>
                <w:b w:val="0"/>
              </w:rPr>
              <w:t>Box 11.3.</w:t>
            </w:r>
            <w:r>
              <w:rPr>
                <w:b w:val="0"/>
                <w:noProof/>
              </w:rPr>
              <w:t>1</w:t>
            </w:r>
            <w:r>
              <w:tab/>
              <w:t>Key messages</w:t>
            </w:r>
          </w:p>
        </w:tc>
      </w:tr>
      <w:tr w:rsidR="008422E6" w14:paraId="48487756" w14:textId="77777777" w:rsidTr="00F53DE9">
        <w:tc>
          <w:tcPr>
            <w:tcW w:w="5000" w:type="pct"/>
            <w:tcBorders>
              <w:top w:val="nil"/>
              <w:left w:val="nil"/>
              <w:bottom w:val="nil"/>
              <w:right w:val="nil"/>
            </w:tcBorders>
            <w:shd w:val="clear" w:color="auto" w:fill="F2F2F2"/>
          </w:tcPr>
          <w:p w14:paraId="062852DA" w14:textId="77777777" w:rsidR="008422E6" w:rsidRDefault="008422E6" w:rsidP="00F53DE9">
            <w:pPr>
              <w:pStyle w:val="BoxListBullet"/>
            </w:pPr>
            <w:r>
              <w:t xml:space="preserve">Youth diversion provides an </w:t>
            </w:r>
            <w:r w:rsidRPr="00935D91">
              <w:t>opportunity</w:t>
            </w:r>
            <w:r>
              <w:t xml:space="preserve"> for the</w:t>
            </w:r>
            <w:r w:rsidRPr="00935D91">
              <w:t xml:space="preserve"> </w:t>
            </w:r>
            <w:r>
              <w:t>criminal justice system</w:t>
            </w:r>
            <w:r w:rsidRPr="00935D91">
              <w:t xml:space="preserve"> to </w:t>
            </w:r>
            <w:r>
              <w:t>identify and respond to the</w:t>
            </w:r>
            <w:r w:rsidRPr="00935D91">
              <w:t xml:space="preserve"> complex needs of </w:t>
            </w:r>
            <w:r>
              <w:t>young people so that they are prevented from entering and re-entering the system, which can fundamentally change their life trajectory.</w:t>
            </w:r>
          </w:p>
          <w:p w14:paraId="53FF2BBE" w14:textId="77777777" w:rsidR="008422E6" w:rsidRDefault="008422E6" w:rsidP="00F53DE9">
            <w:pPr>
              <w:pStyle w:val="BoxListBullet"/>
            </w:pPr>
            <w:r w:rsidRPr="00864D46">
              <w:t xml:space="preserve">Aboriginal and Torres Strait Islander young people </w:t>
            </w:r>
            <w:r>
              <w:t>are less likely to be diverted than non</w:t>
            </w:r>
            <w:r>
              <w:noBreakHyphen/>
              <w:t>Indigenous young people. R</w:t>
            </w:r>
            <w:r w:rsidRPr="00864D46">
              <w:t xml:space="preserve">ates of diversions for Aboriginal and Torres Strait Islander young people </w:t>
            </w:r>
            <w:r>
              <w:t>were</w:t>
            </w:r>
            <w:r w:rsidRPr="00864D46">
              <w:t xml:space="preserve"> between </w:t>
            </w:r>
            <w:r>
              <w:t>39 and 88 per cent of</w:t>
            </w:r>
            <w:r w:rsidRPr="00864D46">
              <w:t xml:space="preserve"> the rates for non-Indigenous young people</w:t>
            </w:r>
            <w:r>
              <w:t>.</w:t>
            </w:r>
          </w:p>
          <w:p w14:paraId="7F3DFADA" w14:textId="77777777" w:rsidR="008422E6" w:rsidRDefault="008422E6" w:rsidP="00F53DE9">
            <w:pPr>
              <w:pStyle w:val="BoxListBullet"/>
            </w:pPr>
            <w:r>
              <w:t>Data are not comparable across states and territories, but for most jurisdictions the average diversion rate for Aboriginal and Torres Strait Islander and non-Indigenous young people over the last four years (2015-16 to 2018-19) was lower or the same as in the preceding four years (2010-11 to 2014-15), indicating a trend nationally towards less diversion.</w:t>
            </w:r>
          </w:p>
          <w:p w14:paraId="07CD6D71" w14:textId="77777777" w:rsidR="008422E6" w:rsidRDefault="008422E6" w:rsidP="00F53DE9">
            <w:pPr>
              <w:pStyle w:val="BoxListBullet"/>
            </w:pPr>
            <w:r w:rsidRPr="00774A43">
              <w:t>Aboriginal and Torres Strait Islander young people</w:t>
            </w:r>
            <w:r>
              <w:t xml:space="preserve"> are more likely to have various risk factors, which therefore contribute to lower rates of diversion </w:t>
            </w:r>
            <w:r w:rsidRPr="00774A43">
              <w:t xml:space="preserve">for </w:t>
            </w:r>
            <w:r>
              <w:t xml:space="preserve">them. Personal risk factors include cognitive and intellectual impairment, poor mental health, and previous negative experiences (for </w:t>
            </w:r>
            <w:r w:rsidRPr="00774A43">
              <w:t>Aboriginal and Torres Strait Islander young people</w:t>
            </w:r>
            <w:r>
              <w:t xml:space="preserve"> or their families) with police. Structural risk factors include a lack of supports for children who are in out-of-home care or homeless, a lack of diversionary programs in rural and remote areas, and mandatory sentencing.</w:t>
            </w:r>
          </w:p>
          <w:p w14:paraId="6EEC3F6C" w14:textId="77777777" w:rsidR="008422E6" w:rsidRDefault="008422E6" w:rsidP="00F53DE9">
            <w:pPr>
              <w:pStyle w:val="BoxListBullet"/>
            </w:pPr>
            <w:r>
              <w:t xml:space="preserve">For police services specifically, evidence suggests that race may be a factor in decisions to approach individuals before an offence has occurred. Past negative experiences between </w:t>
            </w:r>
            <w:r w:rsidRPr="00162904">
              <w:t>Aboriginal and Torres Strait Islander people</w:t>
            </w:r>
            <w:r>
              <w:t xml:space="preserve"> and police may lead some</w:t>
            </w:r>
            <w:r w:rsidRPr="00162904">
              <w:t xml:space="preserve"> Aboriginal and Torres Strait Islander young people </w:t>
            </w:r>
            <w:r>
              <w:t>to</w:t>
            </w:r>
            <w:r w:rsidRPr="00162904">
              <w:t xml:space="preserve"> be </w:t>
            </w:r>
            <w:r>
              <w:t>less willing to</w:t>
            </w:r>
            <w:r w:rsidRPr="00162904">
              <w:t xml:space="preserve"> cooperate</w:t>
            </w:r>
            <w:r>
              <w:t xml:space="preserve">, which would in turn contribute to lower rates of diversion. </w:t>
            </w:r>
          </w:p>
          <w:p w14:paraId="7849F4FD" w14:textId="77777777" w:rsidR="008422E6" w:rsidRDefault="008422E6" w:rsidP="00F53DE9">
            <w:pPr>
              <w:pStyle w:val="BoxListBullet"/>
            </w:pPr>
            <w:r>
              <w:t xml:space="preserve">Increasing diversion rates for </w:t>
            </w:r>
            <w:r w:rsidRPr="001B5038">
              <w:t xml:space="preserve">Aboriginal and Torres Strait Islander </w:t>
            </w:r>
            <w:r>
              <w:t xml:space="preserve">young people will involve addressing personal and structural risk factors and the way in which police deal with these young people. Diversionary programs and approaches to increasing diversion rates for </w:t>
            </w:r>
            <w:r w:rsidRPr="0001024B">
              <w:t xml:space="preserve">Aboriginal and Torres Strait Islander young people </w:t>
            </w:r>
            <w:r>
              <w:t xml:space="preserve">need to be </w:t>
            </w:r>
            <w:r w:rsidRPr="0001024B">
              <w:t xml:space="preserve">designed and implemented by </w:t>
            </w:r>
            <w:r>
              <w:t xml:space="preserve">(or </w:t>
            </w:r>
            <w:r w:rsidRPr="0001024B">
              <w:t>with</w:t>
            </w:r>
            <w:r>
              <w:t>)</w:t>
            </w:r>
            <w:r w:rsidRPr="0001024B">
              <w:t xml:space="preserve"> </w:t>
            </w:r>
            <w:r w:rsidRPr="00970D0E">
              <w:t>Aborig</w:t>
            </w:r>
            <w:r>
              <w:t>inal and Torres Strait Islander</w:t>
            </w:r>
            <w:r w:rsidRPr="00970D0E">
              <w:t xml:space="preserve"> people </w:t>
            </w:r>
            <w:r>
              <w:t xml:space="preserve">to be </w:t>
            </w:r>
            <w:r w:rsidRPr="0001024B">
              <w:t>most beneficial</w:t>
            </w:r>
            <w:r>
              <w:t>.</w:t>
            </w:r>
            <w:r w:rsidRPr="0001024B">
              <w:t xml:space="preserve"> </w:t>
            </w:r>
          </w:p>
        </w:tc>
      </w:tr>
      <w:tr w:rsidR="008422E6" w14:paraId="4CBFABC1" w14:textId="77777777" w:rsidTr="00F53DE9">
        <w:tc>
          <w:tcPr>
            <w:tcW w:w="5000" w:type="pct"/>
            <w:tcBorders>
              <w:top w:val="nil"/>
              <w:left w:val="nil"/>
              <w:bottom w:val="single" w:sz="6" w:space="0" w:color="78A22F"/>
              <w:right w:val="nil"/>
            </w:tcBorders>
            <w:shd w:val="clear" w:color="auto" w:fill="F2F2F2"/>
          </w:tcPr>
          <w:p w14:paraId="1F16E799" w14:textId="77777777" w:rsidR="008422E6" w:rsidRDefault="008422E6" w:rsidP="00F53DE9">
            <w:pPr>
              <w:pStyle w:val="Box"/>
              <w:spacing w:before="0" w:line="120" w:lineRule="exact"/>
            </w:pPr>
          </w:p>
        </w:tc>
      </w:tr>
      <w:tr w:rsidR="008422E6" w:rsidRPr="000863A5" w14:paraId="032A8F68" w14:textId="77777777" w:rsidTr="00F53DE9">
        <w:tc>
          <w:tcPr>
            <w:tcW w:w="5000" w:type="pct"/>
            <w:tcBorders>
              <w:top w:val="single" w:sz="6" w:space="0" w:color="78A22F"/>
              <w:left w:val="nil"/>
              <w:bottom w:val="nil"/>
              <w:right w:val="nil"/>
            </w:tcBorders>
          </w:tcPr>
          <w:p w14:paraId="702CD66A" w14:textId="77777777" w:rsidR="008422E6" w:rsidRPr="00626D32" w:rsidRDefault="008422E6" w:rsidP="00F53DE9">
            <w:pPr>
              <w:pStyle w:val="BoxSpaceBelow"/>
            </w:pPr>
          </w:p>
        </w:tc>
      </w:tr>
    </w:tbl>
    <w:p w14:paraId="12CC35AB" w14:textId="77777777" w:rsidR="008422E6" w:rsidRDefault="008422E6" w:rsidP="008422E6">
      <w:pPr>
        <w:pStyle w:val="BoxSpaceAbove"/>
        <w:jc w:val="cente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37B64752" w14:textId="77777777" w:rsidTr="00F53DE9">
        <w:trPr>
          <w:tblHeader/>
        </w:trPr>
        <w:tc>
          <w:tcPr>
            <w:tcW w:w="5000" w:type="pct"/>
            <w:tcBorders>
              <w:top w:val="single" w:sz="6" w:space="0" w:color="78A22F"/>
              <w:left w:val="nil"/>
              <w:bottom w:val="nil"/>
              <w:right w:val="nil"/>
            </w:tcBorders>
            <w:shd w:val="clear" w:color="auto" w:fill="F2F2F2"/>
          </w:tcPr>
          <w:p w14:paraId="3F338D08" w14:textId="7D17193B" w:rsidR="008422E6" w:rsidRDefault="008422E6" w:rsidP="00F53DE9">
            <w:pPr>
              <w:pStyle w:val="BoxTitle"/>
            </w:pPr>
            <w:r>
              <w:rPr>
                <w:b w:val="0"/>
              </w:rPr>
              <w:t>Box 11.3.</w:t>
            </w:r>
            <w:r>
              <w:rPr>
                <w:b w:val="0"/>
                <w:noProof/>
              </w:rPr>
              <w:t>2</w:t>
            </w:r>
            <w:r>
              <w:tab/>
              <w:t>Measures of y</w:t>
            </w:r>
            <w:r w:rsidRPr="00C201C5">
              <w:t>outh diversions</w:t>
            </w:r>
          </w:p>
        </w:tc>
      </w:tr>
      <w:tr w:rsidR="008422E6" w14:paraId="7CC4C374" w14:textId="77777777" w:rsidTr="00F53DE9">
        <w:tc>
          <w:tcPr>
            <w:tcW w:w="5000" w:type="pct"/>
            <w:tcBorders>
              <w:top w:val="nil"/>
              <w:left w:val="nil"/>
              <w:bottom w:val="nil"/>
              <w:right w:val="nil"/>
            </w:tcBorders>
            <w:shd w:val="clear" w:color="auto" w:fill="F2F2F2"/>
          </w:tcPr>
          <w:p w14:paraId="66DADF57" w14:textId="77777777" w:rsidR="008422E6" w:rsidRDefault="008422E6" w:rsidP="00F53DE9">
            <w:pPr>
              <w:pStyle w:val="Box"/>
            </w:pPr>
            <w:r>
              <w:t xml:space="preserve">There is one main measure for this indicator. </w:t>
            </w:r>
            <w:r w:rsidRPr="00B11940">
              <w:rPr>
                <w:i/>
              </w:rPr>
              <w:t>Youth diversions</w:t>
            </w:r>
            <w:r>
              <w:t xml:space="preserve"> is defined as the proportion of all alleged young offenders who are diverted from court proceedings (that is, from the formal criminal justice system). These data do not include young people who are diverted by a court.</w:t>
            </w:r>
          </w:p>
          <w:p w14:paraId="75B7028A" w14:textId="77777777" w:rsidR="008422E6" w:rsidRDefault="008422E6" w:rsidP="00F53DE9">
            <w:pPr>
              <w:pStyle w:val="Box"/>
            </w:pPr>
            <w:r w:rsidRPr="0050233C">
              <w:t>State and Territory governments are responsible for youth diversions (</w:t>
            </w:r>
            <w:r>
              <w:t xml:space="preserve">and </w:t>
            </w:r>
            <w:r w:rsidRPr="0050233C">
              <w:t xml:space="preserve">table </w:t>
            </w:r>
            <w:proofErr w:type="spellStart"/>
            <w:r w:rsidRPr="0050233C">
              <w:t>11A.3.1</w:t>
            </w:r>
            <w:proofErr w:type="spellEnd"/>
            <w:r w:rsidRPr="0050233C">
              <w:t xml:space="preserve"> outlines the relevant legislation for each jurisdiction). Differences in programs and data collection mean that data are not comparable across jurisdictions.</w:t>
            </w:r>
          </w:p>
          <w:p w14:paraId="08E96498" w14:textId="77777777" w:rsidR="008422E6" w:rsidRDefault="008422E6" w:rsidP="00F53DE9">
            <w:pPr>
              <w:pStyle w:val="Box"/>
            </w:pPr>
            <w:r>
              <w:t>The most recent available data are for 2018-19 (or the 2019 calendar year for some jurisdictions) (NSW, Victoria, Queensland, WA, SA, the NT and the ACT; sex). Data disaggregated by Indigenous status are not available for Tasmania.</w:t>
            </w:r>
          </w:p>
        </w:tc>
      </w:tr>
      <w:tr w:rsidR="008422E6" w14:paraId="2C803509" w14:textId="77777777" w:rsidTr="00F53DE9">
        <w:tc>
          <w:tcPr>
            <w:tcW w:w="5000" w:type="pct"/>
            <w:tcBorders>
              <w:top w:val="nil"/>
              <w:left w:val="nil"/>
              <w:bottom w:val="single" w:sz="6" w:space="0" w:color="78A22F"/>
              <w:right w:val="nil"/>
            </w:tcBorders>
            <w:shd w:val="clear" w:color="auto" w:fill="F2F2F2"/>
          </w:tcPr>
          <w:p w14:paraId="238B27BD" w14:textId="77777777" w:rsidR="008422E6" w:rsidRDefault="008422E6" w:rsidP="00F53DE9">
            <w:pPr>
              <w:pStyle w:val="Box"/>
              <w:spacing w:before="0" w:line="120" w:lineRule="exact"/>
            </w:pPr>
          </w:p>
        </w:tc>
      </w:tr>
      <w:tr w:rsidR="008422E6" w:rsidRPr="000863A5" w14:paraId="292C7AAC" w14:textId="77777777" w:rsidTr="00F53DE9">
        <w:tc>
          <w:tcPr>
            <w:tcW w:w="5000" w:type="pct"/>
            <w:tcBorders>
              <w:top w:val="single" w:sz="6" w:space="0" w:color="78A22F"/>
              <w:left w:val="nil"/>
              <w:bottom w:val="nil"/>
              <w:right w:val="nil"/>
            </w:tcBorders>
          </w:tcPr>
          <w:p w14:paraId="4D7F56A9" w14:textId="77777777" w:rsidR="008422E6" w:rsidRPr="00626D32" w:rsidRDefault="008422E6" w:rsidP="00F53DE9">
            <w:pPr>
              <w:pStyle w:val="BoxSpaceBelow"/>
            </w:pPr>
          </w:p>
        </w:tc>
      </w:tr>
    </w:tbl>
    <w:p w14:paraId="2A6AD3D4" w14:textId="791F7C79" w:rsidR="008422E6" w:rsidRDefault="008422E6" w:rsidP="008422E6">
      <w:pPr>
        <w:pStyle w:val="BodyText"/>
      </w:pPr>
      <w:r>
        <w:t xml:space="preserve">Youth diversion programs are designed for young people with little or no history of offending who are alleged to have committed non-serious crimes. Diversion can prevent young people from entering the criminal justice system or getting a criminal record, and can also lead to lower rates of reoffending (particularly for minor offences) </w:t>
      </w:r>
      <w:r w:rsidRPr="000F33A5">
        <w:t xml:space="preserve">(Shirley 2017; Wang and </w:t>
      </w:r>
      <w:proofErr w:type="spellStart"/>
      <w:r w:rsidRPr="000F33A5">
        <w:t>Weatherburn</w:t>
      </w:r>
      <w:proofErr w:type="spellEnd"/>
      <w:r w:rsidRPr="000F33A5">
        <w:t> 2019)</w:t>
      </w:r>
      <w:r>
        <w:t>.</w:t>
      </w:r>
    </w:p>
    <w:p w14:paraId="5F4D4075" w14:textId="10E36898" w:rsidR="008422E6" w:rsidRDefault="008422E6" w:rsidP="008422E6">
      <w:pPr>
        <w:pStyle w:val="BodyText"/>
      </w:pPr>
      <w:r>
        <w:t xml:space="preserve">Diversion can save money and deliver better social outcomes </w:t>
      </w:r>
      <w:r w:rsidRPr="00400AC9">
        <w:t>(Shanahan, Hughes and McSweeney 2017)</w:t>
      </w:r>
      <w:r>
        <w:t>.</w:t>
      </w:r>
      <w:r w:rsidRPr="00634351">
        <w:t xml:space="preserve"> </w:t>
      </w:r>
      <w:r>
        <w:t>Diversion is also an opportunity to identify the many complex needs of each offender (such as family, behavioural and health problems including substance use), and to connect the alleged offender with services that will support young people.</w:t>
      </w:r>
    </w:p>
    <w:p w14:paraId="31AEBD8B" w14:textId="65FD854D" w:rsidR="008422E6" w:rsidRDefault="008422E6" w:rsidP="008422E6">
      <w:pPr>
        <w:pStyle w:val="BodyText"/>
      </w:pPr>
      <w:r w:rsidRPr="00C41A7A">
        <w:t>Diversion can occur at any point</w:t>
      </w:r>
      <w:r>
        <w:t xml:space="preserve"> following initial contact with police</w:t>
      </w:r>
      <w:r w:rsidRPr="00C41A7A">
        <w:t xml:space="preserve"> — pre</w:t>
      </w:r>
      <w:r>
        <w:noBreakHyphen/>
      </w:r>
      <w:r w:rsidRPr="00C41A7A">
        <w:t>arrest, pre</w:t>
      </w:r>
      <w:r>
        <w:noBreakHyphen/>
      </w:r>
      <w:r w:rsidRPr="00C41A7A">
        <w:t>trial, pre</w:t>
      </w:r>
      <w:r>
        <w:noBreakHyphen/>
      </w:r>
      <w:r w:rsidRPr="00C41A7A">
        <w:t>sentence, post</w:t>
      </w:r>
      <w:r>
        <w:noBreakHyphen/>
      </w:r>
      <w:r w:rsidRPr="00C41A7A">
        <w:t>sentence and pre</w:t>
      </w:r>
      <w:r>
        <w:noBreakHyphen/>
      </w:r>
      <w:r w:rsidRPr="00C41A7A">
        <w:t xml:space="preserve">release. </w:t>
      </w:r>
      <w:r>
        <w:t>While ‘diversion’ describes any process that prevents young people from entering or continuing in the formal criminal justice system, it typically involves pre</w:t>
      </w:r>
      <w:r>
        <w:noBreakHyphen/>
        <w:t>court processes such as police cautioning or conferencing (Allard et </w:t>
      </w:r>
      <w:r w:rsidRPr="00643BD4">
        <w:t xml:space="preserve">al. 2010; </w:t>
      </w:r>
      <w:proofErr w:type="spellStart"/>
      <w:r w:rsidRPr="00643BD4">
        <w:t>Juodo</w:t>
      </w:r>
      <w:proofErr w:type="spellEnd"/>
      <w:r w:rsidRPr="00643BD4">
        <w:t> 2008; Richards 2010)</w:t>
      </w:r>
      <w:r w:rsidRPr="00394754">
        <w:t xml:space="preserve">. </w:t>
      </w:r>
    </w:p>
    <w:p w14:paraId="17AA4CB3" w14:textId="5D0E9667" w:rsidR="008422E6" w:rsidRDefault="008422E6" w:rsidP="008422E6">
      <w:pPr>
        <w:pStyle w:val="BodyText"/>
      </w:pPr>
      <w:r w:rsidRPr="00634351">
        <w:t>Diversion</w:t>
      </w:r>
      <w:r>
        <w:t>s</w:t>
      </w:r>
      <w:r w:rsidRPr="00634351">
        <w:t xml:space="preserve"> </w:t>
      </w:r>
      <w:r>
        <w:t>with cautioning and conferencing are typically available to first time and non</w:t>
      </w:r>
      <w:r>
        <w:noBreakHyphen/>
        <w:t xml:space="preserve">serious offenders. Sufficient evidence to establish that an offence took place, an admission of guilt, and the young person’s consent to engage in the cautioning or conferencing process are all required for a diversion to occur </w:t>
      </w:r>
      <w:r w:rsidRPr="004C77AE">
        <w:t>(Allard et al. </w:t>
      </w:r>
      <w:r w:rsidRPr="00650B52">
        <w:t>2010)</w:t>
      </w:r>
      <w:r>
        <w:t>.</w:t>
      </w:r>
      <w:r w:rsidRPr="00634351">
        <w:t xml:space="preserve"> </w:t>
      </w:r>
    </w:p>
    <w:p w14:paraId="7B4D2246" w14:textId="77777777" w:rsidR="008422E6" w:rsidRDefault="008422E6" w:rsidP="008422E6">
      <w:pPr>
        <w:pStyle w:val="Heading3"/>
      </w:pPr>
      <w:r>
        <w:t xml:space="preserve">While youth diversion data are </w:t>
      </w:r>
      <w:r w:rsidRPr="00A35A5D">
        <w:t>not comparable</w:t>
      </w:r>
      <w:r>
        <w:t xml:space="preserve"> across states and territories, some of the key findings are similar</w:t>
      </w:r>
    </w:p>
    <w:p w14:paraId="5928E0EC" w14:textId="77777777" w:rsidR="008422E6" w:rsidRDefault="008422E6" w:rsidP="008422E6">
      <w:pPr>
        <w:pStyle w:val="BodyText"/>
      </w:pPr>
      <w:r>
        <w:t>Governing legislation and the scope of youth diversions differ significantly across states and territories (table </w:t>
      </w:r>
      <w:proofErr w:type="spellStart"/>
      <w:r>
        <w:t>11A.3.1</w:t>
      </w:r>
      <w:proofErr w:type="spellEnd"/>
      <w:r>
        <w:t>) — as do diversionary programs. Diversionary programs can include opportunities for the alleged young offender to take responsibility for their actions, understand the harm their actions have caused, engage in restorative justice, or receive case management and support. As a result,</w:t>
      </w:r>
      <w:r w:rsidRPr="00935D91">
        <w:t xml:space="preserve"> </w:t>
      </w:r>
      <w:r>
        <w:t>data for youth</w:t>
      </w:r>
      <w:r w:rsidRPr="00935D91">
        <w:t xml:space="preserve"> diversion</w:t>
      </w:r>
      <w:r>
        <w:t xml:space="preserve"> are </w:t>
      </w:r>
      <w:r w:rsidRPr="00A35A5D">
        <w:t>not comparable</w:t>
      </w:r>
      <w:r w:rsidRPr="00935D91">
        <w:t xml:space="preserve"> across states and territories</w:t>
      </w:r>
      <w:r>
        <w:t xml:space="preserve">. However, the key findings across </w:t>
      </w:r>
      <w:r w:rsidRPr="00935D91">
        <w:t>states and territories</w:t>
      </w:r>
      <w:r>
        <w:t xml:space="preserve"> are similar and include that:  </w:t>
      </w:r>
    </w:p>
    <w:p w14:paraId="1049A391" w14:textId="77777777" w:rsidR="008422E6" w:rsidRDefault="008422E6" w:rsidP="008422E6">
      <w:pPr>
        <w:pStyle w:val="ListBullet"/>
      </w:pPr>
      <w:r>
        <w:lastRenderedPageBreak/>
        <w:t xml:space="preserve">Aboriginal and Torres Strait Islander young people were less likely to be cautioned or diverted out of the criminal justice system than non-Indigenous young people. For the most recent year of reporting, rates of diversion were between </w:t>
      </w:r>
      <w:r w:rsidRPr="00A00BCE">
        <w:t>two</w:t>
      </w:r>
      <w:r>
        <w:t>-</w:t>
      </w:r>
      <w:r w:rsidRPr="00A00BCE">
        <w:t xml:space="preserve">fifths </w:t>
      </w:r>
      <w:r>
        <w:t xml:space="preserve">(39 per cent) </w:t>
      </w:r>
      <w:r w:rsidRPr="00A00BCE">
        <w:t>and nine</w:t>
      </w:r>
      <w:r>
        <w:t>-</w:t>
      </w:r>
      <w:r w:rsidRPr="00A00BCE">
        <w:t xml:space="preserve">tenths </w:t>
      </w:r>
      <w:r>
        <w:t>(88 per cent) of the rates for non-Indigenous young people (table </w:t>
      </w:r>
      <w:proofErr w:type="spellStart"/>
      <w:r>
        <w:t>11A.3.2</w:t>
      </w:r>
      <w:proofErr w:type="spellEnd"/>
      <w:r>
        <w:t xml:space="preserve">) </w:t>
      </w:r>
    </w:p>
    <w:p w14:paraId="74149F61" w14:textId="77777777" w:rsidR="008422E6" w:rsidRDefault="008422E6" w:rsidP="008422E6">
      <w:pPr>
        <w:pStyle w:val="ListBullet"/>
      </w:pPr>
      <w:r>
        <w:t>the diversion rates for both Aboriginal and Torres Strait Islander and non-Indigenous young people have fluctuated over time, but the average over the last four years (2015</w:t>
      </w:r>
      <w:r>
        <w:noBreakHyphen/>
        <w:t>16 to 2018</w:t>
      </w:r>
      <w:r>
        <w:noBreakHyphen/>
        <w:t>19) was lower or the same as for the previous four years (2011-12 to 2014</w:t>
      </w:r>
      <w:r>
        <w:noBreakHyphen/>
        <w:t>15) — this was the case for all jurisdictions except young people in SA and the NT, Aboriginal and Torres Strait Islander young people in WA, and non-Indigenous young people in NSW and the ACT, for whom diversion rates have gone up (table </w:t>
      </w:r>
      <w:proofErr w:type="spellStart"/>
      <w:r>
        <w:t>11A.3.2</w:t>
      </w:r>
      <w:proofErr w:type="spellEnd"/>
      <w:r>
        <w:t>)</w:t>
      </w:r>
    </w:p>
    <w:p w14:paraId="563344CC" w14:textId="77777777" w:rsidR="008422E6" w:rsidRPr="00273394" w:rsidRDefault="008422E6" w:rsidP="008422E6">
      <w:pPr>
        <w:pStyle w:val="ListBullet"/>
      </w:pPr>
      <w:r w:rsidRPr="00273394">
        <w:t xml:space="preserve">the most common types of offence category for which </w:t>
      </w:r>
      <w:r>
        <w:t xml:space="preserve">both </w:t>
      </w:r>
      <w:r w:rsidRPr="00273394">
        <w:t xml:space="preserve">Aboriginal and Torres Strait Islander </w:t>
      </w:r>
      <w:r>
        <w:t xml:space="preserve">and non-Indigenous </w:t>
      </w:r>
      <w:r w:rsidRPr="00273394">
        <w:t>young people were diverted</w:t>
      </w:r>
      <w:r>
        <w:t xml:space="preserve"> (broadly grouped according to crimes against the person, crimes against property, drug offences and other offences) </w:t>
      </w:r>
      <w:r w:rsidRPr="00273394">
        <w:t xml:space="preserve"> were crimes ag</w:t>
      </w:r>
      <w:r>
        <w:t>ainst property or theft (tables </w:t>
      </w:r>
      <w:proofErr w:type="spellStart"/>
      <w:r w:rsidRPr="00273394">
        <w:t>11A.3.5</w:t>
      </w:r>
      <w:proofErr w:type="spellEnd"/>
      <w:r w:rsidRPr="00273394">
        <w:t xml:space="preserve">, </w:t>
      </w:r>
      <w:proofErr w:type="spellStart"/>
      <w:r w:rsidRPr="00273394">
        <w:t>11A.3.8</w:t>
      </w:r>
      <w:proofErr w:type="spellEnd"/>
      <w:r w:rsidRPr="00273394">
        <w:t xml:space="preserve">, </w:t>
      </w:r>
      <w:proofErr w:type="spellStart"/>
      <w:r w:rsidRPr="00273394">
        <w:t>11A.3.2</w:t>
      </w:r>
      <w:r>
        <w:t>5</w:t>
      </w:r>
      <w:proofErr w:type="spellEnd"/>
      <w:r w:rsidRPr="00273394">
        <w:t xml:space="preserve">, </w:t>
      </w:r>
      <w:proofErr w:type="spellStart"/>
      <w:r w:rsidRPr="00273394">
        <w:t>11A.3.3</w:t>
      </w:r>
      <w:r>
        <w:t>9</w:t>
      </w:r>
      <w:proofErr w:type="spellEnd"/>
      <w:r w:rsidRPr="00273394">
        <w:t xml:space="preserve">, </w:t>
      </w:r>
      <w:proofErr w:type="spellStart"/>
      <w:r w:rsidRPr="00273394">
        <w:t>11A.3.</w:t>
      </w:r>
      <w:r>
        <w:t>41</w:t>
      </w:r>
      <w:proofErr w:type="spellEnd"/>
      <w:r>
        <w:t xml:space="preserve"> and</w:t>
      </w:r>
      <w:r w:rsidRPr="00273394">
        <w:t xml:space="preserve"> </w:t>
      </w:r>
      <w:proofErr w:type="spellStart"/>
      <w:r w:rsidRPr="00273394">
        <w:t>11A.3.</w:t>
      </w:r>
      <w:r>
        <w:t>57</w:t>
      </w:r>
      <w:proofErr w:type="spellEnd"/>
      <w:r w:rsidRPr="00273394">
        <w:t xml:space="preserve">), </w:t>
      </w:r>
      <w:r>
        <w:t xml:space="preserve">while </w:t>
      </w:r>
      <w:r w:rsidRPr="00273394">
        <w:t xml:space="preserve">the offence category </w:t>
      </w:r>
      <w:r>
        <w:t>for which</w:t>
      </w:r>
      <w:r w:rsidRPr="00273394">
        <w:t xml:space="preserve"> diversion was least common for Aboriginal and Torres Strait Islander young people was drug offences.</w:t>
      </w:r>
      <w:r>
        <w:t xml:space="preserve"> </w:t>
      </w:r>
    </w:p>
    <w:p w14:paraId="07E329FE" w14:textId="77777777" w:rsidR="008422E6" w:rsidRDefault="008422E6" w:rsidP="008422E6">
      <w:pPr>
        <w:pStyle w:val="BodyText"/>
      </w:pPr>
      <w:r>
        <w:t>Lower rates of diversion for A</w:t>
      </w:r>
      <w:r w:rsidRPr="000944D8">
        <w:t xml:space="preserve">boriginal and Torres Strait Islander </w:t>
      </w:r>
      <w:r>
        <w:t xml:space="preserve">young people could be one reason why they are </w:t>
      </w:r>
      <w:r w:rsidRPr="000944D8">
        <w:t>overrepresent</w:t>
      </w:r>
      <w:r>
        <w:t xml:space="preserve">ed </w:t>
      </w:r>
      <w:r w:rsidRPr="000944D8">
        <w:t>in the criminal justice system</w:t>
      </w:r>
      <w:r>
        <w:t xml:space="preserve">. </w:t>
      </w:r>
    </w:p>
    <w:p w14:paraId="30CEAD9F" w14:textId="77777777" w:rsidR="008422E6" w:rsidRDefault="008422E6" w:rsidP="008422E6">
      <w:pPr>
        <w:pStyle w:val="Heading3"/>
      </w:pPr>
      <w:r>
        <w:t xml:space="preserve">What factors affect the rates of youth diversions for Aboriginal and Torres Strait Islander young people? </w:t>
      </w:r>
    </w:p>
    <w:p w14:paraId="03E77705" w14:textId="77777777" w:rsidR="008422E6" w:rsidRDefault="008422E6" w:rsidP="008422E6">
      <w:pPr>
        <w:pStyle w:val="BodyText"/>
      </w:pPr>
      <w:r>
        <w:t xml:space="preserve">A range of personal and structural risk factors affect the rates of diversion, and many of these disproportionately affect </w:t>
      </w:r>
      <w:r w:rsidRPr="00DF6AD1">
        <w:t>Aboriginal and Torres Strait Islander young people</w:t>
      </w:r>
      <w:r>
        <w:t>.</w:t>
      </w:r>
    </w:p>
    <w:p w14:paraId="61CDAE84" w14:textId="2A33B6C5" w:rsidR="008422E6" w:rsidRDefault="008422E6" w:rsidP="008422E6">
      <w:pPr>
        <w:pStyle w:val="ListBullet"/>
      </w:pPr>
      <w:r>
        <w:t xml:space="preserve">Young people who are homeless or in out-of-home care are more likely to offend, and also </w:t>
      </w:r>
      <w:r w:rsidRPr="00CD50CC">
        <w:t>more likely to experience custodial remand</w:t>
      </w:r>
      <w:r>
        <w:t xml:space="preserve"> rather than diversion </w:t>
      </w:r>
      <w:r w:rsidRPr="0058025C">
        <w:rPr>
          <w:szCs w:val="24"/>
        </w:rPr>
        <w:t>(McFarlane 2018; Sentencing Advisory Council 2020)</w:t>
      </w:r>
      <w:r>
        <w:t xml:space="preserve">. (See section 4.11 </w:t>
      </w:r>
      <w:r w:rsidRPr="009C422C">
        <w:rPr>
          <w:i/>
        </w:rPr>
        <w:t xml:space="preserve">Substantiations for </w:t>
      </w:r>
      <w:r>
        <w:rPr>
          <w:i/>
        </w:rPr>
        <w:t>c</w:t>
      </w:r>
      <w:r w:rsidRPr="009C422C">
        <w:rPr>
          <w:i/>
        </w:rPr>
        <w:t xml:space="preserve">hild </w:t>
      </w:r>
      <w:r>
        <w:rPr>
          <w:i/>
        </w:rPr>
        <w:t>a</w:t>
      </w:r>
      <w:r w:rsidRPr="009C422C">
        <w:rPr>
          <w:i/>
        </w:rPr>
        <w:t xml:space="preserve">buse and </w:t>
      </w:r>
      <w:r>
        <w:rPr>
          <w:i/>
        </w:rPr>
        <w:t>n</w:t>
      </w:r>
      <w:r w:rsidRPr="009C422C">
        <w:rPr>
          <w:i/>
        </w:rPr>
        <w:t>eglect</w:t>
      </w:r>
      <w:r>
        <w:t xml:space="preserve">.) Diversion may not be accessible for young people who are homeless or in out-of-home care if the diversion program requires participation by family members, such as in a family group conference, and the relationship with (or absence of) a caregiver does not provide the required level of support.  </w:t>
      </w:r>
    </w:p>
    <w:p w14:paraId="2AACE488" w14:textId="02DC7FCB" w:rsidR="008422E6" w:rsidRDefault="008422E6" w:rsidP="008422E6">
      <w:pPr>
        <w:pStyle w:val="ListBullet"/>
      </w:pPr>
      <w:r>
        <w:t xml:space="preserve">Young people with cognitive or intellectual impairments or mental health issues are more likely than their peers to be arrested and less likely to be considered for diversion </w:t>
      </w:r>
      <w:r w:rsidRPr="004C77AE">
        <w:rPr>
          <w:szCs w:val="24"/>
        </w:rPr>
        <w:t>(</w:t>
      </w:r>
      <w:proofErr w:type="spellStart"/>
      <w:r w:rsidRPr="004C77AE">
        <w:rPr>
          <w:szCs w:val="24"/>
        </w:rPr>
        <w:t>Blagg</w:t>
      </w:r>
      <w:proofErr w:type="spellEnd"/>
      <w:r w:rsidRPr="004C77AE">
        <w:rPr>
          <w:szCs w:val="24"/>
        </w:rPr>
        <w:t xml:space="preserve">, </w:t>
      </w:r>
      <w:proofErr w:type="spellStart"/>
      <w:r w:rsidRPr="004C77AE">
        <w:rPr>
          <w:szCs w:val="24"/>
        </w:rPr>
        <w:t>Tulich</w:t>
      </w:r>
      <w:proofErr w:type="spellEnd"/>
      <w:r w:rsidRPr="004C77AE">
        <w:rPr>
          <w:szCs w:val="24"/>
        </w:rPr>
        <w:t xml:space="preserve"> and Bush 2017)</w:t>
      </w:r>
      <w:r>
        <w:t xml:space="preserve">. For many of these youth, diversionary programs are necessary to avoid indefinite detention when they are found unfit to stand trial </w:t>
      </w:r>
      <w:r w:rsidRPr="00DD315B">
        <w:rPr>
          <w:szCs w:val="24"/>
        </w:rPr>
        <w:t>(</w:t>
      </w:r>
      <w:proofErr w:type="spellStart"/>
      <w:r w:rsidRPr="00DD315B">
        <w:rPr>
          <w:szCs w:val="24"/>
        </w:rPr>
        <w:t>Blagg</w:t>
      </w:r>
      <w:proofErr w:type="spellEnd"/>
      <w:r w:rsidRPr="00DD315B">
        <w:rPr>
          <w:szCs w:val="24"/>
        </w:rPr>
        <w:t xml:space="preserve"> and </w:t>
      </w:r>
      <w:proofErr w:type="spellStart"/>
      <w:r w:rsidRPr="00DD315B">
        <w:rPr>
          <w:szCs w:val="24"/>
        </w:rPr>
        <w:t>Tulich</w:t>
      </w:r>
      <w:proofErr w:type="spellEnd"/>
      <w:r w:rsidRPr="00DD315B">
        <w:rPr>
          <w:szCs w:val="24"/>
        </w:rPr>
        <w:t> 2018)</w:t>
      </w:r>
      <w:r>
        <w:t>.</w:t>
      </w:r>
    </w:p>
    <w:p w14:paraId="45C8026F" w14:textId="413ADA43" w:rsidR="008422E6" w:rsidRDefault="008422E6" w:rsidP="008422E6">
      <w:pPr>
        <w:pStyle w:val="ListBullet"/>
      </w:pPr>
      <w:r>
        <w:t xml:space="preserve">Access to diversion programs can be limited in some rural and remote areas. The range of diversion options and referral processes differs across states and territories, and in some areas young people do not have access to diversion </w:t>
      </w:r>
      <w:r w:rsidRPr="00175B81">
        <w:rPr>
          <w:szCs w:val="24"/>
        </w:rPr>
        <w:t>(Green et al. 2016)</w:t>
      </w:r>
      <w:r>
        <w:t xml:space="preserve">. As a consequence of the lack of diversion programs in rural and remote areas, Aboriginal and </w:t>
      </w:r>
      <w:r>
        <w:lastRenderedPageBreak/>
        <w:t xml:space="preserve">Torres Strait Islander young people may be more likely to be detained </w:t>
      </w:r>
      <w:r w:rsidRPr="00175B81">
        <w:rPr>
          <w:szCs w:val="24"/>
        </w:rPr>
        <w:t>(Papalia et al. 2019)</w:t>
      </w:r>
      <w:r>
        <w:t xml:space="preserve">. </w:t>
      </w:r>
    </w:p>
    <w:p w14:paraId="25122BAD" w14:textId="5A8C278C" w:rsidR="008422E6" w:rsidRDefault="008422E6" w:rsidP="008422E6">
      <w:pPr>
        <w:pStyle w:val="ListBullet"/>
      </w:pPr>
      <w:r>
        <w:t>Mandatory sentencing means that options are limited if an alleged offender has committed a particular crime on several occasions. Mandatory sentencing will disproportionately affect Aboriginal and Torres Strait Islander offenders, as they are more likely to be charged for</w:t>
      </w:r>
      <w:r w:rsidRPr="005E1F58">
        <w:t xml:space="preserve"> </w:t>
      </w:r>
      <w:r>
        <w:t xml:space="preserve">offences that have mandatory sentences attached </w:t>
      </w:r>
      <w:r w:rsidRPr="00175B81">
        <w:rPr>
          <w:szCs w:val="24"/>
        </w:rPr>
        <w:t>(</w:t>
      </w:r>
      <w:proofErr w:type="spellStart"/>
      <w:r w:rsidRPr="00175B81">
        <w:rPr>
          <w:szCs w:val="24"/>
        </w:rPr>
        <w:t>ALRC</w:t>
      </w:r>
      <w:proofErr w:type="spellEnd"/>
      <w:r w:rsidRPr="00175B81">
        <w:rPr>
          <w:szCs w:val="24"/>
        </w:rPr>
        <w:t> 2017)</w:t>
      </w:r>
      <w:r>
        <w:t>.</w:t>
      </w:r>
    </w:p>
    <w:p w14:paraId="45224D09" w14:textId="6BAB71E2" w:rsidR="008422E6" w:rsidRDefault="008422E6" w:rsidP="008422E6">
      <w:pPr>
        <w:pStyle w:val="BodyText"/>
      </w:pPr>
      <w:r>
        <w:t xml:space="preserve">Furthermore, youth diversion conferencing may be less effective in reducing recidivism for Aboriginal and Torres Strait Islander young people if not undertaken as part of a holistic approach. This is because restorative justice approaches (such as in youth diversion conferencing) tend to elicit accountability through ‘shaming’ but do not address the risk factors associated with youth offending, such as substance use and low socioeconomic status </w:t>
      </w:r>
      <w:r w:rsidRPr="00896EAC">
        <w:rPr>
          <w:szCs w:val="24"/>
        </w:rPr>
        <w:t>(Little, Stewart and Ryan 2018)</w:t>
      </w:r>
      <w:r>
        <w:t>.</w:t>
      </w:r>
      <w:r w:rsidRPr="00E83EC9">
        <w:t xml:space="preserve"> </w:t>
      </w:r>
      <w:r>
        <w:t>However, there is little research that explores the effectiveness of youth diversion conferencing for Aboriginal and Torres Strait Islander young people.</w:t>
      </w:r>
    </w:p>
    <w:p w14:paraId="4FF22D28" w14:textId="05D407EB" w:rsidR="008422E6" w:rsidRDefault="008422E6" w:rsidP="008422E6">
      <w:pPr>
        <w:pStyle w:val="BodyText"/>
      </w:pPr>
      <w:r>
        <w:t xml:space="preserve">The extent to which diversionary </w:t>
      </w:r>
      <w:r w:rsidRPr="00EC0B0B">
        <w:t xml:space="preserve">outcomes </w:t>
      </w:r>
      <w:r>
        <w:t>reflect</w:t>
      </w:r>
      <w:r w:rsidRPr="00EC0B0B">
        <w:t xml:space="preserve"> </w:t>
      </w:r>
      <w:r>
        <w:t xml:space="preserve">institutional </w:t>
      </w:r>
      <w:r w:rsidRPr="00EC0B0B">
        <w:t>raci</w:t>
      </w:r>
      <w:r>
        <w:t>sm</w:t>
      </w:r>
      <w:r w:rsidRPr="00EC0B0B">
        <w:t xml:space="preserve"> </w:t>
      </w:r>
      <w:r>
        <w:t xml:space="preserve">has not been evaluated. However, as it is primarily police who assess young people and determine their eligibility for pre-court diversion </w:t>
      </w:r>
      <w:r w:rsidRPr="001539C1">
        <w:t>(Green et al. 2020)</w:t>
      </w:r>
      <w:r>
        <w:t xml:space="preserve">, past negative experiences between Aboriginal and Torres Strait Islander people and police, compounded by policing practices that can be </w:t>
      </w:r>
      <w:proofErr w:type="spellStart"/>
      <w:r>
        <w:t>racialised</w:t>
      </w:r>
      <w:proofErr w:type="spellEnd"/>
      <w:r>
        <w:t xml:space="preserve"> (such as stop and search or move on powers where no offending behaviour is apparent) can mean that</w:t>
      </w:r>
      <w:r w:rsidRPr="0086155C">
        <w:t xml:space="preserve"> Aboriginal and Torres Strait Islander</w:t>
      </w:r>
      <w:r>
        <w:t xml:space="preserve"> young people may feel harassed or threatened </w:t>
      </w:r>
      <w:r w:rsidRPr="00FC0244">
        <w:t>(</w:t>
      </w:r>
      <w:proofErr w:type="spellStart"/>
      <w:r w:rsidRPr="00FC0244">
        <w:t>Cunneen</w:t>
      </w:r>
      <w:proofErr w:type="spellEnd"/>
      <w:r w:rsidRPr="00FC0244">
        <w:t> 2019)</w:t>
      </w:r>
      <w:r>
        <w:t xml:space="preserve">. In these circumstances, these young people may be less willing to cooperate, and this can in turn prevent police from considering diversion as an option </w:t>
      </w:r>
      <w:r w:rsidRPr="00C5780E">
        <w:rPr>
          <w:szCs w:val="24"/>
        </w:rPr>
        <w:t>(</w:t>
      </w:r>
      <w:proofErr w:type="spellStart"/>
      <w:r w:rsidRPr="00C5780E">
        <w:rPr>
          <w:szCs w:val="24"/>
        </w:rPr>
        <w:t>Blagg</w:t>
      </w:r>
      <w:proofErr w:type="spellEnd"/>
      <w:r w:rsidRPr="00C5780E">
        <w:rPr>
          <w:szCs w:val="24"/>
        </w:rPr>
        <w:t xml:space="preserve"> and Anthony 2020; Papalia et al.</w:t>
      </w:r>
      <w:r w:rsidRPr="007D0CE8">
        <w:rPr>
          <w:szCs w:val="24"/>
        </w:rPr>
        <w:t> 2019)</w:t>
      </w:r>
      <w:r>
        <w:t>.</w:t>
      </w:r>
      <w:r w:rsidRPr="0086155C">
        <w:t xml:space="preserve"> </w:t>
      </w:r>
    </w:p>
    <w:p w14:paraId="18BB3E09" w14:textId="77777777" w:rsidR="008422E6" w:rsidRDefault="008422E6" w:rsidP="008422E6">
      <w:pPr>
        <w:pStyle w:val="Heading3"/>
      </w:pPr>
      <w:r>
        <w:t xml:space="preserve">How can diversion rates for Aboriginal and Torres Islander young people be increased? </w:t>
      </w:r>
    </w:p>
    <w:p w14:paraId="6247A553" w14:textId="77777777" w:rsidR="008422E6" w:rsidRDefault="008422E6" w:rsidP="008422E6">
      <w:pPr>
        <w:pStyle w:val="BodyText"/>
      </w:pPr>
      <w:r>
        <w:t xml:space="preserve">Given the factors leading to the lower rates of diversion outlined above, strategies for increasing the diversion rates for </w:t>
      </w:r>
      <w:r w:rsidRPr="001B5038">
        <w:t xml:space="preserve">Aboriginal and Torres Strait Islander </w:t>
      </w:r>
      <w:r>
        <w:t>young people may include:</w:t>
      </w:r>
    </w:p>
    <w:p w14:paraId="719E5AFC" w14:textId="0DD03570" w:rsidR="008422E6" w:rsidRPr="0008332E" w:rsidRDefault="008422E6" w:rsidP="008422E6">
      <w:pPr>
        <w:pStyle w:val="ListBullet"/>
      </w:pPr>
      <w:r w:rsidRPr="0008332E">
        <w:t>designing and implementing diversion programs that address the particular needs of young people who are homeless or in out-of-home care</w:t>
      </w:r>
      <w:r>
        <w:t>, and at risk of transitioning to juvenile justice,</w:t>
      </w:r>
      <w:r w:rsidRPr="0008332E">
        <w:t xml:space="preserve"> so </w:t>
      </w:r>
      <w:r>
        <w:t xml:space="preserve">that </w:t>
      </w:r>
      <w:r w:rsidRPr="0008332E">
        <w:t>they are not unfairly treated by the criminal justice system</w:t>
      </w:r>
      <w:r>
        <w:t xml:space="preserve"> </w:t>
      </w:r>
      <w:r w:rsidRPr="00B121D2">
        <w:rPr>
          <w:szCs w:val="24"/>
        </w:rPr>
        <w:t xml:space="preserve">(see </w:t>
      </w:r>
      <w:proofErr w:type="spellStart"/>
      <w:r w:rsidRPr="00B121D2">
        <w:rPr>
          <w:szCs w:val="24"/>
        </w:rPr>
        <w:t>Barreng</w:t>
      </w:r>
      <w:proofErr w:type="spellEnd"/>
      <w:r w:rsidRPr="00B121D2">
        <w:rPr>
          <w:szCs w:val="24"/>
        </w:rPr>
        <w:t xml:space="preserve"> </w:t>
      </w:r>
      <w:proofErr w:type="spellStart"/>
      <w:r w:rsidRPr="00B121D2">
        <w:rPr>
          <w:szCs w:val="24"/>
        </w:rPr>
        <w:t>Moorop</w:t>
      </w:r>
      <w:proofErr w:type="spellEnd"/>
      <w:r w:rsidRPr="00B121D2">
        <w:rPr>
          <w:szCs w:val="24"/>
        </w:rPr>
        <w:t xml:space="preserve">, for example, in </w:t>
      </w:r>
      <w:proofErr w:type="spellStart"/>
      <w:r w:rsidRPr="00B121D2">
        <w:rPr>
          <w:szCs w:val="24"/>
        </w:rPr>
        <w:t>JSS</w:t>
      </w:r>
      <w:proofErr w:type="spellEnd"/>
      <w:r w:rsidRPr="00B121D2">
        <w:rPr>
          <w:szCs w:val="24"/>
        </w:rPr>
        <w:t> 2018)</w:t>
      </w:r>
    </w:p>
    <w:p w14:paraId="63155CB9" w14:textId="7E6B8019" w:rsidR="008422E6" w:rsidRPr="008577CE" w:rsidRDefault="008422E6" w:rsidP="008422E6">
      <w:pPr>
        <w:pStyle w:val="ListBullet"/>
        <w:rPr>
          <w:b/>
        </w:rPr>
      </w:pPr>
      <w:r w:rsidRPr="00873893">
        <w:t xml:space="preserve">building the cultural competency of police in relating to Aboriginal and Torres Strait Islander young people </w:t>
      </w:r>
      <w:r w:rsidRPr="008577CE">
        <w:t>(Coffin, Kennedy and Owen 2018)</w:t>
      </w:r>
      <w:r>
        <w:t xml:space="preserve">, including that the policies relating to police practice  are  responsive to local communities and contexts </w:t>
      </w:r>
      <w:r w:rsidRPr="009C422C">
        <w:rPr>
          <w:szCs w:val="24"/>
        </w:rPr>
        <w:t>(Fleming in Putt 2010, p. 4)</w:t>
      </w:r>
      <w:r>
        <w:t xml:space="preserve"> </w:t>
      </w:r>
    </w:p>
    <w:p w14:paraId="459303B1" w14:textId="60F4E9AB" w:rsidR="008422E6" w:rsidRDefault="008422E6" w:rsidP="008422E6">
      <w:pPr>
        <w:pStyle w:val="ListBullet"/>
      </w:pPr>
      <w:r w:rsidRPr="00984DB6">
        <w:t xml:space="preserve">providing families with Aboriginal and Torres Strait Islander children who are in or at risk of entering the </w:t>
      </w:r>
      <w:r>
        <w:t>criminal justice</w:t>
      </w:r>
      <w:r w:rsidRPr="00984DB6">
        <w:t xml:space="preserve"> system with the support they need to interact</w:t>
      </w:r>
      <w:r>
        <w:t xml:space="preserve"> with</w:t>
      </w:r>
      <w:r w:rsidRPr="00984DB6">
        <w:t xml:space="preserve"> </w:t>
      </w:r>
      <w:r w:rsidRPr="00984DB6">
        <w:lastRenderedPageBreak/>
        <w:t>and navigate the system (including accessible and culturally appropriate legal advice)</w:t>
      </w:r>
      <w:r>
        <w:t xml:space="preserve"> </w:t>
      </w:r>
      <w:r w:rsidRPr="00984DB6">
        <w:rPr>
          <w:szCs w:val="24"/>
        </w:rPr>
        <w:t>(DHHS 2020)</w:t>
      </w:r>
      <w:r>
        <w:t>.</w:t>
      </w:r>
    </w:p>
    <w:p w14:paraId="34017904" w14:textId="319DE4AE" w:rsidR="008422E6" w:rsidRPr="00984DB6" w:rsidRDefault="008422E6" w:rsidP="008422E6">
      <w:pPr>
        <w:pStyle w:val="BodyText"/>
      </w:pPr>
      <w:r>
        <w:t xml:space="preserve">Incorporating elements into youth diversion programs that address the risk factors for </w:t>
      </w:r>
      <w:r w:rsidRPr="00984DB6">
        <w:t xml:space="preserve">Aboriginal and Torres Strait Islander </w:t>
      </w:r>
      <w:r>
        <w:t xml:space="preserve">youth offending, such as illicit </w:t>
      </w:r>
      <w:r w:rsidRPr="00F05066">
        <w:t>substance use</w:t>
      </w:r>
      <w:r>
        <w:t>,</w:t>
      </w:r>
      <w:r w:rsidRPr="00F05066">
        <w:t xml:space="preserve"> </w:t>
      </w:r>
      <w:r>
        <w:t xml:space="preserve">poor </w:t>
      </w:r>
      <w:r w:rsidRPr="00F05066">
        <w:t>impulse control</w:t>
      </w:r>
      <w:r>
        <w:t xml:space="preserve"> and childhood trauma, </w:t>
      </w:r>
      <w:r w:rsidRPr="00EF55E0">
        <w:t xml:space="preserve">may increase </w:t>
      </w:r>
      <w:r>
        <w:t xml:space="preserve">the programs’ effectiveness in reducing repeat offending </w:t>
      </w:r>
      <w:r w:rsidRPr="00896EAC">
        <w:rPr>
          <w:szCs w:val="24"/>
        </w:rPr>
        <w:t>(Little, Stewart and Ryan 2018)</w:t>
      </w:r>
      <w:r w:rsidRPr="00984DB6">
        <w:t>.</w:t>
      </w:r>
      <w:r>
        <w:t xml:space="preserve"> And more evaluation of programs to assess their effectiveness is needed.</w:t>
      </w:r>
    </w:p>
    <w:p w14:paraId="378C4E85" w14:textId="06A4967A" w:rsidR="008422E6" w:rsidRDefault="008422E6" w:rsidP="008422E6">
      <w:pPr>
        <w:pStyle w:val="BodyText"/>
      </w:pPr>
      <w:r>
        <w:t>To ensure that y</w:t>
      </w:r>
      <w:r w:rsidRPr="00B218E3">
        <w:t>outh diversion</w:t>
      </w:r>
      <w:r>
        <w:t xml:space="preserve"> </w:t>
      </w:r>
      <w:r w:rsidRPr="00B218E3">
        <w:t xml:space="preserve">programs </w:t>
      </w:r>
      <w:r>
        <w:t xml:space="preserve">or approaches for </w:t>
      </w:r>
      <w:r w:rsidRPr="00B218E3">
        <w:t>Aboriginal and Torres Strait Islander young people</w:t>
      </w:r>
      <w:r>
        <w:t xml:space="preserve"> are as beneficial as possible, they need to be </w:t>
      </w:r>
      <w:r w:rsidRPr="00B218E3">
        <w:t xml:space="preserve">designed and implemented by </w:t>
      </w:r>
      <w:r>
        <w:t xml:space="preserve">(or with) </w:t>
      </w:r>
      <w:r w:rsidRPr="00B218E3">
        <w:t>Aboriginal and Torres Strait Islander people (</w:t>
      </w:r>
      <w:proofErr w:type="spellStart"/>
      <w:r w:rsidRPr="00B218E3">
        <w:t>Blagg</w:t>
      </w:r>
      <w:proofErr w:type="spellEnd"/>
      <w:r w:rsidRPr="00B218E3">
        <w:t xml:space="preserve">, </w:t>
      </w:r>
      <w:proofErr w:type="spellStart"/>
      <w:r w:rsidRPr="00B218E3">
        <w:t>Tulich</w:t>
      </w:r>
      <w:proofErr w:type="spellEnd"/>
      <w:r w:rsidRPr="00B218E3">
        <w:t xml:space="preserve"> and Bush 2017)</w:t>
      </w:r>
      <w:r>
        <w:t xml:space="preserve">. </w:t>
      </w:r>
    </w:p>
    <w:p w14:paraId="1CAD0369" w14:textId="77777777" w:rsidR="008422E6" w:rsidRDefault="008422E6" w:rsidP="008422E6">
      <w:pPr>
        <w:pStyle w:val="Heading3"/>
      </w:pPr>
      <w:r>
        <w:t>Future directions in data</w:t>
      </w:r>
    </w:p>
    <w:p w14:paraId="34688460" w14:textId="77777777" w:rsidR="008422E6" w:rsidRPr="00FA0A27" w:rsidRDefault="008422E6" w:rsidP="008422E6">
      <w:pPr>
        <w:pStyle w:val="BodyText"/>
      </w:pPr>
      <w:r>
        <w:t>Nationally c</w:t>
      </w:r>
      <w:r w:rsidRPr="00FA0A27">
        <w:t xml:space="preserve">omparable and complete data </w:t>
      </w:r>
      <w:r>
        <w:t xml:space="preserve">on youth diversions </w:t>
      </w:r>
      <w:r w:rsidRPr="00FA0A27">
        <w:t xml:space="preserve">are </w:t>
      </w:r>
      <w:r>
        <w:t xml:space="preserve">not available, and have not been available over the two decades of this Report. </w:t>
      </w:r>
      <w:r w:rsidRPr="00FA0A27">
        <w:t xml:space="preserve">Whilst data are collected on alleged offenders in the ABS Recorded Crime Offenders collection, the data quality for diversions by Indigenous status is currently not sufficient for national reporting purposes. </w:t>
      </w:r>
    </w:p>
    <w:p w14:paraId="28AB1751" w14:textId="77777777" w:rsidR="008422E6" w:rsidRDefault="008422E6" w:rsidP="008422E6">
      <w:pPr>
        <w:pStyle w:val="BodyText"/>
      </w:pPr>
      <w:r w:rsidRPr="00FA0A27">
        <w:t>To assist in explaining the differences in diversion rates between Aboriginal and Torres Strait Islander and non-Indigenous youth, information is also required on</w:t>
      </w:r>
      <w:r>
        <w:t xml:space="preserve"> why alleged offenders were denied diversion (for example,</w:t>
      </w:r>
      <w:r w:rsidRPr="00FA0A27">
        <w:t xml:space="preserve"> not meeting eligibility criteria, </w:t>
      </w:r>
      <w:r>
        <w:t>un</w:t>
      </w:r>
      <w:r w:rsidRPr="00FA0A27">
        <w:t xml:space="preserve">availability of diversion programs </w:t>
      </w:r>
      <w:r>
        <w:t>and/</w:t>
      </w:r>
      <w:r w:rsidRPr="00FA0A27">
        <w:t>or declining to participate in diversion</w:t>
      </w:r>
      <w:r>
        <w:t>)</w:t>
      </w:r>
      <w:r w:rsidRPr="00FA0A27">
        <w:t>.</w:t>
      </w:r>
    </w:p>
    <w:p w14:paraId="46AA39FE" w14:textId="6251DFCE" w:rsidR="008422E6" w:rsidRDefault="008422E6" w:rsidP="008422E6">
      <w:pPr>
        <w:pStyle w:val="Heading3"/>
      </w:pPr>
      <w:r>
        <w:t>References</w:t>
      </w:r>
    </w:p>
    <w:p w14:paraId="322EA8EA" w14:textId="29364B6A" w:rsidR="0034535B" w:rsidRPr="00F573C8" w:rsidRDefault="0034535B" w:rsidP="0034535B">
      <w:pPr>
        <w:pStyle w:val="Reference"/>
        <w:rPr>
          <w:sz w:val="20"/>
        </w:rPr>
      </w:pPr>
      <w:r w:rsidRPr="00F573C8">
        <w:rPr>
          <w:sz w:val="20"/>
        </w:rPr>
        <w:t xml:space="preserve">Allard, T., Stewart, A., </w:t>
      </w:r>
      <w:proofErr w:type="spellStart"/>
      <w:r w:rsidRPr="00F573C8">
        <w:rPr>
          <w:sz w:val="20"/>
        </w:rPr>
        <w:t>Chrzanowski</w:t>
      </w:r>
      <w:proofErr w:type="spellEnd"/>
      <w:r w:rsidRPr="00F573C8">
        <w:rPr>
          <w:sz w:val="20"/>
        </w:rPr>
        <w:t xml:space="preserve">, A., Ogilvie, J., Birks, D. and Little, S. 2010, </w:t>
      </w:r>
      <w:r w:rsidRPr="00F573C8">
        <w:rPr>
          <w:i/>
          <w:iCs/>
          <w:sz w:val="20"/>
        </w:rPr>
        <w:t>Police Diversion of Young Offenders and Indigenous Over-Representation</w:t>
      </w:r>
      <w:r w:rsidRPr="00F573C8">
        <w:rPr>
          <w:sz w:val="20"/>
        </w:rPr>
        <w:t>, 390, Trends &amp; Issues in Crime and Criminal Justice, Australian Institute of Criminology.</w:t>
      </w:r>
    </w:p>
    <w:p w14:paraId="4312F565" w14:textId="77777777" w:rsidR="0034535B" w:rsidRPr="00F573C8" w:rsidRDefault="0034535B" w:rsidP="0034535B">
      <w:pPr>
        <w:pStyle w:val="Reference"/>
        <w:rPr>
          <w:sz w:val="20"/>
        </w:rPr>
      </w:pPr>
      <w:proofErr w:type="spellStart"/>
      <w:r w:rsidRPr="00F573C8">
        <w:rPr>
          <w:sz w:val="20"/>
        </w:rPr>
        <w:t>ALRC</w:t>
      </w:r>
      <w:proofErr w:type="spellEnd"/>
      <w:r w:rsidRPr="00F573C8">
        <w:rPr>
          <w:sz w:val="20"/>
        </w:rPr>
        <w:t xml:space="preserve"> (Australian Law Reform Commission) 2017, </w:t>
      </w:r>
      <w:r w:rsidRPr="00F573C8">
        <w:rPr>
          <w:i/>
          <w:iCs/>
          <w:sz w:val="20"/>
        </w:rPr>
        <w:t>Pathways to Justice: Inquiry into the Incarceration Rate of Aboriginal and Torres Strait Islander Peoples</w:t>
      </w:r>
      <w:r w:rsidRPr="00F573C8">
        <w:rPr>
          <w:sz w:val="20"/>
        </w:rPr>
        <w:t>, Report 133.</w:t>
      </w:r>
    </w:p>
    <w:p w14:paraId="495CFC1B" w14:textId="77777777" w:rsidR="0034535B" w:rsidRPr="00F573C8" w:rsidRDefault="0034535B" w:rsidP="0034535B">
      <w:pPr>
        <w:pStyle w:val="Reference"/>
        <w:rPr>
          <w:sz w:val="20"/>
        </w:rPr>
      </w:pPr>
      <w:proofErr w:type="spellStart"/>
      <w:r w:rsidRPr="00F573C8">
        <w:rPr>
          <w:sz w:val="20"/>
        </w:rPr>
        <w:t>Blagg</w:t>
      </w:r>
      <w:proofErr w:type="spellEnd"/>
      <w:r w:rsidRPr="00F573C8">
        <w:rPr>
          <w:sz w:val="20"/>
        </w:rPr>
        <w:t xml:space="preserve">, H. and Anthony, T. 2020, ‘Enforcing assimilation, dismantling Aboriginal families: A history of police violence in Australia’, </w:t>
      </w:r>
      <w:r w:rsidRPr="00F573C8">
        <w:rPr>
          <w:i/>
          <w:iCs/>
          <w:sz w:val="20"/>
        </w:rPr>
        <w:t>The Conversation</w:t>
      </w:r>
      <w:r w:rsidRPr="00F573C8">
        <w:rPr>
          <w:sz w:val="20"/>
        </w:rPr>
        <w:t>.</w:t>
      </w:r>
    </w:p>
    <w:p w14:paraId="0F407E8A" w14:textId="77777777" w:rsidR="0034535B" w:rsidRPr="00F573C8" w:rsidRDefault="0034535B" w:rsidP="0034535B">
      <w:pPr>
        <w:pStyle w:val="Reference"/>
        <w:rPr>
          <w:sz w:val="20"/>
        </w:rPr>
      </w:pPr>
      <w:r w:rsidRPr="00F573C8">
        <w:rPr>
          <w:sz w:val="20"/>
        </w:rPr>
        <w:t xml:space="preserve">—— and </w:t>
      </w:r>
      <w:proofErr w:type="spellStart"/>
      <w:r w:rsidRPr="00F573C8">
        <w:rPr>
          <w:sz w:val="20"/>
        </w:rPr>
        <w:t>Tulich</w:t>
      </w:r>
      <w:proofErr w:type="spellEnd"/>
      <w:r w:rsidRPr="00F573C8">
        <w:rPr>
          <w:sz w:val="20"/>
        </w:rPr>
        <w:t xml:space="preserve">, T. 2018, </w:t>
      </w:r>
      <w:r w:rsidRPr="00F573C8">
        <w:rPr>
          <w:i/>
          <w:iCs/>
          <w:sz w:val="20"/>
        </w:rPr>
        <w:t>Diversionary Pathways for Aboriginal Youth with Fetal Alcohol Spectrum Disorder</w:t>
      </w:r>
      <w:r w:rsidRPr="00F573C8">
        <w:rPr>
          <w:sz w:val="20"/>
        </w:rPr>
        <w:t>, 557, Trends &amp; Issues in Crime and Criminal Justice, Australian Institute of Criminology.</w:t>
      </w:r>
    </w:p>
    <w:p w14:paraId="384328BC" w14:textId="77777777" w:rsidR="0034535B" w:rsidRPr="00F573C8" w:rsidRDefault="0034535B" w:rsidP="0034535B">
      <w:pPr>
        <w:pStyle w:val="Reference"/>
        <w:rPr>
          <w:sz w:val="20"/>
        </w:rPr>
      </w:pPr>
      <w:r w:rsidRPr="00F573C8">
        <w:rPr>
          <w:sz w:val="20"/>
        </w:rPr>
        <w:t xml:space="preserve">——, —— and Bush 2017, ‘Indefinite Detention Meets Colonial Dispossession: Indigenous Youths With Foetal Alcohol Spectrum Disorders in a White Settler Justice System’, </w:t>
      </w:r>
      <w:r w:rsidRPr="00F573C8">
        <w:rPr>
          <w:i/>
          <w:iCs/>
          <w:sz w:val="20"/>
        </w:rPr>
        <w:t>Social and Legal Studies</w:t>
      </w:r>
      <w:r w:rsidRPr="00F573C8">
        <w:rPr>
          <w:sz w:val="20"/>
        </w:rPr>
        <w:t>, vol. 26, no. 3.</w:t>
      </w:r>
    </w:p>
    <w:p w14:paraId="037E7B68" w14:textId="77777777" w:rsidR="0034535B" w:rsidRPr="00F573C8" w:rsidRDefault="0034535B" w:rsidP="0034535B">
      <w:pPr>
        <w:pStyle w:val="Reference"/>
        <w:rPr>
          <w:sz w:val="20"/>
        </w:rPr>
      </w:pPr>
      <w:r w:rsidRPr="00F573C8">
        <w:rPr>
          <w:sz w:val="20"/>
        </w:rPr>
        <w:t xml:space="preserve">Coffin, J., Kennedy, G. and Owen, J. 2018, </w:t>
      </w:r>
      <w:r w:rsidRPr="00F573C8">
        <w:rPr>
          <w:i/>
          <w:iCs/>
          <w:sz w:val="20"/>
        </w:rPr>
        <w:t>Cultural Security Audit for WA Police</w:t>
      </w:r>
      <w:r w:rsidRPr="00F573C8">
        <w:rPr>
          <w:sz w:val="20"/>
        </w:rPr>
        <w:t xml:space="preserve">, March, </w:t>
      </w:r>
      <w:proofErr w:type="spellStart"/>
      <w:r w:rsidRPr="00F573C8">
        <w:rPr>
          <w:sz w:val="20"/>
        </w:rPr>
        <w:t>Nulungu</w:t>
      </w:r>
      <w:proofErr w:type="spellEnd"/>
      <w:r w:rsidRPr="00F573C8">
        <w:rPr>
          <w:sz w:val="20"/>
        </w:rPr>
        <w:t xml:space="preserve"> Research Institute, the University of Notre Dame Australia.</w:t>
      </w:r>
    </w:p>
    <w:p w14:paraId="265106B8" w14:textId="77777777" w:rsidR="0034535B" w:rsidRPr="00F573C8" w:rsidRDefault="0034535B" w:rsidP="0034535B">
      <w:pPr>
        <w:pStyle w:val="Reference"/>
        <w:rPr>
          <w:sz w:val="20"/>
        </w:rPr>
      </w:pPr>
      <w:proofErr w:type="spellStart"/>
      <w:r w:rsidRPr="00F573C8">
        <w:rPr>
          <w:sz w:val="20"/>
        </w:rPr>
        <w:lastRenderedPageBreak/>
        <w:t>Cunneen</w:t>
      </w:r>
      <w:proofErr w:type="spellEnd"/>
      <w:r w:rsidRPr="00F573C8">
        <w:rPr>
          <w:sz w:val="20"/>
        </w:rPr>
        <w:t xml:space="preserve">, C. 2019, ‘Youth justice and racialization: Comparative reflections’, </w:t>
      </w:r>
      <w:r w:rsidRPr="00F573C8">
        <w:rPr>
          <w:i/>
          <w:iCs/>
          <w:sz w:val="20"/>
        </w:rPr>
        <w:t>Theoretical Criminology</w:t>
      </w:r>
      <w:r w:rsidRPr="00F573C8">
        <w:rPr>
          <w:sz w:val="20"/>
        </w:rPr>
        <w:t>, vol. 24, no. 3.</w:t>
      </w:r>
    </w:p>
    <w:p w14:paraId="0D7B94B1" w14:textId="77777777" w:rsidR="0034535B" w:rsidRPr="00F573C8" w:rsidRDefault="0034535B" w:rsidP="0034535B">
      <w:pPr>
        <w:pStyle w:val="Reference"/>
        <w:rPr>
          <w:sz w:val="20"/>
        </w:rPr>
      </w:pPr>
      <w:r w:rsidRPr="00F573C8">
        <w:rPr>
          <w:sz w:val="20"/>
        </w:rPr>
        <w:t xml:space="preserve">DHHS (Department of Health and Human Services) 2020, </w:t>
      </w:r>
      <w:r w:rsidRPr="00F573C8">
        <w:rPr>
          <w:i/>
          <w:iCs/>
          <w:sz w:val="20"/>
        </w:rPr>
        <w:t>A Framework to Reduce Criminalisation of Young People in Residential Care</w:t>
      </w:r>
      <w:r w:rsidRPr="00F573C8">
        <w:rPr>
          <w:sz w:val="20"/>
        </w:rPr>
        <w:t>, February, Victorian Government.</w:t>
      </w:r>
    </w:p>
    <w:p w14:paraId="59040797" w14:textId="77777777" w:rsidR="0034535B" w:rsidRPr="00F573C8" w:rsidRDefault="0034535B" w:rsidP="0034535B">
      <w:pPr>
        <w:pStyle w:val="Reference"/>
        <w:rPr>
          <w:sz w:val="20"/>
        </w:rPr>
      </w:pPr>
      <w:r w:rsidRPr="00F573C8">
        <w:rPr>
          <w:sz w:val="20"/>
        </w:rPr>
        <w:t xml:space="preserve">Green, R., Bryant, J., Gray, </w:t>
      </w:r>
      <w:proofErr w:type="spellStart"/>
      <w:r w:rsidRPr="00F573C8">
        <w:rPr>
          <w:sz w:val="20"/>
        </w:rPr>
        <w:t>R.M</w:t>
      </w:r>
      <w:proofErr w:type="spellEnd"/>
      <w:r w:rsidRPr="00F573C8">
        <w:rPr>
          <w:sz w:val="20"/>
        </w:rPr>
        <w:t xml:space="preserve">., Best, D., Brown, R., </w:t>
      </w:r>
      <w:proofErr w:type="spellStart"/>
      <w:r w:rsidRPr="00F573C8">
        <w:rPr>
          <w:sz w:val="20"/>
        </w:rPr>
        <w:t>Rance</w:t>
      </w:r>
      <w:proofErr w:type="spellEnd"/>
      <w:r w:rsidRPr="00F573C8">
        <w:rPr>
          <w:sz w:val="20"/>
        </w:rPr>
        <w:t xml:space="preserve">, J. and MacLean, S. 2016, </w:t>
      </w:r>
      <w:r w:rsidRPr="00F573C8">
        <w:rPr>
          <w:i/>
          <w:iCs/>
          <w:sz w:val="20"/>
        </w:rPr>
        <w:t>Policing and Pathways to Diversion and Care Among Vulnerable Young People who use Alcohol and Other Drugs</w:t>
      </w:r>
      <w:r w:rsidRPr="00F573C8">
        <w:rPr>
          <w:sz w:val="20"/>
        </w:rPr>
        <w:t>, Monograph 64, Canberra: National Drug Law Enforcement Research Fund.</w:t>
      </w:r>
    </w:p>
    <w:p w14:paraId="0AA41C07" w14:textId="77777777" w:rsidR="0034535B" w:rsidRPr="00F573C8" w:rsidRDefault="0034535B" w:rsidP="0034535B">
      <w:pPr>
        <w:pStyle w:val="Reference"/>
        <w:rPr>
          <w:sz w:val="20"/>
        </w:rPr>
      </w:pPr>
      <w:r w:rsidRPr="00F573C8">
        <w:rPr>
          <w:sz w:val="20"/>
        </w:rPr>
        <w:t xml:space="preserve">Green, R., Gray, </w:t>
      </w:r>
      <w:proofErr w:type="spellStart"/>
      <w:r w:rsidRPr="00F573C8">
        <w:rPr>
          <w:sz w:val="20"/>
        </w:rPr>
        <w:t>R.M</w:t>
      </w:r>
      <w:proofErr w:type="spellEnd"/>
      <w:r w:rsidRPr="00F573C8">
        <w:rPr>
          <w:sz w:val="20"/>
        </w:rPr>
        <w:t xml:space="preserve">., Bryant, J., </w:t>
      </w:r>
      <w:proofErr w:type="spellStart"/>
      <w:r w:rsidRPr="00F573C8">
        <w:rPr>
          <w:sz w:val="20"/>
        </w:rPr>
        <w:t>Rance</w:t>
      </w:r>
      <w:proofErr w:type="spellEnd"/>
      <w:r w:rsidRPr="00F573C8">
        <w:rPr>
          <w:sz w:val="20"/>
        </w:rPr>
        <w:t xml:space="preserve">, J. and MacLean, S. 2020, ‘Police decision-making with young offenders: Examining barriers to the use of diversion options’, </w:t>
      </w:r>
      <w:r w:rsidRPr="00F573C8">
        <w:rPr>
          <w:i/>
          <w:iCs/>
          <w:sz w:val="20"/>
        </w:rPr>
        <w:t>Australian &amp; New Zealand Journal of Criminology</w:t>
      </w:r>
      <w:r w:rsidRPr="00F573C8">
        <w:rPr>
          <w:sz w:val="20"/>
        </w:rPr>
        <w:t>, vol. 53, no. 1, pp. 137–154.</w:t>
      </w:r>
    </w:p>
    <w:p w14:paraId="54D3E8CC" w14:textId="77777777" w:rsidR="0034535B" w:rsidRPr="00F573C8" w:rsidRDefault="0034535B" w:rsidP="0034535B">
      <w:pPr>
        <w:pStyle w:val="Reference"/>
        <w:rPr>
          <w:sz w:val="20"/>
        </w:rPr>
      </w:pPr>
      <w:proofErr w:type="spellStart"/>
      <w:r w:rsidRPr="00F573C8">
        <w:rPr>
          <w:sz w:val="20"/>
        </w:rPr>
        <w:t>JSS</w:t>
      </w:r>
      <w:proofErr w:type="spellEnd"/>
      <w:r w:rsidRPr="00F573C8">
        <w:rPr>
          <w:sz w:val="20"/>
        </w:rPr>
        <w:t xml:space="preserve"> (Jesuit Social Services) 2018, </w:t>
      </w:r>
      <w:r w:rsidRPr="00F573C8">
        <w:rPr>
          <w:i/>
          <w:iCs/>
          <w:sz w:val="20"/>
        </w:rPr>
        <w:t>Inquiry into the Adequacy of Youth Diversionary Programs in NSW: Submission 171012</w:t>
      </w:r>
      <w:r w:rsidRPr="00F573C8">
        <w:rPr>
          <w:sz w:val="20"/>
        </w:rPr>
        <w:t>, January.</w:t>
      </w:r>
    </w:p>
    <w:p w14:paraId="6096B30C" w14:textId="77777777" w:rsidR="0034535B" w:rsidRPr="00F573C8" w:rsidRDefault="0034535B" w:rsidP="0034535B">
      <w:pPr>
        <w:pStyle w:val="Reference"/>
        <w:rPr>
          <w:sz w:val="20"/>
        </w:rPr>
      </w:pPr>
      <w:proofErr w:type="spellStart"/>
      <w:r w:rsidRPr="00F573C8">
        <w:rPr>
          <w:sz w:val="20"/>
        </w:rPr>
        <w:t>Juodo</w:t>
      </w:r>
      <w:proofErr w:type="spellEnd"/>
      <w:r w:rsidRPr="00F573C8">
        <w:rPr>
          <w:sz w:val="20"/>
        </w:rPr>
        <w:t xml:space="preserve">, J. 2008, </w:t>
      </w:r>
      <w:r w:rsidRPr="00F573C8">
        <w:rPr>
          <w:i/>
          <w:iCs/>
          <w:sz w:val="20"/>
        </w:rPr>
        <w:t>Responding to Substance Abuse and Offending in Indigenous Communities: Review of Diversion Programs</w:t>
      </w:r>
      <w:r w:rsidRPr="00F573C8">
        <w:rPr>
          <w:sz w:val="20"/>
        </w:rPr>
        <w:t>, Research and Public Policy Series, No. 88, Australian Institute of Criminology.</w:t>
      </w:r>
    </w:p>
    <w:p w14:paraId="105FC481" w14:textId="77777777" w:rsidR="0034535B" w:rsidRPr="00F573C8" w:rsidRDefault="0034535B" w:rsidP="0034535B">
      <w:pPr>
        <w:pStyle w:val="Reference"/>
        <w:rPr>
          <w:sz w:val="20"/>
        </w:rPr>
      </w:pPr>
      <w:r w:rsidRPr="00F573C8">
        <w:rPr>
          <w:sz w:val="20"/>
        </w:rPr>
        <w:t xml:space="preserve">Little, S., Stewart, A. and Ryan, N. 2018, ‘Restorative Justice Conferencing: Not a Panacea for the Overrepresentation of Australia’s Indigenous Youth in the Criminal Justice System’, </w:t>
      </w:r>
      <w:r w:rsidRPr="00F573C8">
        <w:rPr>
          <w:i/>
          <w:iCs/>
          <w:sz w:val="20"/>
        </w:rPr>
        <w:t>International Journal of Offender Therapy and Comparative Criminology</w:t>
      </w:r>
      <w:r w:rsidRPr="00F573C8">
        <w:rPr>
          <w:sz w:val="20"/>
        </w:rPr>
        <w:t>, vol. 62, no. 13, pp. 4067–4090.</w:t>
      </w:r>
    </w:p>
    <w:p w14:paraId="450246FB" w14:textId="77777777" w:rsidR="0034535B" w:rsidRPr="00F573C8" w:rsidRDefault="0034535B" w:rsidP="0034535B">
      <w:pPr>
        <w:pStyle w:val="Reference"/>
        <w:rPr>
          <w:sz w:val="20"/>
        </w:rPr>
      </w:pPr>
      <w:r w:rsidRPr="00F573C8">
        <w:rPr>
          <w:sz w:val="20"/>
        </w:rPr>
        <w:t xml:space="preserve">McFarlane, K. 2018, ‘Care-criminalisation: The involvement of children in out-of-home care in the New South Wales criminal justice system’, </w:t>
      </w:r>
      <w:r w:rsidRPr="00F573C8">
        <w:rPr>
          <w:i/>
          <w:iCs/>
          <w:sz w:val="20"/>
        </w:rPr>
        <w:t>Australian &amp; New Zealand Journal of Criminology</w:t>
      </w:r>
      <w:r w:rsidRPr="00F573C8">
        <w:rPr>
          <w:sz w:val="20"/>
        </w:rPr>
        <w:t>, vol. 51, no. 3, pp. 412–433.</w:t>
      </w:r>
    </w:p>
    <w:p w14:paraId="0369D4EB" w14:textId="77777777" w:rsidR="0034535B" w:rsidRPr="00F573C8" w:rsidRDefault="0034535B" w:rsidP="0034535B">
      <w:pPr>
        <w:pStyle w:val="Reference"/>
        <w:rPr>
          <w:sz w:val="20"/>
        </w:rPr>
      </w:pPr>
      <w:r w:rsidRPr="00F573C8">
        <w:rPr>
          <w:sz w:val="20"/>
        </w:rPr>
        <w:t xml:space="preserve">Papalia, N., Shepherd, </w:t>
      </w:r>
      <w:proofErr w:type="spellStart"/>
      <w:r w:rsidRPr="00F573C8">
        <w:rPr>
          <w:sz w:val="20"/>
        </w:rPr>
        <w:t>S.M</w:t>
      </w:r>
      <w:proofErr w:type="spellEnd"/>
      <w:r w:rsidRPr="00F573C8">
        <w:rPr>
          <w:sz w:val="20"/>
        </w:rPr>
        <w:t xml:space="preserve">., Spivak, B., </w:t>
      </w:r>
      <w:proofErr w:type="spellStart"/>
      <w:r w:rsidRPr="00F573C8">
        <w:rPr>
          <w:sz w:val="20"/>
        </w:rPr>
        <w:t>Luebbers</w:t>
      </w:r>
      <w:proofErr w:type="spellEnd"/>
      <w:r w:rsidRPr="00F573C8">
        <w:rPr>
          <w:sz w:val="20"/>
        </w:rPr>
        <w:t xml:space="preserve">, S., Shea, D.E. and </w:t>
      </w:r>
      <w:proofErr w:type="spellStart"/>
      <w:r w:rsidRPr="00F573C8">
        <w:rPr>
          <w:sz w:val="20"/>
        </w:rPr>
        <w:t>Fullam</w:t>
      </w:r>
      <w:proofErr w:type="spellEnd"/>
      <w:r w:rsidRPr="00F573C8">
        <w:rPr>
          <w:sz w:val="20"/>
        </w:rPr>
        <w:t xml:space="preserve">, R. 2019, ‘Disparities in criminal justice system responses to first-time juvenile offenders according to Indigenous status’, </w:t>
      </w:r>
      <w:r w:rsidRPr="00F573C8">
        <w:rPr>
          <w:i/>
          <w:iCs/>
          <w:sz w:val="20"/>
        </w:rPr>
        <w:t xml:space="preserve">Criminal Justice and </w:t>
      </w:r>
      <w:proofErr w:type="spellStart"/>
      <w:r w:rsidRPr="00F573C8">
        <w:rPr>
          <w:i/>
          <w:iCs/>
          <w:sz w:val="20"/>
        </w:rPr>
        <w:t>Behavior</w:t>
      </w:r>
      <w:proofErr w:type="spellEnd"/>
      <w:r w:rsidRPr="00F573C8">
        <w:rPr>
          <w:sz w:val="20"/>
        </w:rPr>
        <w:t>, vol. 46, no. 8, pp. 1067–1087.</w:t>
      </w:r>
    </w:p>
    <w:p w14:paraId="0E19E4A9" w14:textId="77777777" w:rsidR="0034535B" w:rsidRPr="00F573C8" w:rsidRDefault="0034535B" w:rsidP="0034535B">
      <w:pPr>
        <w:pStyle w:val="Reference"/>
        <w:rPr>
          <w:sz w:val="20"/>
        </w:rPr>
      </w:pPr>
      <w:r w:rsidRPr="00F573C8">
        <w:rPr>
          <w:sz w:val="20"/>
        </w:rPr>
        <w:t xml:space="preserve">Putt, J. 2010, </w:t>
      </w:r>
      <w:r w:rsidRPr="00F573C8">
        <w:rPr>
          <w:i/>
          <w:iCs/>
          <w:sz w:val="20"/>
        </w:rPr>
        <w:t>Community Policing in Australia</w:t>
      </w:r>
      <w:r w:rsidRPr="00F573C8">
        <w:rPr>
          <w:sz w:val="20"/>
        </w:rPr>
        <w:t>, Research and Public Policy Series No. 111, Australian Institute of Criminology.</w:t>
      </w:r>
    </w:p>
    <w:p w14:paraId="1265DE18" w14:textId="77777777" w:rsidR="0034535B" w:rsidRPr="00F573C8" w:rsidRDefault="0034535B" w:rsidP="0034535B">
      <w:pPr>
        <w:pStyle w:val="Reference"/>
        <w:rPr>
          <w:sz w:val="20"/>
        </w:rPr>
      </w:pPr>
      <w:r w:rsidRPr="00F573C8">
        <w:rPr>
          <w:sz w:val="20"/>
        </w:rPr>
        <w:t xml:space="preserve">Richards, K. 2010, </w:t>
      </w:r>
      <w:r w:rsidRPr="00F573C8">
        <w:rPr>
          <w:i/>
          <w:iCs/>
          <w:sz w:val="20"/>
        </w:rPr>
        <w:t>Police-Referred Restorative Justice for Juveniles in Australia</w:t>
      </w:r>
      <w:r w:rsidRPr="00F573C8">
        <w:rPr>
          <w:sz w:val="20"/>
        </w:rPr>
        <w:t>, Trends &amp; Issues in Crime and Criminal Justice, No. 398, Australian Institute of Criminology.</w:t>
      </w:r>
    </w:p>
    <w:p w14:paraId="6906091F" w14:textId="77777777" w:rsidR="0034535B" w:rsidRPr="00F573C8" w:rsidRDefault="0034535B" w:rsidP="0034535B">
      <w:pPr>
        <w:pStyle w:val="Reference"/>
        <w:rPr>
          <w:sz w:val="20"/>
        </w:rPr>
      </w:pPr>
      <w:r w:rsidRPr="00F573C8">
        <w:rPr>
          <w:sz w:val="20"/>
        </w:rPr>
        <w:t xml:space="preserve">Sentencing Advisory Council 2020, </w:t>
      </w:r>
      <w:r w:rsidRPr="00F573C8">
        <w:rPr>
          <w:i/>
          <w:iCs/>
          <w:sz w:val="20"/>
        </w:rPr>
        <w:t>Crossover Kids: Vulnerable Children in the Youth Justice System Report 2</w:t>
      </w:r>
      <w:r w:rsidRPr="00F573C8">
        <w:rPr>
          <w:sz w:val="20"/>
        </w:rPr>
        <w:t>, Victoria.</w:t>
      </w:r>
    </w:p>
    <w:p w14:paraId="2798D244" w14:textId="77777777" w:rsidR="0034535B" w:rsidRPr="00F573C8" w:rsidRDefault="0034535B" w:rsidP="0034535B">
      <w:pPr>
        <w:pStyle w:val="Reference"/>
        <w:rPr>
          <w:sz w:val="20"/>
        </w:rPr>
      </w:pPr>
      <w:r w:rsidRPr="00F573C8">
        <w:rPr>
          <w:sz w:val="20"/>
        </w:rPr>
        <w:t xml:space="preserve">Shanahan, M., Hughes, C. and McSweeney, T. 2017, ‘Police diversion for cannabis offences: Assessing outcomes and cost-effectiveness’, </w:t>
      </w:r>
      <w:r w:rsidRPr="00F573C8">
        <w:rPr>
          <w:i/>
          <w:iCs/>
          <w:sz w:val="20"/>
        </w:rPr>
        <w:t>Trends and Issues in Crime and Criminal Justice</w:t>
      </w:r>
      <w:r w:rsidRPr="00F573C8">
        <w:rPr>
          <w:sz w:val="20"/>
        </w:rPr>
        <w:t>, no. 532, p. 1.</w:t>
      </w:r>
    </w:p>
    <w:p w14:paraId="2CC732AD" w14:textId="77777777" w:rsidR="0034535B" w:rsidRPr="00F573C8" w:rsidRDefault="0034535B" w:rsidP="0034535B">
      <w:pPr>
        <w:pStyle w:val="Reference"/>
        <w:rPr>
          <w:sz w:val="20"/>
        </w:rPr>
      </w:pPr>
      <w:r w:rsidRPr="00F573C8">
        <w:rPr>
          <w:sz w:val="20"/>
        </w:rPr>
        <w:t xml:space="preserve">Shirley, K. 2017, </w:t>
      </w:r>
      <w:r w:rsidRPr="00F573C8">
        <w:rPr>
          <w:i/>
          <w:iCs/>
          <w:sz w:val="20"/>
        </w:rPr>
        <w:t>The Cautious Approach: Police Cautions and the Impact on Youth Reoffending</w:t>
      </w:r>
      <w:r w:rsidRPr="00F573C8">
        <w:rPr>
          <w:sz w:val="20"/>
        </w:rPr>
        <w:t>, September, 9, In Brief, Crime Statistics Agency.</w:t>
      </w:r>
    </w:p>
    <w:p w14:paraId="70EFE49F" w14:textId="77777777" w:rsidR="0034535B" w:rsidRPr="00F573C8" w:rsidRDefault="0034535B" w:rsidP="0034535B">
      <w:pPr>
        <w:pStyle w:val="Reference"/>
        <w:rPr>
          <w:sz w:val="20"/>
        </w:rPr>
      </w:pPr>
      <w:r w:rsidRPr="00F573C8">
        <w:rPr>
          <w:sz w:val="20"/>
        </w:rPr>
        <w:t xml:space="preserve">Wang, J.J. and </w:t>
      </w:r>
      <w:proofErr w:type="spellStart"/>
      <w:r w:rsidRPr="00F573C8">
        <w:rPr>
          <w:sz w:val="20"/>
        </w:rPr>
        <w:t>Weatherburn</w:t>
      </w:r>
      <w:proofErr w:type="spellEnd"/>
      <w:r w:rsidRPr="00F573C8">
        <w:rPr>
          <w:sz w:val="20"/>
        </w:rPr>
        <w:t xml:space="preserve">, D. 2019, ‘Are police cautions a soft option? Reoffending among juveniles cautioned or referred to court’, </w:t>
      </w:r>
      <w:r w:rsidRPr="00F573C8">
        <w:rPr>
          <w:i/>
          <w:iCs/>
          <w:sz w:val="20"/>
        </w:rPr>
        <w:t>Australian &amp; New Zealand Journal of Criminology</w:t>
      </w:r>
      <w:r w:rsidRPr="00F573C8">
        <w:rPr>
          <w:sz w:val="20"/>
        </w:rPr>
        <w:t>, vol. 52, no. 3, pp. 334–347.</w:t>
      </w:r>
    </w:p>
    <w:p w14:paraId="7A03D1A0" w14:textId="45F6D42B" w:rsidR="0034535B" w:rsidRPr="0034535B" w:rsidRDefault="0034535B" w:rsidP="0034535B">
      <w:pPr>
        <w:pStyle w:val="BodyText"/>
      </w:pPr>
    </w:p>
    <w:p w14:paraId="1BC23D50" w14:textId="4179590C" w:rsidR="008422E6" w:rsidRDefault="008422E6">
      <w:pPr>
        <w:rPr>
          <w:szCs w:val="20"/>
        </w:rPr>
      </w:pPr>
      <w:r>
        <w:br w:type="page"/>
      </w:r>
    </w:p>
    <w:p w14:paraId="7FADE03A" w14:textId="77777777" w:rsidR="008422E6" w:rsidRPr="0061171B" w:rsidRDefault="008422E6" w:rsidP="008422E6">
      <w:pPr>
        <w:pStyle w:val="Heading2"/>
      </w:pPr>
      <w:r w:rsidRPr="0061171B">
        <w:lastRenderedPageBreak/>
        <w:t>11.4</w:t>
      </w:r>
      <w:r w:rsidRPr="0061171B">
        <w:tab/>
        <w:t>Repeat offending</w:t>
      </w:r>
      <w:r w:rsidRPr="0034535B">
        <w:rPr>
          <w:rStyle w:val="FootnoteReference"/>
          <w:rFonts w:ascii="Arial" w:hAnsi="Arial" w:cs="Arial"/>
        </w:rPr>
        <w:footnoteReference w:id="13"/>
      </w:r>
    </w:p>
    <w:p w14:paraId="4C7FFBC5" w14:textId="77777777" w:rsidR="008422E6" w:rsidRPr="0061171B" w:rsidRDefault="008422E6" w:rsidP="008422E6">
      <w:pPr>
        <w:pStyle w:val="BoxSpaceAbove"/>
        <w:spacing w:before="3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422E6" w:rsidRPr="0061171B" w14:paraId="136C1438" w14:textId="77777777" w:rsidTr="00493FBD">
        <w:tc>
          <w:tcPr>
            <w:tcW w:w="5000" w:type="pct"/>
            <w:tcBorders>
              <w:top w:val="single" w:sz="6" w:space="0" w:color="78A22F"/>
              <w:left w:val="nil"/>
              <w:bottom w:val="nil"/>
              <w:right w:val="nil"/>
            </w:tcBorders>
            <w:shd w:val="clear" w:color="auto" w:fill="F2F2F2"/>
          </w:tcPr>
          <w:p w14:paraId="64EA8137" w14:textId="6958B780" w:rsidR="008422E6" w:rsidRPr="0061171B" w:rsidRDefault="008422E6" w:rsidP="00F53DE9">
            <w:pPr>
              <w:pStyle w:val="BoxTitle"/>
            </w:pPr>
            <w:r w:rsidRPr="0061171B">
              <w:rPr>
                <w:b w:val="0"/>
              </w:rPr>
              <w:t>Box 11.4.</w:t>
            </w:r>
            <w:r>
              <w:rPr>
                <w:b w:val="0"/>
                <w:noProof/>
              </w:rPr>
              <w:t>1</w:t>
            </w:r>
            <w:r w:rsidRPr="0061171B">
              <w:tab/>
              <w:t>Key messages</w:t>
            </w:r>
          </w:p>
        </w:tc>
      </w:tr>
      <w:tr w:rsidR="008422E6" w:rsidRPr="0061171B" w14:paraId="3C316AFF" w14:textId="77777777" w:rsidTr="00493FBD">
        <w:trPr>
          <w:cantSplit/>
        </w:trPr>
        <w:tc>
          <w:tcPr>
            <w:tcW w:w="5000" w:type="pct"/>
            <w:tcBorders>
              <w:top w:val="nil"/>
              <w:left w:val="nil"/>
              <w:bottom w:val="nil"/>
              <w:right w:val="nil"/>
            </w:tcBorders>
            <w:shd w:val="clear" w:color="auto" w:fill="F2F2F2"/>
          </w:tcPr>
          <w:p w14:paraId="345057C6" w14:textId="77777777" w:rsidR="008422E6" w:rsidRPr="0061171B" w:rsidRDefault="008422E6" w:rsidP="00F53DE9">
            <w:pPr>
              <w:pStyle w:val="BoxListBullet"/>
            </w:pPr>
            <w:r w:rsidRPr="0061171B">
              <w:t xml:space="preserve">While most Aboriginal and Torres Strait Islander people do not have contact with the justice system, the higher rates of incarceration among Aboriginal and Torres Strait Islander people compared to non-Indigenous people are strongly linked to higher </w:t>
            </w:r>
            <w:r w:rsidRPr="00E631CA">
              <w:t>rates of repeat offending.</w:t>
            </w:r>
            <w:r w:rsidRPr="0061171B">
              <w:t xml:space="preserve"> </w:t>
            </w:r>
          </w:p>
          <w:p w14:paraId="09441FF3" w14:textId="77777777" w:rsidR="008422E6" w:rsidRPr="0061171B" w:rsidRDefault="008422E6" w:rsidP="00F53DE9">
            <w:pPr>
              <w:pStyle w:val="BoxListBullet"/>
            </w:pPr>
            <w:r w:rsidRPr="0061171B">
              <w:t>Aboriginal and Torres Strait Islander youth enter the criminal justice system at a younger age than non</w:t>
            </w:r>
            <w:r w:rsidRPr="0061171B">
              <w:noBreakHyphen/>
              <w:t xml:space="preserve">Indigenous youth, which is a factor in their rates of return. </w:t>
            </w:r>
          </w:p>
          <w:p w14:paraId="158A58AA" w14:textId="77777777" w:rsidR="008422E6" w:rsidRPr="0061171B" w:rsidRDefault="008422E6" w:rsidP="00F53DE9">
            <w:pPr>
              <w:pStyle w:val="BoxListBullet"/>
            </w:pPr>
            <w:r w:rsidRPr="0061171B">
              <w:t>Of all young people under sentenced supervision in 2018-19 and for whom their first supervision was at 10–13 years of age, 70 per cent were Aboriginal and Torres Strait Islander.</w:t>
            </w:r>
            <w:r>
              <w:t xml:space="preserve"> Over the period 2000-</w:t>
            </w:r>
            <w:r w:rsidRPr="0061171B">
              <w:t>01 to 2018-19, 55 per cent of Aboriginal and Torres Strait Islander young people in sentenced supervision had more than one supe</w:t>
            </w:r>
            <w:r>
              <w:t>rvised sentence, compared to 34 per </w:t>
            </w:r>
            <w:r w:rsidRPr="0061171B">
              <w:t>cent for non</w:t>
            </w:r>
            <w:r w:rsidRPr="0061171B">
              <w:noBreakHyphen/>
              <w:t xml:space="preserve">Indigenous young people. </w:t>
            </w:r>
          </w:p>
          <w:p w14:paraId="77782BC0" w14:textId="77777777" w:rsidR="008422E6" w:rsidRPr="0061171B" w:rsidRDefault="008422E6" w:rsidP="00F53DE9">
            <w:pPr>
              <w:pStyle w:val="BoxListBullet"/>
            </w:pPr>
            <w:r w:rsidRPr="0061171B">
              <w:t>The proportions of adult prisoners with prior adult imprisonment have increased for both Aboriginal and Torres Strait Islander and non-Indigenous prisoners. In 2019, 78 per cent of Aboriginal and Torres Strait Islanders prisoners had known prior adult imprisonment compared to 50 per cent of non</w:t>
            </w:r>
            <w:r w:rsidRPr="0061171B">
              <w:noBreakHyphen/>
              <w:t>Indigenous prisoners, a ratio of 1.5 that has remained relatively unchanged for the last 20 years.</w:t>
            </w:r>
          </w:p>
          <w:p w14:paraId="58335537" w14:textId="77777777" w:rsidR="008422E6" w:rsidRPr="0061171B" w:rsidRDefault="008422E6" w:rsidP="00F53DE9">
            <w:pPr>
              <w:pStyle w:val="BoxListBullet"/>
            </w:pPr>
            <w:r w:rsidRPr="0061171B">
              <w:t>Risk factors that disproportionately affect Aboriginal and Torres Strait Islander people relative to non</w:t>
            </w:r>
            <w:r w:rsidRPr="0061171B">
              <w:noBreakHyphen/>
              <w:t>Indigenous people and contribute to their overrepresentation in return to supervision and re</w:t>
            </w:r>
            <w:r w:rsidRPr="0061171B">
              <w:noBreakHyphen/>
              <w:t>incarceration include:</w:t>
            </w:r>
          </w:p>
          <w:p w14:paraId="4459118C" w14:textId="77777777" w:rsidR="008422E6" w:rsidRPr="0061171B" w:rsidRDefault="008422E6" w:rsidP="00F53DE9">
            <w:pPr>
              <w:pStyle w:val="BoxListBullet2"/>
            </w:pPr>
            <w:r w:rsidRPr="0061171B">
              <w:t>experience prior to prison</w:t>
            </w:r>
          </w:p>
          <w:p w14:paraId="2802F749" w14:textId="77777777" w:rsidR="008422E6" w:rsidRPr="0061171B" w:rsidRDefault="008422E6" w:rsidP="00F53DE9">
            <w:pPr>
              <w:pStyle w:val="BoxListBullet3"/>
            </w:pPr>
            <w:r w:rsidRPr="0061171B">
              <w:t>the higher prevalence of personal and situational risk factors for offending behaviours such as unstable housing, substance abuse and involvement with child protection services</w:t>
            </w:r>
          </w:p>
          <w:p w14:paraId="14D573AE" w14:textId="77777777" w:rsidR="008422E6" w:rsidRPr="0061171B" w:rsidRDefault="008422E6" w:rsidP="00F53DE9">
            <w:pPr>
              <w:pStyle w:val="BoxListBullet3"/>
            </w:pPr>
            <w:r w:rsidRPr="0061171B">
              <w:t>institution and structural risk factors, from within and outside the criminal justice system</w:t>
            </w:r>
          </w:p>
          <w:p w14:paraId="5BC38A9D" w14:textId="77777777" w:rsidR="008422E6" w:rsidRPr="0061171B" w:rsidRDefault="008422E6" w:rsidP="00F53DE9">
            <w:pPr>
              <w:pStyle w:val="BoxListBullet2"/>
            </w:pPr>
            <w:r w:rsidRPr="0061171B">
              <w:t>prison-life and post-prison experiences</w:t>
            </w:r>
          </w:p>
          <w:p w14:paraId="77A98FE9" w14:textId="77777777" w:rsidR="008422E6" w:rsidRPr="0061171B" w:rsidRDefault="008422E6" w:rsidP="00F53DE9">
            <w:pPr>
              <w:pStyle w:val="BoxListBullet3"/>
            </w:pPr>
            <w:r w:rsidRPr="0061171B">
              <w:t xml:space="preserve">limited culturally safe prison programs to address offending behaviours (including through healing past traumas) </w:t>
            </w:r>
          </w:p>
          <w:p w14:paraId="3F02C68B" w14:textId="77777777" w:rsidR="008422E6" w:rsidRPr="0061171B" w:rsidRDefault="008422E6" w:rsidP="00F53DE9">
            <w:pPr>
              <w:pStyle w:val="BoxListBullet3"/>
            </w:pPr>
            <w:r w:rsidRPr="0061171B">
              <w:t>lack of support services to facilitate transition back into the community on release.</w:t>
            </w:r>
          </w:p>
          <w:p w14:paraId="6887A7B9" w14:textId="77777777" w:rsidR="008422E6" w:rsidRPr="0061171B" w:rsidRDefault="008422E6" w:rsidP="00F53DE9">
            <w:pPr>
              <w:pStyle w:val="BoxListBullet"/>
            </w:pPr>
            <w:r w:rsidRPr="0061171B">
              <w:t>For prisons, there is evidence that re-incarceration of Aboriginal and Torres Strait Islander prisoners may be reduced through prison-provided support programs that are accessible, culturally safe, trauma-informed and:</w:t>
            </w:r>
          </w:p>
          <w:p w14:paraId="373A4D42" w14:textId="77777777" w:rsidR="008422E6" w:rsidRPr="0061171B" w:rsidRDefault="008422E6" w:rsidP="00F53DE9">
            <w:pPr>
              <w:pStyle w:val="BoxListBullet2"/>
            </w:pPr>
            <w:r w:rsidRPr="0061171B">
              <w:t>have been developed and delivered by Aboriginal and Torres Strait Islander people</w:t>
            </w:r>
          </w:p>
          <w:p w14:paraId="52B2A9C7" w14:textId="77777777" w:rsidR="008422E6" w:rsidRPr="0061171B" w:rsidRDefault="008422E6" w:rsidP="00F53DE9">
            <w:pPr>
              <w:pStyle w:val="BoxListBullet2"/>
            </w:pPr>
            <w:r w:rsidRPr="0061171B">
              <w:t xml:space="preserve">extend beyond the prison environment to combine with health, legal and family support services. </w:t>
            </w:r>
          </w:p>
          <w:p w14:paraId="2B28181A" w14:textId="77777777" w:rsidR="008422E6" w:rsidRPr="0061171B" w:rsidRDefault="008422E6" w:rsidP="00F53DE9">
            <w:pPr>
              <w:pStyle w:val="BoxListBullet"/>
            </w:pPr>
            <w:r w:rsidRPr="0061171B">
              <w:t xml:space="preserve">Enabling prisoners to remain connected with their community while in prison, such as through prison visits, can also reduce the risk of re-offending and re-incarceration. </w:t>
            </w:r>
          </w:p>
        </w:tc>
      </w:tr>
      <w:tr w:rsidR="008422E6" w:rsidRPr="0061171B" w14:paraId="6517441F" w14:textId="77777777" w:rsidTr="00493FBD">
        <w:trPr>
          <w:cantSplit/>
        </w:trPr>
        <w:tc>
          <w:tcPr>
            <w:tcW w:w="5000" w:type="pct"/>
            <w:tcBorders>
              <w:top w:val="nil"/>
              <w:left w:val="nil"/>
              <w:bottom w:val="single" w:sz="6" w:space="0" w:color="78A22F"/>
              <w:right w:val="nil"/>
            </w:tcBorders>
            <w:shd w:val="clear" w:color="auto" w:fill="F2F2F2"/>
          </w:tcPr>
          <w:p w14:paraId="4EE29266" w14:textId="77777777" w:rsidR="008422E6" w:rsidRPr="0061171B" w:rsidRDefault="008422E6" w:rsidP="00F53DE9">
            <w:pPr>
              <w:pStyle w:val="Box"/>
              <w:spacing w:before="0" w:line="120" w:lineRule="exact"/>
            </w:pPr>
          </w:p>
        </w:tc>
      </w:tr>
      <w:tr w:rsidR="008422E6" w:rsidRPr="0061171B" w14:paraId="524B17C8" w14:textId="77777777" w:rsidTr="00493FBD">
        <w:tc>
          <w:tcPr>
            <w:tcW w:w="5000" w:type="pct"/>
            <w:tcBorders>
              <w:top w:val="single" w:sz="6" w:space="0" w:color="78A22F"/>
              <w:left w:val="nil"/>
              <w:bottom w:val="nil"/>
              <w:right w:val="nil"/>
            </w:tcBorders>
          </w:tcPr>
          <w:p w14:paraId="489D36C6" w14:textId="77777777" w:rsidR="008422E6" w:rsidRPr="0061171B" w:rsidRDefault="008422E6" w:rsidP="00F53DE9">
            <w:pPr>
              <w:pStyle w:val="BoxSpaceBelow"/>
            </w:pPr>
          </w:p>
        </w:tc>
      </w:tr>
    </w:tbl>
    <w:p w14:paraId="25DC22EF" w14:textId="77777777" w:rsidR="008422E6" w:rsidRPr="0061171B" w:rsidRDefault="008422E6" w:rsidP="008422E6">
      <w:pPr>
        <w:pStyle w:val="BoxSpaceAbove"/>
        <w:spacing w:before="1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422E6" w:rsidRPr="0061171B" w14:paraId="4D43B601" w14:textId="77777777" w:rsidTr="00493FBD">
        <w:tc>
          <w:tcPr>
            <w:tcW w:w="5000" w:type="pct"/>
            <w:tcBorders>
              <w:top w:val="single" w:sz="6" w:space="0" w:color="78A22F"/>
              <w:left w:val="nil"/>
              <w:bottom w:val="nil"/>
              <w:right w:val="nil"/>
            </w:tcBorders>
            <w:shd w:val="clear" w:color="auto" w:fill="F2F2F2"/>
          </w:tcPr>
          <w:p w14:paraId="0934E50C" w14:textId="16E6AE81" w:rsidR="008422E6" w:rsidRPr="0061171B" w:rsidRDefault="008422E6" w:rsidP="00F53DE9">
            <w:pPr>
              <w:pStyle w:val="BoxTitle"/>
            </w:pPr>
            <w:r w:rsidRPr="0061171B">
              <w:rPr>
                <w:b w:val="0"/>
              </w:rPr>
              <w:t>Box 11.4.</w:t>
            </w:r>
            <w:r>
              <w:rPr>
                <w:b w:val="0"/>
                <w:noProof/>
              </w:rPr>
              <w:t>2</w:t>
            </w:r>
            <w:r w:rsidRPr="0061171B">
              <w:tab/>
              <w:t>Measures of repeat offending</w:t>
            </w:r>
          </w:p>
        </w:tc>
      </w:tr>
      <w:tr w:rsidR="008422E6" w:rsidRPr="0061171B" w14:paraId="4AE2F7CD" w14:textId="77777777" w:rsidTr="00493FBD">
        <w:trPr>
          <w:cantSplit/>
        </w:trPr>
        <w:tc>
          <w:tcPr>
            <w:tcW w:w="5000" w:type="pct"/>
            <w:tcBorders>
              <w:top w:val="nil"/>
              <w:left w:val="nil"/>
              <w:bottom w:val="nil"/>
              <w:right w:val="nil"/>
            </w:tcBorders>
            <w:shd w:val="clear" w:color="auto" w:fill="F2F2F2"/>
          </w:tcPr>
          <w:p w14:paraId="39AA2A7E" w14:textId="77777777" w:rsidR="008422E6" w:rsidRPr="0061171B" w:rsidRDefault="008422E6" w:rsidP="00F53DE9">
            <w:pPr>
              <w:pStyle w:val="Box"/>
              <w:keepNext w:val="0"/>
            </w:pPr>
            <w:r w:rsidRPr="0061171B">
              <w:t>There is currently no systematic national definition and data collection of repeat offending. The data for this section focuses on the re</w:t>
            </w:r>
            <w:r w:rsidRPr="0061171B">
              <w:noBreakHyphen/>
              <w:t>incarceration aspect of repeat offending. There are two main measures for this indicator:</w:t>
            </w:r>
          </w:p>
          <w:p w14:paraId="502CED5A" w14:textId="77777777" w:rsidR="008422E6" w:rsidRPr="0061171B" w:rsidRDefault="008422E6" w:rsidP="00F53DE9">
            <w:pPr>
              <w:pStyle w:val="BoxListBullet"/>
              <w:keepNext w:val="0"/>
            </w:pPr>
            <w:r w:rsidRPr="0061171B">
              <w:rPr>
                <w:i/>
              </w:rPr>
              <w:t>Adult re</w:t>
            </w:r>
            <w:r w:rsidRPr="0061171B">
              <w:rPr>
                <w:i/>
              </w:rPr>
              <w:noBreakHyphen/>
              <w:t xml:space="preserve">incarceration </w:t>
            </w:r>
            <w:r w:rsidRPr="0061171B">
              <w:t xml:space="preserve">is defined as the proportion of prisoners currently under sentence with known prior adult imprisonment </w:t>
            </w:r>
          </w:p>
          <w:p w14:paraId="669A7DC5" w14:textId="77777777" w:rsidR="008422E6" w:rsidRPr="0061171B" w:rsidRDefault="008422E6" w:rsidP="00F53DE9">
            <w:pPr>
              <w:pStyle w:val="BoxListBullet"/>
              <w:keepNext w:val="0"/>
            </w:pPr>
            <w:r w:rsidRPr="0061171B">
              <w:rPr>
                <w:i/>
              </w:rPr>
              <w:t>Youth returns to sentenced supervision</w:t>
            </w:r>
            <w:r w:rsidRPr="0061171B" w:rsidDel="0004161D">
              <w:rPr>
                <w:i/>
              </w:rPr>
              <w:t xml:space="preserve"> </w:t>
            </w:r>
            <w:r w:rsidRPr="0061171B">
              <w:t>is defined as the proportion of young people who return to sentenced supervision.</w:t>
            </w:r>
          </w:p>
          <w:p w14:paraId="4FD7D3DE" w14:textId="77777777" w:rsidR="008422E6" w:rsidRPr="0061171B" w:rsidRDefault="008422E6" w:rsidP="00F53DE9">
            <w:pPr>
              <w:pStyle w:val="Box"/>
            </w:pPr>
            <w:r w:rsidRPr="0061171B">
              <w:t xml:space="preserve">The most recent available data for prior adult imprisonment under sentence are from the ABS Prisoners in Australia collection for 30 June 2019 (all jurisdictions; sex). The most recent available data for young people returning to sentenced youth justice supervision are from the </w:t>
            </w:r>
            <w:proofErr w:type="spellStart"/>
            <w:r w:rsidRPr="0061171B">
              <w:t>AIHW’s</w:t>
            </w:r>
            <w:proofErr w:type="spellEnd"/>
            <w:r w:rsidRPr="0061171B">
              <w:t xml:space="preserve"> Juvenile Justice National Minimum Dataset 2018-19 (national). </w:t>
            </w:r>
          </w:p>
          <w:p w14:paraId="25E7DBAB" w14:textId="77777777" w:rsidR="008422E6" w:rsidRPr="0061171B" w:rsidRDefault="008422E6" w:rsidP="00F53DE9">
            <w:pPr>
              <w:pStyle w:val="Box"/>
            </w:pPr>
            <w:r w:rsidRPr="0061171B">
              <w:t>A supplementary measure of the proportion of offenders who were proceeded against by police is also reported (NSW, Queensland, SA, ACT and the NT; age; sex).</w:t>
            </w:r>
          </w:p>
        </w:tc>
      </w:tr>
      <w:tr w:rsidR="008422E6" w:rsidRPr="0061171B" w14:paraId="18417B10" w14:textId="77777777" w:rsidTr="00493FBD">
        <w:trPr>
          <w:cantSplit/>
        </w:trPr>
        <w:tc>
          <w:tcPr>
            <w:tcW w:w="5000" w:type="pct"/>
            <w:tcBorders>
              <w:top w:val="nil"/>
              <w:left w:val="nil"/>
              <w:bottom w:val="single" w:sz="6" w:space="0" w:color="78A22F"/>
              <w:right w:val="nil"/>
            </w:tcBorders>
            <w:shd w:val="clear" w:color="auto" w:fill="F2F2F2"/>
          </w:tcPr>
          <w:p w14:paraId="004954A9" w14:textId="77777777" w:rsidR="008422E6" w:rsidRPr="0061171B" w:rsidRDefault="008422E6" w:rsidP="00F53DE9">
            <w:pPr>
              <w:pStyle w:val="Box"/>
              <w:spacing w:before="0" w:line="120" w:lineRule="exact"/>
            </w:pPr>
          </w:p>
        </w:tc>
      </w:tr>
      <w:tr w:rsidR="008422E6" w:rsidRPr="0061171B" w14:paraId="58290066" w14:textId="77777777" w:rsidTr="00493FBD">
        <w:tc>
          <w:tcPr>
            <w:tcW w:w="5000" w:type="pct"/>
            <w:tcBorders>
              <w:top w:val="single" w:sz="6" w:space="0" w:color="78A22F"/>
              <w:left w:val="nil"/>
              <w:bottom w:val="nil"/>
              <w:right w:val="nil"/>
            </w:tcBorders>
          </w:tcPr>
          <w:p w14:paraId="231AD9FA" w14:textId="77777777" w:rsidR="008422E6" w:rsidRPr="0061171B" w:rsidRDefault="008422E6" w:rsidP="00F53DE9">
            <w:pPr>
              <w:pStyle w:val="BoxSpaceBelow"/>
            </w:pPr>
          </w:p>
        </w:tc>
      </w:tr>
    </w:tbl>
    <w:p w14:paraId="38013E65" w14:textId="77777777" w:rsidR="008422E6" w:rsidRPr="0061171B" w:rsidRDefault="008422E6" w:rsidP="008422E6">
      <w:pPr>
        <w:pStyle w:val="BodyText"/>
      </w:pPr>
      <w:r w:rsidRPr="0061171B">
        <w:t>Repeat offending, or recidivism, refers to repetitious criminal activity. Repeat offending is difficult to measure accurately, as offences are not always detected or recorded by police, and court convictions do not necessarily result in contact with corrective services. Consequently, repeat offending is often defined as re</w:t>
      </w:r>
      <w:r w:rsidRPr="0061171B">
        <w:noBreakHyphen/>
        <w:t>apprehension (in relation to police), re</w:t>
      </w:r>
      <w:r w:rsidRPr="0061171B">
        <w:noBreakHyphen/>
        <w:t>conviction (in relation to courts) or re</w:t>
      </w:r>
      <w:r w:rsidRPr="0061171B">
        <w:noBreakHyphen/>
        <w:t>incarceration (in relation to youth detention and adult imprisonment).</w:t>
      </w:r>
    </w:p>
    <w:p w14:paraId="22C36D67" w14:textId="3D074FA5" w:rsidR="008422E6" w:rsidRPr="0061171B" w:rsidRDefault="008422E6" w:rsidP="008422E6">
      <w:pPr>
        <w:pStyle w:val="BodyText"/>
      </w:pPr>
      <w:r w:rsidRPr="0061171B">
        <w:t xml:space="preserve">While most Aboriginal and Torres Strait Islander people do not come into contact with the justice system, the small proportion who do contribute significantly to the overrepresentation of Aboriginal and Torres Strait Islander people in the criminal justice system due to the high rates of repeat offending </w:t>
      </w:r>
      <w:r w:rsidRPr="009C3426">
        <w:rPr>
          <w:szCs w:val="24"/>
        </w:rPr>
        <w:t xml:space="preserve">(AIHW &amp;AIFS 2013; Snowball and </w:t>
      </w:r>
      <w:proofErr w:type="spellStart"/>
      <w:r w:rsidRPr="009C3426">
        <w:rPr>
          <w:szCs w:val="24"/>
        </w:rPr>
        <w:t>Weatherburn</w:t>
      </w:r>
      <w:proofErr w:type="spellEnd"/>
      <w:r w:rsidRPr="009C3426">
        <w:rPr>
          <w:szCs w:val="24"/>
        </w:rPr>
        <w:t> 2006)</w:t>
      </w:r>
      <w:r w:rsidRPr="0061171B">
        <w:t>. Aboriginal and Torres Strait Islander youth are incarcerated at about 2</w:t>
      </w:r>
      <w:r>
        <w:t>2</w:t>
      </w:r>
      <w:r w:rsidRPr="0061171B">
        <w:t xml:space="preserve"> times the rate of non-Indigenous youth, and for adults it is about 12 times the rate of non-Indigenous adults (section 4.13 </w:t>
      </w:r>
      <w:r w:rsidRPr="0061171B">
        <w:rPr>
          <w:i/>
        </w:rPr>
        <w:t xml:space="preserve">Imprisonment and </w:t>
      </w:r>
      <w:r>
        <w:rPr>
          <w:i/>
        </w:rPr>
        <w:t>y</w:t>
      </w:r>
      <w:r w:rsidRPr="0061171B">
        <w:rPr>
          <w:i/>
        </w:rPr>
        <w:t xml:space="preserve">outh </w:t>
      </w:r>
      <w:r>
        <w:rPr>
          <w:i/>
        </w:rPr>
        <w:t>d</w:t>
      </w:r>
      <w:r w:rsidRPr="0061171B">
        <w:rPr>
          <w:i/>
        </w:rPr>
        <w:t>etention</w:t>
      </w:r>
      <w:r w:rsidRPr="0061171B">
        <w:t>).</w:t>
      </w:r>
    </w:p>
    <w:p w14:paraId="3E48D18C" w14:textId="350D6D86" w:rsidR="008422E6" w:rsidRPr="0061171B" w:rsidRDefault="008422E6" w:rsidP="008422E6">
      <w:pPr>
        <w:pStyle w:val="BodyText"/>
      </w:pPr>
      <w:r w:rsidRPr="0061171B">
        <w:t xml:space="preserve">Reducing re-incarceration is particularly important as prison has a significant impact on the lives of those who experience it, their families and communities. While imprisonment leads to social exclusion of people from their communities, repeat imprisonment further exacerbates this </w:t>
      </w:r>
      <w:r w:rsidRPr="0061171B">
        <w:rPr>
          <w:szCs w:val="24"/>
        </w:rPr>
        <w:t>(Schwartz 2010)</w:t>
      </w:r>
      <w:r w:rsidRPr="0061171B">
        <w:t xml:space="preserve">, and the disadvantage ex-prisoners and their families often already experience. Their ongoing absence affects the family’s ability to function without a breadwinner, without a parent or carer, and the role they had in the wider community. </w:t>
      </w:r>
    </w:p>
    <w:p w14:paraId="0A9BCC7E" w14:textId="221DF86C" w:rsidR="008422E6" w:rsidRPr="0061171B" w:rsidRDefault="008422E6" w:rsidP="008422E6">
      <w:pPr>
        <w:pStyle w:val="BodyText"/>
      </w:pPr>
      <w:r w:rsidRPr="0061171B">
        <w:t>While these issues are not unique to Aboriginal and Torres Strait Islander people they disproportionately affect them, as they combine with the other disadvantages they experience (at a greater rate than non-Indigenous people). Incarceration is a stronger predictor of the risk of future incarceration for Aboriginal and Torres Strait Islander people than it is for non</w:t>
      </w:r>
      <w:r w:rsidRPr="0061171B">
        <w:noBreakHyphen/>
        <w:t xml:space="preserve">Indigenous people </w:t>
      </w:r>
      <w:r w:rsidRPr="0061171B">
        <w:rPr>
          <w:szCs w:val="24"/>
        </w:rPr>
        <w:t xml:space="preserve">(Ryan et al. 2019; </w:t>
      </w:r>
      <w:proofErr w:type="spellStart"/>
      <w:r w:rsidRPr="0061171B">
        <w:rPr>
          <w:szCs w:val="24"/>
        </w:rPr>
        <w:t>Wundersitz</w:t>
      </w:r>
      <w:proofErr w:type="spellEnd"/>
      <w:r w:rsidRPr="0061171B">
        <w:rPr>
          <w:szCs w:val="24"/>
        </w:rPr>
        <w:t> 2010)</w:t>
      </w:r>
      <w:r w:rsidRPr="0061171B">
        <w:t>.</w:t>
      </w:r>
    </w:p>
    <w:p w14:paraId="1600AF14" w14:textId="77777777" w:rsidR="008422E6" w:rsidRPr="0061171B" w:rsidRDefault="008422E6" w:rsidP="008422E6">
      <w:pPr>
        <w:pStyle w:val="Heading3"/>
        <w:jc w:val="both"/>
      </w:pPr>
      <w:r w:rsidRPr="0061171B">
        <w:lastRenderedPageBreak/>
        <w:t>Aboriginal and Torres Strait Islander youth enter the criminal justice system at a younger age than non-Indigenous youth, which is factor in their return</w:t>
      </w:r>
    </w:p>
    <w:p w14:paraId="334959AC" w14:textId="77777777" w:rsidR="008422E6" w:rsidRPr="0061171B" w:rsidRDefault="008422E6" w:rsidP="008422E6">
      <w:pPr>
        <w:pStyle w:val="BodyText"/>
      </w:pPr>
      <w:r w:rsidRPr="0061171B">
        <w:t>People first enter the justice system when they are investigated by police for allegedly committing an offence. At this time, police can warn the alleged offender, or they may be proceeded against via court or non</w:t>
      </w:r>
      <w:r w:rsidRPr="0061171B">
        <w:noBreakHyphen/>
        <w:t>court actions. An offender can be proceeded against by police</w:t>
      </w:r>
      <w:r w:rsidRPr="0061171B">
        <w:rPr>
          <w:rStyle w:val="FootnoteReference"/>
        </w:rPr>
        <w:footnoteReference w:id="14"/>
      </w:r>
      <w:r w:rsidRPr="0061171B">
        <w:t xml:space="preserve"> multiple times during a given period. </w:t>
      </w:r>
    </w:p>
    <w:p w14:paraId="2001F94C" w14:textId="60742083" w:rsidR="008422E6" w:rsidRPr="0061171B" w:rsidRDefault="008422E6" w:rsidP="008422E6">
      <w:pPr>
        <w:pStyle w:val="BodyText"/>
      </w:pPr>
      <w:r w:rsidRPr="0061171B">
        <w:t>Aboriginal and Torres Strait Islander young offenders are proceeded against by police at a younger age than non-Indigenous offenders</w:t>
      </w:r>
      <w:r w:rsidRPr="00E90114">
        <w:t>. In 2018-19 for jurisdictions with available data, the ratio of Aboriginal and Torres Strait Islander to non-Indigenous young offenders aged 10–14 years who were proceeded against varied. In the ACT, the rates were similar, and in the NT the rate of Aboriginal and Torres Strait Islander young offenders aged 10–14 years who were proceeded against was five times the rate of non</w:t>
      </w:r>
      <w:r w:rsidRPr="00E90114">
        <w:noBreakHyphen/>
        <w:t>Indigenous young offenders (table </w:t>
      </w:r>
      <w:proofErr w:type="spellStart"/>
      <w:r w:rsidRPr="00E90114">
        <w:t>11A.4.6</w:t>
      </w:r>
      <w:proofErr w:type="spellEnd"/>
      <w:r w:rsidRPr="00E90114">
        <w:t>). Research indicates some l</w:t>
      </w:r>
      <w:r w:rsidRPr="0061171B">
        <w:t xml:space="preserve">evel of structural and institutional racism and bias (unconscious or otherwise) in Australian police services </w:t>
      </w:r>
      <w:r w:rsidRPr="0061171B">
        <w:rPr>
          <w:szCs w:val="24"/>
        </w:rPr>
        <w:t xml:space="preserve">(Dwyer 2018; Harvey 2012; </w:t>
      </w:r>
      <w:proofErr w:type="spellStart"/>
      <w:r w:rsidRPr="0061171B">
        <w:rPr>
          <w:szCs w:val="24"/>
        </w:rPr>
        <w:t>OPI</w:t>
      </w:r>
      <w:proofErr w:type="spellEnd"/>
      <w:r w:rsidRPr="0061171B">
        <w:rPr>
          <w:szCs w:val="24"/>
        </w:rPr>
        <w:t> 2011)</w:t>
      </w:r>
      <w:r w:rsidRPr="0061171B">
        <w:t xml:space="preserve"> which may explain some of the disparity between rates of being proceeded against by police for Aboriginal and Torres Strait Islander and non</w:t>
      </w:r>
      <w:r w:rsidRPr="0061171B">
        <w:noBreakHyphen/>
        <w:t>Indigenous people.</w:t>
      </w:r>
    </w:p>
    <w:p w14:paraId="06C59BF9" w14:textId="463E6BF4" w:rsidR="008422E6" w:rsidRPr="0061171B" w:rsidRDefault="008422E6" w:rsidP="008422E6">
      <w:pPr>
        <w:pStyle w:val="BodyText"/>
      </w:pPr>
      <w:r w:rsidRPr="0061171B">
        <w:t>Consistent with the age difference above for police apprehensions, Aboriginal and Torres Strait Islander young people enter their first period of sentenced supervision (detention or community-based supervision) at a younger age than non-Indigenous young people</w:t>
      </w:r>
      <w:r w:rsidRPr="0061171B">
        <w:rPr>
          <w:rStyle w:val="FootnoteReference"/>
        </w:rPr>
        <w:footnoteReference w:id="15"/>
      </w:r>
      <w:r w:rsidRPr="0061171B">
        <w:t xml:space="preserve">. In 2018-19, of those under sentenced supervision, 70 per cent of those whose first supervision was at ages 10–13 years were Aboriginal and Torres Strait Islander youth </w:t>
      </w:r>
      <w:r w:rsidRPr="00DC7C34">
        <w:rPr>
          <w:szCs w:val="24"/>
        </w:rPr>
        <w:t>(</w:t>
      </w:r>
      <w:proofErr w:type="spellStart"/>
      <w:r w:rsidRPr="00DC7C34">
        <w:rPr>
          <w:szCs w:val="24"/>
        </w:rPr>
        <w:t>AIHW</w:t>
      </w:r>
      <w:proofErr w:type="spellEnd"/>
      <w:r w:rsidRPr="00DC7C34">
        <w:rPr>
          <w:szCs w:val="24"/>
        </w:rPr>
        <w:t> </w:t>
      </w:r>
      <w:proofErr w:type="spellStart"/>
      <w:r w:rsidRPr="00DC7C34">
        <w:rPr>
          <w:szCs w:val="24"/>
        </w:rPr>
        <w:t>2020b</w:t>
      </w:r>
      <w:proofErr w:type="spellEnd"/>
      <w:r w:rsidRPr="00DC7C34">
        <w:rPr>
          <w:szCs w:val="24"/>
        </w:rPr>
        <w:t>)</w:t>
      </w:r>
      <w:r w:rsidRPr="0061171B">
        <w:t>.</w:t>
      </w:r>
    </w:p>
    <w:p w14:paraId="65FD5E3F" w14:textId="19F1EE97" w:rsidR="008422E6" w:rsidRPr="0061171B" w:rsidRDefault="008422E6" w:rsidP="008422E6">
      <w:pPr>
        <w:pStyle w:val="BodyText"/>
      </w:pPr>
      <w:r w:rsidRPr="0061171B">
        <w:t>The younger the age, the greater the proportion returning to sentenced supervision</w:t>
      </w:r>
      <w:r>
        <w:t>. Of</w:t>
      </w:r>
      <w:r w:rsidRPr="0061171B">
        <w:t xml:space="preserve"> </w:t>
      </w:r>
      <w:r>
        <w:t xml:space="preserve">sentenced </w:t>
      </w:r>
      <w:r w:rsidRPr="0061171B">
        <w:t>children aged 10–1</w:t>
      </w:r>
      <w:r>
        <w:t>2</w:t>
      </w:r>
      <w:r w:rsidRPr="0061171B">
        <w:t xml:space="preserve"> years</w:t>
      </w:r>
      <w:r>
        <w:t>,</w:t>
      </w:r>
      <w:r w:rsidRPr="0061171B">
        <w:t xml:space="preserve"> </w:t>
      </w:r>
      <w:r>
        <w:t xml:space="preserve">90 per cent of those whose first sentence was community-based returned to sentenced supervision, and 94 per cent of those whose first sentence was detention returned to sentenced supervision before the age of 18 years </w:t>
      </w:r>
      <w:r w:rsidRPr="00DC7C34">
        <w:rPr>
          <w:szCs w:val="24"/>
        </w:rPr>
        <w:t>(</w:t>
      </w:r>
      <w:proofErr w:type="spellStart"/>
      <w:r w:rsidRPr="00DC7C34">
        <w:rPr>
          <w:szCs w:val="24"/>
        </w:rPr>
        <w:t>AIHW</w:t>
      </w:r>
      <w:proofErr w:type="spellEnd"/>
      <w:r w:rsidRPr="00DC7C34">
        <w:rPr>
          <w:szCs w:val="24"/>
        </w:rPr>
        <w:t> </w:t>
      </w:r>
      <w:proofErr w:type="spellStart"/>
      <w:r w:rsidRPr="00DC7C34">
        <w:rPr>
          <w:szCs w:val="24"/>
        </w:rPr>
        <w:t>2020a</w:t>
      </w:r>
      <w:proofErr w:type="spellEnd"/>
      <w:r w:rsidRPr="00DC7C34">
        <w:rPr>
          <w:szCs w:val="24"/>
        </w:rPr>
        <w:t>)</w:t>
      </w:r>
      <w:r w:rsidRPr="0061171B">
        <w:t>. So, unsurprisingly, the rate of return to sentenced supervision is higher for Aboriginal and Torres Strait Islander youth compared to non-Indigenous youth. From 2000</w:t>
      </w:r>
      <w:r>
        <w:t>‍‍‍</w:t>
      </w:r>
      <w:r>
        <w:noBreakHyphen/>
      </w:r>
      <w:r w:rsidRPr="0061171B">
        <w:t xml:space="preserve">01 to 2018-19, 55 per cent of Aboriginal and Torres Strait Islander young people in sentenced supervision had more than one supervised sentence, compared to 34 per cent for non-Indigenous young people (table </w:t>
      </w:r>
      <w:proofErr w:type="spellStart"/>
      <w:r w:rsidRPr="0061171B">
        <w:t>11A.4.3</w:t>
      </w:r>
      <w:proofErr w:type="spellEnd"/>
      <w:r w:rsidRPr="0061171B">
        <w:t>).</w:t>
      </w:r>
    </w:p>
    <w:p w14:paraId="441578F8" w14:textId="77777777" w:rsidR="008422E6" w:rsidRPr="0061171B" w:rsidRDefault="008422E6" w:rsidP="008422E6">
      <w:pPr>
        <w:pStyle w:val="BodyText"/>
      </w:pPr>
      <w:r w:rsidRPr="0061171B">
        <w:t>Within a 12</w:t>
      </w:r>
      <w:r>
        <w:t>-</w:t>
      </w:r>
      <w:r w:rsidRPr="0061171B">
        <w:t xml:space="preserve">month period, the rate of return to detention is within </w:t>
      </w:r>
      <w:r>
        <w:t>six</w:t>
      </w:r>
      <w:r w:rsidRPr="0061171B">
        <w:t xml:space="preserve"> percentage points for Aboriginal and Torres Strait Islander youth and non-Indigenous youth (79 per cent and 75 per cent respectively for detainees returning 12 months after release in 2017</w:t>
      </w:r>
      <w:r w:rsidRPr="0061171B">
        <w:noBreakHyphen/>
        <w:t xml:space="preserve">18, and 35 and 30 per cent for those released from community-based supervision) (table </w:t>
      </w:r>
      <w:proofErr w:type="spellStart"/>
      <w:r w:rsidRPr="0061171B">
        <w:t>11A.4.4</w:t>
      </w:r>
      <w:proofErr w:type="spellEnd"/>
      <w:r w:rsidRPr="0061171B">
        <w:t>).</w:t>
      </w:r>
    </w:p>
    <w:p w14:paraId="06CE9305" w14:textId="77777777" w:rsidR="008422E6" w:rsidRPr="0061171B" w:rsidRDefault="008422E6" w:rsidP="008422E6">
      <w:pPr>
        <w:pStyle w:val="Heading3"/>
        <w:jc w:val="both"/>
      </w:pPr>
      <w:r w:rsidRPr="0061171B">
        <w:lastRenderedPageBreak/>
        <w:t xml:space="preserve">Aboriginal and Torres Strait Islander adult prisoners have higher rates of prior imprisonment compared with non-Indigenous prisoners </w:t>
      </w:r>
    </w:p>
    <w:p w14:paraId="3DEAE0E3" w14:textId="77777777" w:rsidR="008422E6" w:rsidRPr="0061171B" w:rsidRDefault="008422E6" w:rsidP="008422E6">
      <w:pPr>
        <w:pStyle w:val="BodyText"/>
      </w:pPr>
      <w:r w:rsidRPr="0061171B">
        <w:t>In 2018</w:t>
      </w:r>
      <w:r w:rsidRPr="0061171B">
        <w:noBreakHyphen/>
        <w:t>19 for jurisdictions with available data, 38 to 50 per cent of Aboriginal and Torres Strait Islander offenders were proceeded against by police on more than one occasion, compared with 16 to 3</w:t>
      </w:r>
      <w:r>
        <w:t>4</w:t>
      </w:r>
      <w:r w:rsidRPr="0061171B">
        <w:t> per cent of non</w:t>
      </w:r>
      <w:r w:rsidRPr="0061171B">
        <w:noBreakHyphen/>
        <w:t>Indigenous offenders (table </w:t>
      </w:r>
      <w:proofErr w:type="spellStart"/>
      <w:r w:rsidRPr="0061171B">
        <w:t>11A.4.5</w:t>
      </w:r>
      <w:proofErr w:type="spellEnd"/>
      <w:r w:rsidRPr="0061171B">
        <w:t xml:space="preserve">). </w:t>
      </w:r>
      <w:r>
        <w:t>(</w:t>
      </w:r>
      <w:r w:rsidRPr="0061171B">
        <w:t>While available data on the number of times an offender was proceeded against does not include their age, the data reported by age</w:t>
      </w:r>
      <w:r>
        <w:t xml:space="preserve"> (table </w:t>
      </w:r>
      <w:proofErr w:type="spellStart"/>
      <w:r>
        <w:t>11A.4.6</w:t>
      </w:r>
      <w:proofErr w:type="spellEnd"/>
      <w:r>
        <w:t>)</w:t>
      </w:r>
      <w:r w:rsidRPr="0061171B">
        <w:t xml:space="preserve"> shows that around 80 per cent of offenders proceeded against were aged 20 years or over, indicating that the all age population is sufficiently representative of the adult population.</w:t>
      </w:r>
      <w:r>
        <w:t>)</w:t>
      </w:r>
    </w:p>
    <w:p w14:paraId="76C23589" w14:textId="68C6FF51" w:rsidR="008422E6" w:rsidRPr="0061171B" w:rsidRDefault="008422E6" w:rsidP="008422E6">
      <w:pPr>
        <w:pStyle w:val="BodyText"/>
      </w:pPr>
      <w:r w:rsidRPr="0061171B">
        <w:t xml:space="preserve">At 30 June 2019, 78 per cent of Aboriginal and Torres Strait Islander adult prisoners nationally had a known prior adult imprisonment. This proportion has changed little over the past 20 years (table </w:t>
      </w:r>
      <w:proofErr w:type="spellStart"/>
      <w:r w:rsidRPr="0061171B">
        <w:t>11A.4.1</w:t>
      </w:r>
      <w:proofErr w:type="spellEnd"/>
      <w:r w:rsidRPr="0061171B">
        <w:t xml:space="preserve">). Having a known prior imprisonment can significantly increase the risk of further incarceration, by up to 2.7 times that of a first-time prisoner </w:t>
      </w:r>
      <w:r w:rsidRPr="0061171B">
        <w:rPr>
          <w:szCs w:val="24"/>
        </w:rPr>
        <w:t>(Ryan et al. 2019)</w:t>
      </w:r>
      <w:r w:rsidRPr="0061171B">
        <w:t>. Aboriginal and Torres Strait Islander prisoners are more likely than non</w:t>
      </w:r>
      <w:r w:rsidRPr="0061171B">
        <w:noBreakHyphen/>
        <w:t>Indigenous prisoners to have been in prison before. At 30 June 2019, the proportion of Aboriginal and Torres Strait Islander prisoners with prior imprisonment was 1.5 times the proportion for non</w:t>
      </w:r>
      <w:r w:rsidRPr="0061171B">
        <w:noBreakHyphen/>
        <w:t>Indigenous prisoners. This ratio has remained relatively constant over the past 20 years.</w:t>
      </w:r>
    </w:p>
    <w:p w14:paraId="138CB724" w14:textId="445875AA" w:rsidR="008422E6" w:rsidRPr="0061171B" w:rsidRDefault="008422E6" w:rsidP="008422E6">
      <w:pPr>
        <w:pStyle w:val="BodyText"/>
      </w:pPr>
      <w:r w:rsidRPr="0061171B">
        <w:t xml:space="preserve">National data are not available by Indigenous status on the proportion of adults who leave prison and are re-incarcerated (the above data relate to only those re-incarcerated). However, a study of Queensland adult ex-prisoners found a similar gap in re-incarceration rates across Aboriginal and Torres Strait Islander and non-Indigenous ex-prisoners </w:t>
      </w:r>
      <w:r w:rsidRPr="0061171B">
        <w:rPr>
          <w:szCs w:val="24"/>
        </w:rPr>
        <w:t>(Ryan et al. 2019)</w:t>
      </w:r>
      <w:r w:rsidRPr="0061171B">
        <w:t>.</w:t>
      </w:r>
    </w:p>
    <w:p w14:paraId="185AA8FC" w14:textId="77777777" w:rsidR="008422E6" w:rsidRPr="0061171B" w:rsidRDefault="008422E6" w:rsidP="008422E6">
      <w:pPr>
        <w:pStyle w:val="Heading3"/>
        <w:jc w:val="both"/>
      </w:pPr>
      <w:r w:rsidRPr="0061171B">
        <w:t>Why are rates of return to the criminal justice system higher for Aboriginal and Torres Strait Islander offenders than for non-Indigenous offenders?</w:t>
      </w:r>
    </w:p>
    <w:p w14:paraId="69119B45" w14:textId="77777777" w:rsidR="008422E6" w:rsidRPr="0061171B" w:rsidRDefault="008422E6" w:rsidP="008422E6">
      <w:pPr>
        <w:pStyle w:val="BodyText"/>
      </w:pPr>
      <w:r w:rsidRPr="0061171B">
        <w:t xml:space="preserve">Higher rates of repeat offending, as measured by repeat police apprehension, return to supervision or return to prison, for Aboriginal and Torres Strait Islander people are in part due to the reasons they are more likely to be incarcerated in the first place </w:t>
      </w:r>
      <w:r>
        <w:t>(see section </w:t>
      </w:r>
      <w:r w:rsidRPr="0061171B">
        <w:t>4.13</w:t>
      </w:r>
      <w:r>
        <w:t> </w:t>
      </w:r>
      <w:r w:rsidRPr="0061171B">
        <w:rPr>
          <w:i/>
        </w:rPr>
        <w:t xml:space="preserve">Imprisonment and </w:t>
      </w:r>
      <w:r>
        <w:rPr>
          <w:i/>
        </w:rPr>
        <w:t>y</w:t>
      </w:r>
      <w:r w:rsidRPr="0061171B">
        <w:rPr>
          <w:i/>
        </w:rPr>
        <w:t xml:space="preserve">outh </w:t>
      </w:r>
      <w:r>
        <w:rPr>
          <w:i/>
        </w:rPr>
        <w:t>d</w:t>
      </w:r>
      <w:r w:rsidRPr="0061171B">
        <w:rPr>
          <w:i/>
        </w:rPr>
        <w:t>etention</w:t>
      </w:r>
      <w:r w:rsidRPr="0061171B">
        <w:t>), including:</w:t>
      </w:r>
    </w:p>
    <w:p w14:paraId="637E8A18" w14:textId="195AFCD8" w:rsidR="008422E6" w:rsidRPr="0061171B" w:rsidRDefault="008422E6" w:rsidP="008422E6">
      <w:pPr>
        <w:pStyle w:val="ListBullet"/>
      </w:pPr>
      <w:r w:rsidRPr="0061171B">
        <w:t xml:space="preserve">higher prevalence of personal and situational risk factors – these factors include younger age profile (younger people have a higher risk of incarceration), cognitive impairment (offenders with cognitive impairment are almost three times as likely to reoffend than those without) </w:t>
      </w:r>
      <w:r w:rsidRPr="0061171B">
        <w:rPr>
          <w:szCs w:val="24"/>
        </w:rPr>
        <w:t>(Shepherd et al. 2017)</w:t>
      </w:r>
      <w:r w:rsidRPr="0061171B">
        <w:t xml:space="preserve">, unstable housing, substance abuse, family problems, child protection involvement, peer delinquency and school related problems </w:t>
      </w:r>
      <w:r w:rsidRPr="0061171B">
        <w:rPr>
          <w:szCs w:val="24"/>
        </w:rPr>
        <w:t xml:space="preserve">(Lind 2011; Ringland, </w:t>
      </w:r>
      <w:proofErr w:type="spellStart"/>
      <w:r w:rsidRPr="0061171B">
        <w:rPr>
          <w:szCs w:val="24"/>
        </w:rPr>
        <w:t>Weatherburn</w:t>
      </w:r>
      <w:proofErr w:type="spellEnd"/>
      <w:r w:rsidRPr="0061171B">
        <w:rPr>
          <w:szCs w:val="24"/>
        </w:rPr>
        <w:t xml:space="preserve"> and Poynton 2015; Ryan et al. 2020; Shepherd et al. 2017)</w:t>
      </w:r>
    </w:p>
    <w:p w14:paraId="0884A75E" w14:textId="7A236D3B" w:rsidR="008422E6" w:rsidRPr="0061171B" w:rsidRDefault="008422E6" w:rsidP="008422E6">
      <w:pPr>
        <w:pStyle w:val="ListBullet"/>
      </w:pPr>
      <w:r w:rsidRPr="0061171B">
        <w:t xml:space="preserve">structural and systemic issues — such as the lack of access to affordable justice services, lack of access to secure accommodation that is a disadvantage when applying for bail, </w:t>
      </w:r>
      <w:r w:rsidRPr="0061171B">
        <w:lastRenderedPageBreak/>
        <w:t>and lack of non-custodial sentencing options in some areas, which all disproportionately affect Aboriginal and Torres Strait Islander people</w:t>
      </w:r>
      <w:r>
        <w:t xml:space="preserve"> </w:t>
      </w:r>
      <w:r w:rsidRPr="0051416C">
        <w:rPr>
          <w:szCs w:val="24"/>
        </w:rPr>
        <w:t>(</w:t>
      </w:r>
      <w:proofErr w:type="spellStart"/>
      <w:r w:rsidRPr="0051416C">
        <w:rPr>
          <w:szCs w:val="24"/>
        </w:rPr>
        <w:t>ALRC</w:t>
      </w:r>
      <w:proofErr w:type="spellEnd"/>
      <w:r w:rsidRPr="0051416C">
        <w:rPr>
          <w:szCs w:val="24"/>
        </w:rPr>
        <w:t> 2017; Schwartz 2010)</w:t>
      </w:r>
      <w:r w:rsidRPr="0061171B">
        <w:t>.</w:t>
      </w:r>
    </w:p>
    <w:p w14:paraId="64158329" w14:textId="2910A9C9" w:rsidR="008422E6" w:rsidRPr="0061171B" w:rsidRDefault="008422E6" w:rsidP="008422E6">
      <w:pPr>
        <w:pStyle w:val="BodyText"/>
      </w:pPr>
      <w:r w:rsidRPr="0061171B">
        <w:t xml:space="preserve">These higher rates for Aboriginal and Torres Strait Islander offenders can also be explained in part by their treatment in prisons and on their release. The prison environment (the social, emotional, organizational and physical characteristics of a correctional institution) can support or hinder a prisoners’ rehabilitation and reduce re-offending (Hall and Chong 2018) or they may be mistreated and, in the worst case, die </w:t>
      </w:r>
      <w:r w:rsidRPr="0061171B">
        <w:rPr>
          <w:szCs w:val="24"/>
        </w:rPr>
        <w:t xml:space="preserve">(Commonwealth of Australia 2017; </w:t>
      </w:r>
      <w:proofErr w:type="spellStart"/>
      <w:r w:rsidRPr="0061171B">
        <w:rPr>
          <w:szCs w:val="24"/>
        </w:rPr>
        <w:t>RCADIC</w:t>
      </w:r>
      <w:proofErr w:type="spellEnd"/>
      <w:r w:rsidRPr="0061171B">
        <w:rPr>
          <w:szCs w:val="24"/>
        </w:rPr>
        <w:t> 1991)</w:t>
      </w:r>
      <w:r w:rsidRPr="0061171B">
        <w:t>. While Australian prisons are well equipped to meet the non</w:t>
      </w:r>
      <w:r w:rsidRPr="0061171B">
        <w:noBreakHyphen/>
        <w:t>criminogenic needs of most offenders, they may be less well equipped to support prisoners with other needs that are associated with re-offending and which are more likely to affect Aboriginal and Torres Strait Islander prisoners, including:</w:t>
      </w:r>
    </w:p>
    <w:p w14:paraId="285596B6" w14:textId="77777777" w:rsidR="008422E6" w:rsidRPr="0061171B" w:rsidRDefault="008422E6" w:rsidP="008422E6">
      <w:pPr>
        <w:pStyle w:val="ListBullet"/>
      </w:pPr>
      <w:r w:rsidRPr="0061171B">
        <w:t>psychological distress and mental health disorders (including healing for past trauma)</w:t>
      </w:r>
    </w:p>
    <w:p w14:paraId="76837D49" w14:textId="77777777" w:rsidR="008422E6" w:rsidRPr="0061171B" w:rsidRDefault="008422E6" w:rsidP="008422E6">
      <w:pPr>
        <w:pStyle w:val="ListBullet"/>
      </w:pPr>
      <w:r w:rsidRPr="0061171B">
        <w:t xml:space="preserve">substance abuse </w:t>
      </w:r>
    </w:p>
    <w:p w14:paraId="2D6A4A10" w14:textId="191640B9" w:rsidR="008422E6" w:rsidRPr="0061171B" w:rsidRDefault="008422E6" w:rsidP="008422E6">
      <w:pPr>
        <w:pStyle w:val="ListBullet"/>
      </w:pPr>
      <w:r w:rsidRPr="0061171B">
        <w:t xml:space="preserve">poor treatment adherence and threatening behaviours </w:t>
      </w:r>
      <w:r w:rsidRPr="0061171B">
        <w:rPr>
          <w:szCs w:val="24"/>
        </w:rPr>
        <w:t xml:space="preserve">(Ryan et al. 2019; Shepherd et al. 2018; Shepherd, </w:t>
      </w:r>
      <w:proofErr w:type="spellStart"/>
      <w:r w:rsidRPr="0061171B">
        <w:rPr>
          <w:szCs w:val="24"/>
        </w:rPr>
        <w:t>Ogloff</w:t>
      </w:r>
      <w:proofErr w:type="spellEnd"/>
      <w:r w:rsidRPr="0061171B">
        <w:rPr>
          <w:szCs w:val="24"/>
        </w:rPr>
        <w:t xml:space="preserve"> and Thomas 2016)</w:t>
      </w:r>
      <w:r w:rsidRPr="0061171B">
        <w:t>.</w:t>
      </w:r>
    </w:p>
    <w:p w14:paraId="61A81B0E" w14:textId="0BC7A1E0" w:rsidR="008422E6" w:rsidRPr="0061171B" w:rsidRDefault="008422E6" w:rsidP="008422E6">
      <w:pPr>
        <w:pStyle w:val="BodyText"/>
      </w:pPr>
      <w:r w:rsidRPr="0061171B">
        <w:t xml:space="preserve">Enabling prisoners to remain connected with their community while in prison, such as through prison visits, can also reduce the risk of re-offending and re-incarceration </w:t>
      </w:r>
      <w:r w:rsidRPr="0061171B">
        <w:rPr>
          <w:szCs w:val="24"/>
        </w:rPr>
        <w:t>(Lafferty et al. 2016; Ryan et al. 2020)</w:t>
      </w:r>
      <w:r w:rsidRPr="0061171B">
        <w:t xml:space="preserve">. It is particularly important for Aboriginal and Torres Strait Islander </w:t>
      </w:r>
      <w:r>
        <w:t xml:space="preserve">young </w:t>
      </w:r>
      <w:r w:rsidRPr="0061171B">
        <w:t>people as connection with community is a key part of their culture and healing</w:t>
      </w:r>
      <w:r>
        <w:t xml:space="preserve"> </w:t>
      </w:r>
      <w:r w:rsidRPr="004868E3">
        <w:rPr>
          <w:szCs w:val="24"/>
        </w:rPr>
        <w:t>(Government of South Australia 2020)</w:t>
      </w:r>
      <w:r w:rsidRPr="0061171B">
        <w:t xml:space="preserve">, and due to other factors the connection may be more difficult to maintain. For example, the more times a prisoner has been incarcerated, the less likely they are to be visited, and travel distance also decreases the likelihood of visitation. For these, and other reasons, Aboriginal and Torres Strait Islander people may be unable to maintain their community connections as readily as they would have outside of prison or to the same extent as non-Indigenous people  </w:t>
      </w:r>
      <w:r w:rsidRPr="0061171B">
        <w:rPr>
          <w:szCs w:val="24"/>
        </w:rPr>
        <w:t>(Ryan et al. 2020)</w:t>
      </w:r>
      <w:r w:rsidRPr="0061171B">
        <w:t>.</w:t>
      </w:r>
    </w:p>
    <w:p w14:paraId="0922E0B9" w14:textId="064ADB5D" w:rsidR="008422E6" w:rsidRPr="0061171B" w:rsidRDefault="008422E6" w:rsidP="008422E6">
      <w:pPr>
        <w:pStyle w:val="BodyText"/>
      </w:pPr>
      <w:r w:rsidRPr="0061171B">
        <w:t xml:space="preserve">The lack of suitable support available for ex-offenders to re-integrate them back into community is also a factor in re-offending </w:t>
      </w:r>
      <w:r w:rsidRPr="0061171B">
        <w:rPr>
          <w:szCs w:val="24"/>
        </w:rPr>
        <w:t>(Abbott et al. 2018; Standing Committee on Social Issues 2008)</w:t>
      </w:r>
      <w:r w:rsidRPr="0061171B">
        <w:t xml:space="preserve"> and these supports are likely to be needed by Aboriginal and Torres Strait Islander people more than non-Indigenous people, due to their pre-existing disadvantage. For example, suitable housing and employment are vital factors in social re</w:t>
      </w:r>
      <w:r>
        <w:noBreakHyphen/>
      </w:r>
      <w:r w:rsidRPr="0061171B">
        <w:t xml:space="preserve">integration  — people leaving prison may experience distrust by employers and rental agents </w:t>
      </w:r>
      <w:r w:rsidRPr="0061171B">
        <w:rPr>
          <w:szCs w:val="24"/>
        </w:rPr>
        <w:t>(Baldry et al. 2006; Dawes et al. 2017; Ryan et al. 2019, 2020)</w:t>
      </w:r>
      <w:r w:rsidRPr="0061171B">
        <w:t xml:space="preserve">, and if this disadvantage is overlaid with racism they will have great difficulties finding employment and housing. Common reasons for Aboriginal and Torres Strait Islander prisoners returning to custody, in addition to breaching parole conditions, are unsupported health needs, lack of employment, lack of housing, substance abuse and domestic violence </w:t>
      </w:r>
      <w:r w:rsidRPr="0061171B">
        <w:rPr>
          <w:szCs w:val="24"/>
        </w:rPr>
        <w:t>(</w:t>
      </w:r>
      <w:proofErr w:type="spellStart"/>
      <w:r w:rsidRPr="0061171B">
        <w:rPr>
          <w:szCs w:val="24"/>
        </w:rPr>
        <w:t>Apted</w:t>
      </w:r>
      <w:proofErr w:type="spellEnd"/>
      <w:r w:rsidRPr="0061171B">
        <w:rPr>
          <w:szCs w:val="24"/>
        </w:rPr>
        <w:t xml:space="preserve">, Hew and Sinha 2013; Shepherd, </w:t>
      </w:r>
      <w:proofErr w:type="spellStart"/>
      <w:r w:rsidRPr="0061171B">
        <w:rPr>
          <w:szCs w:val="24"/>
        </w:rPr>
        <w:t>Ogloff</w:t>
      </w:r>
      <w:proofErr w:type="spellEnd"/>
      <w:r w:rsidRPr="0061171B">
        <w:rPr>
          <w:szCs w:val="24"/>
        </w:rPr>
        <w:t xml:space="preserve"> and Thomas 2016)</w:t>
      </w:r>
      <w:r w:rsidRPr="0061171B">
        <w:t xml:space="preserve">. </w:t>
      </w:r>
    </w:p>
    <w:p w14:paraId="1A13DD9F" w14:textId="77777777" w:rsidR="008422E6" w:rsidRPr="0061171B" w:rsidRDefault="008422E6" w:rsidP="008422E6">
      <w:pPr>
        <w:pStyle w:val="Heading3"/>
        <w:jc w:val="both"/>
      </w:pPr>
      <w:r w:rsidRPr="0061171B">
        <w:lastRenderedPageBreak/>
        <w:t>How can the cycle of reoffending and return to custody be broken for Aboriginal and Torres Strait Islander people?</w:t>
      </w:r>
      <w:r w:rsidRPr="0061171B" w:rsidDel="00E10F32">
        <w:t xml:space="preserve"> </w:t>
      </w:r>
    </w:p>
    <w:p w14:paraId="0729CA06" w14:textId="77777777" w:rsidR="008422E6" w:rsidRPr="0061171B" w:rsidRDefault="008422E6" w:rsidP="008422E6">
      <w:pPr>
        <w:pStyle w:val="BodyText"/>
      </w:pPr>
      <w:r w:rsidRPr="0061171B">
        <w:t xml:space="preserve">Along with addressing the personal, structural and systemic risk factors that lead Aboriginal and Torres Strait Islander people to enter detention (prison) or supervision more regularly than non-Indigenous people in the first place (see section 4.13 </w:t>
      </w:r>
      <w:r>
        <w:rPr>
          <w:i/>
        </w:rPr>
        <w:t>Imprisonment and y</w:t>
      </w:r>
      <w:r w:rsidRPr="0061171B">
        <w:rPr>
          <w:i/>
        </w:rPr>
        <w:t xml:space="preserve">outh </w:t>
      </w:r>
      <w:r>
        <w:rPr>
          <w:i/>
        </w:rPr>
        <w:t>d</w:t>
      </w:r>
      <w:r w:rsidRPr="0061171B">
        <w:rPr>
          <w:i/>
        </w:rPr>
        <w:t>etention</w:t>
      </w:r>
      <w:r w:rsidRPr="0061171B">
        <w:t>), the keys to reducing the overrepresentation of Aboriginal and Torres Strait Islander people in detention (prison), are by focussing on:</w:t>
      </w:r>
    </w:p>
    <w:p w14:paraId="6937F090" w14:textId="77777777" w:rsidR="008422E6" w:rsidRPr="0061171B" w:rsidRDefault="008422E6" w:rsidP="008422E6">
      <w:pPr>
        <w:pStyle w:val="ListBullet"/>
      </w:pPr>
      <w:r w:rsidRPr="0061171B">
        <w:t>rehabilitation (including healing for childhood trauma) while they are in prison</w:t>
      </w:r>
    </w:p>
    <w:p w14:paraId="2214C0D8" w14:textId="77777777" w:rsidR="008422E6" w:rsidRPr="0061171B" w:rsidRDefault="008422E6" w:rsidP="008422E6">
      <w:pPr>
        <w:pStyle w:val="ListBullet"/>
      </w:pPr>
      <w:r w:rsidRPr="0061171B">
        <w:t xml:space="preserve">including prisoners on remand in programs </w:t>
      </w:r>
    </w:p>
    <w:p w14:paraId="1136F3F7" w14:textId="77777777" w:rsidR="008422E6" w:rsidRPr="0061171B" w:rsidRDefault="008422E6" w:rsidP="008422E6">
      <w:pPr>
        <w:pStyle w:val="ListBullet"/>
      </w:pPr>
      <w:r w:rsidRPr="0061171B">
        <w:t>helping them integrate back into their communities.</w:t>
      </w:r>
    </w:p>
    <w:p w14:paraId="043A07E0" w14:textId="4ED53E8B" w:rsidR="008422E6" w:rsidRPr="0061171B" w:rsidRDefault="008422E6" w:rsidP="008422E6">
      <w:pPr>
        <w:pStyle w:val="BodyText"/>
      </w:pPr>
      <w:r w:rsidRPr="0061171B">
        <w:t>In contrast to the factors that lead to supervision, incarceration (see section 4.13</w:t>
      </w:r>
      <w:r>
        <w:t> </w:t>
      </w:r>
      <w:r w:rsidRPr="0061171B">
        <w:rPr>
          <w:i/>
        </w:rPr>
        <w:t xml:space="preserve">Imprisonment and </w:t>
      </w:r>
      <w:r>
        <w:rPr>
          <w:i/>
        </w:rPr>
        <w:t>y</w:t>
      </w:r>
      <w:r w:rsidRPr="0061171B">
        <w:rPr>
          <w:i/>
        </w:rPr>
        <w:t xml:space="preserve">outh </w:t>
      </w:r>
      <w:r>
        <w:rPr>
          <w:i/>
        </w:rPr>
        <w:t>d</w:t>
      </w:r>
      <w:r w:rsidRPr="0061171B">
        <w:rPr>
          <w:i/>
        </w:rPr>
        <w:t>etention</w:t>
      </w:r>
      <w:r w:rsidRPr="0061171B">
        <w:t xml:space="preserve">) and re-incarceration, a range of protective factors can influence the experience of Aboriginal and Torres Strait Islander prisoners in custody and their prospects when they are released. If programs are provided in prison or youth detention, that effectively address offending behaviours (including through addressing childhood trauma), rehabilitate, support and prepare people for release, the risk of repeat offending may be reduced — for example, programs that address mental health disorders and cognitive impairment and meet their complex support needs </w:t>
      </w:r>
      <w:r w:rsidRPr="0061171B">
        <w:rPr>
          <w:szCs w:val="24"/>
        </w:rPr>
        <w:t xml:space="preserve">(McCausland, </w:t>
      </w:r>
      <w:proofErr w:type="spellStart"/>
      <w:r w:rsidRPr="0061171B">
        <w:rPr>
          <w:szCs w:val="24"/>
        </w:rPr>
        <w:t>McEntyre</w:t>
      </w:r>
      <w:proofErr w:type="spellEnd"/>
      <w:r w:rsidRPr="0061171B">
        <w:rPr>
          <w:szCs w:val="24"/>
        </w:rPr>
        <w:t xml:space="preserve"> and Baldry 2017)</w:t>
      </w:r>
      <w:r w:rsidRPr="0061171B">
        <w:t xml:space="preserve">. These programs need to be accessible, trauma-informed, culturally safe, developed and delivered by Aboriginal and Torres Strait Islander people, extend beyond the prison environment, and be combined with strong health, legal and family support services </w:t>
      </w:r>
      <w:r w:rsidRPr="0061171B">
        <w:rPr>
          <w:szCs w:val="24"/>
        </w:rPr>
        <w:t>(</w:t>
      </w:r>
      <w:proofErr w:type="spellStart"/>
      <w:r w:rsidRPr="0061171B">
        <w:rPr>
          <w:szCs w:val="24"/>
        </w:rPr>
        <w:t>ALRC</w:t>
      </w:r>
      <w:proofErr w:type="spellEnd"/>
      <w:r w:rsidRPr="0061171B">
        <w:rPr>
          <w:szCs w:val="24"/>
        </w:rPr>
        <w:t xml:space="preserve"> 2017; Ryan et al. 2019; Shepherd, </w:t>
      </w:r>
      <w:proofErr w:type="spellStart"/>
      <w:r w:rsidRPr="0061171B">
        <w:rPr>
          <w:szCs w:val="24"/>
        </w:rPr>
        <w:t>Ogloff</w:t>
      </w:r>
      <w:proofErr w:type="spellEnd"/>
      <w:r w:rsidRPr="0061171B">
        <w:rPr>
          <w:szCs w:val="24"/>
        </w:rPr>
        <w:t xml:space="preserve"> and Thomas 2016)</w:t>
      </w:r>
      <w:r w:rsidRPr="0061171B">
        <w:t xml:space="preserve">. </w:t>
      </w:r>
    </w:p>
    <w:p w14:paraId="414CD83E" w14:textId="6F9B1A65" w:rsidR="008422E6" w:rsidRPr="0061171B" w:rsidRDefault="008422E6" w:rsidP="008422E6">
      <w:pPr>
        <w:pStyle w:val="BodyText"/>
      </w:pPr>
      <w:r w:rsidRPr="0061171B">
        <w:t xml:space="preserve">Further work is needed to understand which programs will best support the wellbeing of Aboriginal and Torres Strait Islander people in prison. A recent systematic review of colonised countries (including Australia) found a lack of quality evidence on what works in prisons, noting ‘there is a moral, social and practical imperative to build a strong evidence base on this topic’ </w:t>
      </w:r>
      <w:r w:rsidRPr="0061171B">
        <w:rPr>
          <w:szCs w:val="24"/>
        </w:rPr>
        <w:t>(</w:t>
      </w:r>
      <w:proofErr w:type="spellStart"/>
      <w:r w:rsidRPr="0061171B">
        <w:rPr>
          <w:szCs w:val="24"/>
        </w:rPr>
        <w:t>Perdacher</w:t>
      </w:r>
      <w:proofErr w:type="spellEnd"/>
      <w:r w:rsidRPr="0061171B">
        <w:rPr>
          <w:szCs w:val="24"/>
        </w:rPr>
        <w:t>, Kavanagh and Sheffield 2019)</w:t>
      </w:r>
      <w:r w:rsidRPr="0061171B">
        <w:t>. However, the study did note that despite the limited evidence, culturally-based interventions delivered or supported by indigenous facilitators appeared to have potential for increased recovery from trauma, reduced alcohol</w:t>
      </w:r>
      <w:r w:rsidRPr="0061171B">
        <w:noBreakHyphen/>
        <w:t>related problems and lower reoffending.</w:t>
      </w:r>
    </w:p>
    <w:p w14:paraId="3C10A162" w14:textId="53427CB7" w:rsidR="008422E6" w:rsidRPr="0061171B" w:rsidRDefault="008422E6" w:rsidP="008422E6">
      <w:pPr>
        <w:pStyle w:val="BodyText"/>
      </w:pPr>
      <w:r w:rsidRPr="0061171B">
        <w:t xml:space="preserve">For Aboriginal and Torres Strait Islander people leaving prison, culturally safe programs to re-integrate them into community are also important </w:t>
      </w:r>
      <w:r w:rsidRPr="0061171B">
        <w:rPr>
          <w:szCs w:val="24"/>
        </w:rPr>
        <w:t>(Dawes and Davidson 2019)</w:t>
      </w:r>
      <w:r w:rsidRPr="0061171B">
        <w:t xml:space="preserve"> as are programs that are accessible and timely and which address the living experience of those about to leave prison </w:t>
      </w:r>
      <w:r w:rsidRPr="0061171B">
        <w:rPr>
          <w:szCs w:val="24"/>
        </w:rPr>
        <w:t>(Sheehan 2019)</w:t>
      </w:r>
      <w:r w:rsidRPr="0061171B">
        <w:t xml:space="preserve">. Seeking solutions to criminal offending outside the penal system, supporting and strengthening communities to address the social and economic causes of crime and considering alternatives to imprisonment for minor offences </w:t>
      </w:r>
      <w:r w:rsidRPr="0061171B">
        <w:rPr>
          <w:szCs w:val="24"/>
        </w:rPr>
        <w:t>(Schwartz 2010)</w:t>
      </w:r>
      <w:r w:rsidRPr="0061171B">
        <w:t xml:space="preserve"> are also key to breaking the cycle of repeat offending, and justice reinvestment may also be a way of doing this </w:t>
      </w:r>
      <w:r w:rsidRPr="0061171B">
        <w:rPr>
          <w:szCs w:val="24"/>
        </w:rPr>
        <w:t>(Dawes and Davidson 2019)</w:t>
      </w:r>
      <w:r w:rsidRPr="0061171B">
        <w:t xml:space="preserve">. Other approaches are discussed in section 4.13 </w:t>
      </w:r>
      <w:r w:rsidRPr="0061171B">
        <w:rPr>
          <w:i/>
        </w:rPr>
        <w:t xml:space="preserve">Imprisonment and </w:t>
      </w:r>
      <w:r>
        <w:rPr>
          <w:i/>
        </w:rPr>
        <w:t>y</w:t>
      </w:r>
      <w:r w:rsidRPr="0061171B">
        <w:rPr>
          <w:i/>
        </w:rPr>
        <w:t xml:space="preserve">outh </w:t>
      </w:r>
      <w:r>
        <w:rPr>
          <w:i/>
        </w:rPr>
        <w:t>d</w:t>
      </w:r>
      <w:r w:rsidRPr="0061171B">
        <w:rPr>
          <w:i/>
        </w:rPr>
        <w:t>etention</w:t>
      </w:r>
      <w:r w:rsidRPr="0061171B">
        <w:t>.</w:t>
      </w:r>
    </w:p>
    <w:p w14:paraId="650C04CA" w14:textId="77777777" w:rsidR="008422E6" w:rsidRPr="0061171B" w:rsidRDefault="008422E6" w:rsidP="008422E6">
      <w:pPr>
        <w:pStyle w:val="Heading3"/>
      </w:pPr>
      <w:r w:rsidRPr="0061171B">
        <w:lastRenderedPageBreak/>
        <w:t>Future directions in data</w:t>
      </w:r>
    </w:p>
    <w:p w14:paraId="1920B192" w14:textId="77777777" w:rsidR="008422E6" w:rsidRPr="0061171B" w:rsidRDefault="008422E6" w:rsidP="008422E6">
      <w:pPr>
        <w:pStyle w:val="BodyText"/>
      </w:pPr>
      <w:r w:rsidRPr="0061171B">
        <w:t xml:space="preserve">The Australian Bureau of Statistics is working with corrective services agencies to explore ways to improve adult prisoner flow data to build a more accurate picture of incarceration. </w:t>
      </w:r>
    </w:p>
    <w:p w14:paraId="1648EF01" w14:textId="77777777" w:rsidR="008422E6" w:rsidRPr="0061171B" w:rsidRDefault="008422E6" w:rsidP="008422E6">
      <w:pPr>
        <w:pStyle w:val="BodyText"/>
      </w:pPr>
      <w:r w:rsidRPr="0061171B">
        <w:t>The data for adults and youth are not directly comparable, as data for adults are limited in scope to those that have returned to prison. Data on the proportion of adult prisoners who are released and returned to prison or community corrections within two years of release (sourced from corrective services agencies) are available, but the data are not disaggregated by Indigenous status. This disaggregation would provide a useful comparison with youth detention data.</w:t>
      </w:r>
    </w:p>
    <w:p w14:paraId="0705BF5A" w14:textId="77777777" w:rsidR="008422E6" w:rsidRDefault="008422E6" w:rsidP="008422E6">
      <w:pPr>
        <w:pStyle w:val="Heading3"/>
      </w:pPr>
      <w:r w:rsidRPr="0061171B">
        <w:t>References</w:t>
      </w:r>
    </w:p>
    <w:p w14:paraId="028A85D7" w14:textId="3D9D5284" w:rsidR="008422E6" w:rsidRPr="00715CB3" w:rsidRDefault="008422E6" w:rsidP="008422E6">
      <w:pPr>
        <w:pStyle w:val="Reference"/>
        <w:rPr>
          <w:sz w:val="20"/>
        </w:rPr>
      </w:pPr>
      <w:r w:rsidRPr="00715CB3">
        <w:rPr>
          <w:sz w:val="20"/>
        </w:rPr>
        <w:t xml:space="preserve">Abbott, P., Lloyd, J., Joshi, C., </w:t>
      </w:r>
      <w:proofErr w:type="spellStart"/>
      <w:r w:rsidRPr="00715CB3">
        <w:rPr>
          <w:sz w:val="20"/>
        </w:rPr>
        <w:t>Malera-Bandjalan</w:t>
      </w:r>
      <w:proofErr w:type="spellEnd"/>
      <w:r w:rsidRPr="00715CB3">
        <w:rPr>
          <w:sz w:val="20"/>
        </w:rPr>
        <w:t xml:space="preserve">, K., Baldry, E., </w:t>
      </w:r>
      <w:proofErr w:type="spellStart"/>
      <w:r w:rsidRPr="00715CB3">
        <w:rPr>
          <w:sz w:val="20"/>
        </w:rPr>
        <w:t>MacEntyre</w:t>
      </w:r>
      <w:proofErr w:type="spellEnd"/>
      <w:r w:rsidRPr="00715CB3">
        <w:rPr>
          <w:sz w:val="20"/>
        </w:rPr>
        <w:t xml:space="preserve">, E., Sherwood, J., </w:t>
      </w:r>
      <w:proofErr w:type="spellStart"/>
      <w:r w:rsidRPr="00715CB3">
        <w:rPr>
          <w:sz w:val="20"/>
        </w:rPr>
        <w:t>Reath</w:t>
      </w:r>
      <w:proofErr w:type="spellEnd"/>
      <w:r w:rsidRPr="00715CB3">
        <w:rPr>
          <w:sz w:val="20"/>
        </w:rPr>
        <w:t xml:space="preserve">, J., </w:t>
      </w:r>
      <w:proofErr w:type="spellStart"/>
      <w:r w:rsidRPr="00715CB3">
        <w:rPr>
          <w:sz w:val="20"/>
        </w:rPr>
        <w:t>Indig</w:t>
      </w:r>
      <w:proofErr w:type="spellEnd"/>
      <w:r w:rsidRPr="00715CB3">
        <w:rPr>
          <w:sz w:val="20"/>
        </w:rPr>
        <w:t xml:space="preserve">, D. and Harris, M. 2018, ‘Do programs for Aboriginal and Torres Strait Islander people leaving prison meet their health and social support needs?’, </w:t>
      </w:r>
      <w:r w:rsidRPr="00715CB3">
        <w:rPr>
          <w:i/>
          <w:iCs/>
          <w:sz w:val="20"/>
        </w:rPr>
        <w:t>Australian Journal of Rural Health</w:t>
      </w:r>
      <w:r w:rsidRPr="00715CB3">
        <w:rPr>
          <w:sz w:val="20"/>
        </w:rPr>
        <w:t>, vol. 26, pp. 6–13.</w:t>
      </w:r>
    </w:p>
    <w:p w14:paraId="173D27AE" w14:textId="77777777" w:rsidR="008422E6" w:rsidRPr="00715CB3" w:rsidRDefault="008422E6" w:rsidP="008422E6">
      <w:pPr>
        <w:pStyle w:val="Reference"/>
        <w:rPr>
          <w:sz w:val="20"/>
        </w:rPr>
      </w:pPr>
      <w:r w:rsidRPr="00715CB3">
        <w:rPr>
          <w:sz w:val="20"/>
        </w:rPr>
        <w:t xml:space="preserve">AIHW &amp;AIFS (Australian Institute of Health and Welfare and Australian Institute of Family Studies) 2013, </w:t>
      </w:r>
      <w:r w:rsidRPr="00715CB3">
        <w:rPr>
          <w:i/>
          <w:iCs/>
          <w:sz w:val="20"/>
        </w:rPr>
        <w:t>Diverting Indigenous Offenders from the Criminal Justice System</w:t>
      </w:r>
      <w:r w:rsidRPr="00715CB3">
        <w:rPr>
          <w:sz w:val="20"/>
        </w:rPr>
        <w:t>, Resource sheet no. 24, Closing the Gap Clearinghouse.</w:t>
      </w:r>
    </w:p>
    <w:p w14:paraId="2027F5E3" w14:textId="77777777" w:rsidR="008422E6" w:rsidRPr="00715CB3" w:rsidRDefault="008422E6" w:rsidP="008422E6">
      <w:pPr>
        <w:pStyle w:val="Reference"/>
        <w:rPr>
          <w:sz w:val="20"/>
        </w:rPr>
      </w:pPr>
      <w:r w:rsidRPr="00715CB3">
        <w:rPr>
          <w:sz w:val="20"/>
        </w:rPr>
        <w:t xml:space="preserve">AIHW (Australian Institute of Health and Welfare) </w:t>
      </w:r>
      <w:proofErr w:type="spellStart"/>
      <w:r w:rsidRPr="00715CB3">
        <w:rPr>
          <w:sz w:val="20"/>
        </w:rPr>
        <w:t>2020a</w:t>
      </w:r>
      <w:proofErr w:type="spellEnd"/>
      <w:r w:rsidRPr="00715CB3">
        <w:rPr>
          <w:sz w:val="20"/>
        </w:rPr>
        <w:t xml:space="preserve">, </w:t>
      </w:r>
      <w:r w:rsidRPr="00715CB3">
        <w:rPr>
          <w:i/>
          <w:iCs/>
          <w:sz w:val="20"/>
        </w:rPr>
        <w:t>Young People Returning to Sentenced Youth Justice Supervision, 2018–19</w:t>
      </w:r>
      <w:r w:rsidRPr="00715CB3">
        <w:rPr>
          <w:sz w:val="20"/>
        </w:rPr>
        <w:t xml:space="preserve">, Juvenile Justice Series no. 24, Cat. no. </w:t>
      </w:r>
      <w:proofErr w:type="spellStart"/>
      <w:r w:rsidRPr="00715CB3">
        <w:rPr>
          <w:sz w:val="20"/>
        </w:rPr>
        <w:t>JUV133</w:t>
      </w:r>
      <w:proofErr w:type="spellEnd"/>
      <w:r w:rsidRPr="00715CB3">
        <w:rPr>
          <w:sz w:val="20"/>
        </w:rPr>
        <w:t>, Canberra.</w:t>
      </w:r>
    </w:p>
    <w:p w14:paraId="3810CE5F" w14:textId="77777777" w:rsidR="008422E6" w:rsidRPr="00715CB3" w:rsidRDefault="008422E6" w:rsidP="008422E6">
      <w:pPr>
        <w:pStyle w:val="Reference"/>
        <w:rPr>
          <w:sz w:val="20"/>
        </w:rPr>
      </w:pPr>
      <w:r w:rsidRPr="00715CB3">
        <w:rPr>
          <w:sz w:val="20"/>
        </w:rPr>
        <w:t xml:space="preserve">—— (Australian Institute of Health and Welfare) </w:t>
      </w:r>
      <w:proofErr w:type="spellStart"/>
      <w:r w:rsidRPr="00715CB3">
        <w:rPr>
          <w:sz w:val="20"/>
        </w:rPr>
        <w:t>2020b</w:t>
      </w:r>
      <w:proofErr w:type="spellEnd"/>
      <w:r w:rsidRPr="00715CB3">
        <w:rPr>
          <w:sz w:val="20"/>
        </w:rPr>
        <w:t xml:space="preserve">, </w:t>
      </w:r>
      <w:r w:rsidRPr="00715CB3">
        <w:rPr>
          <w:i/>
          <w:iCs/>
          <w:sz w:val="20"/>
        </w:rPr>
        <w:t>Youth Justice in Australia 2018–19</w:t>
      </w:r>
      <w:r w:rsidRPr="00715CB3">
        <w:rPr>
          <w:sz w:val="20"/>
        </w:rPr>
        <w:t xml:space="preserve">, Cat no </w:t>
      </w:r>
      <w:proofErr w:type="spellStart"/>
      <w:r w:rsidRPr="00715CB3">
        <w:rPr>
          <w:sz w:val="20"/>
        </w:rPr>
        <w:t>JUV</w:t>
      </w:r>
      <w:proofErr w:type="spellEnd"/>
      <w:r w:rsidRPr="00715CB3">
        <w:rPr>
          <w:sz w:val="20"/>
        </w:rPr>
        <w:t xml:space="preserve"> 132, Canberra.</w:t>
      </w:r>
    </w:p>
    <w:p w14:paraId="77C9E23B" w14:textId="77777777" w:rsidR="008422E6" w:rsidRPr="00715CB3" w:rsidRDefault="008422E6" w:rsidP="008422E6">
      <w:pPr>
        <w:pStyle w:val="Reference"/>
        <w:rPr>
          <w:sz w:val="20"/>
        </w:rPr>
      </w:pPr>
      <w:proofErr w:type="spellStart"/>
      <w:r w:rsidRPr="00715CB3">
        <w:rPr>
          <w:sz w:val="20"/>
        </w:rPr>
        <w:t>ALRC</w:t>
      </w:r>
      <w:proofErr w:type="spellEnd"/>
      <w:r w:rsidRPr="00715CB3">
        <w:rPr>
          <w:sz w:val="20"/>
        </w:rPr>
        <w:t xml:space="preserve"> (Australian Law Reform Commission) 2017, </w:t>
      </w:r>
      <w:r w:rsidRPr="00715CB3">
        <w:rPr>
          <w:i/>
          <w:iCs/>
          <w:sz w:val="20"/>
        </w:rPr>
        <w:t>Pathways to Justice: Inquiry into the Incarceration Rate of Aboriginal and Torres Strait Islander Peoples</w:t>
      </w:r>
      <w:r w:rsidRPr="00715CB3">
        <w:rPr>
          <w:sz w:val="20"/>
        </w:rPr>
        <w:t>, Report 133.</w:t>
      </w:r>
    </w:p>
    <w:p w14:paraId="16F8FBD4" w14:textId="77777777" w:rsidR="008422E6" w:rsidRPr="00715CB3" w:rsidRDefault="008422E6" w:rsidP="008422E6">
      <w:pPr>
        <w:pStyle w:val="Reference"/>
        <w:rPr>
          <w:sz w:val="20"/>
        </w:rPr>
      </w:pPr>
      <w:proofErr w:type="spellStart"/>
      <w:r w:rsidRPr="00715CB3">
        <w:rPr>
          <w:sz w:val="20"/>
        </w:rPr>
        <w:t>Apted</w:t>
      </w:r>
      <w:proofErr w:type="spellEnd"/>
      <w:r w:rsidRPr="00715CB3">
        <w:rPr>
          <w:sz w:val="20"/>
        </w:rPr>
        <w:t xml:space="preserve">, V., Hew, R. and Sinha, T. 2013, </w:t>
      </w:r>
      <w:r w:rsidRPr="00715CB3">
        <w:rPr>
          <w:i/>
          <w:iCs/>
          <w:sz w:val="20"/>
        </w:rPr>
        <w:t>Barriers to Parole for Aboriginal and Torres Strait Islander People in Australia</w:t>
      </w:r>
      <w:r w:rsidRPr="00715CB3">
        <w:rPr>
          <w:sz w:val="20"/>
        </w:rPr>
        <w:t>, The University of Queensland.</w:t>
      </w:r>
    </w:p>
    <w:p w14:paraId="68E1BA5F" w14:textId="77777777" w:rsidR="008422E6" w:rsidRPr="00715CB3" w:rsidRDefault="008422E6" w:rsidP="008422E6">
      <w:pPr>
        <w:pStyle w:val="Reference"/>
        <w:rPr>
          <w:sz w:val="20"/>
        </w:rPr>
      </w:pPr>
      <w:r w:rsidRPr="00715CB3">
        <w:rPr>
          <w:sz w:val="20"/>
        </w:rPr>
        <w:t xml:space="preserve">Baldry, E., McDonnell, D., </w:t>
      </w:r>
      <w:proofErr w:type="spellStart"/>
      <w:r w:rsidRPr="00715CB3">
        <w:rPr>
          <w:sz w:val="20"/>
        </w:rPr>
        <w:t>Maplestone</w:t>
      </w:r>
      <w:proofErr w:type="spellEnd"/>
      <w:r w:rsidRPr="00715CB3">
        <w:rPr>
          <w:sz w:val="20"/>
        </w:rPr>
        <w:t xml:space="preserve">, P. and Peters, M. 2006, ‘Ex-prisoners, homelessness and the state in Australia’, </w:t>
      </w:r>
      <w:r w:rsidRPr="00715CB3">
        <w:rPr>
          <w:i/>
          <w:iCs/>
          <w:sz w:val="20"/>
        </w:rPr>
        <w:t>Australian &amp; New Zealand Journal of Criminology</w:t>
      </w:r>
      <w:r w:rsidRPr="00715CB3">
        <w:rPr>
          <w:sz w:val="20"/>
        </w:rPr>
        <w:t>, vol. 39, no. 1, pp. 20–33.</w:t>
      </w:r>
    </w:p>
    <w:p w14:paraId="36B7BDDB" w14:textId="77777777" w:rsidR="008422E6" w:rsidRPr="00715CB3" w:rsidRDefault="008422E6" w:rsidP="008422E6">
      <w:pPr>
        <w:pStyle w:val="Reference"/>
        <w:rPr>
          <w:sz w:val="20"/>
        </w:rPr>
      </w:pPr>
      <w:r w:rsidRPr="00715CB3">
        <w:rPr>
          <w:sz w:val="20"/>
        </w:rPr>
        <w:t xml:space="preserve">Commonwealth of Australia 2017, </w:t>
      </w:r>
      <w:r w:rsidRPr="00715CB3">
        <w:rPr>
          <w:i/>
          <w:iCs/>
          <w:sz w:val="20"/>
        </w:rPr>
        <w:t>Report of the Royal Commission and Board of Inquiry into the Protection and Detention of Children in the NT: Findings and Recommendations</w:t>
      </w:r>
      <w:r w:rsidRPr="00715CB3">
        <w:rPr>
          <w:sz w:val="20"/>
        </w:rPr>
        <w:t>, Canberra.</w:t>
      </w:r>
    </w:p>
    <w:p w14:paraId="41FB5140" w14:textId="77777777" w:rsidR="008422E6" w:rsidRPr="00715CB3" w:rsidRDefault="008422E6" w:rsidP="008422E6">
      <w:pPr>
        <w:pStyle w:val="Reference"/>
        <w:rPr>
          <w:sz w:val="20"/>
        </w:rPr>
      </w:pPr>
      <w:r w:rsidRPr="00715CB3">
        <w:rPr>
          <w:sz w:val="20"/>
        </w:rPr>
        <w:t xml:space="preserve">Dawes, G., Davidson, A., Walden, E. and Isaacs, S. 2017, ‘Keeping on country: Understanding and responding to crime and recidivism in remote Indigenous communities’, </w:t>
      </w:r>
      <w:r w:rsidRPr="00715CB3">
        <w:rPr>
          <w:i/>
          <w:iCs/>
          <w:sz w:val="20"/>
        </w:rPr>
        <w:t>Australian Psychologist</w:t>
      </w:r>
      <w:r w:rsidRPr="00715CB3">
        <w:rPr>
          <w:sz w:val="20"/>
        </w:rPr>
        <w:t>, vol. 52, no. 4, pp. 306–315.</w:t>
      </w:r>
    </w:p>
    <w:p w14:paraId="6168E428" w14:textId="77777777" w:rsidR="008422E6" w:rsidRPr="00715CB3" w:rsidRDefault="008422E6" w:rsidP="008422E6">
      <w:pPr>
        <w:pStyle w:val="Reference"/>
        <w:rPr>
          <w:sz w:val="20"/>
        </w:rPr>
      </w:pPr>
      <w:r w:rsidRPr="00715CB3">
        <w:rPr>
          <w:sz w:val="20"/>
        </w:rPr>
        <w:t xml:space="preserve">Dawes, G.D. and Davidson, A. 2019, ‘A framework for developing justice reinvestment plans for crime prevention and offender rehabilitation in Australia’s remote Indigenous communities’, </w:t>
      </w:r>
      <w:r w:rsidRPr="00715CB3">
        <w:rPr>
          <w:i/>
          <w:iCs/>
          <w:sz w:val="20"/>
        </w:rPr>
        <w:t>Journal of Offender Rehabilitation</w:t>
      </w:r>
      <w:r w:rsidRPr="00715CB3">
        <w:rPr>
          <w:sz w:val="20"/>
        </w:rPr>
        <w:t>, vol. 58, no. 6, pp. 520–543.</w:t>
      </w:r>
    </w:p>
    <w:p w14:paraId="1005BF8E" w14:textId="1A251AAE" w:rsidR="008422E6" w:rsidRPr="00715CB3" w:rsidRDefault="008422E6" w:rsidP="008422E6">
      <w:pPr>
        <w:pStyle w:val="Reference"/>
        <w:rPr>
          <w:sz w:val="20"/>
        </w:rPr>
      </w:pPr>
      <w:r w:rsidRPr="00715CB3">
        <w:rPr>
          <w:sz w:val="20"/>
        </w:rPr>
        <w:t xml:space="preserve">Dwyer, A. 2018, </w:t>
      </w:r>
      <w:r w:rsidRPr="00715CB3">
        <w:rPr>
          <w:i/>
          <w:iCs/>
          <w:sz w:val="20"/>
        </w:rPr>
        <w:t>Understanding Police-Indigenous Relations in Remote and Rural Australia: Police Perspectives</w:t>
      </w:r>
      <w:r w:rsidRPr="00715CB3">
        <w:rPr>
          <w:sz w:val="20"/>
        </w:rPr>
        <w:t xml:space="preserve">, </w:t>
      </w:r>
      <w:r w:rsidR="009F5290" w:rsidRPr="00715CB3">
        <w:rPr>
          <w:sz w:val="20"/>
        </w:rPr>
        <w:t>Masters</w:t>
      </w:r>
      <w:r w:rsidRPr="00715CB3">
        <w:rPr>
          <w:sz w:val="20"/>
        </w:rPr>
        <w:t xml:space="preserve"> Thesis, Queensland University of Technology, Brisbane.</w:t>
      </w:r>
    </w:p>
    <w:p w14:paraId="47926913" w14:textId="77777777" w:rsidR="008422E6" w:rsidRPr="00715CB3" w:rsidRDefault="008422E6" w:rsidP="008422E6">
      <w:pPr>
        <w:pStyle w:val="Reference"/>
        <w:rPr>
          <w:sz w:val="20"/>
        </w:rPr>
      </w:pPr>
      <w:r w:rsidRPr="00715CB3">
        <w:rPr>
          <w:sz w:val="20"/>
        </w:rPr>
        <w:lastRenderedPageBreak/>
        <w:t xml:space="preserve">Government of South Australia 2020, </w:t>
      </w:r>
      <w:r w:rsidRPr="00715CB3">
        <w:rPr>
          <w:i/>
          <w:iCs/>
          <w:sz w:val="20"/>
        </w:rPr>
        <w:t>Great Responsibility: Report on the 2019 Pilot Inspection of the Adelaide Youth Training Centre (</w:t>
      </w:r>
      <w:proofErr w:type="spellStart"/>
      <w:r w:rsidRPr="00715CB3">
        <w:rPr>
          <w:i/>
          <w:iCs/>
          <w:sz w:val="20"/>
        </w:rPr>
        <w:t>Kurlana</w:t>
      </w:r>
      <w:proofErr w:type="spellEnd"/>
      <w:r w:rsidRPr="00715CB3">
        <w:rPr>
          <w:i/>
          <w:iCs/>
          <w:sz w:val="20"/>
        </w:rPr>
        <w:t xml:space="preserve"> Tapa Youth Justice Centre)</w:t>
      </w:r>
      <w:r w:rsidRPr="00715CB3">
        <w:rPr>
          <w:sz w:val="20"/>
        </w:rPr>
        <w:t>, Adelaide.</w:t>
      </w:r>
    </w:p>
    <w:p w14:paraId="56D5EA79" w14:textId="77777777" w:rsidR="008422E6" w:rsidRPr="00715CB3" w:rsidRDefault="008422E6" w:rsidP="008422E6">
      <w:pPr>
        <w:pStyle w:val="Reference"/>
        <w:rPr>
          <w:sz w:val="20"/>
        </w:rPr>
      </w:pPr>
      <w:r w:rsidRPr="00715CB3">
        <w:rPr>
          <w:sz w:val="20"/>
        </w:rPr>
        <w:t xml:space="preserve">Hall, P. and Chong, D. 2018, ‘A prison’s social climate, and its impact on reintegration and recidivism’, </w:t>
      </w:r>
      <w:r w:rsidRPr="00715CB3">
        <w:rPr>
          <w:i/>
          <w:iCs/>
          <w:sz w:val="20"/>
        </w:rPr>
        <w:t>James Cook University Law Review</w:t>
      </w:r>
      <w:r w:rsidRPr="00715CB3">
        <w:rPr>
          <w:sz w:val="20"/>
        </w:rPr>
        <w:t>, vol. 24, pp. 231–242.</w:t>
      </w:r>
    </w:p>
    <w:p w14:paraId="6791055D" w14:textId="77777777" w:rsidR="008422E6" w:rsidRPr="00715CB3" w:rsidRDefault="008422E6" w:rsidP="008422E6">
      <w:pPr>
        <w:pStyle w:val="Reference"/>
        <w:rPr>
          <w:sz w:val="20"/>
        </w:rPr>
      </w:pPr>
      <w:r w:rsidRPr="00715CB3">
        <w:rPr>
          <w:sz w:val="20"/>
        </w:rPr>
        <w:t xml:space="preserve">Harvey, R. 2012, ‘Racist offensive and degrading police behaviour against Aboriginal people in NSW:  Modern challenges to the findings of the Royal Commission into Aboriginal Deaths in Custody’, </w:t>
      </w:r>
      <w:r w:rsidRPr="00715CB3">
        <w:rPr>
          <w:i/>
          <w:iCs/>
          <w:sz w:val="20"/>
        </w:rPr>
        <w:t>Australian Indigenous Law Review</w:t>
      </w:r>
      <w:r w:rsidRPr="00715CB3">
        <w:rPr>
          <w:sz w:val="20"/>
        </w:rPr>
        <w:t>, vol. 16, no. 2.</w:t>
      </w:r>
    </w:p>
    <w:p w14:paraId="41879FB8" w14:textId="77777777" w:rsidR="008422E6" w:rsidRPr="00715CB3" w:rsidRDefault="008422E6" w:rsidP="008422E6">
      <w:pPr>
        <w:pStyle w:val="Reference"/>
        <w:rPr>
          <w:sz w:val="20"/>
        </w:rPr>
      </w:pPr>
      <w:r w:rsidRPr="00715CB3">
        <w:rPr>
          <w:sz w:val="20"/>
        </w:rPr>
        <w:t xml:space="preserve">Lafferty, L., Treloar, C., Chambers, G.M., Butler, T. and Guthrie, J. 2016, ‘Contextualising the social capital of Australian Aboriginal and non-Aboriginal men in prison’, </w:t>
      </w:r>
      <w:r w:rsidRPr="00715CB3">
        <w:rPr>
          <w:i/>
          <w:iCs/>
          <w:sz w:val="20"/>
        </w:rPr>
        <w:t>Social Science &amp; Medicine</w:t>
      </w:r>
      <w:r w:rsidRPr="00715CB3">
        <w:rPr>
          <w:sz w:val="20"/>
        </w:rPr>
        <w:t>, vol. 167, pp. 29–36.</w:t>
      </w:r>
    </w:p>
    <w:p w14:paraId="0B073502" w14:textId="77777777" w:rsidR="008422E6" w:rsidRPr="00715CB3" w:rsidRDefault="008422E6" w:rsidP="008422E6">
      <w:pPr>
        <w:pStyle w:val="Reference"/>
        <w:rPr>
          <w:sz w:val="20"/>
        </w:rPr>
      </w:pPr>
      <w:r w:rsidRPr="00715CB3">
        <w:rPr>
          <w:sz w:val="20"/>
        </w:rPr>
        <w:t xml:space="preserve">Lind, B. 2011, ‘Screening cautioned young people for further assessment and intervention’, </w:t>
      </w:r>
      <w:r w:rsidRPr="00715CB3">
        <w:rPr>
          <w:i/>
          <w:iCs/>
          <w:sz w:val="20"/>
        </w:rPr>
        <w:t>Crime and Justice Bulletin: Contemporary Issues in Crime and Justice</w:t>
      </w:r>
      <w:r w:rsidRPr="00715CB3">
        <w:rPr>
          <w:sz w:val="20"/>
        </w:rPr>
        <w:t>, vol. 149, NSW Bureau of Crime Statistics and Research.</w:t>
      </w:r>
    </w:p>
    <w:p w14:paraId="2E893511" w14:textId="77777777" w:rsidR="008422E6" w:rsidRPr="00715CB3" w:rsidRDefault="008422E6" w:rsidP="008422E6">
      <w:pPr>
        <w:pStyle w:val="Reference"/>
        <w:rPr>
          <w:sz w:val="20"/>
        </w:rPr>
      </w:pPr>
      <w:r w:rsidRPr="00715CB3">
        <w:rPr>
          <w:sz w:val="20"/>
        </w:rPr>
        <w:t xml:space="preserve">McCausland, R., </w:t>
      </w:r>
      <w:proofErr w:type="spellStart"/>
      <w:r w:rsidRPr="00715CB3">
        <w:rPr>
          <w:sz w:val="20"/>
        </w:rPr>
        <w:t>McEntyre</w:t>
      </w:r>
      <w:proofErr w:type="spellEnd"/>
      <w:r w:rsidRPr="00715CB3">
        <w:rPr>
          <w:sz w:val="20"/>
        </w:rPr>
        <w:t xml:space="preserve">, E. and Baldry, E. 2017, </w:t>
      </w:r>
      <w:r w:rsidRPr="00715CB3">
        <w:rPr>
          <w:i/>
          <w:iCs/>
          <w:sz w:val="20"/>
        </w:rPr>
        <w:t>Indigenous People, Mental Health, Cognitive Disability and the Criminal Justice System</w:t>
      </w:r>
      <w:r w:rsidRPr="00715CB3">
        <w:rPr>
          <w:sz w:val="20"/>
        </w:rPr>
        <w:t>, Brief 22, Indigenous Justice Clearinghouse.</w:t>
      </w:r>
    </w:p>
    <w:p w14:paraId="60C58E83" w14:textId="77777777" w:rsidR="008422E6" w:rsidRPr="00715CB3" w:rsidRDefault="008422E6" w:rsidP="008422E6">
      <w:pPr>
        <w:pStyle w:val="Reference"/>
        <w:rPr>
          <w:sz w:val="20"/>
        </w:rPr>
      </w:pPr>
      <w:proofErr w:type="spellStart"/>
      <w:r w:rsidRPr="00715CB3">
        <w:rPr>
          <w:sz w:val="20"/>
        </w:rPr>
        <w:t>OPI</w:t>
      </w:r>
      <w:proofErr w:type="spellEnd"/>
      <w:r w:rsidRPr="00715CB3">
        <w:rPr>
          <w:sz w:val="20"/>
        </w:rPr>
        <w:t xml:space="preserve"> (Office of Police Integrity) 2011, </w:t>
      </w:r>
      <w:r w:rsidRPr="00715CB3">
        <w:rPr>
          <w:i/>
          <w:iCs/>
          <w:sz w:val="20"/>
        </w:rPr>
        <w:t>Talking Together: Relations Between Police and Aboriginal and Torres Strait Islanders in Victoria</w:t>
      </w:r>
      <w:r w:rsidRPr="00715CB3">
        <w:rPr>
          <w:sz w:val="20"/>
        </w:rPr>
        <w:t>, Melbourne.</w:t>
      </w:r>
    </w:p>
    <w:p w14:paraId="15F9206B" w14:textId="77777777" w:rsidR="008422E6" w:rsidRPr="00715CB3" w:rsidRDefault="008422E6" w:rsidP="008422E6">
      <w:pPr>
        <w:pStyle w:val="Reference"/>
        <w:rPr>
          <w:sz w:val="20"/>
        </w:rPr>
      </w:pPr>
      <w:proofErr w:type="spellStart"/>
      <w:r w:rsidRPr="00715CB3">
        <w:rPr>
          <w:sz w:val="20"/>
        </w:rPr>
        <w:t>Perdacher</w:t>
      </w:r>
      <w:proofErr w:type="spellEnd"/>
      <w:r w:rsidRPr="00715CB3">
        <w:rPr>
          <w:sz w:val="20"/>
        </w:rPr>
        <w:t xml:space="preserve">, E., Kavanagh, D. and Sheffield, J. 2019, ‘Well-being and mental health interventions for Indigenous people in prison: Systematic review’, </w:t>
      </w:r>
      <w:r w:rsidRPr="00715CB3">
        <w:rPr>
          <w:i/>
          <w:iCs/>
          <w:sz w:val="20"/>
        </w:rPr>
        <w:t>British Journal of Psychiatry Open</w:t>
      </w:r>
      <w:r w:rsidRPr="00715CB3">
        <w:rPr>
          <w:sz w:val="20"/>
        </w:rPr>
        <w:t>, vol. 5, pp. 1–10.</w:t>
      </w:r>
    </w:p>
    <w:p w14:paraId="115D60C5" w14:textId="77777777" w:rsidR="008422E6" w:rsidRPr="00715CB3" w:rsidRDefault="008422E6" w:rsidP="008422E6">
      <w:pPr>
        <w:pStyle w:val="Reference"/>
        <w:rPr>
          <w:sz w:val="20"/>
        </w:rPr>
      </w:pPr>
      <w:proofErr w:type="spellStart"/>
      <w:r w:rsidRPr="00715CB3">
        <w:rPr>
          <w:sz w:val="20"/>
        </w:rPr>
        <w:t>RCADIC</w:t>
      </w:r>
      <w:proofErr w:type="spellEnd"/>
      <w:r w:rsidRPr="00715CB3">
        <w:rPr>
          <w:sz w:val="20"/>
        </w:rPr>
        <w:t xml:space="preserve"> (Royal Commission into Aboriginal Deaths in Custody) 1991, </w:t>
      </w:r>
      <w:r w:rsidRPr="00715CB3">
        <w:rPr>
          <w:i/>
          <w:iCs/>
          <w:sz w:val="20"/>
        </w:rPr>
        <w:t>National Report</w:t>
      </w:r>
      <w:r w:rsidRPr="00715CB3">
        <w:rPr>
          <w:sz w:val="20"/>
        </w:rPr>
        <w:t>, Australian Government Publishing Service, Canberra.</w:t>
      </w:r>
    </w:p>
    <w:p w14:paraId="46562C60" w14:textId="77777777" w:rsidR="008422E6" w:rsidRPr="00715CB3" w:rsidRDefault="008422E6" w:rsidP="008422E6">
      <w:pPr>
        <w:pStyle w:val="Reference"/>
        <w:rPr>
          <w:sz w:val="20"/>
        </w:rPr>
      </w:pPr>
      <w:r w:rsidRPr="00715CB3">
        <w:rPr>
          <w:sz w:val="20"/>
        </w:rPr>
        <w:t xml:space="preserve">Ringland, C., </w:t>
      </w:r>
      <w:proofErr w:type="spellStart"/>
      <w:r w:rsidRPr="00715CB3">
        <w:rPr>
          <w:sz w:val="20"/>
        </w:rPr>
        <w:t>Weatherburn</w:t>
      </w:r>
      <w:proofErr w:type="spellEnd"/>
      <w:r w:rsidRPr="00715CB3">
        <w:rPr>
          <w:sz w:val="20"/>
        </w:rPr>
        <w:t xml:space="preserve">, D. and Poynton, S. 2015, ‘Can child protection data improve the prediction of re-offending in young persons?’, </w:t>
      </w:r>
      <w:r w:rsidRPr="00715CB3">
        <w:rPr>
          <w:i/>
          <w:iCs/>
          <w:sz w:val="20"/>
        </w:rPr>
        <w:t>Crime and Justice Bulletin: Contemporary Issues in Crime and Justice</w:t>
      </w:r>
      <w:r w:rsidRPr="00715CB3">
        <w:rPr>
          <w:sz w:val="20"/>
        </w:rPr>
        <w:t>, vol. 188, NSW Bureau of Crime Statistics and Research.</w:t>
      </w:r>
    </w:p>
    <w:p w14:paraId="72F12B4D" w14:textId="77777777" w:rsidR="008422E6" w:rsidRPr="00715CB3" w:rsidRDefault="008422E6" w:rsidP="008422E6">
      <w:pPr>
        <w:pStyle w:val="Reference"/>
        <w:rPr>
          <w:sz w:val="20"/>
        </w:rPr>
      </w:pPr>
      <w:r w:rsidRPr="00715CB3">
        <w:rPr>
          <w:sz w:val="20"/>
        </w:rPr>
        <w:t xml:space="preserve">Ryan, N., Ackerman, J., Bond, C., Ready, J. and </w:t>
      </w:r>
      <w:proofErr w:type="spellStart"/>
      <w:r w:rsidRPr="00715CB3">
        <w:rPr>
          <w:sz w:val="20"/>
        </w:rPr>
        <w:t>Kinner</w:t>
      </w:r>
      <w:proofErr w:type="spellEnd"/>
      <w:r w:rsidRPr="00715CB3">
        <w:rPr>
          <w:sz w:val="20"/>
        </w:rPr>
        <w:t xml:space="preserve">, S. 2019, ‘Prison life and prior social experiences: Understanding their importance for Indigenous people’s re-entry outcomes’, </w:t>
      </w:r>
      <w:r w:rsidRPr="00715CB3">
        <w:rPr>
          <w:i/>
          <w:iCs/>
          <w:sz w:val="20"/>
        </w:rPr>
        <w:t>British Journal of Criminology</w:t>
      </w:r>
      <w:r w:rsidRPr="00715CB3">
        <w:rPr>
          <w:sz w:val="20"/>
        </w:rPr>
        <w:t>, vol. 59, pp. 188–208.</w:t>
      </w:r>
    </w:p>
    <w:p w14:paraId="29170D4E" w14:textId="77777777" w:rsidR="008422E6" w:rsidRPr="00715CB3" w:rsidRDefault="008422E6" w:rsidP="008422E6">
      <w:pPr>
        <w:pStyle w:val="Reference"/>
        <w:rPr>
          <w:sz w:val="20"/>
        </w:rPr>
      </w:pPr>
      <w:r w:rsidRPr="00715CB3">
        <w:rPr>
          <w:sz w:val="20"/>
        </w:rPr>
        <w:t xml:space="preserve">——, ——, Ready, J. and </w:t>
      </w:r>
      <w:proofErr w:type="spellStart"/>
      <w:r w:rsidRPr="00715CB3">
        <w:rPr>
          <w:sz w:val="20"/>
        </w:rPr>
        <w:t>Kinner</w:t>
      </w:r>
      <w:proofErr w:type="spellEnd"/>
      <w:r w:rsidRPr="00715CB3">
        <w:rPr>
          <w:sz w:val="20"/>
        </w:rPr>
        <w:t xml:space="preserve">, S.A. 2020, ‘Indigeneity, prisoner visitation and re-incarceration in Australia: The association between visits in prison and re-incarceration for Indigenous and non-indigenous people’, </w:t>
      </w:r>
      <w:r w:rsidRPr="00715CB3">
        <w:rPr>
          <w:i/>
          <w:iCs/>
          <w:sz w:val="20"/>
        </w:rPr>
        <w:t>British Journal of Criminology</w:t>
      </w:r>
      <w:r w:rsidRPr="00715CB3">
        <w:rPr>
          <w:sz w:val="20"/>
        </w:rPr>
        <w:t>, March.</w:t>
      </w:r>
    </w:p>
    <w:p w14:paraId="74662533" w14:textId="77777777" w:rsidR="008422E6" w:rsidRPr="00715CB3" w:rsidRDefault="008422E6" w:rsidP="008422E6">
      <w:pPr>
        <w:pStyle w:val="Reference"/>
        <w:rPr>
          <w:sz w:val="20"/>
        </w:rPr>
      </w:pPr>
      <w:r w:rsidRPr="00715CB3">
        <w:rPr>
          <w:sz w:val="20"/>
        </w:rPr>
        <w:t xml:space="preserve">Schwartz, M. 2010, ‘Building communities, not prisons: Justice reinvestment and Indigenous over-imprisonment’, </w:t>
      </w:r>
      <w:r w:rsidRPr="00715CB3">
        <w:rPr>
          <w:i/>
          <w:iCs/>
          <w:sz w:val="20"/>
        </w:rPr>
        <w:t>Australian Indigenous Law Review</w:t>
      </w:r>
      <w:r w:rsidRPr="00715CB3">
        <w:rPr>
          <w:sz w:val="20"/>
        </w:rPr>
        <w:t>, vol. 1, pp. 2–17.</w:t>
      </w:r>
    </w:p>
    <w:p w14:paraId="0DAE1AC1" w14:textId="77777777" w:rsidR="008422E6" w:rsidRPr="00715CB3" w:rsidRDefault="008422E6" w:rsidP="008422E6">
      <w:pPr>
        <w:pStyle w:val="Reference"/>
        <w:rPr>
          <w:sz w:val="20"/>
        </w:rPr>
      </w:pPr>
      <w:r w:rsidRPr="00715CB3">
        <w:rPr>
          <w:sz w:val="20"/>
        </w:rPr>
        <w:t xml:space="preserve">Sheehan, R. 2019, ‘Services and programmes: Sustaining the transition to community’, in Sheehan, R. and Trotter, C. (eds), </w:t>
      </w:r>
      <w:r w:rsidRPr="00715CB3">
        <w:rPr>
          <w:i/>
          <w:iCs/>
          <w:sz w:val="20"/>
        </w:rPr>
        <w:t>Women’s Transitions from Prison: The Post-Release Experience</w:t>
      </w:r>
      <w:r w:rsidRPr="00715CB3">
        <w:rPr>
          <w:sz w:val="20"/>
        </w:rPr>
        <w:t>, Routledge.</w:t>
      </w:r>
    </w:p>
    <w:p w14:paraId="6B451017" w14:textId="77777777" w:rsidR="008422E6" w:rsidRPr="00715CB3" w:rsidRDefault="008422E6" w:rsidP="008422E6">
      <w:pPr>
        <w:pStyle w:val="Reference"/>
        <w:rPr>
          <w:sz w:val="20"/>
        </w:rPr>
      </w:pPr>
      <w:r w:rsidRPr="00715CB3">
        <w:rPr>
          <w:sz w:val="20"/>
        </w:rPr>
        <w:t xml:space="preserve">Shepherd, S., </w:t>
      </w:r>
      <w:proofErr w:type="spellStart"/>
      <w:r w:rsidRPr="00715CB3">
        <w:rPr>
          <w:sz w:val="20"/>
        </w:rPr>
        <w:t>Ogloff</w:t>
      </w:r>
      <w:proofErr w:type="spellEnd"/>
      <w:r w:rsidRPr="00715CB3">
        <w:rPr>
          <w:sz w:val="20"/>
        </w:rPr>
        <w:t xml:space="preserve">, J. and Thomas, S. 2016, ‘Are Australian prisons meeting the needs of Indigenous offenders?’, </w:t>
      </w:r>
      <w:r w:rsidRPr="00715CB3">
        <w:rPr>
          <w:i/>
          <w:iCs/>
          <w:sz w:val="20"/>
        </w:rPr>
        <w:t>Health and Justice</w:t>
      </w:r>
      <w:r w:rsidRPr="00715CB3">
        <w:rPr>
          <w:sz w:val="20"/>
        </w:rPr>
        <w:t>, vol. 4, no. 13.</w:t>
      </w:r>
    </w:p>
    <w:p w14:paraId="5387221D" w14:textId="77777777" w:rsidR="008422E6" w:rsidRPr="00715CB3" w:rsidRDefault="008422E6" w:rsidP="008422E6">
      <w:pPr>
        <w:pStyle w:val="Reference"/>
        <w:rPr>
          <w:sz w:val="20"/>
        </w:rPr>
      </w:pPr>
      <w:r w:rsidRPr="00715CB3">
        <w:rPr>
          <w:sz w:val="20"/>
        </w:rPr>
        <w:t xml:space="preserve">——, Spivak, B., </w:t>
      </w:r>
      <w:proofErr w:type="spellStart"/>
      <w:r w:rsidRPr="00715CB3">
        <w:rPr>
          <w:sz w:val="20"/>
        </w:rPr>
        <w:t>Arabena</w:t>
      </w:r>
      <w:proofErr w:type="spellEnd"/>
      <w:r w:rsidRPr="00715CB3">
        <w:rPr>
          <w:sz w:val="20"/>
        </w:rPr>
        <w:t xml:space="preserve">, K. and </w:t>
      </w:r>
      <w:proofErr w:type="spellStart"/>
      <w:r w:rsidRPr="00715CB3">
        <w:rPr>
          <w:sz w:val="20"/>
        </w:rPr>
        <w:t>Paradies</w:t>
      </w:r>
      <w:proofErr w:type="spellEnd"/>
      <w:r w:rsidRPr="00715CB3">
        <w:rPr>
          <w:sz w:val="20"/>
        </w:rPr>
        <w:t xml:space="preserve">, Y. 2018, ‘Identifying the prevalence and predictors of suicidal behaviours for Indigenous males in custody’, </w:t>
      </w:r>
      <w:r w:rsidRPr="00715CB3">
        <w:rPr>
          <w:i/>
          <w:iCs/>
          <w:sz w:val="20"/>
        </w:rPr>
        <w:t>BMC Public Health</w:t>
      </w:r>
      <w:r w:rsidRPr="00715CB3">
        <w:rPr>
          <w:sz w:val="20"/>
        </w:rPr>
        <w:t>, vol. 18, no. 1159.</w:t>
      </w:r>
    </w:p>
    <w:p w14:paraId="023491C6" w14:textId="77777777" w:rsidR="008422E6" w:rsidRPr="00715CB3" w:rsidRDefault="008422E6" w:rsidP="008422E6">
      <w:pPr>
        <w:pStyle w:val="Reference"/>
        <w:rPr>
          <w:sz w:val="20"/>
        </w:rPr>
      </w:pPr>
      <w:r w:rsidRPr="00715CB3">
        <w:rPr>
          <w:sz w:val="20"/>
        </w:rPr>
        <w:lastRenderedPageBreak/>
        <w:t xml:space="preserve">Shepherd, </w:t>
      </w:r>
      <w:proofErr w:type="spellStart"/>
      <w:r w:rsidRPr="00715CB3">
        <w:rPr>
          <w:sz w:val="20"/>
        </w:rPr>
        <w:t>S.M</w:t>
      </w:r>
      <w:proofErr w:type="spellEnd"/>
      <w:r w:rsidRPr="00715CB3">
        <w:rPr>
          <w:sz w:val="20"/>
        </w:rPr>
        <w:t xml:space="preserve">., </w:t>
      </w:r>
      <w:proofErr w:type="spellStart"/>
      <w:r w:rsidRPr="00715CB3">
        <w:rPr>
          <w:sz w:val="20"/>
        </w:rPr>
        <w:t>Ogloff</w:t>
      </w:r>
      <w:proofErr w:type="spellEnd"/>
      <w:r w:rsidRPr="00715CB3">
        <w:rPr>
          <w:sz w:val="20"/>
        </w:rPr>
        <w:t xml:space="preserve">, J.R., Shea, D., Pfeifer, </w:t>
      </w:r>
      <w:proofErr w:type="spellStart"/>
      <w:r w:rsidRPr="00715CB3">
        <w:rPr>
          <w:sz w:val="20"/>
        </w:rPr>
        <w:t>J.E</w:t>
      </w:r>
      <w:proofErr w:type="spellEnd"/>
      <w:r w:rsidRPr="00715CB3">
        <w:rPr>
          <w:sz w:val="20"/>
        </w:rPr>
        <w:t xml:space="preserve">. and </w:t>
      </w:r>
      <w:proofErr w:type="spellStart"/>
      <w:r w:rsidRPr="00715CB3">
        <w:rPr>
          <w:sz w:val="20"/>
        </w:rPr>
        <w:t>Paradies</w:t>
      </w:r>
      <w:proofErr w:type="spellEnd"/>
      <w:r w:rsidRPr="00715CB3">
        <w:rPr>
          <w:sz w:val="20"/>
        </w:rPr>
        <w:t xml:space="preserve">, Y. 2017, ‘Aboriginal prisoners and cognitive impairment: The impact of dual disadvantage on social and emotional wellbeing’, </w:t>
      </w:r>
      <w:r w:rsidRPr="00715CB3">
        <w:rPr>
          <w:i/>
          <w:iCs/>
          <w:sz w:val="20"/>
        </w:rPr>
        <w:t>Journal of Intellectual Disability Research</w:t>
      </w:r>
      <w:r w:rsidRPr="00715CB3">
        <w:rPr>
          <w:sz w:val="20"/>
        </w:rPr>
        <w:t>, vol. 61, no. 4, pp. 385–397.</w:t>
      </w:r>
    </w:p>
    <w:p w14:paraId="35C9073C" w14:textId="77777777" w:rsidR="008422E6" w:rsidRPr="00715CB3" w:rsidRDefault="008422E6" w:rsidP="008422E6">
      <w:pPr>
        <w:pStyle w:val="Reference"/>
        <w:rPr>
          <w:sz w:val="20"/>
        </w:rPr>
      </w:pPr>
      <w:r w:rsidRPr="00715CB3">
        <w:rPr>
          <w:sz w:val="20"/>
        </w:rPr>
        <w:t xml:space="preserve">Snowball, L. and </w:t>
      </w:r>
      <w:proofErr w:type="spellStart"/>
      <w:r w:rsidRPr="00715CB3">
        <w:rPr>
          <w:sz w:val="20"/>
        </w:rPr>
        <w:t>Weatherburn</w:t>
      </w:r>
      <w:proofErr w:type="spellEnd"/>
      <w:r w:rsidRPr="00715CB3">
        <w:rPr>
          <w:sz w:val="20"/>
        </w:rPr>
        <w:t xml:space="preserve">, D. 2006, ‘Indigenous over-representation in prison: The role of offender characteristics’, </w:t>
      </w:r>
      <w:r w:rsidRPr="00715CB3">
        <w:rPr>
          <w:i/>
          <w:iCs/>
          <w:sz w:val="20"/>
        </w:rPr>
        <w:t>Crime and Justice Bulletin: Contemporary Issues in Crime and Justice</w:t>
      </w:r>
      <w:r w:rsidRPr="00715CB3">
        <w:rPr>
          <w:sz w:val="20"/>
        </w:rPr>
        <w:t>, vol. 99, NSW Bureau of Crime Statistics and Research.</w:t>
      </w:r>
    </w:p>
    <w:p w14:paraId="7C276C60" w14:textId="77777777" w:rsidR="008422E6" w:rsidRPr="00715CB3" w:rsidRDefault="008422E6" w:rsidP="008422E6">
      <w:pPr>
        <w:pStyle w:val="Reference"/>
        <w:rPr>
          <w:sz w:val="20"/>
        </w:rPr>
      </w:pPr>
      <w:r w:rsidRPr="00715CB3">
        <w:rPr>
          <w:sz w:val="20"/>
        </w:rPr>
        <w:t xml:space="preserve">Standing Committee on Social Issues 2008, </w:t>
      </w:r>
      <w:r w:rsidRPr="00715CB3">
        <w:rPr>
          <w:i/>
          <w:iCs/>
          <w:sz w:val="20"/>
        </w:rPr>
        <w:t>Overcoming Indigenous Disadvantage in New South Wales</w:t>
      </w:r>
      <w:r w:rsidRPr="00715CB3">
        <w:rPr>
          <w:sz w:val="20"/>
        </w:rPr>
        <w:t>, Legislative Council, Parliament of NSW, Sydney.</w:t>
      </w:r>
    </w:p>
    <w:p w14:paraId="0F759F15" w14:textId="77777777" w:rsidR="008422E6" w:rsidRPr="00715CB3" w:rsidRDefault="008422E6" w:rsidP="008422E6">
      <w:pPr>
        <w:pStyle w:val="Reference"/>
        <w:rPr>
          <w:sz w:val="20"/>
        </w:rPr>
      </w:pPr>
      <w:proofErr w:type="spellStart"/>
      <w:r w:rsidRPr="00715CB3">
        <w:rPr>
          <w:sz w:val="20"/>
        </w:rPr>
        <w:t>Wundersitz</w:t>
      </w:r>
      <w:proofErr w:type="spellEnd"/>
      <w:r w:rsidRPr="00715CB3">
        <w:rPr>
          <w:sz w:val="20"/>
        </w:rPr>
        <w:t xml:space="preserve">, J. 2010, </w:t>
      </w:r>
      <w:r w:rsidRPr="00715CB3">
        <w:rPr>
          <w:i/>
          <w:iCs/>
          <w:sz w:val="20"/>
        </w:rPr>
        <w:t>Indigenous Perpetrators of Violence: Prevalence and Risk Factors for Offending</w:t>
      </w:r>
      <w:r w:rsidRPr="00715CB3">
        <w:rPr>
          <w:sz w:val="20"/>
        </w:rPr>
        <w:t>, Research and Public Policy Series No. 105, Australian Institute of Criminology.</w:t>
      </w:r>
    </w:p>
    <w:p w14:paraId="2E649404" w14:textId="1A894FD9" w:rsidR="008422E6" w:rsidRDefault="008422E6">
      <w:pPr>
        <w:rPr>
          <w:szCs w:val="20"/>
        </w:rPr>
      </w:pPr>
      <w:r>
        <w:br w:type="page"/>
      </w:r>
    </w:p>
    <w:p w14:paraId="5908EF93" w14:textId="77777777" w:rsidR="008422E6" w:rsidRPr="007B3F31" w:rsidRDefault="008422E6" w:rsidP="008422E6">
      <w:pPr>
        <w:pStyle w:val="Heading2"/>
      </w:pPr>
      <w:r>
        <w:lastRenderedPageBreak/>
        <w:t>11.5</w:t>
      </w:r>
      <w:r>
        <w:tab/>
        <w:t>Community functioning</w:t>
      </w:r>
      <w:r w:rsidRPr="0034535B">
        <w:rPr>
          <w:rStyle w:val="FootnoteReference"/>
          <w:rFonts w:ascii="Arial" w:hAnsi="Arial" w:cs="Arial"/>
        </w:rPr>
        <w:footnoteReference w:id="16"/>
      </w:r>
    </w:p>
    <w:p w14:paraId="46DBBCC8"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7803FF16" w14:textId="77777777" w:rsidTr="00F53DE9">
        <w:trPr>
          <w:tblHeader/>
        </w:trPr>
        <w:tc>
          <w:tcPr>
            <w:tcW w:w="5000" w:type="pct"/>
            <w:tcBorders>
              <w:top w:val="single" w:sz="6" w:space="0" w:color="78A22F"/>
              <w:left w:val="nil"/>
              <w:bottom w:val="nil"/>
              <w:right w:val="nil"/>
            </w:tcBorders>
            <w:shd w:val="clear" w:color="auto" w:fill="F2F2F2"/>
          </w:tcPr>
          <w:p w14:paraId="76E63173" w14:textId="2AD756F9" w:rsidR="008422E6" w:rsidRDefault="008422E6" w:rsidP="00F53DE9">
            <w:pPr>
              <w:pStyle w:val="BoxTitle"/>
            </w:pPr>
            <w:r>
              <w:rPr>
                <w:b w:val="0"/>
              </w:rPr>
              <w:t>Box 11.5.</w:t>
            </w:r>
            <w:r>
              <w:rPr>
                <w:b w:val="0"/>
                <w:noProof/>
              </w:rPr>
              <w:t>1</w:t>
            </w:r>
            <w:r>
              <w:tab/>
              <w:t>Key messages</w:t>
            </w:r>
          </w:p>
        </w:tc>
      </w:tr>
      <w:tr w:rsidR="008422E6" w14:paraId="7A7D414B" w14:textId="77777777" w:rsidTr="00F53DE9">
        <w:tc>
          <w:tcPr>
            <w:tcW w:w="5000" w:type="pct"/>
            <w:tcBorders>
              <w:top w:val="nil"/>
              <w:left w:val="nil"/>
              <w:bottom w:val="nil"/>
              <w:right w:val="nil"/>
            </w:tcBorders>
            <w:shd w:val="clear" w:color="auto" w:fill="F2F2F2"/>
          </w:tcPr>
          <w:p w14:paraId="4C5DE800" w14:textId="77777777" w:rsidR="008422E6" w:rsidRDefault="008422E6" w:rsidP="00F53DE9">
            <w:pPr>
              <w:pStyle w:val="BoxListBullet"/>
            </w:pPr>
            <w:r>
              <w:t>Community functioning is defined in the Aboriginal and Torres Strait Islander Health Performance Framework (</w:t>
            </w:r>
            <w:proofErr w:type="spellStart"/>
            <w:r>
              <w:t>ATSIHPF</w:t>
            </w:r>
            <w:proofErr w:type="spellEnd"/>
            <w:r>
              <w:t xml:space="preserve">) as the ability and freedom of community members and communities to determine the context of their lives and to translate their capabilities into positive actions towards a valued life. </w:t>
            </w:r>
          </w:p>
          <w:p w14:paraId="499A2F53" w14:textId="77777777" w:rsidR="008422E6" w:rsidRDefault="008422E6" w:rsidP="00F53DE9">
            <w:pPr>
              <w:pStyle w:val="BoxListBullet"/>
            </w:pPr>
            <w:r>
              <w:t>Research shows that community functioning is strongly associated with individual wellbeing and that individuals with high levels of connectedness, resilience and safety were more likely to be satisfied with their life, and to be generally happier.</w:t>
            </w:r>
          </w:p>
          <w:p w14:paraId="3B166F80" w14:textId="77777777" w:rsidR="008422E6" w:rsidRDefault="008422E6" w:rsidP="00F53DE9">
            <w:pPr>
              <w:pStyle w:val="BoxListBullet"/>
            </w:pPr>
            <w:r>
              <w:t>Themes important to community functioning are: connectedness to Country, lands and history, culture and identity; resilience; leadership; having a role, structure and routine; feeling safe; and vitality. Whilst there is no overall measure of community functioning, considering outcomes across the six themes builds an overall picture.</w:t>
            </w:r>
          </w:p>
          <w:p w14:paraId="66C04E00" w14:textId="77777777" w:rsidR="008422E6" w:rsidRDefault="008422E6" w:rsidP="00F53DE9">
            <w:pPr>
              <w:pStyle w:val="BoxListBullet"/>
            </w:pPr>
            <w:r>
              <w:t xml:space="preserve">Aboriginal and Torres Strait Islander people’s understandings of community and community functioning may differ from Western or policy-centred understandings which are </w:t>
            </w:r>
            <w:r w:rsidRPr="00D209DF">
              <w:t>confined to a geographic area</w:t>
            </w:r>
            <w:r>
              <w:t>. Rather, their understandings of ‘community’ may</w:t>
            </w:r>
            <w:r w:rsidRPr="00D209DF">
              <w:t xml:space="preserve"> be defined in terms of the metaphysical, geophysical or biophysical, and across generations</w:t>
            </w:r>
            <w:r>
              <w:t>.</w:t>
            </w:r>
          </w:p>
        </w:tc>
      </w:tr>
      <w:tr w:rsidR="008422E6" w14:paraId="30F03848" w14:textId="77777777" w:rsidTr="00F53DE9">
        <w:tc>
          <w:tcPr>
            <w:tcW w:w="5000" w:type="pct"/>
            <w:tcBorders>
              <w:top w:val="nil"/>
              <w:left w:val="nil"/>
              <w:bottom w:val="single" w:sz="6" w:space="0" w:color="78A22F"/>
              <w:right w:val="nil"/>
            </w:tcBorders>
            <w:shd w:val="clear" w:color="auto" w:fill="F2F2F2"/>
          </w:tcPr>
          <w:p w14:paraId="323EDEA5" w14:textId="77777777" w:rsidR="008422E6" w:rsidRDefault="008422E6" w:rsidP="00F53DE9">
            <w:pPr>
              <w:pStyle w:val="Box"/>
              <w:spacing w:before="0" w:line="120" w:lineRule="exact"/>
            </w:pPr>
          </w:p>
        </w:tc>
      </w:tr>
      <w:tr w:rsidR="008422E6" w:rsidRPr="000863A5" w14:paraId="03D24D19" w14:textId="77777777" w:rsidTr="00F53DE9">
        <w:tc>
          <w:tcPr>
            <w:tcW w:w="5000" w:type="pct"/>
            <w:tcBorders>
              <w:top w:val="single" w:sz="6" w:space="0" w:color="78A22F"/>
              <w:left w:val="nil"/>
              <w:bottom w:val="nil"/>
              <w:right w:val="nil"/>
            </w:tcBorders>
          </w:tcPr>
          <w:p w14:paraId="0AAC01EB" w14:textId="77777777" w:rsidR="008422E6" w:rsidRPr="00626D32" w:rsidRDefault="008422E6" w:rsidP="00F53DE9">
            <w:pPr>
              <w:pStyle w:val="BoxSpaceBelow"/>
            </w:pPr>
          </w:p>
        </w:tc>
      </w:tr>
    </w:tbl>
    <w:p w14:paraId="35E45874" w14:textId="77777777" w:rsidR="008422E6" w:rsidRDefault="008422E6" w:rsidP="008422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22E6" w14:paraId="7C231907" w14:textId="77777777" w:rsidTr="00F53DE9">
        <w:trPr>
          <w:tblHeader/>
        </w:trPr>
        <w:tc>
          <w:tcPr>
            <w:tcW w:w="5000" w:type="pct"/>
            <w:tcBorders>
              <w:top w:val="single" w:sz="6" w:space="0" w:color="78A22F"/>
              <w:left w:val="nil"/>
              <w:bottom w:val="nil"/>
              <w:right w:val="nil"/>
            </w:tcBorders>
            <w:shd w:val="clear" w:color="auto" w:fill="F2F2F2"/>
          </w:tcPr>
          <w:p w14:paraId="14221F9A" w14:textId="536043FB" w:rsidR="008422E6" w:rsidRDefault="008422E6" w:rsidP="00F53DE9">
            <w:pPr>
              <w:pStyle w:val="BoxTitle"/>
            </w:pPr>
            <w:r>
              <w:rPr>
                <w:b w:val="0"/>
              </w:rPr>
              <w:t>Box 11.5.</w:t>
            </w:r>
            <w:r>
              <w:rPr>
                <w:b w:val="0"/>
                <w:noProof/>
              </w:rPr>
              <w:t>2</w:t>
            </w:r>
            <w:r>
              <w:tab/>
              <w:t>Measures of community functioning</w:t>
            </w:r>
          </w:p>
        </w:tc>
      </w:tr>
      <w:tr w:rsidR="008422E6" w14:paraId="300D31F3" w14:textId="77777777" w:rsidTr="00F53DE9">
        <w:tc>
          <w:tcPr>
            <w:tcW w:w="5000" w:type="pct"/>
            <w:tcBorders>
              <w:top w:val="nil"/>
              <w:left w:val="nil"/>
              <w:bottom w:val="nil"/>
              <w:right w:val="nil"/>
            </w:tcBorders>
            <w:shd w:val="clear" w:color="auto" w:fill="F2F2F2"/>
          </w:tcPr>
          <w:p w14:paraId="698429AF" w14:textId="77777777" w:rsidR="008422E6" w:rsidRDefault="008422E6" w:rsidP="00F53DE9">
            <w:pPr>
              <w:pStyle w:val="Box"/>
            </w:pPr>
            <w:r>
              <w:t>There is no main measure for this indicator. Community functioning is a complex concept and includes analysis of a range of factors. Descriptors and findings are reported for:</w:t>
            </w:r>
          </w:p>
          <w:p w14:paraId="0E40206E" w14:textId="77777777" w:rsidR="008422E6" w:rsidRDefault="008422E6" w:rsidP="00F53DE9">
            <w:pPr>
              <w:pStyle w:val="BoxListBullet"/>
            </w:pPr>
            <w:r>
              <w:t>the six themes of community functioning</w:t>
            </w:r>
          </w:p>
          <w:p w14:paraId="4D28C71F" w14:textId="77777777" w:rsidR="008422E6" w:rsidRDefault="008422E6" w:rsidP="00F53DE9">
            <w:pPr>
              <w:pStyle w:val="BoxListBullet"/>
            </w:pPr>
            <w:r>
              <w:t xml:space="preserve">selected variables contributing to each community functioning theme. </w:t>
            </w:r>
          </w:p>
          <w:p w14:paraId="306BBBB7" w14:textId="77777777" w:rsidR="008422E6" w:rsidRDefault="008422E6" w:rsidP="00F53DE9">
            <w:pPr>
              <w:pStyle w:val="Box"/>
            </w:pPr>
            <w:r>
              <w:t>Themes and findings are drawn from the work undertaken for the Australian Health Ministers’ Advisory Council Aboriginal and Torres Strait Islander Health Performance Framework (</w:t>
            </w:r>
            <w:proofErr w:type="spellStart"/>
            <w:r>
              <w:t>ATSIHPF</w:t>
            </w:r>
            <w:proofErr w:type="spellEnd"/>
            <w:r>
              <w:t>). There are no new data available for this report. The most recent available data are from the ABS National Aboriginal and Torres Strait Islander Social Survey (NATSISS) for 2014</w:t>
            </w:r>
            <w:r>
              <w:noBreakHyphen/>
              <w:t>15 (national; remoteness).</w:t>
            </w:r>
          </w:p>
        </w:tc>
      </w:tr>
      <w:tr w:rsidR="008422E6" w14:paraId="505E572D" w14:textId="77777777" w:rsidTr="00F53DE9">
        <w:tc>
          <w:tcPr>
            <w:tcW w:w="5000" w:type="pct"/>
            <w:tcBorders>
              <w:top w:val="nil"/>
              <w:left w:val="nil"/>
              <w:bottom w:val="single" w:sz="6" w:space="0" w:color="78A22F"/>
              <w:right w:val="nil"/>
            </w:tcBorders>
            <w:shd w:val="clear" w:color="auto" w:fill="F2F2F2"/>
          </w:tcPr>
          <w:p w14:paraId="05420249" w14:textId="77777777" w:rsidR="008422E6" w:rsidRDefault="008422E6" w:rsidP="00F53DE9">
            <w:pPr>
              <w:pStyle w:val="Box"/>
              <w:spacing w:before="0" w:line="120" w:lineRule="exact"/>
            </w:pPr>
          </w:p>
        </w:tc>
      </w:tr>
      <w:tr w:rsidR="008422E6" w:rsidRPr="000863A5" w14:paraId="048AF90B" w14:textId="77777777" w:rsidTr="00F53DE9">
        <w:tc>
          <w:tcPr>
            <w:tcW w:w="5000" w:type="pct"/>
            <w:tcBorders>
              <w:top w:val="single" w:sz="6" w:space="0" w:color="78A22F"/>
              <w:left w:val="nil"/>
              <w:bottom w:val="nil"/>
              <w:right w:val="nil"/>
            </w:tcBorders>
          </w:tcPr>
          <w:p w14:paraId="4E433D14" w14:textId="77777777" w:rsidR="008422E6" w:rsidRPr="00626D32" w:rsidRDefault="008422E6" w:rsidP="00F53DE9">
            <w:pPr>
              <w:pStyle w:val="BoxSpaceBelow"/>
            </w:pPr>
          </w:p>
        </w:tc>
      </w:tr>
    </w:tbl>
    <w:p w14:paraId="6280C721" w14:textId="280095B7" w:rsidR="008422E6" w:rsidRDefault="008422E6" w:rsidP="008422E6">
      <w:pPr>
        <w:pStyle w:val="BodyText"/>
      </w:pPr>
      <w:r>
        <w:t>Community functioning, in the Aboriginal and Torres Strait Islander Health Performance Framework (</w:t>
      </w:r>
      <w:proofErr w:type="spellStart"/>
      <w:r>
        <w:t>ATSIHPF</w:t>
      </w:r>
      <w:proofErr w:type="spellEnd"/>
      <w:r>
        <w:t xml:space="preserve">), is defined as ‘the ability and freedom of community members and communities to determine the context of their lives and to translate capability into action’ </w:t>
      </w:r>
      <w:r w:rsidRPr="008B5358">
        <w:rPr>
          <w:szCs w:val="24"/>
        </w:rPr>
        <w:t>(</w:t>
      </w:r>
      <w:proofErr w:type="spellStart"/>
      <w:r w:rsidRPr="008B5358">
        <w:rPr>
          <w:szCs w:val="24"/>
        </w:rPr>
        <w:t>AHMAC</w:t>
      </w:r>
      <w:proofErr w:type="spellEnd"/>
      <w:r w:rsidRPr="008B5358">
        <w:rPr>
          <w:szCs w:val="24"/>
        </w:rPr>
        <w:t> 2017)</w:t>
      </w:r>
      <w:r>
        <w:t xml:space="preserve">. The conversion of capabilities into functioning is influenced by the values, and personal characteristics of individuals, along with families and communities, and the environments in which they live. Different cultures will give greater or lesser priority to different aspects of functioning, and Aboriginal and Torres Strait Islander people’s understandings of community, and community functioning may differ from Western </w:t>
      </w:r>
      <w:r>
        <w:lastRenderedPageBreak/>
        <w:t xml:space="preserve">understandings which are service or policy-oriented </w:t>
      </w:r>
      <w:r w:rsidRPr="009244F8">
        <w:rPr>
          <w:szCs w:val="24"/>
        </w:rPr>
        <w:t>(Taylor et al. 2011)</w:t>
      </w:r>
      <w:r>
        <w:t xml:space="preserve">. For example, Aboriginal and Torres Strait Islander people’s understandings of community may not be place-based or confined to a geographic area but, instead, be defined in terms of the metaphysical, geophysical or biophysical, and across generations; identities that are made up of the land-sea-spirit, cultures, and people </w:t>
      </w:r>
      <w:r w:rsidRPr="008B5358">
        <w:rPr>
          <w:szCs w:val="24"/>
        </w:rPr>
        <w:t>(Taylor et al. 2011)</w:t>
      </w:r>
      <w:r>
        <w:t>.</w:t>
      </w:r>
    </w:p>
    <w:p w14:paraId="0164164F" w14:textId="77777777" w:rsidR="008422E6" w:rsidRDefault="008422E6" w:rsidP="008422E6">
      <w:pPr>
        <w:pStyle w:val="BodyText"/>
      </w:pPr>
      <w:r>
        <w:t xml:space="preserve">Workshops led by Aboriginal facilitators, on behalf of the work program for the </w:t>
      </w:r>
      <w:proofErr w:type="spellStart"/>
      <w:r>
        <w:t>ATSIHPF</w:t>
      </w:r>
      <w:proofErr w:type="spellEnd"/>
      <w:r>
        <w:t xml:space="preserve"> report, developed the concept of community functioning with Aboriginal and Torres Strait Islander people in 2008 and 2010. Participants identified a number of key themes and weighted these according to their relative value (table 11.5.1). The multiple constructs, in combination, build an overall picture of community functioning for Aboriginal and Torres Strait Islander people. The information presented here aligns with that in the </w:t>
      </w:r>
      <w:proofErr w:type="spellStart"/>
      <w:r>
        <w:t>ATSIHPF</w:t>
      </w:r>
      <w:proofErr w:type="spellEnd"/>
      <w:r>
        <w:t xml:space="preserve"> report.</w:t>
      </w:r>
    </w:p>
    <w:p w14:paraId="77B87597" w14:textId="7B9A047B" w:rsidR="008422E6" w:rsidRDefault="008422E6" w:rsidP="008422E6">
      <w:pPr>
        <w:pStyle w:val="BodyText"/>
      </w:pPr>
      <w:r>
        <w:t xml:space="preserve">Research shows that community functioning is strongly associated with individual wellbeing, and that individuals with high levels of connectedness, resilience and safety were more likely to be satisfied with their life, and to be generally happier </w:t>
      </w:r>
      <w:r w:rsidRPr="007805B3">
        <w:rPr>
          <w:szCs w:val="24"/>
        </w:rPr>
        <w:t>(Biddle 2017)</w:t>
      </w:r>
      <w:r>
        <w:t>.</w:t>
      </w:r>
    </w:p>
    <w:p w14:paraId="7A841817" w14:textId="77777777" w:rsidR="008422E6" w:rsidRDefault="008422E6" w:rsidP="008422E6">
      <w:pPr>
        <w:pStyle w:val="Heading3"/>
      </w:pPr>
      <w:r>
        <w:t>Findings for community functioning themes</w:t>
      </w:r>
    </w:p>
    <w:p w14:paraId="389D27DC" w14:textId="77777777" w:rsidR="008422E6" w:rsidRDefault="008422E6" w:rsidP="008422E6">
      <w:pPr>
        <w:pStyle w:val="BodyText"/>
      </w:pPr>
      <w:r>
        <w:t>A summary of key findings using data from the 2014-15 NATSISS, which is an individual</w:t>
      </w:r>
      <w:r>
        <w:noBreakHyphen/>
        <w:t xml:space="preserve">level survey, is outlined for each community functioning theme. Further survey results of selected variables contributing to community functioning themes are available in </w:t>
      </w:r>
      <w:r>
        <w:br/>
        <w:t xml:space="preserve">table </w:t>
      </w:r>
      <w:proofErr w:type="spellStart"/>
      <w:r>
        <w:t>11A.5.1</w:t>
      </w:r>
      <w:proofErr w:type="spellEnd"/>
      <w:r>
        <w:t xml:space="preserve">, with 2002 and 2008 data reported where comparable. Data by remoteness areas are in tables </w:t>
      </w:r>
      <w:proofErr w:type="spellStart"/>
      <w:r>
        <w:t>11A.5.2</w:t>
      </w:r>
      <w:proofErr w:type="spellEnd"/>
      <w:r>
        <w:t xml:space="preserve">–4 for 2014-15 and tables </w:t>
      </w:r>
      <w:proofErr w:type="spellStart"/>
      <w:r>
        <w:t>11A.5.5</w:t>
      </w:r>
      <w:proofErr w:type="spellEnd"/>
      <w:r>
        <w:t>-6 for 2008.</w:t>
      </w:r>
    </w:p>
    <w:p w14:paraId="000F065B" w14:textId="77777777" w:rsidR="008422E6" w:rsidRDefault="008422E6" w:rsidP="008422E6">
      <w:pPr>
        <w:pStyle w:val="Heading4"/>
      </w:pPr>
      <w:r>
        <w:t>Connectedness to Country, lands and history, culture and identity</w:t>
      </w:r>
    </w:p>
    <w:p w14:paraId="5B7385F5" w14:textId="77777777" w:rsidR="008422E6" w:rsidRDefault="008422E6" w:rsidP="008422E6">
      <w:pPr>
        <w:pStyle w:val="BodyText"/>
        <w:keepNext/>
      </w:pPr>
      <w:r>
        <w:t>Nationally, in 2014-15, for Aboriginal and Torres Strait Islander people:</w:t>
      </w:r>
    </w:p>
    <w:p w14:paraId="79E6EAFB" w14:textId="77777777" w:rsidR="008422E6" w:rsidRDefault="008422E6" w:rsidP="008422E6">
      <w:pPr>
        <w:pStyle w:val="ListBullet"/>
      </w:pPr>
      <w:r>
        <w:t>74 per cent recognised their traditional lands, similar to 72 per cent in 2008. A higher proportion of Aboriginal and Torres Strait Islander people in remote (84 per cent) and very remote (91 per cent) areas recognised their traditional lands compared with those in major cities (67 per cent)</w:t>
      </w:r>
    </w:p>
    <w:p w14:paraId="2AD1AB00" w14:textId="77777777" w:rsidR="008422E6" w:rsidRDefault="008422E6" w:rsidP="008422E6">
      <w:pPr>
        <w:pStyle w:val="ListBullet"/>
      </w:pPr>
      <w:r>
        <w:t xml:space="preserve">62 per cent identified with a clan or language group, similar to in 2008 </w:t>
      </w:r>
    </w:p>
    <w:p w14:paraId="4899F6BE" w14:textId="77777777" w:rsidR="008422E6" w:rsidRDefault="008422E6" w:rsidP="008422E6">
      <w:pPr>
        <w:pStyle w:val="ListBullet"/>
      </w:pPr>
      <w:r>
        <w:t>95 per cent had contact with family or friends outside the household at least once per week (similar to 2008) and 82 per cent had friends to confide in</w:t>
      </w:r>
    </w:p>
    <w:p w14:paraId="559BA566" w14:textId="77777777" w:rsidR="008422E6" w:rsidRDefault="008422E6" w:rsidP="008422E6">
      <w:pPr>
        <w:pStyle w:val="ListBullet"/>
        <w:keepLines/>
      </w:pPr>
      <w:r>
        <w:t>90 per cent felt able to have a say with family and friends, some or more of the time. The proportion of Aboriginal and Torres Strait Islander people who felt able to have a say ranged from 91 per cent in major cities to 84 per cent in very remote areas (tables </w:t>
      </w:r>
      <w:proofErr w:type="spellStart"/>
      <w:r>
        <w:t>11A.5.1</w:t>
      </w:r>
      <w:proofErr w:type="spellEnd"/>
      <w:r>
        <w:t>–2).</w:t>
      </w:r>
    </w:p>
    <w:p w14:paraId="4F2513BE" w14:textId="77777777" w:rsidR="008422E6" w:rsidRDefault="008422E6" w:rsidP="008422E6">
      <w:pPr>
        <w:pStyle w:val="BodyText"/>
      </w:pPr>
      <w:r>
        <w:lastRenderedPageBreak/>
        <w:t xml:space="preserve">Refer to sections 5.1 </w:t>
      </w:r>
      <w:r w:rsidRPr="00F02B5C">
        <w:rPr>
          <w:i/>
        </w:rPr>
        <w:t>Valuing</w:t>
      </w:r>
      <w:r>
        <w:t xml:space="preserve"> </w:t>
      </w:r>
      <w:r>
        <w:rPr>
          <w:i/>
        </w:rPr>
        <w:t>Aboriginal and Torres Strait Islander people</w:t>
      </w:r>
      <w:r w:rsidRPr="00156A6E">
        <w:rPr>
          <w:i/>
        </w:rPr>
        <w:t xml:space="preserve"> and their cultures</w:t>
      </w:r>
      <w:r>
        <w:t xml:space="preserve">, 5.7 </w:t>
      </w:r>
      <w:r w:rsidRPr="00156A6E">
        <w:rPr>
          <w:i/>
        </w:rPr>
        <w:t>Participation in community activities</w:t>
      </w:r>
      <w:r>
        <w:t xml:space="preserve"> and 5.8 </w:t>
      </w:r>
      <w:r w:rsidRPr="0022773E">
        <w:rPr>
          <w:i/>
        </w:rPr>
        <w:t>Access to</w:t>
      </w:r>
      <w:r w:rsidRPr="00156A6E">
        <w:rPr>
          <w:i/>
        </w:rPr>
        <w:t xml:space="preserve"> traditional lands and waters</w:t>
      </w:r>
      <w:r>
        <w:t xml:space="preserve"> for further information.</w:t>
      </w:r>
    </w:p>
    <w:p w14:paraId="5C734A1F" w14:textId="77777777" w:rsidR="008422E6" w:rsidRDefault="008422E6" w:rsidP="008422E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422E6" w14:paraId="7497E6AA" w14:textId="77777777" w:rsidTr="00F53DE9">
        <w:trPr>
          <w:tblHeader/>
        </w:trPr>
        <w:tc>
          <w:tcPr>
            <w:tcW w:w="5000" w:type="pct"/>
            <w:tcBorders>
              <w:top w:val="single" w:sz="6" w:space="0" w:color="78A22F"/>
              <w:left w:val="nil"/>
              <w:bottom w:val="nil"/>
              <w:right w:val="nil"/>
            </w:tcBorders>
            <w:shd w:val="clear" w:color="auto" w:fill="auto"/>
          </w:tcPr>
          <w:p w14:paraId="4DEF68E5" w14:textId="05714B0D" w:rsidR="008422E6" w:rsidRPr="00784A05" w:rsidRDefault="008422E6" w:rsidP="00F53DE9">
            <w:pPr>
              <w:pStyle w:val="TableTitle"/>
            </w:pPr>
            <w:r>
              <w:rPr>
                <w:b w:val="0"/>
              </w:rPr>
              <w:t>Table 11.5.</w:t>
            </w:r>
            <w:r>
              <w:rPr>
                <w:b w:val="0"/>
                <w:noProof/>
              </w:rPr>
              <w:t>1</w:t>
            </w:r>
            <w:r>
              <w:tab/>
              <w:t>Themes contributing to community functioning</w:t>
            </w:r>
          </w:p>
        </w:tc>
      </w:tr>
      <w:tr w:rsidR="008422E6" w14:paraId="544F8E86" w14:textId="77777777" w:rsidTr="00F53DE9">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2835"/>
              <w:gridCol w:w="5670"/>
            </w:tblGrid>
            <w:tr w:rsidR="008422E6" w:rsidRPr="002D4D75" w14:paraId="626E692C" w14:textId="77777777" w:rsidTr="00F53DE9">
              <w:trPr>
                <w:tblHeader/>
              </w:trPr>
              <w:tc>
                <w:tcPr>
                  <w:tcW w:w="2835" w:type="dxa"/>
                  <w:tcBorders>
                    <w:top w:val="single" w:sz="6" w:space="0" w:color="BFBFBF"/>
                    <w:bottom w:val="single" w:sz="6" w:space="0" w:color="BFBFBF"/>
                  </w:tcBorders>
                  <w:shd w:val="clear" w:color="auto" w:fill="auto"/>
                  <w:tcMar>
                    <w:top w:w="28" w:type="dxa"/>
                  </w:tcMar>
                </w:tcPr>
                <w:p w14:paraId="027900EC" w14:textId="77777777" w:rsidR="008422E6" w:rsidRPr="002D4D75" w:rsidRDefault="008422E6" w:rsidP="00F53DE9">
                  <w:pPr>
                    <w:pStyle w:val="TableColumnHeading"/>
                    <w:jc w:val="left"/>
                    <w:rPr>
                      <w:b/>
                    </w:rPr>
                  </w:pPr>
                  <w:r w:rsidRPr="002D4D75">
                    <w:rPr>
                      <w:b/>
                    </w:rPr>
                    <w:t>Measure of functioning/</w:t>
                  </w:r>
                  <w:r>
                    <w:rPr>
                      <w:b/>
                    </w:rPr>
                    <w:br/>
                  </w:r>
                  <w:r w:rsidRPr="002D4D75">
                    <w:rPr>
                      <w:b/>
                    </w:rPr>
                    <w:t>Weight (per cent)</w:t>
                  </w:r>
                </w:p>
              </w:tc>
              <w:tc>
                <w:tcPr>
                  <w:tcW w:w="5670" w:type="dxa"/>
                  <w:tcBorders>
                    <w:top w:val="single" w:sz="6" w:space="0" w:color="BFBFBF"/>
                    <w:bottom w:val="single" w:sz="6" w:space="0" w:color="BFBFBF"/>
                  </w:tcBorders>
                </w:tcPr>
                <w:p w14:paraId="77250644" w14:textId="77777777" w:rsidR="008422E6" w:rsidRPr="002D4D75" w:rsidRDefault="008422E6" w:rsidP="00F53DE9">
                  <w:pPr>
                    <w:pStyle w:val="TableColumnHeading"/>
                    <w:jc w:val="left"/>
                    <w:rPr>
                      <w:b/>
                    </w:rPr>
                  </w:pPr>
                  <w:r>
                    <w:rPr>
                      <w:b/>
                    </w:rPr>
                    <w:br/>
                  </w:r>
                  <w:r w:rsidRPr="002D4D75">
                    <w:rPr>
                      <w:b/>
                    </w:rPr>
                    <w:t>Descriptor</w:t>
                  </w:r>
                </w:p>
              </w:tc>
            </w:tr>
            <w:tr w:rsidR="008422E6" w14:paraId="5BEE98AD" w14:textId="77777777" w:rsidTr="00F53DE9">
              <w:tc>
                <w:tcPr>
                  <w:tcW w:w="2835" w:type="dxa"/>
                  <w:tcBorders>
                    <w:top w:val="single" w:sz="6" w:space="0" w:color="BFBFBF"/>
                  </w:tcBorders>
                </w:tcPr>
                <w:p w14:paraId="40C5A150" w14:textId="77777777" w:rsidR="008422E6" w:rsidRDefault="008422E6" w:rsidP="00F53DE9">
                  <w:pPr>
                    <w:pStyle w:val="TableUnitsRow"/>
                    <w:jc w:val="left"/>
                  </w:pPr>
                  <w:r w:rsidRPr="000A376C">
                    <w:rPr>
                      <w:b/>
                    </w:rPr>
                    <w:t>Connectedness to country, land and history, culture and identity</w:t>
                  </w:r>
                  <w:r w:rsidRPr="002C3DC1">
                    <w:t xml:space="preserve"> (25 per cent)</w:t>
                  </w:r>
                </w:p>
              </w:tc>
              <w:tc>
                <w:tcPr>
                  <w:tcW w:w="5670" w:type="dxa"/>
                  <w:tcBorders>
                    <w:top w:val="single" w:sz="6" w:space="0" w:color="BFBFBF"/>
                  </w:tcBorders>
                </w:tcPr>
                <w:p w14:paraId="78CA5C37" w14:textId="77777777" w:rsidR="008422E6" w:rsidRPr="00FB3D3F" w:rsidRDefault="008422E6" w:rsidP="008422E6">
                  <w:pPr>
                    <w:pStyle w:val="TableBullet"/>
                    <w:numPr>
                      <w:ilvl w:val="0"/>
                      <w:numId w:val="22"/>
                    </w:numPr>
                    <w:ind w:left="139" w:hanging="139"/>
                  </w:pPr>
                  <w:r w:rsidRPr="00FB3D3F">
                    <w:t>Being connected to country, land, family and spirit</w:t>
                  </w:r>
                </w:p>
                <w:p w14:paraId="0640A83D" w14:textId="77777777" w:rsidR="008422E6" w:rsidRPr="00FB3D3F" w:rsidRDefault="008422E6" w:rsidP="008422E6">
                  <w:pPr>
                    <w:pStyle w:val="TableBullet"/>
                    <w:numPr>
                      <w:ilvl w:val="0"/>
                      <w:numId w:val="22"/>
                    </w:numPr>
                    <w:ind w:left="139" w:hanging="139"/>
                  </w:pPr>
                  <w:r w:rsidRPr="00FB3D3F">
                    <w:t>Strong and positive social networks with Aboriginal and Torres Strait Islander Australians</w:t>
                  </w:r>
                </w:p>
                <w:p w14:paraId="7982E22E" w14:textId="77777777" w:rsidR="008422E6" w:rsidRPr="00FB3D3F" w:rsidRDefault="008422E6" w:rsidP="008422E6">
                  <w:pPr>
                    <w:pStyle w:val="TableBullet"/>
                    <w:numPr>
                      <w:ilvl w:val="0"/>
                      <w:numId w:val="22"/>
                    </w:numPr>
                    <w:ind w:left="139" w:hanging="139"/>
                  </w:pPr>
                  <w:r w:rsidRPr="00FB3D3F">
                    <w:t>Strong sense of identity and being part of a collective (knowing where you are from, who is your family)</w:t>
                  </w:r>
                </w:p>
                <w:p w14:paraId="2D2BFD7E" w14:textId="77777777" w:rsidR="008422E6" w:rsidRPr="00FB3D3F" w:rsidRDefault="008422E6" w:rsidP="008422E6">
                  <w:pPr>
                    <w:pStyle w:val="TableBullet"/>
                    <w:numPr>
                      <w:ilvl w:val="0"/>
                      <w:numId w:val="22"/>
                    </w:numPr>
                    <w:ind w:left="139" w:hanging="139"/>
                  </w:pPr>
                  <w:r w:rsidRPr="00FB3D3F">
                    <w:t>Sharing; giving and receiving; trust; love; looking out for others</w:t>
                  </w:r>
                </w:p>
                <w:p w14:paraId="0BA88B24" w14:textId="77777777" w:rsidR="008422E6" w:rsidRPr="00FB3D3F" w:rsidRDefault="008422E6" w:rsidP="008422E6">
                  <w:pPr>
                    <w:pStyle w:val="TableBullet"/>
                    <w:numPr>
                      <w:ilvl w:val="0"/>
                      <w:numId w:val="22"/>
                    </w:numPr>
                    <w:ind w:left="139" w:hanging="139"/>
                  </w:pPr>
                  <w:r w:rsidRPr="00FB3D3F">
                    <w:t>Engaged/communicative</w:t>
                  </w:r>
                </w:p>
              </w:tc>
            </w:tr>
            <w:tr w:rsidR="008422E6" w14:paraId="4C256CED" w14:textId="77777777" w:rsidTr="00F53DE9">
              <w:tc>
                <w:tcPr>
                  <w:tcW w:w="2835" w:type="dxa"/>
                  <w:shd w:val="clear" w:color="auto" w:fill="D9D9D9" w:themeFill="background1" w:themeFillShade="D9"/>
                </w:tcPr>
                <w:p w14:paraId="6B641251" w14:textId="77777777" w:rsidR="008422E6" w:rsidRDefault="008422E6" w:rsidP="00F53DE9">
                  <w:pPr>
                    <w:pStyle w:val="TableBodyText"/>
                    <w:jc w:val="left"/>
                  </w:pPr>
                  <w:r w:rsidRPr="000A376C">
                    <w:rPr>
                      <w:b/>
                    </w:rPr>
                    <w:t>Resilience</w:t>
                  </w:r>
                  <w:r w:rsidRPr="002C3DC1">
                    <w:t xml:space="preserve"> (20 per cent)</w:t>
                  </w:r>
                </w:p>
              </w:tc>
              <w:tc>
                <w:tcPr>
                  <w:tcW w:w="5670" w:type="dxa"/>
                  <w:shd w:val="clear" w:color="auto" w:fill="D9D9D9" w:themeFill="background1" w:themeFillShade="D9"/>
                </w:tcPr>
                <w:p w14:paraId="791F95B9" w14:textId="77777777" w:rsidR="008422E6" w:rsidRPr="00FB3D3F" w:rsidRDefault="008422E6" w:rsidP="008422E6">
                  <w:pPr>
                    <w:pStyle w:val="TableBullet"/>
                    <w:numPr>
                      <w:ilvl w:val="0"/>
                      <w:numId w:val="22"/>
                    </w:numPr>
                    <w:ind w:left="139" w:hanging="139"/>
                  </w:pPr>
                  <w:r w:rsidRPr="00FB3D3F">
                    <w:t>Coping with the internal and external world</w:t>
                  </w:r>
                </w:p>
                <w:p w14:paraId="4BBFD46A" w14:textId="77777777" w:rsidR="008422E6" w:rsidRPr="00FB3D3F" w:rsidRDefault="008422E6" w:rsidP="008422E6">
                  <w:pPr>
                    <w:pStyle w:val="TableBullet"/>
                    <w:numPr>
                      <w:ilvl w:val="0"/>
                      <w:numId w:val="22"/>
                    </w:numPr>
                    <w:ind w:left="139" w:hanging="139"/>
                  </w:pPr>
                  <w:r w:rsidRPr="00FB3D3F">
                    <w:t>Power to control choices and options</w:t>
                  </w:r>
                </w:p>
                <w:p w14:paraId="1944CA3D" w14:textId="77777777" w:rsidR="008422E6" w:rsidRPr="00FB3D3F" w:rsidRDefault="008422E6" w:rsidP="008422E6">
                  <w:pPr>
                    <w:pStyle w:val="TableBullet"/>
                    <w:numPr>
                      <w:ilvl w:val="0"/>
                      <w:numId w:val="22"/>
                    </w:numPr>
                    <w:ind w:left="139" w:hanging="139"/>
                  </w:pPr>
                  <w:r w:rsidRPr="00FB3D3F">
                    <w:t>Ability to proceed in public without shame</w:t>
                  </w:r>
                </w:p>
                <w:p w14:paraId="7F0F56EE" w14:textId="77777777" w:rsidR="008422E6" w:rsidRPr="00FB3D3F" w:rsidRDefault="008422E6" w:rsidP="008422E6">
                  <w:pPr>
                    <w:pStyle w:val="TableBullet"/>
                    <w:numPr>
                      <w:ilvl w:val="0"/>
                      <w:numId w:val="22"/>
                    </w:numPr>
                    <w:ind w:left="139" w:hanging="139"/>
                  </w:pPr>
                  <w:r w:rsidRPr="00FB3D3F">
                    <w:t>Optimising what you have</w:t>
                  </w:r>
                </w:p>
                <w:p w14:paraId="0A86E153" w14:textId="77777777" w:rsidR="008422E6" w:rsidRPr="00FB3D3F" w:rsidRDefault="008422E6" w:rsidP="008422E6">
                  <w:pPr>
                    <w:pStyle w:val="TableBullet"/>
                    <w:numPr>
                      <w:ilvl w:val="0"/>
                      <w:numId w:val="22"/>
                    </w:numPr>
                    <w:ind w:left="139" w:hanging="139"/>
                  </w:pPr>
                  <w:r w:rsidRPr="00FB3D3F">
                    <w:t>Challenge injustice and racism, stand up when required</w:t>
                  </w:r>
                </w:p>
                <w:p w14:paraId="737EE02D" w14:textId="77777777" w:rsidR="008422E6" w:rsidRPr="00FB3D3F" w:rsidRDefault="008422E6" w:rsidP="008422E6">
                  <w:pPr>
                    <w:pStyle w:val="TableBullet"/>
                    <w:numPr>
                      <w:ilvl w:val="0"/>
                      <w:numId w:val="22"/>
                    </w:numPr>
                    <w:ind w:left="139" w:hanging="139"/>
                  </w:pPr>
                  <w:r w:rsidRPr="00FB3D3F">
                    <w:t>Cope well with difference, flexibility and accommodating</w:t>
                  </w:r>
                </w:p>
                <w:p w14:paraId="656B12EF" w14:textId="77777777" w:rsidR="008422E6" w:rsidRPr="00FB3D3F" w:rsidRDefault="008422E6" w:rsidP="008422E6">
                  <w:pPr>
                    <w:pStyle w:val="TableBullet"/>
                    <w:numPr>
                      <w:ilvl w:val="0"/>
                      <w:numId w:val="22"/>
                    </w:numPr>
                    <w:ind w:left="139" w:hanging="139"/>
                  </w:pPr>
                  <w:r w:rsidRPr="00FB3D3F">
                    <w:t>Ability to walk in two worlds</w:t>
                  </w:r>
                </w:p>
                <w:p w14:paraId="57C24CF0" w14:textId="77777777" w:rsidR="008422E6" w:rsidRPr="00FB3D3F" w:rsidRDefault="008422E6" w:rsidP="008422E6">
                  <w:pPr>
                    <w:pStyle w:val="TableBullet"/>
                    <w:numPr>
                      <w:ilvl w:val="0"/>
                      <w:numId w:val="22"/>
                    </w:numPr>
                    <w:ind w:left="139" w:hanging="139"/>
                  </w:pPr>
                  <w:r w:rsidRPr="00FB3D3F">
                    <w:t>Engaged in decision making</w:t>
                  </w:r>
                </w:p>
                <w:p w14:paraId="540E8587" w14:textId="77777777" w:rsidR="008422E6" w:rsidRPr="00FB3D3F" w:rsidRDefault="008422E6" w:rsidP="008422E6">
                  <w:pPr>
                    <w:pStyle w:val="TableBullet"/>
                    <w:numPr>
                      <w:ilvl w:val="0"/>
                      <w:numId w:val="22"/>
                    </w:numPr>
                    <w:ind w:left="139" w:hanging="139"/>
                  </w:pPr>
                  <w:r w:rsidRPr="00FB3D3F">
                    <w:t>External social contacts</w:t>
                  </w:r>
                </w:p>
              </w:tc>
            </w:tr>
            <w:tr w:rsidR="008422E6" w14:paraId="364A29D6" w14:textId="77777777" w:rsidTr="00F53DE9">
              <w:tc>
                <w:tcPr>
                  <w:tcW w:w="2835" w:type="dxa"/>
                  <w:shd w:val="clear" w:color="auto" w:fill="auto"/>
                </w:tcPr>
                <w:p w14:paraId="52D0949E" w14:textId="77777777" w:rsidR="008422E6" w:rsidRDefault="008422E6" w:rsidP="00F53DE9">
                  <w:pPr>
                    <w:pStyle w:val="TableBodyText"/>
                    <w:jc w:val="left"/>
                  </w:pPr>
                  <w:r w:rsidRPr="000A376C">
                    <w:rPr>
                      <w:b/>
                    </w:rPr>
                    <w:t>Leadership</w:t>
                  </w:r>
                  <w:r w:rsidRPr="002C3DC1">
                    <w:t xml:space="preserve"> (20 per cent)</w:t>
                  </w:r>
                </w:p>
              </w:tc>
              <w:tc>
                <w:tcPr>
                  <w:tcW w:w="5670" w:type="dxa"/>
                </w:tcPr>
                <w:p w14:paraId="26E2470B" w14:textId="77777777" w:rsidR="008422E6" w:rsidRPr="00FB3D3F" w:rsidRDefault="008422E6" w:rsidP="008422E6">
                  <w:pPr>
                    <w:pStyle w:val="TableBullet"/>
                    <w:numPr>
                      <w:ilvl w:val="0"/>
                      <w:numId w:val="22"/>
                    </w:numPr>
                    <w:ind w:left="139" w:hanging="139"/>
                  </w:pPr>
                  <w:r w:rsidRPr="00FB3D3F">
                    <w:t>Strong elders in family and community, both male and female</w:t>
                  </w:r>
                </w:p>
                <w:p w14:paraId="51CC3C13" w14:textId="77777777" w:rsidR="008422E6" w:rsidRPr="00FB3D3F" w:rsidRDefault="008422E6" w:rsidP="008422E6">
                  <w:pPr>
                    <w:pStyle w:val="TableBullet"/>
                    <w:numPr>
                      <w:ilvl w:val="0"/>
                      <w:numId w:val="22"/>
                    </w:numPr>
                    <w:ind w:left="139" w:hanging="139"/>
                  </w:pPr>
                  <w:r w:rsidRPr="00FB3D3F">
                    <w:t>Role models, both male and female</w:t>
                  </w:r>
                </w:p>
                <w:p w14:paraId="23297EE5" w14:textId="77777777" w:rsidR="008422E6" w:rsidRPr="00FB3D3F" w:rsidRDefault="008422E6" w:rsidP="008422E6">
                  <w:pPr>
                    <w:pStyle w:val="TableBullet"/>
                    <w:numPr>
                      <w:ilvl w:val="0"/>
                      <w:numId w:val="22"/>
                    </w:numPr>
                    <w:ind w:left="139" w:hanging="139"/>
                  </w:pPr>
                  <w:r w:rsidRPr="00FB3D3F">
                    <w:t>Strong direction, vision</w:t>
                  </w:r>
                </w:p>
                <w:p w14:paraId="09F5D071" w14:textId="77777777" w:rsidR="008422E6" w:rsidRPr="00FB3D3F" w:rsidRDefault="008422E6" w:rsidP="008422E6">
                  <w:pPr>
                    <w:pStyle w:val="TableBullet"/>
                    <w:numPr>
                      <w:ilvl w:val="0"/>
                      <w:numId w:val="22"/>
                    </w:numPr>
                    <w:ind w:left="139" w:hanging="139"/>
                  </w:pPr>
                  <w:r w:rsidRPr="00FB3D3F">
                    <w:t>The ‘rock‘, someone who has time to listen and advise</w:t>
                  </w:r>
                </w:p>
              </w:tc>
            </w:tr>
            <w:tr w:rsidR="008422E6" w14:paraId="0D3032A7" w14:textId="77777777" w:rsidTr="00F53DE9">
              <w:tc>
                <w:tcPr>
                  <w:tcW w:w="2835" w:type="dxa"/>
                  <w:shd w:val="clear" w:color="auto" w:fill="D9D9D9" w:themeFill="background1" w:themeFillShade="D9"/>
                </w:tcPr>
                <w:p w14:paraId="5633C5B7" w14:textId="77777777" w:rsidR="008422E6" w:rsidRPr="002C3DC1" w:rsidRDefault="008422E6" w:rsidP="00F53DE9">
                  <w:pPr>
                    <w:pStyle w:val="TableBodyText"/>
                    <w:jc w:val="left"/>
                  </w:pPr>
                  <w:r w:rsidRPr="000A376C">
                    <w:rPr>
                      <w:b/>
                    </w:rPr>
                    <w:t>Having a role, structure and routine</w:t>
                  </w:r>
                  <w:r w:rsidRPr="002C3DC1">
                    <w:t xml:space="preserve"> (15 per cent)</w:t>
                  </w:r>
                </w:p>
              </w:tc>
              <w:tc>
                <w:tcPr>
                  <w:tcW w:w="5670" w:type="dxa"/>
                  <w:shd w:val="clear" w:color="auto" w:fill="D9D9D9" w:themeFill="background1" w:themeFillShade="D9"/>
                </w:tcPr>
                <w:p w14:paraId="1B34E88E" w14:textId="77777777" w:rsidR="008422E6" w:rsidRPr="00FB3D3F" w:rsidRDefault="008422E6" w:rsidP="008422E6">
                  <w:pPr>
                    <w:pStyle w:val="TableBullet"/>
                    <w:numPr>
                      <w:ilvl w:val="0"/>
                      <w:numId w:val="22"/>
                    </w:numPr>
                    <w:ind w:left="139" w:hanging="139"/>
                  </w:pPr>
                  <w:r w:rsidRPr="00FB3D3F">
                    <w:t>Having a role for self: participation, contributing through paid and unpaid roles</w:t>
                  </w:r>
                </w:p>
                <w:p w14:paraId="57CA58B7" w14:textId="77777777" w:rsidR="008422E6" w:rsidRPr="00FB3D3F" w:rsidRDefault="008422E6" w:rsidP="008422E6">
                  <w:pPr>
                    <w:pStyle w:val="TableBullet"/>
                    <w:numPr>
                      <w:ilvl w:val="0"/>
                      <w:numId w:val="22"/>
                    </w:numPr>
                    <w:ind w:left="139" w:hanging="139"/>
                  </w:pPr>
                  <w:r w:rsidRPr="00FB3D3F">
                    <w:t>Capabilities and skills derived through social structures and experience through non formal education</w:t>
                  </w:r>
                </w:p>
                <w:p w14:paraId="08BA491D" w14:textId="77777777" w:rsidR="008422E6" w:rsidRPr="00FB3D3F" w:rsidRDefault="008422E6" w:rsidP="008422E6">
                  <w:pPr>
                    <w:pStyle w:val="TableBullet"/>
                    <w:numPr>
                      <w:ilvl w:val="0"/>
                      <w:numId w:val="22"/>
                    </w:numPr>
                    <w:ind w:left="139" w:hanging="139"/>
                  </w:pPr>
                  <w:r w:rsidRPr="00FB3D3F">
                    <w:t>Knowing boundaries and acceptable behaviours</w:t>
                  </w:r>
                </w:p>
                <w:p w14:paraId="6D938ED6" w14:textId="77777777" w:rsidR="008422E6" w:rsidRPr="00FB3D3F" w:rsidRDefault="008422E6" w:rsidP="008422E6">
                  <w:pPr>
                    <w:pStyle w:val="TableBullet"/>
                    <w:numPr>
                      <w:ilvl w:val="0"/>
                      <w:numId w:val="22"/>
                    </w:numPr>
                    <w:ind w:left="139" w:hanging="139"/>
                  </w:pPr>
                  <w:r w:rsidRPr="00FB3D3F">
                    <w:t>Sense of place — knowing your place in family and society</w:t>
                  </w:r>
                </w:p>
                <w:p w14:paraId="50DB9583" w14:textId="77777777" w:rsidR="008422E6" w:rsidRPr="00FB3D3F" w:rsidRDefault="008422E6" w:rsidP="008422E6">
                  <w:pPr>
                    <w:pStyle w:val="TableBullet"/>
                    <w:numPr>
                      <w:ilvl w:val="0"/>
                      <w:numId w:val="22"/>
                    </w:numPr>
                    <w:ind w:left="139" w:hanging="139"/>
                  </w:pPr>
                  <w:r w:rsidRPr="00FB3D3F">
                    <w:t>Being valued and acknowledged</w:t>
                  </w:r>
                </w:p>
                <w:p w14:paraId="1303A07A" w14:textId="77777777" w:rsidR="008422E6" w:rsidRPr="00FB3D3F" w:rsidRDefault="008422E6" w:rsidP="008422E6">
                  <w:pPr>
                    <w:pStyle w:val="TableBullet"/>
                    <w:numPr>
                      <w:ilvl w:val="0"/>
                      <w:numId w:val="22"/>
                    </w:numPr>
                    <w:ind w:left="139" w:hanging="139"/>
                  </w:pPr>
                  <w:r w:rsidRPr="00FB3D3F">
                    <w:t>Disciplined</w:t>
                  </w:r>
                </w:p>
              </w:tc>
            </w:tr>
            <w:tr w:rsidR="008422E6" w14:paraId="47236EB0" w14:textId="77777777" w:rsidTr="00F53DE9">
              <w:tc>
                <w:tcPr>
                  <w:tcW w:w="2835" w:type="dxa"/>
                  <w:shd w:val="clear" w:color="auto" w:fill="auto"/>
                </w:tcPr>
                <w:p w14:paraId="0D13EB57" w14:textId="77777777" w:rsidR="008422E6" w:rsidRPr="002C3DC1" w:rsidRDefault="008422E6" w:rsidP="00F53DE9">
                  <w:pPr>
                    <w:pStyle w:val="TableBodyText"/>
                    <w:jc w:val="left"/>
                  </w:pPr>
                  <w:r w:rsidRPr="000A376C">
                    <w:rPr>
                      <w:b/>
                    </w:rPr>
                    <w:t>Feeling safe</w:t>
                  </w:r>
                  <w:r w:rsidRPr="002C3DC1">
                    <w:t xml:space="preserve"> (10 per cent)</w:t>
                  </w:r>
                </w:p>
              </w:tc>
              <w:tc>
                <w:tcPr>
                  <w:tcW w:w="5670" w:type="dxa"/>
                </w:tcPr>
                <w:p w14:paraId="503824B3" w14:textId="77777777" w:rsidR="008422E6" w:rsidRPr="00FB3D3F" w:rsidRDefault="008422E6" w:rsidP="008422E6">
                  <w:pPr>
                    <w:pStyle w:val="TableBullet"/>
                    <w:numPr>
                      <w:ilvl w:val="0"/>
                      <w:numId w:val="22"/>
                    </w:numPr>
                    <w:ind w:left="139" w:hanging="139"/>
                  </w:pPr>
                  <w:r w:rsidRPr="00FB3D3F">
                    <w:t>Lack of physical and lateral violence</w:t>
                  </w:r>
                </w:p>
                <w:p w14:paraId="14E4B46E" w14:textId="77777777" w:rsidR="008422E6" w:rsidRPr="00FB3D3F" w:rsidRDefault="008422E6" w:rsidP="008422E6">
                  <w:pPr>
                    <w:pStyle w:val="TableBullet"/>
                    <w:numPr>
                      <w:ilvl w:val="0"/>
                      <w:numId w:val="22"/>
                    </w:numPr>
                    <w:ind w:left="139" w:hanging="139"/>
                  </w:pPr>
                  <w:r w:rsidRPr="00FB3D3F">
                    <w:t>Safe places</w:t>
                  </w:r>
                </w:p>
                <w:p w14:paraId="24EAABCA" w14:textId="77777777" w:rsidR="008422E6" w:rsidRPr="00FB3D3F" w:rsidRDefault="008422E6" w:rsidP="008422E6">
                  <w:pPr>
                    <w:pStyle w:val="TableBullet"/>
                    <w:numPr>
                      <w:ilvl w:val="0"/>
                      <w:numId w:val="22"/>
                    </w:numPr>
                    <w:ind w:left="139" w:hanging="139"/>
                  </w:pPr>
                  <w:r w:rsidRPr="00FB3D3F">
                    <w:t>Emotional security</w:t>
                  </w:r>
                </w:p>
                <w:p w14:paraId="59CD3754" w14:textId="77777777" w:rsidR="008422E6" w:rsidRPr="00FB3D3F" w:rsidRDefault="008422E6" w:rsidP="008422E6">
                  <w:pPr>
                    <w:pStyle w:val="TableBullet"/>
                    <w:numPr>
                      <w:ilvl w:val="0"/>
                      <w:numId w:val="22"/>
                    </w:numPr>
                    <w:ind w:left="139" w:hanging="139"/>
                  </w:pPr>
                  <w:r w:rsidRPr="00FB3D3F">
                    <w:t>Cultural competency</w:t>
                  </w:r>
                </w:p>
                <w:p w14:paraId="30D06E47" w14:textId="77777777" w:rsidR="008422E6" w:rsidRPr="00FB3D3F" w:rsidRDefault="008422E6" w:rsidP="008422E6">
                  <w:pPr>
                    <w:pStyle w:val="TableBullet"/>
                    <w:numPr>
                      <w:ilvl w:val="0"/>
                      <w:numId w:val="22"/>
                    </w:numPr>
                    <w:ind w:left="139" w:hanging="139"/>
                  </w:pPr>
                  <w:r w:rsidRPr="00FB3D3F">
                    <w:t>Relationships that can sustain disagreement</w:t>
                  </w:r>
                </w:p>
              </w:tc>
            </w:tr>
            <w:tr w:rsidR="008422E6" w14:paraId="21923EDB" w14:textId="77777777" w:rsidTr="00F53DE9">
              <w:tc>
                <w:tcPr>
                  <w:tcW w:w="2835" w:type="dxa"/>
                  <w:shd w:val="clear" w:color="auto" w:fill="D9D9D9" w:themeFill="background1" w:themeFillShade="D9"/>
                </w:tcPr>
                <w:p w14:paraId="355A280F" w14:textId="77777777" w:rsidR="008422E6" w:rsidRPr="002C3DC1" w:rsidRDefault="008422E6" w:rsidP="00F53DE9">
                  <w:pPr>
                    <w:pStyle w:val="TableBodyText"/>
                    <w:jc w:val="left"/>
                  </w:pPr>
                  <w:r w:rsidRPr="000A376C">
                    <w:rPr>
                      <w:b/>
                    </w:rPr>
                    <w:t>Vitality</w:t>
                  </w:r>
                  <w:r w:rsidRPr="002C3DC1">
                    <w:t xml:space="preserve"> (10 per cent)</w:t>
                  </w:r>
                </w:p>
              </w:tc>
              <w:tc>
                <w:tcPr>
                  <w:tcW w:w="5670" w:type="dxa"/>
                  <w:shd w:val="clear" w:color="auto" w:fill="D9D9D9" w:themeFill="background1" w:themeFillShade="D9"/>
                </w:tcPr>
                <w:p w14:paraId="5EBFA449" w14:textId="77777777" w:rsidR="008422E6" w:rsidRPr="00FB3D3F" w:rsidRDefault="008422E6" w:rsidP="008422E6">
                  <w:pPr>
                    <w:pStyle w:val="TableBullet"/>
                    <w:numPr>
                      <w:ilvl w:val="0"/>
                      <w:numId w:val="22"/>
                    </w:numPr>
                    <w:ind w:left="139" w:hanging="139"/>
                  </w:pPr>
                  <w:r w:rsidRPr="00FB3D3F">
                    <w:t>Community infrastructure</w:t>
                  </w:r>
                </w:p>
                <w:p w14:paraId="790E6061" w14:textId="77777777" w:rsidR="008422E6" w:rsidRPr="00FB3D3F" w:rsidRDefault="008422E6" w:rsidP="008422E6">
                  <w:pPr>
                    <w:pStyle w:val="TableBullet"/>
                    <w:numPr>
                      <w:ilvl w:val="0"/>
                      <w:numId w:val="22"/>
                    </w:numPr>
                    <w:ind w:left="139" w:hanging="139"/>
                  </w:pPr>
                  <w:r w:rsidRPr="00FB3D3F">
                    <w:t>Access to services</w:t>
                  </w:r>
                </w:p>
                <w:p w14:paraId="37945D9A" w14:textId="77777777" w:rsidR="008422E6" w:rsidRPr="00FB3D3F" w:rsidRDefault="008422E6" w:rsidP="008422E6">
                  <w:pPr>
                    <w:pStyle w:val="TableBullet"/>
                    <w:numPr>
                      <w:ilvl w:val="0"/>
                      <w:numId w:val="22"/>
                    </w:numPr>
                    <w:ind w:left="139" w:hanging="139"/>
                  </w:pPr>
                  <w:r w:rsidRPr="00FB3D3F">
                    <w:t>Education</w:t>
                  </w:r>
                </w:p>
                <w:p w14:paraId="51D7BA3B" w14:textId="77777777" w:rsidR="008422E6" w:rsidRPr="00FB3D3F" w:rsidRDefault="008422E6" w:rsidP="008422E6">
                  <w:pPr>
                    <w:pStyle w:val="TableBullet"/>
                    <w:numPr>
                      <w:ilvl w:val="0"/>
                      <w:numId w:val="22"/>
                    </w:numPr>
                    <w:ind w:left="139" w:hanging="139"/>
                  </w:pPr>
                  <w:r w:rsidRPr="00FB3D3F">
                    <w:t>Health</w:t>
                  </w:r>
                </w:p>
                <w:p w14:paraId="5C1048BE" w14:textId="77777777" w:rsidR="008422E6" w:rsidRPr="00FB3D3F" w:rsidRDefault="008422E6" w:rsidP="008422E6">
                  <w:pPr>
                    <w:pStyle w:val="TableBullet"/>
                    <w:numPr>
                      <w:ilvl w:val="0"/>
                      <w:numId w:val="22"/>
                    </w:numPr>
                    <w:ind w:left="139" w:hanging="139"/>
                  </w:pPr>
                  <w:r w:rsidRPr="00FB3D3F">
                    <w:t>Income</w:t>
                  </w:r>
                </w:p>
                <w:p w14:paraId="77C37CA8" w14:textId="77777777" w:rsidR="008422E6" w:rsidRPr="00FB3D3F" w:rsidRDefault="008422E6" w:rsidP="008422E6">
                  <w:pPr>
                    <w:pStyle w:val="TableBullet"/>
                    <w:numPr>
                      <w:ilvl w:val="0"/>
                      <w:numId w:val="22"/>
                    </w:numPr>
                    <w:ind w:left="139" w:hanging="139"/>
                  </w:pPr>
                  <w:r w:rsidRPr="00FB3D3F">
                    <w:t>Employment</w:t>
                  </w:r>
                </w:p>
              </w:tc>
            </w:tr>
          </w:tbl>
          <w:p w14:paraId="02821AEC" w14:textId="77777777" w:rsidR="008422E6" w:rsidRDefault="008422E6" w:rsidP="00F53DE9">
            <w:pPr>
              <w:pStyle w:val="Box"/>
            </w:pPr>
          </w:p>
        </w:tc>
      </w:tr>
      <w:tr w:rsidR="008422E6" w14:paraId="3AF3FCC4" w14:textId="77777777" w:rsidTr="00F53DE9">
        <w:tc>
          <w:tcPr>
            <w:tcW w:w="5000" w:type="pct"/>
            <w:tcBorders>
              <w:top w:val="nil"/>
              <w:left w:val="nil"/>
              <w:bottom w:val="nil"/>
              <w:right w:val="nil"/>
            </w:tcBorders>
            <w:shd w:val="clear" w:color="auto" w:fill="auto"/>
          </w:tcPr>
          <w:p w14:paraId="0B1B8CC4" w14:textId="77777777" w:rsidR="008422E6" w:rsidRDefault="008422E6" w:rsidP="00F53DE9">
            <w:pPr>
              <w:pStyle w:val="Source"/>
            </w:pPr>
            <w:r>
              <w:rPr>
                <w:i/>
              </w:rPr>
              <w:t>Source</w:t>
            </w:r>
            <w:r w:rsidRPr="00167F06">
              <w:t xml:space="preserve">: </w:t>
            </w:r>
            <w:proofErr w:type="spellStart"/>
            <w:r w:rsidRPr="002C3DC1">
              <w:t>AHMAC</w:t>
            </w:r>
            <w:proofErr w:type="spellEnd"/>
            <w:r w:rsidRPr="002C3DC1">
              <w:t xml:space="preserve"> (2015) </w:t>
            </w:r>
            <w:r w:rsidRPr="002C3DC1">
              <w:rPr>
                <w:i/>
              </w:rPr>
              <w:t>Aboriginal and Torres Strait Islander Health Performance Framework 2014 Report</w:t>
            </w:r>
            <w:r w:rsidRPr="002C3DC1">
              <w:t>, Canberra.</w:t>
            </w:r>
          </w:p>
        </w:tc>
      </w:tr>
      <w:tr w:rsidR="008422E6" w14:paraId="2C192CF0" w14:textId="77777777" w:rsidTr="00F53DE9">
        <w:tc>
          <w:tcPr>
            <w:tcW w:w="5000" w:type="pct"/>
            <w:tcBorders>
              <w:top w:val="nil"/>
              <w:left w:val="nil"/>
              <w:bottom w:val="single" w:sz="6" w:space="0" w:color="78A22F"/>
              <w:right w:val="nil"/>
            </w:tcBorders>
            <w:shd w:val="clear" w:color="auto" w:fill="auto"/>
          </w:tcPr>
          <w:p w14:paraId="3D34C292" w14:textId="77777777" w:rsidR="008422E6" w:rsidRDefault="008422E6" w:rsidP="00F53DE9">
            <w:pPr>
              <w:pStyle w:val="Box"/>
              <w:spacing w:before="0" w:line="120" w:lineRule="exact"/>
            </w:pPr>
          </w:p>
        </w:tc>
      </w:tr>
      <w:tr w:rsidR="008422E6" w:rsidRPr="000863A5" w14:paraId="41605620" w14:textId="77777777" w:rsidTr="00F53DE9">
        <w:tc>
          <w:tcPr>
            <w:tcW w:w="5000" w:type="pct"/>
            <w:tcBorders>
              <w:top w:val="single" w:sz="6" w:space="0" w:color="78A22F"/>
              <w:left w:val="nil"/>
              <w:bottom w:val="nil"/>
              <w:right w:val="nil"/>
            </w:tcBorders>
          </w:tcPr>
          <w:p w14:paraId="5CDDBB1E" w14:textId="77777777" w:rsidR="008422E6" w:rsidRPr="00626D32" w:rsidRDefault="008422E6" w:rsidP="00F53DE9">
            <w:pPr>
              <w:pStyle w:val="BoxSpaceBelow"/>
            </w:pPr>
          </w:p>
        </w:tc>
      </w:tr>
    </w:tbl>
    <w:p w14:paraId="27D4D681" w14:textId="77777777" w:rsidR="008422E6" w:rsidRDefault="008422E6" w:rsidP="008422E6">
      <w:pPr>
        <w:pStyle w:val="Heading4"/>
      </w:pPr>
      <w:r>
        <w:lastRenderedPageBreak/>
        <w:t>Resilience</w:t>
      </w:r>
    </w:p>
    <w:p w14:paraId="2B35D447" w14:textId="77777777" w:rsidR="008422E6" w:rsidRDefault="008422E6" w:rsidP="008422E6">
      <w:pPr>
        <w:pStyle w:val="BodyText"/>
        <w:keepNext/>
      </w:pPr>
      <w:r>
        <w:t>Nationally, in 2014-15, for Aboriginal and Torres Strait Islander people:</w:t>
      </w:r>
    </w:p>
    <w:p w14:paraId="4B1D7139" w14:textId="77777777" w:rsidR="008422E6" w:rsidRDefault="008422E6" w:rsidP="008422E6">
      <w:pPr>
        <w:pStyle w:val="ListBullet"/>
      </w:pPr>
      <w:r>
        <w:t xml:space="preserve">86 per cent did not avoid situations due to past unfair treatment </w:t>
      </w:r>
    </w:p>
    <w:p w14:paraId="438D71D9" w14:textId="77777777" w:rsidR="008422E6" w:rsidRDefault="008422E6" w:rsidP="008422E6">
      <w:pPr>
        <w:pStyle w:val="ListBullet"/>
      </w:pPr>
      <w:r>
        <w:t>89 per cent felt they were able to find general support from outside the household</w:t>
      </w:r>
    </w:p>
    <w:p w14:paraId="24555904" w14:textId="77777777" w:rsidR="008422E6" w:rsidRDefault="008422E6" w:rsidP="008422E6">
      <w:pPr>
        <w:pStyle w:val="ListBullet"/>
      </w:pPr>
      <w:r>
        <w:t>59 per cent had provided support to someone outside their household in the last month</w:t>
      </w:r>
    </w:p>
    <w:p w14:paraId="7944B75B" w14:textId="77777777" w:rsidR="008422E6" w:rsidRDefault="008422E6" w:rsidP="008422E6">
      <w:pPr>
        <w:pStyle w:val="ListBullet"/>
      </w:pPr>
      <w:r>
        <w:t>81 per cent agreed that their doctor could be trusted, and 70 per cent agreed that the local school could be trusted. A higher proportion of Aboriginal and Torres Strait Islander people in remote areas (73 per cent) and very remote areas (82 per cent)</w:t>
      </w:r>
      <w:r w:rsidDel="004E0E79">
        <w:t xml:space="preserve"> </w:t>
      </w:r>
      <w:r>
        <w:t xml:space="preserve">had trust in their local school, compared with people in major cities (68 per cent). There were no significant differences for </w:t>
      </w:r>
      <w:r w:rsidRPr="004E0E79">
        <w:t>trust</w:t>
      </w:r>
      <w:r>
        <w:t xml:space="preserve"> in</w:t>
      </w:r>
      <w:r w:rsidRPr="004E0E79">
        <w:t xml:space="preserve"> doctor</w:t>
      </w:r>
      <w:r>
        <w:t>s across regions</w:t>
      </w:r>
    </w:p>
    <w:p w14:paraId="5C3B1425" w14:textId="77777777" w:rsidR="008422E6" w:rsidRDefault="008422E6" w:rsidP="008422E6">
      <w:pPr>
        <w:pStyle w:val="ListBullet"/>
      </w:pPr>
      <w:r>
        <w:t>20 per cent had involvement with an Aboriginal or Torres Strait Islander organisation, similar to in 2008</w:t>
      </w:r>
    </w:p>
    <w:p w14:paraId="6180B378" w14:textId="77777777" w:rsidR="008422E6" w:rsidRDefault="008422E6" w:rsidP="008422E6">
      <w:pPr>
        <w:pStyle w:val="ListBullet"/>
      </w:pPr>
      <w:r>
        <w:t xml:space="preserve">97 per cent of adults participated in sport/social/community activities in the past 12 months (tables </w:t>
      </w:r>
      <w:proofErr w:type="spellStart"/>
      <w:r>
        <w:t>11A.5.1</w:t>
      </w:r>
      <w:proofErr w:type="spellEnd"/>
      <w:r>
        <w:t>-2).</w:t>
      </w:r>
    </w:p>
    <w:p w14:paraId="2171EF3E" w14:textId="77777777" w:rsidR="008422E6" w:rsidRDefault="008422E6" w:rsidP="008422E6">
      <w:pPr>
        <w:pStyle w:val="BodyText"/>
      </w:pPr>
      <w:r>
        <w:t xml:space="preserve">Refer to sections 5.1 </w:t>
      </w:r>
      <w:r w:rsidRPr="00156A6E">
        <w:rPr>
          <w:i/>
        </w:rPr>
        <w:t>Valuing Aboriginal and Torres Strait Islander</w:t>
      </w:r>
      <w:r w:rsidRPr="002E5ACE">
        <w:t xml:space="preserve"> </w:t>
      </w:r>
      <w:r>
        <w:rPr>
          <w:i/>
        </w:rPr>
        <w:t xml:space="preserve">people </w:t>
      </w:r>
      <w:r w:rsidRPr="00156A6E">
        <w:rPr>
          <w:i/>
        </w:rPr>
        <w:t>and their cultures</w:t>
      </w:r>
      <w:r>
        <w:t xml:space="preserve"> and 5.7 </w:t>
      </w:r>
      <w:r w:rsidRPr="00156A6E">
        <w:rPr>
          <w:i/>
        </w:rPr>
        <w:t>Participation in community activities</w:t>
      </w:r>
      <w:r>
        <w:t xml:space="preserve"> for further information.</w:t>
      </w:r>
    </w:p>
    <w:p w14:paraId="2AF3DF89" w14:textId="77777777" w:rsidR="008422E6" w:rsidRDefault="008422E6" w:rsidP="008422E6">
      <w:pPr>
        <w:pStyle w:val="Heading4"/>
      </w:pPr>
      <w:r>
        <w:t>Leadership</w:t>
      </w:r>
    </w:p>
    <w:p w14:paraId="68D36595" w14:textId="77777777" w:rsidR="008422E6" w:rsidRDefault="008422E6" w:rsidP="008422E6">
      <w:pPr>
        <w:pStyle w:val="BodyText"/>
      </w:pPr>
      <w:r>
        <w:t>Nationally, in 2014-15, for Aboriginal and Torres Strait Islander people:</w:t>
      </w:r>
    </w:p>
    <w:p w14:paraId="10ECE4AA" w14:textId="77777777" w:rsidR="008422E6" w:rsidRDefault="008422E6" w:rsidP="008422E6">
      <w:pPr>
        <w:pStyle w:val="ListBullet"/>
      </w:pPr>
      <w:r>
        <w:t xml:space="preserve">44 per cent of children aged 4–14 years had spent time with an Aboriginal or Torres Strait Islander leader or elder in the last week (table </w:t>
      </w:r>
      <w:proofErr w:type="spellStart"/>
      <w:r>
        <w:t>11A.5.1</w:t>
      </w:r>
      <w:proofErr w:type="spellEnd"/>
      <w:r>
        <w:t>).</w:t>
      </w:r>
    </w:p>
    <w:p w14:paraId="6B0D17EF" w14:textId="77777777" w:rsidR="008422E6" w:rsidRDefault="008422E6" w:rsidP="008422E6">
      <w:pPr>
        <w:pStyle w:val="BodyText"/>
      </w:pPr>
      <w:r>
        <w:t xml:space="preserve">Refer to section 5.4 </w:t>
      </w:r>
      <w:r w:rsidRPr="00156A6E">
        <w:rPr>
          <w:i/>
        </w:rPr>
        <w:t>Case studies in governance</w:t>
      </w:r>
      <w:r>
        <w:t xml:space="preserve"> for further general information on leadership and governance.</w:t>
      </w:r>
    </w:p>
    <w:p w14:paraId="705C2548" w14:textId="77777777" w:rsidR="008422E6" w:rsidRDefault="008422E6" w:rsidP="008422E6">
      <w:pPr>
        <w:pStyle w:val="Heading4"/>
      </w:pPr>
      <w:r>
        <w:t>Having a role, structure and routine</w:t>
      </w:r>
    </w:p>
    <w:p w14:paraId="1A0F25EF" w14:textId="77777777" w:rsidR="008422E6" w:rsidRDefault="008422E6" w:rsidP="008422E6">
      <w:pPr>
        <w:pStyle w:val="BodyText"/>
      </w:pPr>
      <w:r>
        <w:t>Nationally, in 2014-15, for Aboriginal and Torres Strait Islander people:</w:t>
      </w:r>
    </w:p>
    <w:p w14:paraId="522EEF28" w14:textId="77777777" w:rsidR="008422E6" w:rsidRDefault="008422E6" w:rsidP="008422E6">
      <w:pPr>
        <w:pStyle w:val="ListBullet"/>
      </w:pPr>
      <w:r>
        <w:t>77 per cent had lived in only one dwelling in the last 12 months or longer</w:t>
      </w:r>
    </w:p>
    <w:p w14:paraId="6D99A73F" w14:textId="77777777" w:rsidR="008422E6" w:rsidRDefault="008422E6" w:rsidP="008422E6">
      <w:pPr>
        <w:pStyle w:val="ListBullet"/>
      </w:pPr>
      <w:r>
        <w:t xml:space="preserve">96 per cent of children aged 0–14 years had participated in informal learning activities with their main carer in the last week (table </w:t>
      </w:r>
      <w:proofErr w:type="spellStart"/>
      <w:r>
        <w:t>11A.5.1</w:t>
      </w:r>
      <w:proofErr w:type="spellEnd"/>
      <w:r>
        <w:t>).</w:t>
      </w:r>
    </w:p>
    <w:p w14:paraId="3AB2144C" w14:textId="77777777" w:rsidR="008422E6" w:rsidRDefault="008422E6" w:rsidP="008422E6">
      <w:pPr>
        <w:pStyle w:val="Heading4"/>
      </w:pPr>
      <w:r>
        <w:t>Feeling safe</w:t>
      </w:r>
    </w:p>
    <w:p w14:paraId="5CC17D8D" w14:textId="77777777" w:rsidR="008422E6" w:rsidRDefault="008422E6" w:rsidP="008422E6">
      <w:pPr>
        <w:pStyle w:val="BodyText"/>
        <w:keepNext/>
      </w:pPr>
      <w:r>
        <w:t>Nationally, in 2014-15, for Aboriginal and Torres Strait Islander people:</w:t>
      </w:r>
    </w:p>
    <w:p w14:paraId="05FA712E" w14:textId="77777777" w:rsidR="008422E6" w:rsidRDefault="008422E6" w:rsidP="008422E6">
      <w:pPr>
        <w:pStyle w:val="ListBullet"/>
      </w:pPr>
      <w:r>
        <w:t>78 per cent had not experienced physical and/or threatened violence in the last 12 months, similar to 2008</w:t>
      </w:r>
    </w:p>
    <w:p w14:paraId="73D494D9" w14:textId="77777777" w:rsidR="008422E6" w:rsidRDefault="008422E6" w:rsidP="008422E6">
      <w:pPr>
        <w:pStyle w:val="ListBullet"/>
      </w:pPr>
      <w:r>
        <w:lastRenderedPageBreak/>
        <w:t>84 per cent felt safe at home alone after dark</w:t>
      </w:r>
    </w:p>
    <w:p w14:paraId="3D5F504E" w14:textId="77777777" w:rsidR="008422E6" w:rsidRDefault="008422E6" w:rsidP="008422E6">
      <w:pPr>
        <w:pStyle w:val="ListBullet"/>
      </w:pPr>
      <w:r>
        <w:t>54 per cent of children aged 2–14 years were taught Indigenous cultures at school</w:t>
      </w:r>
    </w:p>
    <w:p w14:paraId="0C988366" w14:textId="77777777" w:rsidR="008422E6" w:rsidRDefault="008422E6" w:rsidP="008422E6">
      <w:pPr>
        <w:pStyle w:val="ListBullet"/>
      </w:pPr>
      <w:r>
        <w:t xml:space="preserve">97 per cent had not been incarcerated in the last five years (and 91 per cent had never been incarcerated in their lifetime) (table </w:t>
      </w:r>
      <w:proofErr w:type="spellStart"/>
      <w:r>
        <w:t>11A.5.1</w:t>
      </w:r>
      <w:proofErr w:type="spellEnd"/>
      <w:r>
        <w:t>).</w:t>
      </w:r>
    </w:p>
    <w:p w14:paraId="51F5A955" w14:textId="77777777" w:rsidR="008422E6" w:rsidRDefault="008422E6" w:rsidP="008422E6">
      <w:pPr>
        <w:pStyle w:val="Heading4"/>
      </w:pPr>
      <w:r>
        <w:t>Vitality</w:t>
      </w:r>
    </w:p>
    <w:p w14:paraId="586E1471" w14:textId="77777777" w:rsidR="008422E6" w:rsidRDefault="008422E6" w:rsidP="008422E6">
      <w:pPr>
        <w:pStyle w:val="BodyText"/>
      </w:pPr>
      <w:r w:rsidRPr="009F70FE">
        <w:t>Nationally</w:t>
      </w:r>
      <w:r>
        <w:t>,</w:t>
      </w:r>
      <w:r w:rsidRPr="009F70FE">
        <w:t xml:space="preserve"> in 2014-15, for Aboriginal and Torres Strait Islander </w:t>
      </w:r>
      <w:r>
        <w:t>people</w:t>
      </w:r>
      <w:r w:rsidRPr="009F70FE">
        <w:t>:</w:t>
      </w:r>
    </w:p>
    <w:p w14:paraId="121328D7" w14:textId="77777777" w:rsidR="008422E6" w:rsidRDefault="008422E6" w:rsidP="008422E6">
      <w:pPr>
        <w:pStyle w:val="ListBullet"/>
      </w:pPr>
      <w:r>
        <w:t>55 per cent had no disability or (restrictive) long-term health condition</w:t>
      </w:r>
    </w:p>
    <w:p w14:paraId="04128844" w14:textId="77777777" w:rsidR="008422E6" w:rsidRDefault="008422E6" w:rsidP="008422E6">
      <w:pPr>
        <w:pStyle w:val="ListBullet"/>
      </w:pPr>
      <w:r>
        <w:t>66 per cent had a low/moderate level of psychological distress</w:t>
      </w:r>
    </w:p>
    <w:p w14:paraId="5602491B" w14:textId="77777777" w:rsidR="008422E6" w:rsidRDefault="008422E6" w:rsidP="008422E6">
      <w:pPr>
        <w:pStyle w:val="ListBullet"/>
      </w:pPr>
      <w:r>
        <w:t>72 per cent</w:t>
      </w:r>
      <w:r w:rsidRPr="009F70FE">
        <w:t xml:space="preserve"> </w:t>
      </w:r>
      <w:r>
        <w:t>lived</w:t>
      </w:r>
      <w:r w:rsidRPr="009F70FE">
        <w:t xml:space="preserve"> in a dwelling that ha</w:t>
      </w:r>
      <w:r>
        <w:t>d</w:t>
      </w:r>
      <w:r w:rsidRPr="009F70FE">
        <w:t xml:space="preserve"> no major structural problems</w:t>
      </w:r>
    </w:p>
    <w:p w14:paraId="30BB77B0" w14:textId="77777777" w:rsidR="008422E6" w:rsidRDefault="008422E6" w:rsidP="008422E6">
      <w:pPr>
        <w:pStyle w:val="ListBullet"/>
      </w:pPr>
      <w:r>
        <w:t>75 per cent could easily get to places needed, similar to in 2008 (table </w:t>
      </w:r>
      <w:proofErr w:type="spellStart"/>
      <w:r>
        <w:t>11A.5.1</w:t>
      </w:r>
      <w:proofErr w:type="spellEnd"/>
      <w:r>
        <w:t>).</w:t>
      </w:r>
    </w:p>
    <w:p w14:paraId="22EB5D7A" w14:textId="77777777" w:rsidR="008422E6" w:rsidRDefault="008422E6" w:rsidP="008422E6">
      <w:pPr>
        <w:pStyle w:val="BodyText"/>
      </w:pPr>
      <w:r>
        <w:t xml:space="preserve">Refer to sections 4.3 </w:t>
      </w:r>
      <w:r w:rsidRPr="00156A6E">
        <w:rPr>
          <w:i/>
        </w:rPr>
        <w:t>Early childhood education</w:t>
      </w:r>
      <w:r>
        <w:t>, 4.4 </w:t>
      </w:r>
      <w:r w:rsidRPr="00156A6E">
        <w:rPr>
          <w:i/>
        </w:rPr>
        <w:t>Reading, writing and numeracy</w:t>
      </w:r>
      <w:r>
        <w:t>, 4.6 </w:t>
      </w:r>
      <w:r w:rsidRPr="00156A6E">
        <w:rPr>
          <w:i/>
        </w:rPr>
        <w:t>Year 12 attainment</w:t>
      </w:r>
      <w:r>
        <w:t xml:space="preserve">, 4.7 </w:t>
      </w:r>
      <w:r w:rsidRPr="00156A6E">
        <w:rPr>
          <w:i/>
        </w:rPr>
        <w:t>Employment</w:t>
      </w:r>
      <w:r>
        <w:t>, 4.8 </w:t>
      </w:r>
      <w:r w:rsidRPr="00156A6E">
        <w:rPr>
          <w:i/>
        </w:rPr>
        <w:t>Post</w:t>
      </w:r>
      <w:r w:rsidRPr="00156A6E">
        <w:rPr>
          <w:i/>
        </w:rPr>
        <w:noBreakHyphen/>
        <w:t>secondary education</w:t>
      </w:r>
      <w:r>
        <w:t>, 4.9 </w:t>
      </w:r>
      <w:r w:rsidRPr="00156A6E">
        <w:rPr>
          <w:i/>
        </w:rPr>
        <w:t>Disability and chronic disease</w:t>
      </w:r>
      <w:r>
        <w:t>, 4.10 </w:t>
      </w:r>
      <w:r w:rsidRPr="00156A6E">
        <w:rPr>
          <w:i/>
        </w:rPr>
        <w:t>Household and individual income</w:t>
      </w:r>
      <w:r>
        <w:t xml:space="preserve">, 5.3 </w:t>
      </w:r>
      <w:r w:rsidRPr="007771DC">
        <w:rPr>
          <w:i/>
        </w:rPr>
        <w:t xml:space="preserve">Engagement </w:t>
      </w:r>
      <w:r>
        <w:rPr>
          <w:i/>
        </w:rPr>
        <w:t>of</w:t>
      </w:r>
      <w:r w:rsidRPr="007771DC">
        <w:rPr>
          <w:i/>
        </w:rPr>
        <w:t xml:space="preserve"> services</w:t>
      </w:r>
      <w:r>
        <w:t xml:space="preserve"> and chapter 8 </w:t>
      </w:r>
      <w:r w:rsidRPr="00156A6E">
        <w:rPr>
          <w:i/>
        </w:rPr>
        <w:t>Healthy lives</w:t>
      </w:r>
      <w:r>
        <w:t xml:space="preserve"> for further information on factors connected to vitality.</w:t>
      </w:r>
    </w:p>
    <w:p w14:paraId="3A6DD030" w14:textId="77777777" w:rsidR="008422E6" w:rsidRPr="009B3DB9" w:rsidRDefault="008422E6" w:rsidP="008422E6">
      <w:pPr>
        <w:pStyle w:val="Heading3"/>
      </w:pPr>
      <w:r w:rsidRPr="009B3DB9">
        <w:t>Future directions in data</w:t>
      </w:r>
    </w:p>
    <w:p w14:paraId="21D88420" w14:textId="77777777" w:rsidR="008422E6" w:rsidRDefault="008422E6" w:rsidP="008422E6">
      <w:pPr>
        <w:pStyle w:val="BodyText"/>
      </w:pPr>
      <w:r w:rsidRPr="009B3DB9">
        <w:t xml:space="preserve">The </w:t>
      </w:r>
      <w:proofErr w:type="spellStart"/>
      <w:r w:rsidRPr="009B3DB9">
        <w:t>Mayi</w:t>
      </w:r>
      <w:proofErr w:type="spellEnd"/>
      <w:r w:rsidRPr="009B3DB9">
        <w:t xml:space="preserve"> </w:t>
      </w:r>
      <w:proofErr w:type="spellStart"/>
      <w:r w:rsidRPr="009B3DB9">
        <w:t>Kuwayu</w:t>
      </w:r>
      <w:proofErr w:type="spellEnd"/>
      <w:r w:rsidRPr="009B3DB9">
        <w:t xml:space="preserve"> Study is a relatively new longitudinal data set that explores how the health and wellbeing of Aboriginal and Torres Strait Islander people is linked to connection to Country, cultural practices, spirituality and language use. Research using this data set is not yet available, but may quantify the associations and pathways between cultural practice and expression, social determinants of health, health behaviours, and health and wellbeing outcomes for Aboriginal and Torres Strait Islander people.</w:t>
      </w:r>
    </w:p>
    <w:p w14:paraId="0A518C6E" w14:textId="77777777" w:rsidR="008422E6" w:rsidRDefault="008422E6" w:rsidP="008422E6">
      <w:pPr>
        <w:pStyle w:val="Heading3"/>
      </w:pPr>
      <w:r>
        <w:t>References</w:t>
      </w:r>
    </w:p>
    <w:p w14:paraId="2296A0D9" w14:textId="5CDDD9BB" w:rsidR="0034535B" w:rsidRPr="008C74B8" w:rsidRDefault="0034535B" w:rsidP="0034535B">
      <w:pPr>
        <w:pStyle w:val="Reference"/>
        <w:rPr>
          <w:sz w:val="20"/>
        </w:rPr>
      </w:pPr>
      <w:proofErr w:type="spellStart"/>
      <w:r w:rsidRPr="008C74B8">
        <w:rPr>
          <w:sz w:val="20"/>
        </w:rPr>
        <w:t>AHMAC</w:t>
      </w:r>
      <w:proofErr w:type="spellEnd"/>
      <w:r w:rsidRPr="008C74B8">
        <w:rPr>
          <w:sz w:val="20"/>
        </w:rPr>
        <w:t xml:space="preserve"> (Australian Health Ministers’ Advisory Council) 2017, </w:t>
      </w:r>
      <w:r w:rsidRPr="008C74B8">
        <w:rPr>
          <w:i/>
          <w:iCs/>
          <w:sz w:val="20"/>
        </w:rPr>
        <w:t>Aboriginal and Torres Strait Islander Health Performance Framework 2017 Report</w:t>
      </w:r>
      <w:r w:rsidRPr="008C74B8">
        <w:rPr>
          <w:sz w:val="20"/>
        </w:rPr>
        <w:t>, Canberra.</w:t>
      </w:r>
    </w:p>
    <w:p w14:paraId="07A5760F" w14:textId="77777777" w:rsidR="0034535B" w:rsidRPr="008C74B8" w:rsidRDefault="0034535B" w:rsidP="0034535B">
      <w:pPr>
        <w:pStyle w:val="Reference"/>
        <w:rPr>
          <w:sz w:val="20"/>
        </w:rPr>
      </w:pPr>
      <w:r w:rsidRPr="008C74B8">
        <w:rPr>
          <w:sz w:val="20"/>
        </w:rPr>
        <w:t xml:space="preserve">Biddle, N. 2017, </w:t>
      </w:r>
      <w:r w:rsidRPr="008C74B8">
        <w:rPr>
          <w:i/>
          <w:iCs/>
          <w:sz w:val="20"/>
        </w:rPr>
        <w:t>Community functioning for Aboriginal and Torres Strait Islander Australians: Analysis Using the 2014-15 National Aboriginal and Torres Strait Islander Social Survey</w:t>
      </w:r>
      <w:r w:rsidRPr="008C74B8">
        <w:rPr>
          <w:sz w:val="20"/>
        </w:rPr>
        <w:t xml:space="preserve">, </w:t>
      </w:r>
      <w:proofErr w:type="spellStart"/>
      <w:r w:rsidRPr="008C74B8">
        <w:rPr>
          <w:sz w:val="20"/>
        </w:rPr>
        <w:t>CAEPR</w:t>
      </w:r>
      <w:proofErr w:type="spellEnd"/>
      <w:r w:rsidRPr="008C74B8">
        <w:rPr>
          <w:sz w:val="20"/>
        </w:rPr>
        <w:t xml:space="preserve"> Working Paper 115/2017, Centre for Aboriginal Economic Policy Research (</w:t>
      </w:r>
      <w:proofErr w:type="spellStart"/>
      <w:r w:rsidRPr="008C74B8">
        <w:rPr>
          <w:sz w:val="20"/>
        </w:rPr>
        <w:t>CAEPR</w:t>
      </w:r>
      <w:proofErr w:type="spellEnd"/>
      <w:r w:rsidRPr="008C74B8">
        <w:rPr>
          <w:sz w:val="20"/>
        </w:rPr>
        <w:t>), The Australian National University, Canberra, ACT.</w:t>
      </w:r>
    </w:p>
    <w:p w14:paraId="71AECD07" w14:textId="77777777" w:rsidR="0034535B" w:rsidRPr="008C74B8" w:rsidRDefault="0034535B" w:rsidP="0034535B">
      <w:pPr>
        <w:pStyle w:val="Reference"/>
        <w:rPr>
          <w:sz w:val="20"/>
        </w:rPr>
      </w:pPr>
      <w:r w:rsidRPr="008C74B8">
        <w:rPr>
          <w:sz w:val="20"/>
        </w:rPr>
        <w:t xml:space="preserve">Taylor, J., Edwards, J., Champion, S., Cheers, S., Chong, A., Cummins, R. and Cheers, B. 2011, ‘Towards a conceptual understanding of Aboriginal and Torres Strait Islander community and community functioning’, </w:t>
      </w:r>
      <w:r w:rsidRPr="008C74B8">
        <w:rPr>
          <w:i/>
          <w:iCs/>
          <w:sz w:val="20"/>
        </w:rPr>
        <w:t>Community Development Journal</w:t>
      </w:r>
      <w:r w:rsidRPr="008C74B8">
        <w:rPr>
          <w:sz w:val="20"/>
        </w:rPr>
        <w:t>, vol. 47, no. 1, pp. 94–110.</w:t>
      </w:r>
    </w:p>
    <w:p w14:paraId="205F4507" w14:textId="43D1A619" w:rsidR="008422E6" w:rsidRDefault="008422E6" w:rsidP="0034535B">
      <w:pPr>
        <w:pStyle w:val="Reference"/>
      </w:pPr>
    </w:p>
    <w:sectPr w:rsidR="008422E6" w:rsidSect="00D86F2A">
      <w:headerReference w:type="even" r:id="rId10"/>
      <w:headerReference w:type="default" r:id="rId11"/>
      <w:footerReference w:type="even" r:id="rId12"/>
      <w:footerReference w:type="default" r:id="rId13"/>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179CD" w14:textId="77777777" w:rsidR="00F53DE9" w:rsidRDefault="00F53DE9">
      <w:r>
        <w:separator/>
      </w:r>
    </w:p>
  </w:endnote>
  <w:endnote w:type="continuationSeparator" w:id="0">
    <w:p w14:paraId="18AF618E" w14:textId="77777777" w:rsidR="00F53DE9" w:rsidRDefault="00F5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53DE9" w14:paraId="1EA0F766" w14:textId="77777777" w:rsidTr="00F53DE9">
      <w:trPr>
        <w:trHeight w:hRule="exact" w:val="567"/>
      </w:trPr>
      <w:tc>
        <w:tcPr>
          <w:tcW w:w="510" w:type="dxa"/>
        </w:tcPr>
        <w:p w14:paraId="051D2A7D" w14:textId="77777777" w:rsidR="00F53DE9" w:rsidRPr="00A24443" w:rsidRDefault="00F53DE9" w:rsidP="0019293B">
          <w:pPr>
            <w:pStyle w:val="Footer"/>
            <w:tabs>
              <w:tab w:val="left" w:pos="0"/>
            </w:tabs>
            <w:ind w:right="0"/>
            <w:rPr>
              <w:rStyle w:val="PageNumber"/>
              <w:caps w:val="0"/>
            </w:rPr>
          </w:pPr>
          <w:r>
            <w:rPr>
              <w:rStyle w:val="PageNumber"/>
              <w:caps w:val="0"/>
            </w:rPr>
            <w:t>11.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93FBD">
            <w:rPr>
              <w:rStyle w:val="PageNumber"/>
              <w:caps w:val="0"/>
              <w:noProof/>
            </w:rPr>
            <w:t>14</w:t>
          </w:r>
          <w:r w:rsidRPr="00A24443">
            <w:rPr>
              <w:rStyle w:val="PageNumber"/>
              <w:caps w:val="0"/>
            </w:rPr>
            <w:fldChar w:fldCharType="end"/>
          </w:r>
        </w:p>
      </w:tc>
      <w:tc>
        <w:tcPr>
          <w:tcW w:w="7767" w:type="dxa"/>
        </w:tcPr>
        <w:p w14:paraId="4AF39E61" w14:textId="54641A6E" w:rsidR="00F53DE9" w:rsidRPr="0013739A" w:rsidRDefault="00F53DE9" w:rsidP="00F53DE9">
          <w:pPr>
            <w:pStyle w:val="Footer"/>
            <w:rPr>
              <w:rFonts w:cs="Arial"/>
            </w:rPr>
          </w:pPr>
          <w:r>
            <w:rPr>
              <w:rFonts w:cs="Arial"/>
            </w:rPr>
            <w:t>OVERCOMING INDIGENOUS DISADVANTAGE 2020</w:t>
          </w:r>
          <w:bookmarkStart w:id="3" w:name="DraftReportEven"/>
          <w:bookmarkEnd w:id="3"/>
        </w:p>
      </w:tc>
      <w:tc>
        <w:tcPr>
          <w:tcW w:w="510" w:type="dxa"/>
        </w:tcPr>
        <w:p w14:paraId="7F0FDD12" w14:textId="77777777" w:rsidR="00F53DE9" w:rsidRDefault="00F53DE9" w:rsidP="0019293B">
          <w:pPr>
            <w:pStyle w:val="Footer"/>
          </w:pPr>
        </w:p>
      </w:tc>
    </w:tr>
  </w:tbl>
  <w:p w14:paraId="203FC146" w14:textId="77777777" w:rsidR="00F53DE9" w:rsidRDefault="00F53DE9" w:rsidP="0019293B">
    <w:pPr>
      <w:pStyle w:val="FooterEnd"/>
    </w:pPr>
  </w:p>
  <w:p w14:paraId="48E65D44" w14:textId="77777777" w:rsidR="00F53DE9" w:rsidRDefault="00F53DE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53DE9" w14:paraId="515C089B" w14:textId="77777777" w:rsidTr="00F53DE9">
      <w:trPr>
        <w:trHeight w:hRule="exact" w:val="567"/>
      </w:trPr>
      <w:tc>
        <w:tcPr>
          <w:tcW w:w="510" w:type="dxa"/>
        </w:tcPr>
        <w:p w14:paraId="10A6CB9F" w14:textId="77777777" w:rsidR="00F53DE9" w:rsidRDefault="00F53DE9">
          <w:pPr>
            <w:pStyle w:val="Footer"/>
            <w:ind w:right="360" w:firstLine="360"/>
          </w:pPr>
        </w:p>
      </w:tc>
      <w:tc>
        <w:tcPr>
          <w:tcW w:w="7767" w:type="dxa"/>
        </w:tcPr>
        <w:p w14:paraId="69DE3AB2" w14:textId="630D292C" w:rsidR="00F53DE9" w:rsidRPr="00BA5B14" w:rsidRDefault="00F53DE9" w:rsidP="00F53DE9">
          <w:pPr>
            <w:pStyle w:val="Footer"/>
            <w:jc w:val="right"/>
            <w:rPr>
              <w:rFonts w:cs="Arial"/>
            </w:rPr>
          </w:pPr>
          <w:r>
            <w:rPr>
              <w:rFonts w:cs="Arial"/>
            </w:rPr>
            <w:t>SAFE AND SUPPORTIVE COMMUNITIES</w:t>
          </w:r>
        </w:p>
      </w:tc>
      <w:tc>
        <w:tcPr>
          <w:tcW w:w="510" w:type="dxa"/>
        </w:tcPr>
        <w:p w14:paraId="0D7EB7C0" w14:textId="77777777" w:rsidR="00F53DE9" w:rsidRPr="00A24443" w:rsidRDefault="00F53DE9">
          <w:pPr>
            <w:pStyle w:val="Footer"/>
            <w:jc w:val="right"/>
            <w:rPr>
              <w:caps w:val="0"/>
            </w:rPr>
          </w:pPr>
          <w:r>
            <w:rPr>
              <w:rStyle w:val="PageNumber"/>
              <w:caps w:val="0"/>
            </w:rPr>
            <w:t>11.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93FBD">
            <w:rPr>
              <w:rStyle w:val="PageNumber"/>
              <w:caps w:val="0"/>
              <w:noProof/>
            </w:rPr>
            <w:t>15</w:t>
          </w:r>
          <w:r w:rsidRPr="00A24443">
            <w:rPr>
              <w:rStyle w:val="PageNumber"/>
              <w:caps w:val="0"/>
            </w:rPr>
            <w:fldChar w:fldCharType="end"/>
          </w:r>
        </w:p>
      </w:tc>
    </w:tr>
  </w:tbl>
  <w:p w14:paraId="52C30391" w14:textId="77777777" w:rsidR="00F53DE9" w:rsidRDefault="00F53DE9">
    <w:pPr>
      <w:pStyle w:val="FooterEnd"/>
    </w:pPr>
  </w:p>
  <w:p w14:paraId="1E6CA2AD" w14:textId="77777777" w:rsidR="00F53DE9" w:rsidRDefault="00F53DE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2E2F8" w14:textId="77777777" w:rsidR="00F53DE9" w:rsidRDefault="00F53DE9">
      <w:r>
        <w:separator/>
      </w:r>
    </w:p>
  </w:footnote>
  <w:footnote w:type="continuationSeparator" w:id="0">
    <w:p w14:paraId="383773FA" w14:textId="77777777" w:rsidR="00F53DE9" w:rsidRDefault="00F53DE9">
      <w:r>
        <w:continuationSeparator/>
      </w:r>
    </w:p>
  </w:footnote>
  <w:footnote w:id="1">
    <w:p w14:paraId="6F8BF51E" w14:textId="77777777" w:rsidR="00F53DE9" w:rsidRDefault="00F53DE9" w:rsidP="008422E6">
      <w:pPr>
        <w:pStyle w:val="FootnoteText"/>
      </w:pPr>
      <w:r w:rsidRPr="00C1005E">
        <w:rPr>
          <w:rStyle w:val="FootnoteReference"/>
        </w:rPr>
        <w:footnoteRef/>
      </w:r>
      <w:r>
        <w:tab/>
      </w:r>
      <w:r w:rsidRPr="00902E14">
        <w:t xml:space="preserve">The Steering Committee notes its appreciation </w:t>
      </w:r>
      <w:r w:rsidRPr="00060525">
        <w:t xml:space="preserve">to </w:t>
      </w:r>
      <w:r>
        <w:t>Dr Kyllie Cripps, University of NSW</w:t>
      </w:r>
      <w:r w:rsidRPr="00060525">
        <w:t>,</w:t>
      </w:r>
      <w:r>
        <w:t xml:space="preserve"> who</w:t>
      </w:r>
      <w:r w:rsidRPr="00902E14">
        <w:t xml:space="preserve"> reviewed a draft of this section of the </w:t>
      </w:r>
      <w:r>
        <w:t>R</w:t>
      </w:r>
      <w:r w:rsidRPr="00902E14">
        <w:t>eport.</w:t>
      </w:r>
      <w:r>
        <w:t xml:space="preserve"> </w:t>
      </w:r>
    </w:p>
  </w:footnote>
  <w:footnote w:id="2">
    <w:p w14:paraId="6747815F" w14:textId="77777777" w:rsidR="00F53DE9" w:rsidRDefault="00F53DE9" w:rsidP="008422E6">
      <w:pPr>
        <w:pStyle w:val="FootnoteText"/>
      </w:pPr>
      <w:r>
        <w:rPr>
          <w:rStyle w:val="FootnoteReference"/>
        </w:rPr>
        <w:footnoteRef/>
      </w:r>
      <w:r>
        <w:tab/>
      </w:r>
      <w:r w:rsidRPr="004904A1">
        <w:t>The 2009 NHMRC guidelines advise that, for healthy men and women, drinking no more than two standard drinks on any day reduces the lifetime risk of harm from alcohol</w:t>
      </w:r>
      <w:r>
        <w:t>-</w:t>
      </w:r>
      <w:r w:rsidRPr="004904A1">
        <w:t>related disease or injury</w:t>
      </w:r>
      <w:r>
        <w:t>, and</w:t>
      </w:r>
      <w:r w:rsidRPr="004904A1">
        <w:t xml:space="preserve"> drinking no more than four standard drinks on a single occasion reduces the risk arising from that occasion.</w:t>
      </w:r>
    </w:p>
  </w:footnote>
  <w:footnote w:id="3">
    <w:p w14:paraId="3D3B14EB" w14:textId="77777777" w:rsidR="00F53DE9" w:rsidRDefault="00F53DE9" w:rsidP="008422E6">
      <w:pPr>
        <w:pStyle w:val="FootnoteText"/>
      </w:pPr>
      <w:r>
        <w:rPr>
          <w:rStyle w:val="FootnoteReference"/>
        </w:rPr>
        <w:footnoteRef/>
      </w:r>
      <w:r>
        <w:tab/>
        <w:t>The National Indigenous Reform Agreement was in effect at the time of drafting this report.</w:t>
      </w:r>
    </w:p>
  </w:footnote>
  <w:footnote w:id="4">
    <w:p w14:paraId="1E9E5B6E" w14:textId="77777777" w:rsidR="00F53DE9" w:rsidRDefault="00F53DE9" w:rsidP="008422E6">
      <w:pPr>
        <w:pStyle w:val="FootnoteText"/>
      </w:pPr>
      <w:r>
        <w:rPr>
          <w:rStyle w:val="FootnoteReference"/>
        </w:rPr>
        <w:footnoteRef/>
      </w:r>
      <w:r>
        <w:tab/>
      </w:r>
      <w:r w:rsidRPr="00362515">
        <w:t>Prior to 2010-11, six jurisdictions (NSW, Victoria, Queensland, WA, SA and the NT) were considered to have acceptable quality of Aboriginal and Torres Strait Islander identification in hospitalisation data. The attachment tables for this report include hospitalisations data for all jurisdictions from 2010-11 to 2018-19, as well as data for the six jurisdictions from 2004-05 to 2018-19.</w:t>
      </w:r>
    </w:p>
  </w:footnote>
  <w:footnote w:id="5">
    <w:p w14:paraId="3C265F8E" w14:textId="77777777" w:rsidR="00F53DE9" w:rsidRDefault="00F53DE9" w:rsidP="008422E6">
      <w:pPr>
        <w:pStyle w:val="FootnoteText"/>
      </w:pPr>
      <w:r>
        <w:rPr>
          <w:rStyle w:val="FootnoteReference"/>
        </w:rPr>
        <w:footnoteRef/>
      </w:r>
      <w:r>
        <w:t xml:space="preserve"> Report not</w:t>
      </w:r>
      <w:r w:rsidRPr="00B5558D">
        <w:t xml:space="preserve"> consuming alcohol in the previous 12 months</w:t>
      </w:r>
      <w:r>
        <w:t xml:space="preserve"> or having never consumed </w:t>
      </w:r>
      <w:r w:rsidRPr="00B5558D">
        <w:t>alcohol</w:t>
      </w:r>
      <w:r>
        <w:t>.</w:t>
      </w:r>
    </w:p>
  </w:footnote>
  <w:footnote w:id="6">
    <w:p w14:paraId="272CA733" w14:textId="77777777" w:rsidR="00F53DE9" w:rsidRDefault="00F53DE9" w:rsidP="008422E6">
      <w:pPr>
        <w:pStyle w:val="FootnoteText"/>
      </w:pPr>
      <w:r>
        <w:rPr>
          <w:rStyle w:val="FootnoteReference"/>
        </w:rPr>
        <w:footnoteRef/>
      </w:r>
      <w:r>
        <w:tab/>
      </w:r>
      <w:r w:rsidRPr="00BB13AF">
        <w:t>A</w:t>
      </w:r>
      <w:r>
        <w:t>lcohol Use Disorder</w:t>
      </w:r>
      <w:r w:rsidRPr="00BB13AF">
        <w:t xml:space="preserve"> is a diagnosis described in the Diagnostic and Statistical Manual of Mental Disorders, 5th edition (DSM‐5)</w:t>
      </w:r>
      <w:r>
        <w:t>.</w:t>
      </w:r>
    </w:p>
  </w:footnote>
  <w:footnote w:id="7">
    <w:p w14:paraId="6A25E1FC" w14:textId="77777777" w:rsidR="00F53DE9" w:rsidRDefault="00F53DE9" w:rsidP="008422E6">
      <w:pPr>
        <w:pStyle w:val="FootnoteText"/>
      </w:pPr>
      <w:r w:rsidRPr="007C4D89">
        <w:rPr>
          <w:rStyle w:val="FootnoteReference"/>
        </w:rPr>
        <w:footnoteRef/>
      </w:r>
      <w:r>
        <w:tab/>
      </w:r>
      <w:r w:rsidRPr="00EB5162">
        <w:t>The Steering Committee notes its appreciation to</w:t>
      </w:r>
      <w:r>
        <w:t xml:space="preserve"> Dr Kyllie Cripps, University of NSW,</w:t>
      </w:r>
      <w:r w:rsidRPr="00EB5162">
        <w:t xml:space="preserve"> wh</w:t>
      </w:r>
      <w:r>
        <w:t>o</w:t>
      </w:r>
      <w:r w:rsidRPr="00EB5162">
        <w:t xml:space="preserve"> reviewed a draft of this section of the </w:t>
      </w:r>
      <w:r>
        <w:t>R</w:t>
      </w:r>
      <w:r w:rsidRPr="00EB5162">
        <w:t>eport.</w:t>
      </w:r>
    </w:p>
  </w:footnote>
  <w:footnote w:id="8">
    <w:p w14:paraId="4A5B5E95" w14:textId="77777777" w:rsidR="00F53DE9" w:rsidRDefault="00F53DE9" w:rsidP="008422E6">
      <w:pPr>
        <w:pStyle w:val="FootnoteText"/>
      </w:pPr>
      <w:r>
        <w:rPr>
          <w:rStyle w:val="FootnoteReference"/>
        </w:rPr>
        <w:footnoteRef/>
      </w:r>
      <w:r>
        <w:tab/>
      </w:r>
      <w:r w:rsidRPr="005667AD">
        <w:t xml:space="preserve">In this section, the </w:t>
      </w:r>
      <w:r>
        <w:t>terms</w:t>
      </w:r>
      <w:r w:rsidRPr="005667AD">
        <w:t xml:space="preserve"> ‘illicit substance use’ </w:t>
      </w:r>
      <w:r>
        <w:t xml:space="preserve">or ‘substance misuse’ </w:t>
      </w:r>
      <w:r w:rsidRPr="005667AD">
        <w:t xml:space="preserve">refer to use of substances </w:t>
      </w:r>
      <w:r>
        <w:t>that</w:t>
      </w:r>
      <w:r w:rsidRPr="005667AD">
        <w:t xml:space="preserve"> are illegal to possess (such as heroin) and misuse of substances </w:t>
      </w:r>
      <w:r>
        <w:t>that</w:t>
      </w:r>
      <w:r w:rsidRPr="005667AD">
        <w:t xml:space="preserve"> are legally available (</w:t>
      </w:r>
      <w:r>
        <w:t>such as</w:t>
      </w:r>
      <w:r w:rsidRPr="005667AD">
        <w:t xml:space="preserve"> petrol, glue, paint and prescription drugs). Misuse of legal substances (volatile substance use) can result in sudden death, asphyxiation or neurological and cognitive effects.</w:t>
      </w:r>
    </w:p>
  </w:footnote>
  <w:footnote w:id="9">
    <w:p w14:paraId="2E485265" w14:textId="77777777" w:rsidR="00F53DE9" w:rsidRDefault="00F53DE9" w:rsidP="008422E6">
      <w:pPr>
        <w:pStyle w:val="FootnoteText"/>
      </w:pPr>
      <w:r>
        <w:rPr>
          <w:rStyle w:val="FootnoteReference"/>
        </w:rPr>
        <w:footnoteRef/>
      </w:r>
      <w:r>
        <w:tab/>
        <w:t xml:space="preserve">Data on hospitalisations </w:t>
      </w:r>
      <w:r w:rsidRPr="005667AD">
        <w:t xml:space="preserve">only cover illnesses and conditions directly attributable to drug use that result in admission to a hospital. They do not include conditions </w:t>
      </w:r>
      <w:r>
        <w:t>for which</w:t>
      </w:r>
      <w:r w:rsidRPr="005667AD">
        <w:t xml:space="preserve"> drug use may be a contributing factor but where the link is not direct and immediate.</w:t>
      </w:r>
    </w:p>
  </w:footnote>
  <w:footnote w:id="10">
    <w:p w14:paraId="278DC57C" w14:textId="77777777" w:rsidR="00F53DE9" w:rsidRDefault="00F53DE9" w:rsidP="008422E6">
      <w:pPr>
        <w:pStyle w:val="FootnoteText"/>
      </w:pPr>
      <w:r>
        <w:rPr>
          <w:rStyle w:val="FootnoteReference"/>
        </w:rPr>
        <w:footnoteRef/>
      </w:r>
      <w:r>
        <w:tab/>
        <w:t xml:space="preserve">For </w:t>
      </w:r>
      <w:r w:rsidRPr="00E66D71">
        <w:t>NSW,</w:t>
      </w:r>
      <w:r>
        <w:t xml:space="preserve"> Queensland, WA, SA and the NT only </w:t>
      </w:r>
      <w:r w:rsidRPr="007865E9">
        <w:t>(as these jurisdictions have sufficient levels of Aboriginal and Torres Strait Islander identification and numbers of deaths to support analysis)</w:t>
      </w:r>
      <w:r>
        <w:t>.</w:t>
      </w:r>
    </w:p>
  </w:footnote>
  <w:footnote w:id="11">
    <w:p w14:paraId="04DDE2E5" w14:textId="77777777" w:rsidR="00F53DE9" w:rsidRDefault="00F53DE9" w:rsidP="008422E6">
      <w:pPr>
        <w:pStyle w:val="FootnoteText"/>
      </w:pPr>
      <w:r>
        <w:rPr>
          <w:rStyle w:val="FootnoteReference"/>
        </w:rPr>
        <w:footnoteRef/>
      </w:r>
      <w:r>
        <w:tab/>
        <w:t xml:space="preserve">Leske et al (2016) and Snijder et al (2020) both conducted international systematic reviews which included Australia. </w:t>
      </w:r>
    </w:p>
  </w:footnote>
  <w:footnote w:id="12">
    <w:p w14:paraId="52401AC1" w14:textId="77777777" w:rsidR="00F53DE9" w:rsidRDefault="00F53DE9" w:rsidP="008422E6">
      <w:pPr>
        <w:pStyle w:val="FootnoteText"/>
      </w:pPr>
      <w:r w:rsidRPr="00E64545">
        <w:rPr>
          <w:rStyle w:val="FootnoteReference"/>
        </w:rPr>
        <w:footnoteRef/>
      </w:r>
      <w:r>
        <w:tab/>
        <w:t xml:space="preserve">The Steering Committee notes </w:t>
      </w:r>
      <w:r w:rsidRPr="00C201C5">
        <w:t xml:space="preserve">its appreciation to </w:t>
      </w:r>
      <w:r>
        <w:t>Dr Kyllie Cripps, University of NSW,</w:t>
      </w:r>
      <w:r w:rsidRPr="00C201C5">
        <w:t xml:space="preserve"> who reviewed a draft of this section of the </w:t>
      </w:r>
      <w:r>
        <w:t>R</w:t>
      </w:r>
      <w:r w:rsidRPr="00C201C5">
        <w:t>eport.</w:t>
      </w:r>
    </w:p>
  </w:footnote>
  <w:footnote w:id="13">
    <w:p w14:paraId="638F1772" w14:textId="77777777" w:rsidR="00F53DE9" w:rsidRDefault="00F53DE9" w:rsidP="008422E6">
      <w:pPr>
        <w:pStyle w:val="FootnoteText"/>
      </w:pPr>
      <w:r w:rsidRPr="00AE26D9">
        <w:rPr>
          <w:rStyle w:val="FootnoteReference"/>
        </w:rPr>
        <w:footnoteRef/>
      </w:r>
      <w:r>
        <w:tab/>
      </w:r>
      <w:r w:rsidRPr="00505824">
        <w:t>The Steering Committee notes its appreciation to</w:t>
      </w:r>
      <w:r>
        <w:t xml:space="preserve"> Dr Kyllie Cripps</w:t>
      </w:r>
      <w:r w:rsidRPr="00505824">
        <w:t>,</w:t>
      </w:r>
      <w:r>
        <w:t xml:space="preserve"> University of NSW, who</w:t>
      </w:r>
      <w:r w:rsidRPr="00505824">
        <w:t xml:space="preserve"> reviewed a draft of this section of the </w:t>
      </w:r>
      <w:r>
        <w:t>R</w:t>
      </w:r>
      <w:r w:rsidRPr="00505824">
        <w:t>eport.</w:t>
      </w:r>
    </w:p>
  </w:footnote>
  <w:footnote w:id="14">
    <w:p w14:paraId="038360E3" w14:textId="77777777" w:rsidR="00F53DE9" w:rsidRDefault="00F53DE9" w:rsidP="008422E6">
      <w:pPr>
        <w:pStyle w:val="FootnoteText"/>
      </w:pPr>
      <w:r>
        <w:rPr>
          <w:rStyle w:val="FootnoteReference"/>
        </w:rPr>
        <w:footnoteRef/>
      </w:r>
      <w:r>
        <w:tab/>
        <w:t>The method of proceeding is the type of legal action (court or non-court) initiated by police against a person as a result of an investigation of an offence.</w:t>
      </w:r>
    </w:p>
  </w:footnote>
  <w:footnote w:id="15">
    <w:p w14:paraId="62288A3A" w14:textId="77777777" w:rsidR="00F53DE9" w:rsidRDefault="00F53DE9" w:rsidP="008422E6">
      <w:pPr>
        <w:pStyle w:val="FootnoteText"/>
      </w:pPr>
      <w:r>
        <w:rPr>
          <w:rStyle w:val="FootnoteReference"/>
        </w:rPr>
        <w:footnoteRef/>
      </w:r>
      <w:r>
        <w:tab/>
        <w:t>Sentenced supervision refers to both detention and community-based supervision. This is referenced here rather than the subset of detention as almost all first sentences are community-based, for both Aboriginal and Torres Strait Islander and non-Indigenous youth (AIHW 2019).</w:t>
      </w:r>
    </w:p>
  </w:footnote>
  <w:footnote w:id="16">
    <w:p w14:paraId="16415C58" w14:textId="77777777" w:rsidR="00F53DE9" w:rsidRDefault="00F53DE9" w:rsidP="008422E6">
      <w:pPr>
        <w:pStyle w:val="FootnoteText"/>
      </w:pPr>
      <w:r>
        <w:rPr>
          <w:rStyle w:val="FootnoteReference"/>
        </w:rPr>
        <w:footnoteRef/>
      </w:r>
      <w:r>
        <w:tab/>
        <w:t>The Steering Committee notes its appreciation to Dr Kyllie Cripps, University of NSW, who reviewed a draft of this section of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F53DE9" w14:paraId="472CD992" w14:textId="77777777">
      <w:tc>
        <w:tcPr>
          <w:tcW w:w="2155" w:type="dxa"/>
          <w:tcBorders>
            <w:top w:val="single" w:sz="24" w:space="0" w:color="auto"/>
          </w:tcBorders>
        </w:tcPr>
        <w:p w14:paraId="3C66F615" w14:textId="77777777" w:rsidR="00F53DE9" w:rsidRDefault="00F53DE9" w:rsidP="0019293B">
          <w:pPr>
            <w:pStyle w:val="HeaderEven"/>
          </w:pPr>
        </w:p>
      </w:tc>
      <w:tc>
        <w:tcPr>
          <w:tcW w:w="6634" w:type="dxa"/>
          <w:tcBorders>
            <w:top w:val="single" w:sz="6" w:space="0" w:color="auto"/>
          </w:tcBorders>
        </w:tcPr>
        <w:p w14:paraId="54FB4903" w14:textId="11E59784" w:rsidR="00F53DE9" w:rsidRDefault="00F53DE9" w:rsidP="001A15A1">
          <w:pPr>
            <w:pStyle w:val="HeaderEven"/>
          </w:pPr>
        </w:p>
      </w:tc>
    </w:tr>
  </w:tbl>
  <w:p w14:paraId="1EA39BF2" w14:textId="77777777" w:rsidR="00F53DE9" w:rsidRDefault="00F53DE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53DE9" w14:paraId="2287BECD" w14:textId="77777777">
      <w:tc>
        <w:tcPr>
          <w:tcW w:w="6634" w:type="dxa"/>
          <w:tcBorders>
            <w:top w:val="single" w:sz="6" w:space="0" w:color="auto"/>
          </w:tcBorders>
        </w:tcPr>
        <w:p w14:paraId="3DA139EE" w14:textId="7F057A37" w:rsidR="00F53DE9" w:rsidRDefault="00F53DE9" w:rsidP="006C612B">
          <w:pPr>
            <w:pStyle w:val="HeaderOdd"/>
          </w:pPr>
        </w:p>
      </w:tc>
      <w:tc>
        <w:tcPr>
          <w:tcW w:w="2155" w:type="dxa"/>
          <w:tcBorders>
            <w:top w:val="single" w:sz="24" w:space="0" w:color="auto"/>
          </w:tcBorders>
        </w:tcPr>
        <w:p w14:paraId="6D3843A3" w14:textId="77777777" w:rsidR="00F53DE9" w:rsidRDefault="00F53DE9" w:rsidP="00E669E2">
          <w:pPr>
            <w:pStyle w:val="HeaderOdd"/>
          </w:pPr>
        </w:p>
      </w:tc>
    </w:tr>
  </w:tbl>
  <w:p w14:paraId="4CAF783E" w14:textId="77777777" w:rsidR="00F53DE9" w:rsidRDefault="00F53DE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D7209D"/>
    <w:multiLevelType w:val="hybridMultilevel"/>
    <w:tmpl w:val="A3A6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4"/>
  </w:num>
  <w:num w:numId="3">
    <w:abstractNumId w:val="20"/>
  </w:num>
  <w:num w:numId="4">
    <w:abstractNumId w:val="2"/>
  </w:num>
  <w:num w:numId="5">
    <w:abstractNumId w:val="14"/>
  </w:num>
  <w:num w:numId="6">
    <w:abstractNumId w:val="3"/>
  </w:num>
  <w:num w:numId="7">
    <w:abstractNumId w:val="19"/>
  </w:num>
  <w:num w:numId="8">
    <w:abstractNumId w:val="16"/>
  </w:num>
  <w:num w:numId="9">
    <w:abstractNumId w:val="21"/>
  </w:num>
  <w:num w:numId="10">
    <w:abstractNumId w:val="10"/>
  </w:num>
  <w:num w:numId="11">
    <w:abstractNumId w:val="7"/>
  </w:num>
  <w:num w:numId="12">
    <w:abstractNumId w:val="15"/>
  </w:num>
  <w:num w:numId="13">
    <w:abstractNumId w:val="6"/>
  </w:num>
  <w:num w:numId="14">
    <w:abstractNumId w:val="5"/>
  </w:num>
  <w:num w:numId="15">
    <w:abstractNumId w:val="11"/>
  </w:num>
  <w:num w:numId="16">
    <w:abstractNumId w:val="13"/>
  </w:num>
  <w:num w:numId="17">
    <w:abstractNumId w:val="17"/>
  </w:num>
  <w:num w:numId="18">
    <w:abstractNumId w:val="18"/>
  </w:num>
  <w:num w:numId="19">
    <w:abstractNumId w:val="8"/>
  </w:num>
  <w:num w:numId="20">
    <w:abstractNumId w:val="0"/>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SAFE AND SUPPORTIVE COMMUNITIES"/>
    <w:docVar w:name="ShortReportTitle" w:val="OVERCOMING INDIGENOUS DISADVANTAGE 2020"/>
  </w:docVars>
  <w:rsids>
    <w:rsidRoot w:val="00C32A13"/>
    <w:rsid w:val="00010941"/>
    <w:rsid w:val="000227D5"/>
    <w:rsid w:val="000245AA"/>
    <w:rsid w:val="000362FD"/>
    <w:rsid w:val="0003664B"/>
    <w:rsid w:val="0004111F"/>
    <w:rsid w:val="000565B3"/>
    <w:rsid w:val="000577D0"/>
    <w:rsid w:val="0007150B"/>
    <w:rsid w:val="000938F5"/>
    <w:rsid w:val="00096E55"/>
    <w:rsid w:val="000B26A7"/>
    <w:rsid w:val="000B601B"/>
    <w:rsid w:val="000C207E"/>
    <w:rsid w:val="000F0035"/>
    <w:rsid w:val="000F1249"/>
    <w:rsid w:val="000F420B"/>
    <w:rsid w:val="00103DC6"/>
    <w:rsid w:val="00110116"/>
    <w:rsid w:val="00120072"/>
    <w:rsid w:val="001225FF"/>
    <w:rsid w:val="00125105"/>
    <w:rsid w:val="00126EB8"/>
    <w:rsid w:val="001274D4"/>
    <w:rsid w:val="001363AA"/>
    <w:rsid w:val="00153918"/>
    <w:rsid w:val="00183E82"/>
    <w:rsid w:val="00186CDB"/>
    <w:rsid w:val="001878BB"/>
    <w:rsid w:val="00191AE0"/>
    <w:rsid w:val="0019293B"/>
    <w:rsid w:val="00193CC3"/>
    <w:rsid w:val="0019426B"/>
    <w:rsid w:val="001A15A1"/>
    <w:rsid w:val="001C0865"/>
    <w:rsid w:val="001C3ABA"/>
    <w:rsid w:val="001D1CDF"/>
    <w:rsid w:val="001D43D9"/>
    <w:rsid w:val="001E1501"/>
    <w:rsid w:val="001E7BE8"/>
    <w:rsid w:val="001F0248"/>
    <w:rsid w:val="001F3EB3"/>
    <w:rsid w:val="001F4F86"/>
    <w:rsid w:val="00202C2C"/>
    <w:rsid w:val="002135AB"/>
    <w:rsid w:val="002144BE"/>
    <w:rsid w:val="00242279"/>
    <w:rsid w:val="00245C82"/>
    <w:rsid w:val="00283AE0"/>
    <w:rsid w:val="00291B40"/>
    <w:rsid w:val="002B4008"/>
    <w:rsid w:val="002B4CF5"/>
    <w:rsid w:val="002C30C7"/>
    <w:rsid w:val="002D0E8E"/>
    <w:rsid w:val="002F29B6"/>
    <w:rsid w:val="00301189"/>
    <w:rsid w:val="00323E09"/>
    <w:rsid w:val="00333932"/>
    <w:rsid w:val="0034439E"/>
    <w:rsid w:val="0034535B"/>
    <w:rsid w:val="00350338"/>
    <w:rsid w:val="0035085B"/>
    <w:rsid w:val="00350FD3"/>
    <w:rsid w:val="003518AA"/>
    <w:rsid w:val="00352165"/>
    <w:rsid w:val="00353182"/>
    <w:rsid w:val="00353F4C"/>
    <w:rsid w:val="003565D9"/>
    <w:rsid w:val="003602E1"/>
    <w:rsid w:val="003604E4"/>
    <w:rsid w:val="00367480"/>
    <w:rsid w:val="0037026F"/>
    <w:rsid w:val="00371240"/>
    <w:rsid w:val="00371EF2"/>
    <w:rsid w:val="00374731"/>
    <w:rsid w:val="00376E59"/>
    <w:rsid w:val="0037759F"/>
    <w:rsid w:val="0038738B"/>
    <w:rsid w:val="003919F9"/>
    <w:rsid w:val="00393732"/>
    <w:rsid w:val="00397DD0"/>
    <w:rsid w:val="003A4A99"/>
    <w:rsid w:val="003C2AD2"/>
    <w:rsid w:val="003C38B5"/>
    <w:rsid w:val="003C5D99"/>
    <w:rsid w:val="003E2F59"/>
    <w:rsid w:val="003F0789"/>
    <w:rsid w:val="00401882"/>
    <w:rsid w:val="00404DC6"/>
    <w:rsid w:val="004100C8"/>
    <w:rsid w:val="00411A11"/>
    <w:rsid w:val="00411DBD"/>
    <w:rsid w:val="00412ACE"/>
    <w:rsid w:val="00431249"/>
    <w:rsid w:val="00434C19"/>
    <w:rsid w:val="00445CE9"/>
    <w:rsid w:val="00450810"/>
    <w:rsid w:val="00461F8D"/>
    <w:rsid w:val="00477144"/>
    <w:rsid w:val="00491380"/>
    <w:rsid w:val="00493EE7"/>
    <w:rsid w:val="00493FBD"/>
    <w:rsid w:val="0049459F"/>
    <w:rsid w:val="00495700"/>
    <w:rsid w:val="004A38DD"/>
    <w:rsid w:val="004B43AE"/>
    <w:rsid w:val="004C30ED"/>
    <w:rsid w:val="004D5675"/>
    <w:rsid w:val="004D6E0D"/>
    <w:rsid w:val="00502D24"/>
    <w:rsid w:val="00517DC3"/>
    <w:rsid w:val="00520C91"/>
    <w:rsid w:val="00523639"/>
    <w:rsid w:val="00531FE5"/>
    <w:rsid w:val="00537C90"/>
    <w:rsid w:val="005402FA"/>
    <w:rsid w:val="00553A54"/>
    <w:rsid w:val="00554A33"/>
    <w:rsid w:val="005770F9"/>
    <w:rsid w:val="00583C39"/>
    <w:rsid w:val="00587F28"/>
    <w:rsid w:val="005909CF"/>
    <w:rsid w:val="00591E71"/>
    <w:rsid w:val="005A0D41"/>
    <w:rsid w:val="005B01B2"/>
    <w:rsid w:val="005C316C"/>
    <w:rsid w:val="005F18A7"/>
    <w:rsid w:val="005F4D1E"/>
    <w:rsid w:val="00600DA1"/>
    <w:rsid w:val="0060314A"/>
    <w:rsid w:val="00607BF1"/>
    <w:rsid w:val="00615F46"/>
    <w:rsid w:val="00630D4D"/>
    <w:rsid w:val="00632A74"/>
    <w:rsid w:val="00635876"/>
    <w:rsid w:val="00664BD4"/>
    <w:rsid w:val="00667C2C"/>
    <w:rsid w:val="00683A22"/>
    <w:rsid w:val="006A4655"/>
    <w:rsid w:val="006B2B3C"/>
    <w:rsid w:val="006B6A57"/>
    <w:rsid w:val="006C1D81"/>
    <w:rsid w:val="006C612B"/>
    <w:rsid w:val="006C7038"/>
    <w:rsid w:val="006E73EF"/>
    <w:rsid w:val="00714D4D"/>
    <w:rsid w:val="00715CB3"/>
    <w:rsid w:val="0072721C"/>
    <w:rsid w:val="00735BEF"/>
    <w:rsid w:val="007406FA"/>
    <w:rsid w:val="00751463"/>
    <w:rsid w:val="007604BB"/>
    <w:rsid w:val="00762545"/>
    <w:rsid w:val="0078151C"/>
    <w:rsid w:val="00785232"/>
    <w:rsid w:val="007A21EB"/>
    <w:rsid w:val="007B1A93"/>
    <w:rsid w:val="007B2A24"/>
    <w:rsid w:val="007B4FA4"/>
    <w:rsid w:val="007C36C9"/>
    <w:rsid w:val="007D3188"/>
    <w:rsid w:val="007D6401"/>
    <w:rsid w:val="007D6540"/>
    <w:rsid w:val="007D7EEB"/>
    <w:rsid w:val="007E01E4"/>
    <w:rsid w:val="007E3835"/>
    <w:rsid w:val="007F3328"/>
    <w:rsid w:val="007F3CA2"/>
    <w:rsid w:val="007F7107"/>
    <w:rsid w:val="00800D4C"/>
    <w:rsid w:val="00800E09"/>
    <w:rsid w:val="0080796C"/>
    <w:rsid w:val="0081030F"/>
    <w:rsid w:val="00815C63"/>
    <w:rsid w:val="0082087D"/>
    <w:rsid w:val="00835771"/>
    <w:rsid w:val="008422E6"/>
    <w:rsid w:val="00842933"/>
    <w:rsid w:val="008435FC"/>
    <w:rsid w:val="00850C5F"/>
    <w:rsid w:val="008514F0"/>
    <w:rsid w:val="0086082C"/>
    <w:rsid w:val="00864ADC"/>
    <w:rsid w:val="00877AA6"/>
    <w:rsid w:val="00880153"/>
    <w:rsid w:val="00880F97"/>
    <w:rsid w:val="0088133A"/>
    <w:rsid w:val="00883DE4"/>
    <w:rsid w:val="008872FA"/>
    <w:rsid w:val="0089285E"/>
    <w:rsid w:val="0089436C"/>
    <w:rsid w:val="008A4F59"/>
    <w:rsid w:val="008C1C03"/>
    <w:rsid w:val="008D365C"/>
    <w:rsid w:val="008D711B"/>
    <w:rsid w:val="008F42AB"/>
    <w:rsid w:val="008F71BB"/>
    <w:rsid w:val="009030A5"/>
    <w:rsid w:val="009030BF"/>
    <w:rsid w:val="0091032F"/>
    <w:rsid w:val="00914368"/>
    <w:rsid w:val="00931076"/>
    <w:rsid w:val="00931AAA"/>
    <w:rsid w:val="00934585"/>
    <w:rsid w:val="009345D9"/>
    <w:rsid w:val="00934B15"/>
    <w:rsid w:val="00940C87"/>
    <w:rsid w:val="00942B62"/>
    <w:rsid w:val="009463EA"/>
    <w:rsid w:val="0095323B"/>
    <w:rsid w:val="00956A0C"/>
    <w:rsid w:val="00956BD9"/>
    <w:rsid w:val="00962489"/>
    <w:rsid w:val="00966CB8"/>
    <w:rsid w:val="00990C2C"/>
    <w:rsid w:val="009A1E7C"/>
    <w:rsid w:val="009C0894"/>
    <w:rsid w:val="009E1844"/>
    <w:rsid w:val="009E340A"/>
    <w:rsid w:val="009F0D1B"/>
    <w:rsid w:val="009F41A1"/>
    <w:rsid w:val="009F5290"/>
    <w:rsid w:val="009F696D"/>
    <w:rsid w:val="009F6BC6"/>
    <w:rsid w:val="00A00254"/>
    <w:rsid w:val="00A17328"/>
    <w:rsid w:val="00A23A20"/>
    <w:rsid w:val="00A268B9"/>
    <w:rsid w:val="00A2703A"/>
    <w:rsid w:val="00A33DFF"/>
    <w:rsid w:val="00A35115"/>
    <w:rsid w:val="00A36D9A"/>
    <w:rsid w:val="00A538A6"/>
    <w:rsid w:val="00A554AB"/>
    <w:rsid w:val="00A57062"/>
    <w:rsid w:val="00A57076"/>
    <w:rsid w:val="00A600A0"/>
    <w:rsid w:val="00A67499"/>
    <w:rsid w:val="00A92B53"/>
    <w:rsid w:val="00A94FA6"/>
    <w:rsid w:val="00AA49A0"/>
    <w:rsid w:val="00AA6710"/>
    <w:rsid w:val="00AB0681"/>
    <w:rsid w:val="00AB5888"/>
    <w:rsid w:val="00AC7745"/>
    <w:rsid w:val="00AD520B"/>
    <w:rsid w:val="00B00B37"/>
    <w:rsid w:val="00B425C3"/>
    <w:rsid w:val="00B440AD"/>
    <w:rsid w:val="00B479BB"/>
    <w:rsid w:val="00B53E7E"/>
    <w:rsid w:val="00B6342E"/>
    <w:rsid w:val="00B7113F"/>
    <w:rsid w:val="00BA2F74"/>
    <w:rsid w:val="00BA73B6"/>
    <w:rsid w:val="00BA7E27"/>
    <w:rsid w:val="00BB2603"/>
    <w:rsid w:val="00BB3C8B"/>
    <w:rsid w:val="00BB4FCD"/>
    <w:rsid w:val="00BC04E9"/>
    <w:rsid w:val="00BD13EA"/>
    <w:rsid w:val="00BD1CB1"/>
    <w:rsid w:val="00BE3808"/>
    <w:rsid w:val="00BE59AA"/>
    <w:rsid w:val="00C062E9"/>
    <w:rsid w:val="00C0742E"/>
    <w:rsid w:val="00C07B64"/>
    <w:rsid w:val="00C10C18"/>
    <w:rsid w:val="00C13721"/>
    <w:rsid w:val="00C14FE4"/>
    <w:rsid w:val="00C3066D"/>
    <w:rsid w:val="00C32A13"/>
    <w:rsid w:val="00C52416"/>
    <w:rsid w:val="00C543F4"/>
    <w:rsid w:val="00C6291C"/>
    <w:rsid w:val="00C633CB"/>
    <w:rsid w:val="00C736B7"/>
    <w:rsid w:val="00C81D4A"/>
    <w:rsid w:val="00C8762C"/>
    <w:rsid w:val="00C943B9"/>
    <w:rsid w:val="00CA00F9"/>
    <w:rsid w:val="00CA2961"/>
    <w:rsid w:val="00CB3C41"/>
    <w:rsid w:val="00CB50D7"/>
    <w:rsid w:val="00CB7177"/>
    <w:rsid w:val="00CC1998"/>
    <w:rsid w:val="00CC214E"/>
    <w:rsid w:val="00CC4946"/>
    <w:rsid w:val="00CD3CA2"/>
    <w:rsid w:val="00CD72B8"/>
    <w:rsid w:val="00CE131F"/>
    <w:rsid w:val="00CE78F7"/>
    <w:rsid w:val="00D0269B"/>
    <w:rsid w:val="00D10F41"/>
    <w:rsid w:val="00D159F3"/>
    <w:rsid w:val="00D17794"/>
    <w:rsid w:val="00D2611D"/>
    <w:rsid w:val="00D270A4"/>
    <w:rsid w:val="00D31FE9"/>
    <w:rsid w:val="00D34E1B"/>
    <w:rsid w:val="00D376BA"/>
    <w:rsid w:val="00D45634"/>
    <w:rsid w:val="00D460AA"/>
    <w:rsid w:val="00D46F68"/>
    <w:rsid w:val="00D54247"/>
    <w:rsid w:val="00D54475"/>
    <w:rsid w:val="00D5568A"/>
    <w:rsid w:val="00D63D73"/>
    <w:rsid w:val="00D64452"/>
    <w:rsid w:val="00D66E1E"/>
    <w:rsid w:val="00D71515"/>
    <w:rsid w:val="00D738B9"/>
    <w:rsid w:val="00D75722"/>
    <w:rsid w:val="00D80CF5"/>
    <w:rsid w:val="00D82B55"/>
    <w:rsid w:val="00D86F2A"/>
    <w:rsid w:val="00DA5BBA"/>
    <w:rsid w:val="00DB26D2"/>
    <w:rsid w:val="00DB67C9"/>
    <w:rsid w:val="00DB775B"/>
    <w:rsid w:val="00DB776B"/>
    <w:rsid w:val="00DC0C95"/>
    <w:rsid w:val="00DC29C5"/>
    <w:rsid w:val="00DD6580"/>
    <w:rsid w:val="00DD668E"/>
    <w:rsid w:val="00DE43AE"/>
    <w:rsid w:val="00DE5601"/>
    <w:rsid w:val="00DF618C"/>
    <w:rsid w:val="00E17C72"/>
    <w:rsid w:val="00E21FC6"/>
    <w:rsid w:val="00E32A2B"/>
    <w:rsid w:val="00E431A9"/>
    <w:rsid w:val="00E52B07"/>
    <w:rsid w:val="00E669E2"/>
    <w:rsid w:val="00E67FA1"/>
    <w:rsid w:val="00E76135"/>
    <w:rsid w:val="00E82F4F"/>
    <w:rsid w:val="00E86A06"/>
    <w:rsid w:val="00E91D12"/>
    <w:rsid w:val="00EB4FA0"/>
    <w:rsid w:val="00EC2844"/>
    <w:rsid w:val="00EC5500"/>
    <w:rsid w:val="00ED18F8"/>
    <w:rsid w:val="00EE0CCD"/>
    <w:rsid w:val="00EF6C6C"/>
    <w:rsid w:val="00F056FC"/>
    <w:rsid w:val="00F10476"/>
    <w:rsid w:val="00F135D8"/>
    <w:rsid w:val="00F304F7"/>
    <w:rsid w:val="00F31299"/>
    <w:rsid w:val="00F3534A"/>
    <w:rsid w:val="00F43E0A"/>
    <w:rsid w:val="00F46BD2"/>
    <w:rsid w:val="00F51609"/>
    <w:rsid w:val="00F53DE9"/>
    <w:rsid w:val="00F571CB"/>
    <w:rsid w:val="00F8055F"/>
    <w:rsid w:val="00F81006"/>
    <w:rsid w:val="00F85325"/>
    <w:rsid w:val="00FC571D"/>
    <w:rsid w:val="00FD22B1"/>
    <w:rsid w:val="00FD773E"/>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46B2BEC"/>
  <w15:docId w15:val="{3719B9E5-0BE4-4B49-8073-CABACE91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0C18"/>
    <w:rPr>
      <w:sz w:val="24"/>
      <w:szCs w:val="24"/>
    </w:rPr>
  </w:style>
  <w:style w:type="paragraph" w:styleId="Heading1">
    <w:name w:val="heading 1"/>
    <w:basedOn w:val="BodyText"/>
    <w:next w:val="BodyText"/>
    <w:rsid w:val="00C10C18"/>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C10C1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10C18"/>
    <w:pPr>
      <w:spacing w:before="560" w:line="320" w:lineRule="exact"/>
      <w:ind w:left="0" w:firstLine="0"/>
      <w:outlineLvl w:val="2"/>
    </w:pPr>
    <w:rPr>
      <w:sz w:val="26"/>
    </w:rPr>
  </w:style>
  <w:style w:type="paragraph" w:styleId="Heading4">
    <w:name w:val="heading 4"/>
    <w:basedOn w:val="Heading3"/>
    <w:next w:val="BodyText"/>
    <w:qFormat/>
    <w:rsid w:val="00C10C18"/>
    <w:pPr>
      <w:spacing w:before="480"/>
      <w:outlineLvl w:val="3"/>
    </w:pPr>
    <w:rPr>
      <w:b w:val="0"/>
      <w:sz w:val="24"/>
    </w:rPr>
  </w:style>
  <w:style w:type="paragraph" w:styleId="Heading5">
    <w:name w:val="heading 5"/>
    <w:basedOn w:val="Heading4"/>
    <w:next w:val="BodyText"/>
    <w:link w:val="Heading5Char"/>
    <w:qFormat/>
    <w:rsid w:val="00C10C18"/>
    <w:pPr>
      <w:outlineLvl w:val="4"/>
    </w:pPr>
    <w:rPr>
      <w:i/>
      <w:sz w:val="22"/>
    </w:rPr>
  </w:style>
  <w:style w:type="paragraph" w:styleId="Heading6">
    <w:name w:val="heading 6"/>
    <w:basedOn w:val="BodyText"/>
    <w:next w:val="BodyText"/>
    <w:rsid w:val="00C10C18"/>
    <w:pPr>
      <w:spacing w:after="60"/>
      <w:jc w:val="left"/>
      <w:outlineLvl w:val="5"/>
    </w:pPr>
    <w:rPr>
      <w:i/>
      <w:sz w:val="22"/>
    </w:rPr>
  </w:style>
  <w:style w:type="paragraph" w:styleId="Heading7">
    <w:name w:val="heading 7"/>
    <w:basedOn w:val="BodyText"/>
    <w:next w:val="BodyText"/>
    <w:rsid w:val="00C10C18"/>
    <w:pPr>
      <w:spacing w:after="60" w:line="240" w:lineRule="auto"/>
      <w:jc w:val="left"/>
      <w:outlineLvl w:val="6"/>
    </w:pPr>
    <w:rPr>
      <w:rFonts w:ascii="Arial" w:hAnsi="Arial"/>
      <w:sz w:val="20"/>
    </w:rPr>
  </w:style>
  <w:style w:type="paragraph" w:styleId="Heading8">
    <w:name w:val="heading 8"/>
    <w:basedOn w:val="BodyText"/>
    <w:next w:val="BodyText"/>
    <w:rsid w:val="00C10C18"/>
    <w:pPr>
      <w:spacing w:after="60" w:line="240" w:lineRule="auto"/>
      <w:jc w:val="left"/>
      <w:outlineLvl w:val="7"/>
    </w:pPr>
    <w:rPr>
      <w:rFonts w:ascii="Arial" w:hAnsi="Arial"/>
      <w:i/>
      <w:sz w:val="20"/>
    </w:rPr>
  </w:style>
  <w:style w:type="paragraph" w:styleId="Heading9">
    <w:name w:val="heading 9"/>
    <w:basedOn w:val="BodyText"/>
    <w:next w:val="BodyText"/>
    <w:rsid w:val="00C10C1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C10C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0C18"/>
  </w:style>
  <w:style w:type="paragraph" w:styleId="BodyText">
    <w:name w:val="Body Text"/>
    <w:link w:val="BodyTextChar"/>
    <w:qFormat/>
    <w:rsid w:val="00C10C18"/>
    <w:pPr>
      <w:spacing w:before="240" w:line="300" w:lineRule="atLeast"/>
      <w:jc w:val="both"/>
    </w:pPr>
    <w:rPr>
      <w:sz w:val="24"/>
    </w:rPr>
  </w:style>
  <w:style w:type="paragraph" w:styleId="Footer">
    <w:name w:val="footer"/>
    <w:basedOn w:val="BodyText"/>
    <w:link w:val="FooterChar"/>
    <w:rsid w:val="00C10C18"/>
    <w:pPr>
      <w:spacing w:before="80" w:line="200" w:lineRule="exact"/>
      <w:ind w:right="6"/>
      <w:jc w:val="left"/>
    </w:pPr>
    <w:rPr>
      <w:rFonts w:ascii="Arial" w:hAnsi="Arial"/>
      <w:caps/>
      <w:spacing w:val="-4"/>
      <w:sz w:val="16"/>
    </w:rPr>
  </w:style>
  <w:style w:type="paragraph" w:customStyle="1" w:styleId="FooterEnd">
    <w:name w:val="Footer End"/>
    <w:basedOn w:val="Footer"/>
    <w:rsid w:val="00C10C18"/>
    <w:pPr>
      <w:spacing w:before="0" w:line="20" w:lineRule="exact"/>
    </w:pPr>
  </w:style>
  <w:style w:type="paragraph" w:styleId="Header">
    <w:name w:val="header"/>
    <w:basedOn w:val="BodyText"/>
    <w:rsid w:val="00C10C1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C10C18"/>
    <w:pPr>
      <w:spacing w:line="20" w:lineRule="exact"/>
    </w:pPr>
    <w:rPr>
      <w:sz w:val="16"/>
    </w:rPr>
  </w:style>
  <w:style w:type="paragraph" w:customStyle="1" w:styleId="HeaderEven">
    <w:name w:val="Header Even"/>
    <w:basedOn w:val="Header"/>
    <w:semiHidden/>
    <w:rsid w:val="00C10C18"/>
  </w:style>
  <w:style w:type="paragraph" w:customStyle="1" w:styleId="HeaderOdd">
    <w:name w:val="Header Odd"/>
    <w:basedOn w:val="Header"/>
    <w:semiHidden/>
    <w:rsid w:val="00C10C18"/>
  </w:style>
  <w:style w:type="character" w:styleId="PageNumber">
    <w:name w:val="page number"/>
    <w:basedOn w:val="DefaultParagraphFont"/>
    <w:rsid w:val="00C10C18"/>
    <w:rPr>
      <w:rFonts w:ascii="Arial" w:hAnsi="Arial"/>
      <w:b/>
      <w:sz w:val="16"/>
    </w:rPr>
  </w:style>
  <w:style w:type="paragraph" w:customStyle="1" w:styleId="Abbreviation">
    <w:name w:val="Abbreviation"/>
    <w:basedOn w:val="BodyText"/>
    <w:rsid w:val="00C10C18"/>
    <w:pPr>
      <w:spacing w:before="120"/>
      <w:ind w:left="2381" w:hanging="2381"/>
      <w:jc w:val="left"/>
    </w:pPr>
  </w:style>
  <w:style w:type="paragraph" w:customStyle="1" w:styleId="Box">
    <w:name w:val="Box"/>
    <w:basedOn w:val="BodyText"/>
    <w:qFormat/>
    <w:rsid w:val="00C10C18"/>
    <w:pPr>
      <w:keepNext/>
      <w:spacing w:before="120" w:line="260" w:lineRule="atLeast"/>
    </w:pPr>
    <w:rPr>
      <w:rFonts w:ascii="Arial" w:hAnsi="Arial"/>
      <w:sz w:val="20"/>
    </w:rPr>
  </w:style>
  <w:style w:type="paragraph" w:customStyle="1" w:styleId="BoxContinued">
    <w:name w:val="Box Continued"/>
    <w:basedOn w:val="BodyText"/>
    <w:next w:val="BodyText"/>
    <w:semiHidden/>
    <w:rsid w:val="00C10C18"/>
    <w:pPr>
      <w:spacing w:before="180" w:line="220" w:lineRule="exact"/>
      <w:jc w:val="right"/>
    </w:pPr>
    <w:rPr>
      <w:rFonts w:ascii="Arial" w:hAnsi="Arial"/>
      <w:sz w:val="18"/>
    </w:rPr>
  </w:style>
  <w:style w:type="paragraph" w:customStyle="1" w:styleId="BoxHeading1">
    <w:name w:val="Box Heading 1"/>
    <w:basedOn w:val="BodyText"/>
    <w:next w:val="Box"/>
    <w:rsid w:val="00C10C18"/>
    <w:pPr>
      <w:keepNext/>
      <w:spacing w:before="200" w:line="280" w:lineRule="atLeast"/>
    </w:pPr>
    <w:rPr>
      <w:rFonts w:ascii="Arial" w:hAnsi="Arial"/>
      <w:b/>
      <w:sz w:val="22"/>
    </w:rPr>
  </w:style>
  <w:style w:type="paragraph" w:customStyle="1" w:styleId="BoxHeading2">
    <w:name w:val="Box Heading 2"/>
    <w:basedOn w:val="BoxHeading1"/>
    <w:next w:val="Normal"/>
    <w:rsid w:val="00C10C18"/>
    <w:rPr>
      <w:b w:val="0"/>
      <w:i/>
    </w:rPr>
  </w:style>
  <w:style w:type="paragraph" w:customStyle="1" w:styleId="BoxListBullet">
    <w:name w:val="Box List Bullet"/>
    <w:basedOn w:val="BodyText"/>
    <w:rsid w:val="00C10C18"/>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C10C18"/>
    <w:pPr>
      <w:numPr>
        <w:numId w:val="2"/>
      </w:numPr>
      <w:ind w:left="568" w:hanging="284"/>
    </w:pPr>
  </w:style>
  <w:style w:type="paragraph" w:customStyle="1" w:styleId="BoxListNumber">
    <w:name w:val="Box List Number"/>
    <w:basedOn w:val="BodyText"/>
    <w:rsid w:val="00C10C18"/>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C10C18"/>
    <w:pPr>
      <w:numPr>
        <w:ilvl w:val="1"/>
      </w:numPr>
      <w:ind w:left="681" w:hanging="397"/>
    </w:pPr>
  </w:style>
  <w:style w:type="paragraph" w:customStyle="1" w:styleId="BoxQuote">
    <w:name w:val="Box Quote"/>
    <w:basedOn w:val="BodyText"/>
    <w:next w:val="Box"/>
    <w:qFormat/>
    <w:rsid w:val="00C10C18"/>
    <w:pPr>
      <w:keepNext/>
      <w:spacing w:before="60" w:line="240" w:lineRule="exact"/>
      <w:ind w:left="284"/>
    </w:pPr>
    <w:rPr>
      <w:rFonts w:ascii="Arial" w:hAnsi="Arial"/>
      <w:sz w:val="18"/>
    </w:rPr>
  </w:style>
  <w:style w:type="paragraph" w:customStyle="1" w:styleId="Note">
    <w:name w:val="Note"/>
    <w:basedOn w:val="BodyText"/>
    <w:next w:val="BodyText"/>
    <w:rsid w:val="00C10C18"/>
    <w:pPr>
      <w:keepLines/>
      <w:spacing w:before="80" w:line="220" w:lineRule="exact"/>
    </w:pPr>
    <w:rPr>
      <w:rFonts w:ascii="Arial" w:hAnsi="Arial"/>
      <w:sz w:val="18"/>
    </w:rPr>
  </w:style>
  <w:style w:type="paragraph" w:customStyle="1" w:styleId="Source">
    <w:name w:val="Source"/>
    <w:basedOn w:val="Normal"/>
    <w:next w:val="BodyText"/>
    <w:rsid w:val="00C10C18"/>
    <w:pPr>
      <w:keepLines/>
      <w:spacing w:before="80" w:line="220" w:lineRule="exact"/>
      <w:jc w:val="both"/>
    </w:pPr>
    <w:rPr>
      <w:rFonts w:ascii="Arial" w:hAnsi="Arial"/>
      <w:sz w:val="18"/>
      <w:szCs w:val="20"/>
    </w:rPr>
  </w:style>
  <w:style w:type="paragraph" w:customStyle="1" w:styleId="BoxSource">
    <w:name w:val="Box Source"/>
    <w:basedOn w:val="Source"/>
    <w:next w:val="BodyText"/>
    <w:rsid w:val="00C10C18"/>
    <w:pPr>
      <w:spacing w:before="120"/>
    </w:pPr>
  </w:style>
  <w:style w:type="paragraph" w:customStyle="1" w:styleId="BoxSpaceAbove">
    <w:name w:val="Box Space Above"/>
    <w:basedOn w:val="BodyText"/>
    <w:rsid w:val="00C10C18"/>
    <w:pPr>
      <w:keepNext/>
      <w:spacing w:before="360" w:line="80" w:lineRule="exact"/>
      <w:jc w:val="left"/>
    </w:pPr>
  </w:style>
  <w:style w:type="paragraph" w:styleId="Caption">
    <w:name w:val="caption"/>
    <w:basedOn w:val="Normal"/>
    <w:next w:val="BodyText"/>
    <w:rsid w:val="00C10C1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C10C18"/>
    <w:pPr>
      <w:spacing w:before="120" w:after="0"/>
    </w:pPr>
  </w:style>
  <w:style w:type="paragraph" w:customStyle="1" w:styleId="BoxSubtitle">
    <w:name w:val="Box Subtitle"/>
    <w:basedOn w:val="BoxTitle"/>
    <w:next w:val="Normal"/>
    <w:rsid w:val="00C10C18"/>
    <w:pPr>
      <w:spacing w:after="80" w:line="200" w:lineRule="exact"/>
      <w:ind w:firstLine="0"/>
    </w:pPr>
    <w:rPr>
      <w:b w:val="0"/>
      <w:sz w:val="20"/>
    </w:rPr>
  </w:style>
  <w:style w:type="paragraph" w:customStyle="1" w:styleId="Chapter">
    <w:name w:val="Chapter"/>
    <w:basedOn w:val="Heading1"/>
    <w:next w:val="BodyText"/>
    <w:semiHidden/>
    <w:rsid w:val="00C10C18"/>
    <w:pPr>
      <w:ind w:left="0" w:firstLine="0"/>
      <w:outlineLvl w:val="9"/>
    </w:pPr>
  </w:style>
  <w:style w:type="paragraph" w:customStyle="1" w:styleId="ChapterSummary">
    <w:name w:val="Chapter Summary"/>
    <w:basedOn w:val="BodyText"/>
    <w:rsid w:val="00C10C18"/>
    <w:pPr>
      <w:spacing w:line="280" w:lineRule="atLeast"/>
      <w:ind w:left="907"/>
    </w:pPr>
    <w:rPr>
      <w:rFonts w:ascii="Arial" w:hAnsi="Arial"/>
      <w:b/>
      <w:sz w:val="20"/>
    </w:rPr>
  </w:style>
  <w:style w:type="character" w:styleId="CommentReference">
    <w:name w:val="annotation reference"/>
    <w:basedOn w:val="DefaultParagraphFont"/>
    <w:semiHidden/>
    <w:rsid w:val="00C10C18"/>
    <w:rPr>
      <w:b/>
      <w:vanish/>
      <w:color w:val="FF00FF"/>
      <w:sz w:val="20"/>
    </w:rPr>
  </w:style>
  <w:style w:type="paragraph" w:styleId="CommentText">
    <w:name w:val="annotation text"/>
    <w:basedOn w:val="Normal"/>
    <w:link w:val="CommentTextChar"/>
    <w:semiHidden/>
    <w:rsid w:val="00C10C18"/>
    <w:pPr>
      <w:spacing w:before="120" w:line="240" w:lineRule="atLeast"/>
      <w:ind w:left="567" w:hanging="567"/>
    </w:pPr>
    <w:rPr>
      <w:sz w:val="20"/>
    </w:rPr>
  </w:style>
  <w:style w:type="paragraph" w:customStyle="1" w:styleId="Continued">
    <w:name w:val="Continued"/>
    <w:basedOn w:val="BoxContinued"/>
    <w:next w:val="BodyText"/>
    <w:rsid w:val="00C10C18"/>
  </w:style>
  <w:style w:type="character" w:customStyle="1" w:styleId="DocumentInfo">
    <w:name w:val="Document Info"/>
    <w:basedOn w:val="DefaultParagraphFont"/>
    <w:semiHidden/>
    <w:rsid w:val="00C10C18"/>
    <w:rPr>
      <w:rFonts w:ascii="Arial" w:hAnsi="Arial"/>
      <w:sz w:val="14"/>
    </w:rPr>
  </w:style>
  <w:style w:type="character" w:customStyle="1" w:styleId="DraftingNote">
    <w:name w:val="Drafting Note"/>
    <w:basedOn w:val="DefaultParagraphFont"/>
    <w:rsid w:val="00C10C18"/>
    <w:rPr>
      <w:b/>
      <w:color w:val="FF0000"/>
      <w:sz w:val="24"/>
      <w:u w:val="dotted"/>
    </w:rPr>
  </w:style>
  <w:style w:type="paragraph" w:customStyle="1" w:styleId="Figure">
    <w:name w:val="Figure"/>
    <w:basedOn w:val="BodyText"/>
    <w:rsid w:val="00C10C18"/>
    <w:pPr>
      <w:keepNext/>
      <w:spacing w:before="120" w:after="120" w:line="240" w:lineRule="atLeast"/>
      <w:jc w:val="center"/>
    </w:pPr>
  </w:style>
  <w:style w:type="paragraph" w:customStyle="1" w:styleId="FigureTitle">
    <w:name w:val="Figure Title"/>
    <w:basedOn w:val="Caption"/>
    <w:next w:val="Subtitle"/>
    <w:rsid w:val="00C10C18"/>
    <w:pPr>
      <w:spacing w:before="120"/>
    </w:pPr>
  </w:style>
  <w:style w:type="paragraph" w:styleId="Subtitle">
    <w:name w:val="Subtitle"/>
    <w:basedOn w:val="Caption"/>
    <w:link w:val="SubtitleChar"/>
    <w:qFormat/>
    <w:rsid w:val="00C10C18"/>
    <w:pPr>
      <w:spacing w:before="0" w:line="200" w:lineRule="exact"/>
      <w:ind w:firstLine="0"/>
    </w:pPr>
    <w:rPr>
      <w:b w:val="0"/>
      <w:sz w:val="20"/>
    </w:rPr>
  </w:style>
  <w:style w:type="paragraph" w:customStyle="1" w:styleId="Finding">
    <w:name w:val="Finding"/>
    <w:basedOn w:val="BodyText"/>
    <w:rsid w:val="00C10C18"/>
    <w:pPr>
      <w:keepLines/>
      <w:spacing w:before="120" w:line="280" w:lineRule="atLeast"/>
    </w:pPr>
    <w:rPr>
      <w:rFonts w:ascii="Arial" w:hAnsi="Arial"/>
      <w:sz w:val="22"/>
    </w:rPr>
  </w:style>
  <w:style w:type="paragraph" w:customStyle="1" w:styleId="FindingBullet">
    <w:name w:val="Finding Bullet"/>
    <w:basedOn w:val="Finding"/>
    <w:rsid w:val="00C10C18"/>
    <w:pPr>
      <w:numPr>
        <w:numId w:val="3"/>
      </w:numPr>
      <w:spacing w:before="80"/>
    </w:pPr>
  </w:style>
  <w:style w:type="paragraph" w:customStyle="1" w:styleId="FindingNoTitle">
    <w:name w:val="Finding NoTitle"/>
    <w:basedOn w:val="Finding"/>
    <w:semiHidden/>
    <w:rsid w:val="00C10C18"/>
    <w:pPr>
      <w:spacing w:before="240"/>
    </w:pPr>
  </w:style>
  <w:style w:type="paragraph" w:customStyle="1" w:styleId="RecTitle">
    <w:name w:val="Rec Title"/>
    <w:basedOn w:val="BodyText"/>
    <w:next w:val="Rec"/>
    <w:qFormat/>
    <w:rsid w:val="00C10C18"/>
    <w:pPr>
      <w:keepNext/>
      <w:keepLines/>
      <w:spacing w:line="280" w:lineRule="atLeast"/>
    </w:pPr>
    <w:rPr>
      <w:rFonts w:ascii="Arial" w:hAnsi="Arial"/>
      <w:caps/>
      <w:sz w:val="18"/>
    </w:rPr>
  </w:style>
  <w:style w:type="paragraph" w:customStyle="1" w:styleId="FindingTitle">
    <w:name w:val="Finding Title"/>
    <w:basedOn w:val="RecTitle"/>
    <w:next w:val="Finding"/>
    <w:rsid w:val="00C10C18"/>
  </w:style>
  <w:style w:type="character" w:styleId="FootnoteReference">
    <w:name w:val="footnote reference"/>
    <w:basedOn w:val="DefaultParagraphFont"/>
    <w:semiHidden/>
    <w:rsid w:val="00C10C18"/>
    <w:rPr>
      <w:rFonts w:ascii="Times New Roman" w:hAnsi="Times New Roman"/>
      <w:position w:val="6"/>
      <w:sz w:val="20"/>
      <w:vertAlign w:val="baseline"/>
    </w:rPr>
  </w:style>
  <w:style w:type="paragraph" w:styleId="FootnoteText">
    <w:name w:val="footnote text"/>
    <w:basedOn w:val="BodyText"/>
    <w:rsid w:val="00C10C18"/>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C10C18"/>
    <w:rPr>
      <w:i/>
    </w:rPr>
  </w:style>
  <w:style w:type="paragraph" w:customStyle="1" w:styleId="Jurisdictioncommentsbodytext">
    <w:name w:val="Jurisdiction comments body text"/>
    <w:rsid w:val="00C10C18"/>
    <w:pPr>
      <w:spacing w:after="140"/>
      <w:jc w:val="both"/>
    </w:pPr>
    <w:rPr>
      <w:rFonts w:ascii="Arial" w:hAnsi="Arial"/>
      <w:sz w:val="24"/>
      <w:lang w:eastAsia="en-US"/>
    </w:rPr>
  </w:style>
  <w:style w:type="paragraph" w:customStyle="1" w:styleId="Jurisdictioncommentsheading">
    <w:name w:val="Jurisdiction comments heading"/>
    <w:rsid w:val="00C10C1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10C18"/>
    <w:pPr>
      <w:numPr>
        <w:numId w:val="4"/>
      </w:numPr>
      <w:spacing w:after="140"/>
      <w:jc w:val="both"/>
    </w:pPr>
    <w:rPr>
      <w:rFonts w:ascii="Arial" w:hAnsi="Arial"/>
      <w:sz w:val="24"/>
      <w:lang w:eastAsia="en-US"/>
    </w:rPr>
  </w:style>
  <w:style w:type="paragraph" w:styleId="ListBullet">
    <w:name w:val="List Bullet"/>
    <w:basedOn w:val="BodyText"/>
    <w:rsid w:val="00C10C18"/>
    <w:pPr>
      <w:numPr>
        <w:numId w:val="5"/>
      </w:numPr>
      <w:spacing w:before="120"/>
    </w:pPr>
  </w:style>
  <w:style w:type="paragraph" w:styleId="ListBullet2">
    <w:name w:val="List Bullet 2"/>
    <w:basedOn w:val="BodyText"/>
    <w:rsid w:val="00C10C18"/>
    <w:pPr>
      <w:numPr>
        <w:numId w:val="6"/>
      </w:numPr>
      <w:spacing w:before="120"/>
    </w:pPr>
  </w:style>
  <w:style w:type="paragraph" w:styleId="ListBullet3">
    <w:name w:val="List Bullet 3"/>
    <w:basedOn w:val="BodyText"/>
    <w:rsid w:val="00C10C18"/>
    <w:pPr>
      <w:numPr>
        <w:numId w:val="7"/>
      </w:numPr>
      <w:spacing w:before="120"/>
      <w:ind w:left="1020" w:hanging="340"/>
    </w:pPr>
  </w:style>
  <w:style w:type="paragraph" w:styleId="ListNumber">
    <w:name w:val="List Number"/>
    <w:basedOn w:val="BodyText"/>
    <w:rsid w:val="00C10C18"/>
    <w:pPr>
      <w:numPr>
        <w:numId w:val="13"/>
      </w:numPr>
      <w:spacing w:before="120"/>
    </w:pPr>
  </w:style>
  <w:style w:type="paragraph" w:styleId="ListNumber2">
    <w:name w:val="List Number 2"/>
    <w:basedOn w:val="ListNumber"/>
    <w:rsid w:val="00C10C18"/>
    <w:pPr>
      <w:numPr>
        <w:ilvl w:val="1"/>
      </w:numPr>
    </w:pPr>
  </w:style>
  <w:style w:type="paragraph" w:styleId="ListNumber3">
    <w:name w:val="List Number 3"/>
    <w:basedOn w:val="ListNumber2"/>
    <w:rsid w:val="00C10C18"/>
    <w:pPr>
      <w:numPr>
        <w:ilvl w:val="2"/>
      </w:numPr>
    </w:pPr>
  </w:style>
  <w:style w:type="character" w:customStyle="1" w:styleId="NoteLabel">
    <w:name w:val="Note Label"/>
    <w:basedOn w:val="DefaultParagraphFont"/>
    <w:rsid w:val="00C10C18"/>
    <w:rPr>
      <w:rFonts w:ascii="Arial" w:hAnsi="Arial"/>
      <w:b/>
      <w:position w:val="6"/>
      <w:sz w:val="18"/>
    </w:rPr>
  </w:style>
  <w:style w:type="paragraph" w:customStyle="1" w:styleId="PartDivider">
    <w:name w:val="Part Divider"/>
    <w:basedOn w:val="BodyText"/>
    <w:next w:val="BodyText"/>
    <w:semiHidden/>
    <w:rsid w:val="00C10C18"/>
    <w:pPr>
      <w:spacing w:before="0" w:line="40" w:lineRule="exact"/>
      <w:jc w:val="right"/>
    </w:pPr>
    <w:rPr>
      <w:smallCaps/>
      <w:sz w:val="16"/>
    </w:rPr>
  </w:style>
  <w:style w:type="paragraph" w:customStyle="1" w:styleId="PartNumber">
    <w:name w:val="Part Number"/>
    <w:basedOn w:val="BodyText"/>
    <w:next w:val="BodyText"/>
    <w:semiHidden/>
    <w:rsid w:val="00C10C18"/>
    <w:pPr>
      <w:spacing w:before="4000" w:line="320" w:lineRule="exact"/>
      <w:ind w:left="6634"/>
      <w:jc w:val="right"/>
    </w:pPr>
    <w:rPr>
      <w:smallCaps/>
      <w:spacing w:val="60"/>
      <w:sz w:val="32"/>
    </w:rPr>
  </w:style>
  <w:style w:type="paragraph" w:customStyle="1" w:styleId="PartTitle">
    <w:name w:val="Part Title"/>
    <w:basedOn w:val="BodyText"/>
    <w:semiHidden/>
    <w:rsid w:val="00C10C18"/>
    <w:pPr>
      <w:spacing w:before="160" w:after="1360" w:line="520" w:lineRule="exact"/>
      <w:ind w:right="2381"/>
      <w:jc w:val="right"/>
    </w:pPr>
    <w:rPr>
      <w:smallCaps/>
      <w:sz w:val="52"/>
    </w:rPr>
  </w:style>
  <w:style w:type="paragraph" w:styleId="Quote">
    <w:name w:val="Quote"/>
    <w:basedOn w:val="BodyText"/>
    <w:next w:val="BodyText"/>
    <w:qFormat/>
    <w:rsid w:val="00C10C18"/>
    <w:pPr>
      <w:spacing w:before="120" w:line="280" w:lineRule="exact"/>
      <w:ind w:left="340"/>
    </w:pPr>
    <w:rPr>
      <w:sz w:val="22"/>
    </w:rPr>
  </w:style>
  <w:style w:type="paragraph" w:customStyle="1" w:styleId="QuoteBullet">
    <w:name w:val="Quote Bullet"/>
    <w:basedOn w:val="Quote"/>
    <w:rsid w:val="00C10C18"/>
    <w:pPr>
      <w:numPr>
        <w:numId w:val="8"/>
      </w:numPr>
    </w:pPr>
  </w:style>
  <w:style w:type="paragraph" w:customStyle="1" w:styleId="Rec">
    <w:name w:val="Rec"/>
    <w:basedOn w:val="BodyText"/>
    <w:qFormat/>
    <w:rsid w:val="00C10C18"/>
    <w:pPr>
      <w:keepLines/>
      <w:spacing w:before="120" w:line="280" w:lineRule="atLeast"/>
    </w:pPr>
    <w:rPr>
      <w:rFonts w:ascii="Arial" w:hAnsi="Arial"/>
      <w:sz w:val="22"/>
    </w:rPr>
  </w:style>
  <w:style w:type="paragraph" w:customStyle="1" w:styleId="RecBullet">
    <w:name w:val="Rec Bullet"/>
    <w:basedOn w:val="Rec"/>
    <w:rsid w:val="00C10C18"/>
    <w:pPr>
      <w:numPr>
        <w:numId w:val="9"/>
      </w:numPr>
      <w:spacing w:before="80"/>
    </w:pPr>
  </w:style>
  <w:style w:type="paragraph" w:customStyle="1" w:styleId="RecB">
    <w:name w:val="RecB"/>
    <w:basedOn w:val="Normal"/>
    <w:semiHidden/>
    <w:rsid w:val="00C10C1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C10C18"/>
    <w:pPr>
      <w:numPr>
        <w:numId w:val="10"/>
      </w:numPr>
      <w:spacing w:before="80"/>
    </w:pPr>
  </w:style>
  <w:style w:type="paragraph" w:customStyle="1" w:styleId="RecBNoTitle">
    <w:name w:val="RecB NoTitle"/>
    <w:basedOn w:val="RecB"/>
    <w:semiHidden/>
    <w:rsid w:val="00C10C18"/>
    <w:pPr>
      <w:spacing w:before="240"/>
    </w:pPr>
  </w:style>
  <w:style w:type="paragraph" w:customStyle="1" w:styleId="Reference">
    <w:name w:val="Reference"/>
    <w:basedOn w:val="BodyText"/>
    <w:rsid w:val="00C10C18"/>
    <w:pPr>
      <w:spacing w:before="120"/>
      <w:ind w:left="340" w:hanging="340"/>
    </w:pPr>
  </w:style>
  <w:style w:type="paragraph" w:customStyle="1" w:styleId="SequenceInfo">
    <w:name w:val="Sequence Info"/>
    <w:basedOn w:val="BodyText"/>
    <w:semiHidden/>
    <w:rsid w:val="00C10C18"/>
    <w:rPr>
      <w:vanish/>
      <w:sz w:val="16"/>
    </w:rPr>
  </w:style>
  <w:style w:type="paragraph" w:customStyle="1" w:styleId="SideNote">
    <w:name w:val="Side Note"/>
    <w:basedOn w:val="BodyText"/>
    <w:next w:val="BodyText"/>
    <w:semiHidden/>
    <w:rsid w:val="00C10C1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C10C18"/>
    <w:pPr>
      <w:framePr w:wrap="around"/>
      <w:numPr>
        <w:numId w:val="11"/>
      </w:numPr>
      <w:tabs>
        <w:tab w:val="left" w:pos="227"/>
      </w:tabs>
    </w:pPr>
  </w:style>
  <w:style w:type="paragraph" w:customStyle="1" w:styleId="SideNoteGraphic">
    <w:name w:val="Side Note Graphic"/>
    <w:basedOn w:val="SideNote"/>
    <w:next w:val="BodyText"/>
    <w:semiHidden/>
    <w:rsid w:val="00C10C18"/>
    <w:pPr>
      <w:framePr w:wrap="around"/>
    </w:pPr>
  </w:style>
  <w:style w:type="paragraph" w:customStyle="1" w:styleId="TableBodyText">
    <w:name w:val="Table Body Text"/>
    <w:basedOn w:val="BodyText"/>
    <w:link w:val="TableBodyTextChar"/>
    <w:rsid w:val="00C10C18"/>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C10C18"/>
    <w:pPr>
      <w:numPr>
        <w:numId w:val="12"/>
      </w:numPr>
      <w:jc w:val="left"/>
    </w:pPr>
  </w:style>
  <w:style w:type="paragraph" w:customStyle="1" w:styleId="TableColumnHeading">
    <w:name w:val="Table Column Heading"/>
    <w:basedOn w:val="TableBodyText"/>
    <w:rsid w:val="00C10C18"/>
    <w:pPr>
      <w:spacing w:before="80" w:after="80"/>
    </w:pPr>
    <w:rPr>
      <w:i/>
    </w:rPr>
  </w:style>
  <w:style w:type="paragraph" w:styleId="TOC2">
    <w:name w:val="toc 2"/>
    <w:basedOn w:val="TOC1"/>
    <w:rsid w:val="00C10C18"/>
    <w:pPr>
      <w:ind w:left="1134" w:hanging="624"/>
    </w:pPr>
    <w:rPr>
      <w:b w:val="0"/>
    </w:rPr>
  </w:style>
  <w:style w:type="paragraph" w:styleId="TOC3">
    <w:name w:val="toc 3"/>
    <w:basedOn w:val="TOC2"/>
    <w:rsid w:val="00C10C18"/>
    <w:pPr>
      <w:spacing w:before="60"/>
      <w:ind w:left="1190" w:hanging="680"/>
    </w:pPr>
  </w:style>
  <w:style w:type="paragraph" w:styleId="TableofFigures">
    <w:name w:val="table of figures"/>
    <w:basedOn w:val="TOC3"/>
    <w:next w:val="BodyText"/>
    <w:semiHidden/>
    <w:rsid w:val="00C10C18"/>
    <w:pPr>
      <w:ind w:left="737" w:hanging="737"/>
    </w:pPr>
  </w:style>
  <w:style w:type="paragraph" w:customStyle="1" w:styleId="TableTitle">
    <w:name w:val="Table Title"/>
    <w:basedOn w:val="Caption"/>
    <w:next w:val="Subtitle"/>
    <w:qFormat/>
    <w:rsid w:val="00C10C18"/>
    <w:pPr>
      <w:spacing w:before="120"/>
    </w:pPr>
  </w:style>
  <w:style w:type="paragraph" w:customStyle="1" w:styleId="TableUnitsRow">
    <w:name w:val="Table Units Row"/>
    <w:basedOn w:val="TableBodyText"/>
    <w:rsid w:val="00C10C18"/>
    <w:pPr>
      <w:spacing w:before="40"/>
    </w:pPr>
  </w:style>
  <w:style w:type="paragraph" w:styleId="TOC1">
    <w:name w:val="toc 1"/>
    <w:basedOn w:val="Normal"/>
    <w:next w:val="TOC2"/>
    <w:link w:val="TOC1Char"/>
    <w:rsid w:val="00C10C18"/>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C10C18"/>
    <w:pPr>
      <w:ind w:left="1191" w:firstLine="0"/>
    </w:pPr>
  </w:style>
  <w:style w:type="paragraph" w:customStyle="1" w:styleId="RecBBullet2">
    <w:name w:val="RecB Bullet 2"/>
    <w:basedOn w:val="ListBullet2"/>
    <w:semiHidden/>
    <w:rsid w:val="00C10C18"/>
    <w:pPr>
      <w:pBdr>
        <w:left w:val="single" w:sz="24" w:space="29" w:color="C0C0C0"/>
      </w:pBdr>
    </w:pPr>
    <w:rPr>
      <w:b/>
      <w:i/>
    </w:rPr>
  </w:style>
  <w:style w:type="paragraph" w:styleId="BalloonText">
    <w:name w:val="Balloon Text"/>
    <w:basedOn w:val="Normal"/>
    <w:link w:val="BalloonTextChar"/>
    <w:rsid w:val="00C10C18"/>
    <w:rPr>
      <w:rFonts w:ascii="Tahoma" w:hAnsi="Tahoma" w:cs="Tahoma"/>
      <w:sz w:val="16"/>
      <w:szCs w:val="16"/>
    </w:rPr>
  </w:style>
  <w:style w:type="character" w:customStyle="1" w:styleId="BalloonTextChar">
    <w:name w:val="Balloon Text Char"/>
    <w:basedOn w:val="DefaultParagraphFont"/>
    <w:link w:val="BalloonText"/>
    <w:rsid w:val="00C10C18"/>
    <w:rPr>
      <w:rFonts w:ascii="Tahoma" w:hAnsi="Tahoma" w:cs="Tahoma"/>
      <w:sz w:val="16"/>
      <w:szCs w:val="16"/>
    </w:rPr>
  </w:style>
  <w:style w:type="character" w:customStyle="1" w:styleId="SubtitleChar">
    <w:name w:val="Subtitle Char"/>
    <w:basedOn w:val="DefaultParagraphFont"/>
    <w:link w:val="Subtitle"/>
    <w:rsid w:val="00C10C18"/>
    <w:rPr>
      <w:rFonts w:ascii="Arial" w:hAnsi="Arial"/>
      <w:szCs w:val="24"/>
    </w:rPr>
  </w:style>
  <w:style w:type="paragraph" w:customStyle="1" w:styleId="BoxListBullet3">
    <w:name w:val="Box List Bullet 3"/>
    <w:basedOn w:val="ListBullet3"/>
    <w:rsid w:val="00C10C18"/>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C10C18"/>
    <w:rPr>
      <w:i/>
      <w:iCs/>
    </w:rPr>
  </w:style>
  <w:style w:type="paragraph" w:customStyle="1" w:styleId="BoxQuoteBullet">
    <w:name w:val="Box Quote Bullet"/>
    <w:basedOn w:val="BoxQuote"/>
    <w:next w:val="Box"/>
    <w:rsid w:val="00C10C18"/>
    <w:pPr>
      <w:numPr>
        <w:numId w:val="15"/>
      </w:numPr>
      <w:ind w:left="568" w:hanging="284"/>
    </w:pPr>
  </w:style>
  <w:style w:type="paragraph" w:customStyle="1" w:styleId="InformationRequestBullet">
    <w:name w:val="Information Request Bullet"/>
    <w:basedOn w:val="ListBullet"/>
    <w:next w:val="BodyText"/>
    <w:rsid w:val="00C10C18"/>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C10C18"/>
    <w:pPr>
      <w:keepNext w:val="0"/>
      <w:spacing w:before="60" w:after="60" w:line="80" w:lineRule="exact"/>
    </w:pPr>
    <w:rPr>
      <w:sz w:val="14"/>
    </w:rPr>
  </w:style>
  <w:style w:type="character" w:customStyle="1" w:styleId="TableBodyTextChar">
    <w:name w:val="Table Body Text Char"/>
    <w:link w:val="TableBodyText"/>
    <w:locked/>
    <w:rsid w:val="00D54247"/>
    <w:rPr>
      <w:rFonts w:ascii="Arial" w:hAnsi="Arial"/>
      <w:sz w:val="18"/>
    </w:rPr>
  </w:style>
  <w:style w:type="paragraph" w:customStyle="1" w:styleId="KeyPointsListBullet">
    <w:name w:val="Key Points List Bullet"/>
    <w:basedOn w:val="Normal"/>
    <w:qFormat/>
    <w:rsid w:val="00C10C18"/>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C10C18"/>
    <w:pPr>
      <w:numPr>
        <w:numId w:val="19"/>
      </w:numPr>
      <w:ind w:left="568" w:hanging="284"/>
    </w:pPr>
  </w:style>
  <w:style w:type="paragraph" w:customStyle="1" w:styleId="InformationRequestTitle">
    <w:name w:val="Information Request Title"/>
    <w:basedOn w:val="FindingTitle"/>
    <w:next w:val="InformationRequest"/>
    <w:rsid w:val="00C10C18"/>
    <w:rPr>
      <w:i/>
    </w:rPr>
  </w:style>
  <w:style w:type="paragraph" w:customStyle="1" w:styleId="Space">
    <w:name w:val="Space"/>
    <w:basedOn w:val="Normal"/>
    <w:rsid w:val="00C10C18"/>
    <w:pPr>
      <w:keepNext/>
      <w:spacing w:line="120" w:lineRule="exact"/>
      <w:jc w:val="both"/>
    </w:pPr>
    <w:rPr>
      <w:rFonts w:ascii="Arial" w:hAnsi="Arial"/>
      <w:sz w:val="20"/>
      <w:szCs w:val="20"/>
    </w:rPr>
  </w:style>
  <w:style w:type="paragraph" w:customStyle="1" w:styleId="Heading1nochapterno">
    <w:name w:val="Heading 1 (no chapter no.)"/>
    <w:basedOn w:val="Heading1"/>
    <w:rsid w:val="00C10C18"/>
    <w:pPr>
      <w:spacing w:before="0"/>
      <w:ind w:left="0" w:firstLine="0"/>
    </w:pPr>
  </w:style>
  <w:style w:type="paragraph" w:customStyle="1" w:styleId="Heading2nosectionno">
    <w:name w:val="Heading 2 (no section no.)"/>
    <w:basedOn w:val="Heading2"/>
    <w:rsid w:val="00C10C18"/>
    <w:pPr>
      <w:ind w:left="0" w:firstLine="0"/>
    </w:pPr>
  </w:style>
  <w:style w:type="character" w:customStyle="1" w:styleId="Heading5Char">
    <w:name w:val="Heading 5 Char"/>
    <w:basedOn w:val="DefaultParagraphFont"/>
    <w:link w:val="Heading5"/>
    <w:rsid w:val="00C10C18"/>
    <w:rPr>
      <w:rFonts w:ascii="Arial" w:hAnsi="Arial"/>
      <w:i/>
      <w:sz w:val="22"/>
    </w:rPr>
  </w:style>
  <w:style w:type="paragraph" w:customStyle="1" w:styleId="Figurespace">
    <w:name w:val="Figure space"/>
    <w:basedOn w:val="Box"/>
    <w:rsid w:val="00C10C18"/>
    <w:pPr>
      <w:spacing w:before="0" w:line="120" w:lineRule="exact"/>
    </w:pPr>
  </w:style>
  <w:style w:type="paragraph" w:customStyle="1" w:styleId="FooterDraftReport">
    <w:name w:val="FooterDraftReport"/>
    <w:basedOn w:val="Footer"/>
    <w:link w:val="FooterDraftReportChar"/>
    <w:rsid w:val="00C10C18"/>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C10C18"/>
    <w:rPr>
      <w:sz w:val="24"/>
    </w:rPr>
  </w:style>
  <w:style w:type="character" w:customStyle="1" w:styleId="FooterChar">
    <w:name w:val="Footer Char"/>
    <w:basedOn w:val="BodyTextChar"/>
    <w:link w:val="Footer"/>
    <w:rsid w:val="00C10C18"/>
    <w:rPr>
      <w:rFonts w:ascii="Arial" w:hAnsi="Arial"/>
      <w:caps/>
      <w:spacing w:val="-4"/>
      <w:sz w:val="16"/>
    </w:rPr>
  </w:style>
  <w:style w:type="character" w:customStyle="1" w:styleId="FooterDraftReportChar">
    <w:name w:val="FooterDraftReport Char"/>
    <w:basedOn w:val="FooterChar"/>
    <w:link w:val="FooterDraftReport"/>
    <w:rsid w:val="00C10C18"/>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C1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C10C18"/>
    <w:rPr>
      <w:rFonts w:ascii="Arial" w:hAnsi="Arial"/>
      <w:b/>
      <w:sz w:val="26"/>
      <w:szCs w:val="26"/>
      <w:lang w:eastAsia="en-US"/>
    </w:rPr>
  </w:style>
  <w:style w:type="character" w:styleId="Hyperlink">
    <w:name w:val="Hyperlink"/>
    <w:basedOn w:val="DefaultParagraphFont"/>
    <w:rsid w:val="00E86A06"/>
    <w:rPr>
      <w:color w:val="0000FF" w:themeColor="hyperlink"/>
      <w:u w:val="single"/>
    </w:rPr>
  </w:style>
  <w:style w:type="paragraph" w:styleId="Bibliography">
    <w:name w:val="Bibliography"/>
    <w:basedOn w:val="Normal"/>
    <w:next w:val="Normal"/>
    <w:uiPriority w:val="37"/>
    <w:unhideWhenUsed/>
    <w:rsid w:val="00103DC6"/>
    <w:pPr>
      <w:spacing w:after="240"/>
      <w:ind w:left="720" w:hanging="720"/>
    </w:pPr>
  </w:style>
  <w:style w:type="character" w:styleId="EndnoteReference">
    <w:name w:val="endnote reference"/>
    <w:basedOn w:val="DefaultParagraphFont"/>
    <w:rsid w:val="00350338"/>
    <w:rPr>
      <w:vertAlign w:val="superscript"/>
    </w:rPr>
  </w:style>
  <w:style w:type="paragraph" w:styleId="CommentSubject">
    <w:name w:val="annotation subject"/>
    <w:basedOn w:val="CommentText"/>
    <w:next w:val="CommentText"/>
    <w:link w:val="CommentSubjectChar"/>
    <w:rsid w:val="003604E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604E4"/>
    <w:rPr>
      <w:szCs w:val="24"/>
    </w:rPr>
  </w:style>
  <w:style w:type="character" w:customStyle="1" w:styleId="CommentSubjectChar">
    <w:name w:val="Comment Subject Char"/>
    <w:basedOn w:val="CommentTextChar"/>
    <w:link w:val="CommentSubject"/>
    <w:rsid w:val="003604E4"/>
    <w:rPr>
      <w:b/>
      <w:bCs/>
      <w:szCs w:val="24"/>
    </w:rPr>
  </w:style>
  <w:style w:type="character" w:customStyle="1" w:styleId="UnresolvedMention1">
    <w:name w:val="Unresolved Mention1"/>
    <w:basedOn w:val="DefaultParagraphFont"/>
    <w:uiPriority w:val="99"/>
    <w:semiHidden/>
    <w:unhideWhenUsed/>
    <w:rsid w:val="008422E6"/>
    <w:rPr>
      <w:color w:val="605E5C"/>
      <w:shd w:val="clear" w:color="auto" w:fill="E1DFDD"/>
    </w:rPr>
  </w:style>
  <w:style w:type="character" w:customStyle="1" w:styleId="Heading3Char">
    <w:name w:val="Heading 3 Char"/>
    <w:basedOn w:val="DefaultParagraphFont"/>
    <w:link w:val="Heading3"/>
    <w:rsid w:val="008422E6"/>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i\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B1A7-B1FB-4998-BA88-44D31903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44</TotalTime>
  <Pages>38</Pages>
  <Words>14593</Words>
  <Characters>83173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SAFE AND SUPPORTIVE COMMUNITIES</vt:lpstr>
    </vt:vector>
  </TitlesOfParts>
  <Company>Productivity Commission</Company>
  <LinksUpToDate>false</LinksUpToDate>
  <CharactersWithSpaces>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SUPPORTIVE COMMUNITIES</dc:title>
  <dc:subject>OVERCOMING INDIGENOUS DISADVANTAGE 2020</dc:subject>
  <dc:creator>Yeow, Sook-Ling</dc:creator>
  <cp:keywords/>
  <dc:description>11.</dc:description>
  <cp:lastModifiedBy>Frech, Tanya</cp:lastModifiedBy>
  <cp:revision>20</cp:revision>
  <cp:lastPrinted>2020-07-29T11:27:00Z</cp:lastPrinted>
  <dcterms:created xsi:type="dcterms:W3CDTF">2020-10-28T06:17:00Z</dcterms:created>
  <dcterms:modified xsi:type="dcterms:W3CDTF">2020-11-16T07:50:00Z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id="BHDGX1bn"/&gt;&lt;style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