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8A5EE" w14:textId="5C7FA9E9" w:rsidR="00A33DFF" w:rsidRDefault="00CC1549" w:rsidP="00CC1549">
      <w:pPr>
        <w:pStyle w:val="Heading1"/>
        <w:spacing w:before="0"/>
      </w:pPr>
      <w:bookmarkStart w:id="0" w:name="ChapterNumber"/>
      <w:r>
        <w:t>12</w:t>
      </w:r>
      <w:bookmarkEnd w:id="0"/>
      <w:r>
        <w:tab/>
      </w:r>
      <w:bookmarkStart w:id="1" w:name="ChapterTitle"/>
      <w:r>
        <w:t>Outcomes for Torres Strait Islander people</w:t>
      </w:r>
      <w:bookmarkEnd w:id="1"/>
      <w:r w:rsidR="00C466D2" w:rsidRPr="00F17C9F">
        <w:rPr>
          <w:rStyle w:val="FootnoteReference"/>
          <w:rFonts w:asciiTheme="minorHAnsi" w:hAnsiTheme="minorHAnsi" w:cstheme="minorHAnsi"/>
          <w:b/>
          <w:position w:val="10"/>
        </w:rPr>
        <w:footnoteReference w:id="1"/>
      </w:r>
    </w:p>
    <w:p w14:paraId="1D32997E" w14:textId="398E33DE" w:rsidR="00192E97" w:rsidRDefault="00192E97">
      <w:pPr>
        <w:pStyle w:val="BoxSpaceAbove"/>
      </w:pPr>
      <w:bookmarkStart w:id="2" w:name="begin"/>
      <w:bookmarkEnd w:id="2"/>
    </w:p>
    <w:tbl>
      <w:tblPr>
        <w:tblW w:w="8647"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647"/>
      </w:tblGrid>
      <w:tr w:rsidR="00192E97" w14:paraId="17594886" w14:textId="77777777" w:rsidTr="00E40632">
        <w:trPr>
          <w:tblHeader/>
        </w:trPr>
        <w:tc>
          <w:tcPr>
            <w:tcW w:w="8647" w:type="dxa"/>
            <w:tcBorders>
              <w:top w:val="single" w:sz="6" w:space="0" w:color="78A22F"/>
              <w:left w:val="nil"/>
              <w:bottom w:val="nil"/>
              <w:right w:val="nil"/>
            </w:tcBorders>
            <w:shd w:val="clear" w:color="auto" w:fill="F2F2F2"/>
          </w:tcPr>
          <w:p w14:paraId="39373E2E" w14:textId="30A7B6A0" w:rsidR="00192E97" w:rsidRPr="00E40632" w:rsidRDefault="00192E97">
            <w:pPr>
              <w:pStyle w:val="BoxTitle"/>
            </w:pPr>
            <w:r w:rsidRPr="00E40632">
              <w:rPr>
                <w:b w:val="0"/>
              </w:rPr>
              <w:t xml:space="preserve">Box </w:t>
            </w:r>
            <w:r w:rsidR="00CC1549">
              <w:rPr>
                <w:b w:val="0"/>
              </w:rPr>
              <w:t>12.</w:t>
            </w:r>
            <w:r w:rsidR="00173963">
              <w:rPr>
                <w:b w:val="0"/>
                <w:noProof/>
              </w:rPr>
              <w:t>1</w:t>
            </w:r>
            <w:r w:rsidR="00DC4582" w:rsidRPr="00E40632">
              <w:tab/>
              <w:t>Key messages</w:t>
            </w:r>
          </w:p>
        </w:tc>
      </w:tr>
      <w:tr w:rsidR="00192E97" w14:paraId="1F488E60" w14:textId="77777777" w:rsidTr="00E40632">
        <w:tc>
          <w:tcPr>
            <w:tcW w:w="8647" w:type="dxa"/>
            <w:tcBorders>
              <w:top w:val="nil"/>
              <w:left w:val="nil"/>
              <w:bottom w:val="nil"/>
              <w:right w:val="nil"/>
            </w:tcBorders>
            <w:shd w:val="clear" w:color="auto" w:fill="F2F2F2"/>
          </w:tcPr>
          <w:p w14:paraId="5740000A" w14:textId="77777777" w:rsidR="000555EA" w:rsidRPr="00E40632" w:rsidRDefault="000555EA" w:rsidP="000555EA">
            <w:pPr>
              <w:pStyle w:val="BoxListBullet"/>
            </w:pPr>
            <w:r w:rsidRPr="00E40632">
              <w:t xml:space="preserve">Torres Strait Islander people are </w:t>
            </w:r>
            <w:r w:rsidR="00A00E0E" w:rsidRPr="00E40632">
              <w:t xml:space="preserve">ethnically and </w:t>
            </w:r>
            <w:r w:rsidRPr="00E40632">
              <w:t xml:space="preserve">culturally distinct from </w:t>
            </w:r>
            <w:r w:rsidR="00085A1E">
              <w:t xml:space="preserve">mainland </w:t>
            </w:r>
            <w:r w:rsidRPr="00E40632">
              <w:t xml:space="preserve">Aboriginal people, </w:t>
            </w:r>
            <w:r w:rsidR="00A00E0E" w:rsidRPr="00E40632">
              <w:t xml:space="preserve">and </w:t>
            </w:r>
            <w:r w:rsidRPr="00E40632">
              <w:t xml:space="preserve">there is also great diversity in Torres Strait Islander communities, languages and traditions. </w:t>
            </w:r>
          </w:p>
          <w:p w14:paraId="4D4E64C9" w14:textId="77777777" w:rsidR="000555EA" w:rsidRPr="00E40632" w:rsidRDefault="000555EA" w:rsidP="00534EC7">
            <w:pPr>
              <w:pStyle w:val="BoxListBullet"/>
            </w:pPr>
            <w:r w:rsidRPr="00E40632">
              <w:t>Torres Strait Islander</w:t>
            </w:r>
            <w:r w:rsidR="000F044A" w:rsidRPr="00E40632">
              <w:t xml:space="preserve"> people</w:t>
            </w:r>
            <w:r w:rsidRPr="00E40632">
              <w:t xml:space="preserve"> live in the Torres Strait, but also </w:t>
            </w:r>
            <w:r w:rsidR="000F044A" w:rsidRPr="00E40632">
              <w:t xml:space="preserve">on </w:t>
            </w:r>
            <w:r w:rsidRPr="00E40632">
              <w:t xml:space="preserve">mainland Australia. </w:t>
            </w:r>
            <w:r w:rsidR="00834DC6">
              <w:t>While the majority of Torres Strait Islander</w:t>
            </w:r>
            <w:r w:rsidR="000F2805">
              <w:t xml:space="preserve"> people</w:t>
            </w:r>
            <w:r w:rsidR="00834DC6">
              <w:t xml:space="preserve"> </w:t>
            </w:r>
            <w:r w:rsidR="000F2805">
              <w:t xml:space="preserve">now </w:t>
            </w:r>
            <w:r w:rsidR="00834DC6">
              <w:t xml:space="preserve">live on the mainland, </w:t>
            </w:r>
            <w:r w:rsidR="00D77309">
              <w:t>they</w:t>
            </w:r>
            <w:r w:rsidR="00615FB0">
              <w:t xml:space="preserve"> </w:t>
            </w:r>
            <w:r w:rsidRPr="00E40632">
              <w:t>often retain close ties with families and communities in the Torres Strait.</w:t>
            </w:r>
          </w:p>
          <w:p w14:paraId="537D551A" w14:textId="77777777" w:rsidR="000555EA" w:rsidRPr="00652204" w:rsidRDefault="00295EA8" w:rsidP="00B66CE1">
            <w:pPr>
              <w:pStyle w:val="BoxListBullet"/>
            </w:pPr>
            <w:r w:rsidRPr="00E40632">
              <w:t>Torres Strait Islander people</w:t>
            </w:r>
            <w:r w:rsidR="000555EA" w:rsidRPr="00E40632">
              <w:t xml:space="preserve"> are about one in ten of the Aboriginal and Torres Strait Islander population, with the majority living in Queensland</w:t>
            </w:r>
            <w:r w:rsidR="00A00E0E" w:rsidRPr="002E0FD8">
              <w:t>.</w:t>
            </w:r>
            <w:r w:rsidRPr="002E0FD8">
              <w:t xml:space="preserve"> </w:t>
            </w:r>
            <w:r w:rsidR="00E40632" w:rsidRPr="00E70927">
              <w:t xml:space="preserve">Torres Strait Islander people include people who </w:t>
            </w:r>
            <w:r w:rsidR="00E40632" w:rsidRPr="00652204">
              <w:t>identify as Torres Strait Islander only, and people who identified as both Aboriginal and Torres Strait Islander.</w:t>
            </w:r>
          </w:p>
          <w:p w14:paraId="0A36975F" w14:textId="760944DE" w:rsidR="00022510" w:rsidRPr="00652204" w:rsidRDefault="00022510" w:rsidP="00534EC7">
            <w:pPr>
              <w:pStyle w:val="BoxListBullet"/>
            </w:pPr>
            <w:r w:rsidRPr="00652204">
              <w:t>Torres Strait Islander people have</w:t>
            </w:r>
            <w:r w:rsidR="00717FFE" w:rsidRPr="00652204">
              <w:t xml:space="preserve"> higher levels of </w:t>
            </w:r>
            <w:r w:rsidR="00B730DD">
              <w:t>Y</w:t>
            </w:r>
            <w:r w:rsidR="00717FFE" w:rsidRPr="00652204">
              <w:t>ear 12 or equivalent attainment and comparable</w:t>
            </w:r>
            <w:r w:rsidRPr="00652204">
              <w:t xml:space="preserve"> levels of post</w:t>
            </w:r>
            <w:r w:rsidR="00850173">
              <w:noBreakHyphen/>
            </w:r>
            <w:r w:rsidRPr="00652204">
              <w:t xml:space="preserve">secondary attainment </w:t>
            </w:r>
            <w:r w:rsidR="00534EC7" w:rsidRPr="00186AF2">
              <w:t>compared</w:t>
            </w:r>
            <w:r w:rsidR="00534EC7">
              <w:t xml:space="preserve"> </w:t>
            </w:r>
            <w:r w:rsidRPr="00652204">
              <w:t>to Aboriginal people</w:t>
            </w:r>
            <w:r w:rsidR="00717FFE" w:rsidRPr="00652204">
              <w:t>.</w:t>
            </w:r>
            <w:r w:rsidR="00615FB0" w:rsidRPr="00652204">
              <w:t xml:space="preserve"> </w:t>
            </w:r>
            <w:r w:rsidR="00717FFE" w:rsidRPr="00652204">
              <w:t>For</w:t>
            </w:r>
            <w:r w:rsidR="00295EA8" w:rsidRPr="00652204">
              <w:t xml:space="preserve"> Torres Strait Islander</w:t>
            </w:r>
            <w:r w:rsidR="000F2805" w:rsidRPr="00652204">
              <w:t xml:space="preserve"> people</w:t>
            </w:r>
            <w:r w:rsidR="00717FFE" w:rsidRPr="00652204">
              <w:t xml:space="preserve">, </w:t>
            </w:r>
            <w:r w:rsidR="00E40632" w:rsidRPr="00652204">
              <w:t xml:space="preserve">rates </w:t>
            </w:r>
            <w:r w:rsidR="007546DA" w:rsidRPr="00652204">
              <w:t xml:space="preserve">in very remote areas are comparable to those in </w:t>
            </w:r>
            <w:r w:rsidR="00615FB0" w:rsidRPr="00652204">
              <w:t>regional areas</w:t>
            </w:r>
            <w:r w:rsidR="00717FFE" w:rsidRPr="00652204">
              <w:t xml:space="preserve"> while those for </w:t>
            </w:r>
            <w:r w:rsidR="00295EA8" w:rsidRPr="00652204">
              <w:t>Aboriginal people</w:t>
            </w:r>
            <w:r w:rsidR="00576D6F" w:rsidRPr="00652204">
              <w:t xml:space="preserve"> </w:t>
            </w:r>
            <w:r w:rsidR="00E40632" w:rsidRPr="00652204">
              <w:t>decrease</w:t>
            </w:r>
            <w:r w:rsidR="00576D6F" w:rsidRPr="00652204">
              <w:t xml:space="preserve"> </w:t>
            </w:r>
            <w:r w:rsidR="00DE7E15" w:rsidRPr="00652204">
              <w:t xml:space="preserve">as </w:t>
            </w:r>
            <w:r w:rsidR="00576D6F" w:rsidRPr="00652204">
              <w:t>remoteness</w:t>
            </w:r>
            <w:r w:rsidR="00DE7E15" w:rsidRPr="00652204">
              <w:t xml:space="preserve"> increases</w:t>
            </w:r>
            <w:r w:rsidR="00E40632" w:rsidRPr="00652204">
              <w:t>.</w:t>
            </w:r>
          </w:p>
          <w:p w14:paraId="6B59D194" w14:textId="4243E4B1" w:rsidR="00022510" w:rsidRPr="00652204" w:rsidRDefault="00022510" w:rsidP="00B66CE1">
            <w:pPr>
              <w:pStyle w:val="BoxListBullet"/>
            </w:pPr>
            <w:r w:rsidRPr="00652204">
              <w:t>Rates of post</w:t>
            </w:r>
            <w:r w:rsidR="00850173">
              <w:noBreakHyphen/>
            </w:r>
            <w:r w:rsidRPr="00652204">
              <w:t>secondary attainment have increased</w:t>
            </w:r>
            <w:r w:rsidR="00BC31CC" w:rsidRPr="00652204">
              <w:t xml:space="preserve"> over time</w:t>
            </w:r>
            <w:r w:rsidRPr="00652204">
              <w:t xml:space="preserve"> for Torres Strait Islander people, with much of the growth in </w:t>
            </w:r>
            <w:r w:rsidR="00717FFE" w:rsidRPr="00652204">
              <w:t xml:space="preserve">qualifications from </w:t>
            </w:r>
            <w:r w:rsidRPr="00652204">
              <w:t xml:space="preserve">Certificate III </w:t>
            </w:r>
            <w:r w:rsidR="00BC31CC" w:rsidRPr="00652204">
              <w:t xml:space="preserve">to </w:t>
            </w:r>
            <w:r w:rsidR="000F2805" w:rsidRPr="00652204">
              <w:t>D</w:t>
            </w:r>
            <w:r w:rsidRPr="00652204">
              <w:t xml:space="preserve">iploma level. </w:t>
            </w:r>
          </w:p>
          <w:p w14:paraId="6FCA1233" w14:textId="1F5A3DB6" w:rsidR="00022510" w:rsidRPr="00EF5100" w:rsidRDefault="00717FFE" w:rsidP="00534EC7">
            <w:pPr>
              <w:pStyle w:val="BoxListBullet"/>
            </w:pPr>
            <w:r w:rsidRPr="00652204">
              <w:t xml:space="preserve">However, </w:t>
            </w:r>
            <w:r w:rsidR="00022510" w:rsidRPr="00652204">
              <w:t xml:space="preserve">this growth in </w:t>
            </w:r>
            <w:r w:rsidR="00B730DD">
              <w:t>Y</w:t>
            </w:r>
            <w:r w:rsidR="006C084A" w:rsidRPr="00652204">
              <w:t xml:space="preserve">ear 12 and </w:t>
            </w:r>
            <w:r w:rsidR="00022510" w:rsidRPr="00652204">
              <w:t>post</w:t>
            </w:r>
            <w:r w:rsidR="00850173">
              <w:noBreakHyphen/>
            </w:r>
            <w:r w:rsidR="00022510" w:rsidRPr="00652204">
              <w:t xml:space="preserve">secondary attainment does not appear to translate into better employment outcomes for Torres Strait Islander </w:t>
            </w:r>
            <w:r w:rsidR="00085A1E" w:rsidRPr="00652204">
              <w:t>people</w:t>
            </w:r>
            <w:r w:rsidR="00EF5100" w:rsidRPr="00652204">
              <w:t>, and the engagement of Torres Strait Islander people</w:t>
            </w:r>
            <w:r w:rsidR="00EF5100" w:rsidRPr="00AD5D3F">
              <w:t xml:space="preserve"> in the workforce has declined</w:t>
            </w:r>
            <w:r w:rsidR="00085A1E" w:rsidRPr="00AD5D3F">
              <w:t>.</w:t>
            </w:r>
            <w:r w:rsidR="00085A1E" w:rsidRPr="00EF5100">
              <w:t xml:space="preserve"> </w:t>
            </w:r>
          </w:p>
          <w:p w14:paraId="36291D0C" w14:textId="77777777" w:rsidR="00022510" w:rsidRPr="00E40632" w:rsidRDefault="00022510" w:rsidP="00022510">
            <w:pPr>
              <w:pStyle w:val="BoxListBullet"/>
            </w:pPr>
            <w:r w:rsidRPr="00EF5100">
              <w:t xml:space="preserve">Rates of home </w:t>
            </w:r>
            <w:r w:rsidRPr="00E40632">
              <w:t>ownership are similar for Aboriginal people and Torres Strait Islander people nationally, but the rates of home ownership are lower for those in the Torres Strait Region</w:t>
            </w:r>
            <w:r w:rsidR="004555C9" w:rsidRPr="00E40632">
              <w:t>.</w:t>
            </w:r>
          </w:p>
          <w:p w14:paraId="624C2C33" w14:textId="20C14191" w:rsidR="008A44F9" w:rsidRPr="00E70927" w:rsidRDefault="00B14D1A" w:rsidP="00503972">
            <w:pPr>
              <w:pStyle w:val="BoxListBullet"/>
            </w:pPr>
            <w:r w:rsidRPr="00E40632">
              <w:t xml:space="preserve">But for selected </w:t>
            </w:r>
            <w:r w:rsidR="00A04FE4" w:rsidRPr="00E40632">
              <w:t>heal</w:t>
            </w:r>
            <w:r w:rsidR="00401AB7">
              <w:t>th</w:t>
            </w:r>
            <w:r w:rsidR="00A04FE4" w:rsidRPr="00E40632">
              <w:t xml:space="preserve"> </w:t>
            </w:r>
            <w:r w:rsidRPr="00E40632">
              <w:t xml:space="preserve">indicators, </w:t>
            </w:r>
            <w:r w:rsidR="004555C9" w:rsidRPr="00E40632">
              <w:t xml:space="preserve">Aboriginal and Torres Strait Islander people living in the Torres Strait </w:t>
            </w:r>
            <w:r w:rsidRPr="00E40632">
              <w:t xml:space="preserve">Region </w:t>
            </w:r>
            <w:r w:rsidR="004555C9" w:rsidRPr="00E40632">
              <w:t xml:space="preserve">appear to have a better quality of life than </w:t>
            </w:r>
            <w:r w:rsidR="00A04FE4" w:rsidRPr="00E40632">
              <w:t>their peers</w:t>
            </w:r>
            <w:r w:rsidR="004555C9" w:rsidRPr="00E40632">
              <w:t xml:space="preserve"> on the mainland</w:t>
            </w:r>
            <w:r w:rsidR="00503972">
              <w:t>, w</w:t>
            </w:r>
            <w:r w:rsidR="00A04FE4" w:rsidRPr="00E40632">
              <w:t>ith low</w:t>
            </w:r>
            <w:r w:rsidR="00B730DD">
              <w:t>er rates of substance use, long-</w:t>
            </w:r>
            <w:r w:rsidR="00A04FE4" w:rsidRPr="00E40632">
              <w:t xml:space="preserve">term health conditions and </w:t>
            </w:r>
            <w:r w:rsidR="00295EA8" w:rsidRPr="00E40632">
              <w:t>psychological distress.</w:t>
            </w:r>
          </w:p>
        </w:tc>
      </w:tr>
      <w:tr w:rsidR="00192E97" w14:paraId="0DA6777D" w14:textId="77777777" w:rsidTr="00E40632">
        <w:tc>
          <w:tcPr>
            <w:tcW w:w="8647" w:type="dxa"/>
            <w:tcBorders>
              <w:top w:val="nil"/>
              <w:left w:val="nil"/>
              <w:bottom w:val="single" w:sz="6" w:space="0" w:color="78A22F"/>
              <w:right w:val="nil"/>
            </w:tcBorders>
            <w:shd w:val="clear" w:color="auto" w:fill="F2F2F2"/>
          </w:tcPr>
          <w:p w14:paraId="3D8AB74A" w14:textId="77777777" w:rsidR="00192E97" w:rsidRDefault="00192E97">
            <w:pPr>
              <w:pStyle w:val="Box"/>
              <w:spacing w:before="0" w:line="120" w:lineRule="exact"/>
            </w:pPr>
          </w:p>
        </w:tc>
      </w:tr>
      <w:tr w:rsidR="00192E97" w:rsidRPr="000863A5" w14:paraId="083CA6F7" w14:textId="77777777" w:rsidTr="00E40632">
        <w:tc>
          <w:tcPr>
            <w:tcW w:w="8647" w:type="dxa"/>
            <w:tcBorders>
              <w:top w:val="single" w:sz="6" w:space="0" w:color="78A22F"/>
              <w:left w:val="nil"/>
              <w:bottom w:val="nil"/>
              <w:right w:val="nil"/>
            </w:tcBorders>
          </w:tcPr>
          <w:p w14:paraId="4642B593" w14:textId="1F689036" w:rsidR="00192E97" w:rsidRPr="00626D32" w:rsidRDefault="00192E97" w:rsidP="00C52878">
            <w:pPr>
              <w:pStyle w:val="BoxSpaceBelow"/>
            </w:pPr>
          </w:p>
        </w:tc>
      </w:tr>
    </w:tbl>
    <w:p w14:paraId="19DE0E0D" w14:textId="17DA7E24" w:rsidR="000555EA" w:rsidRDefault="00D0108C" w:rsidP="00926C36">
      <w:pPr>
        <w:pStyle w:val="BodyText"/>
      </w:pPr>
      <w:r w:rsidRPr="00657782">
        <w:t>Torres Strait Islander</w:t>
      </w:r>
      <w:r>
        <w:t xml:space="preserve"> people</w:t>
      </w:r>
      <w:r w:rsidRPr="00657782">
        <w:t xml:space="preserve"> </w:t>
      </w:r>
      <w:r>
        <w:t xml:space="preserve">are </w:t>
      </w:r>
      <w:r w:rsidR="00A16509">
        <w:t xml:space="preserve">a </w:t>
      </w:r>
      <w:r>
        <w:t xml:space="preserve">culturally distinct </w:t>
      </w:r>
      <w:r w:rsidR="00A16509">
        <w:t xml:space="preserve">group with different histories, languages and colonial experiences </w:t>
      </w:r>
      <w:r>
        <w:t>from Aboriginal people.</w:t>
      </w:r>
      <w:r w:rsidR="00420D3E">
        <w:t xml:space="preserve"> </w:t>
      </w:r>
      <w:r w:rsidR="00420D3E" w:rsidRPr="00657782">
        <w:t>They are a separate people in origin, history and way of life, with many cultural connections to New Guinea and nearby islands</w:t>
      </w:r>
      <w:r w:rsidR="003913E7" w:rsidRPr="003913E7">
        <w:t xml:space="preserve"> </w:t>
      </w:r>
      <w:r w:rsidR="003913E7">
        <w:t>(</w:t>
      </w:r>
      <w:r w:rsidR="003913E7" w:rsidRPr="001445C6">
        <w:t>Pascoe 2018</w:t>
      </w:r>
      <w:r w:rsidR="003913E7">
        <w:t xml:space="preserve">; </w:t>
      </w:r>
      <w:proofErr w:type="spellStart"/>
      <w:r w:rsidR="006904F4">
        <w:rPr>
          <w:szCs w:val="24"/>
        </w:rPr>
        <w:t>AIATSIS</w:t>
      </w:r>
      <w:proofErr w:type="spellEnd"/>
      <w:r w:rsidR="006904F4">
        <w:rPr>
          <w:szCs w:val="24"/>
        </w:rPr>
        <w:t xml:space="preserve"> 2008; </w:t>
      </w:r>
      <w:proofErr w:type="spellStart"/>
      <w:r w:rsidR="006904F4">
        <w:rPr>
          <w:szCs w:val="24"/>
        </w:rPr>
        <w:t>Shnuka</w:t>
      </w:r>
      <w:r w:rsidR="00420D3E" w:rsidRPr="00DC4582">
        <w:rPr>
          <w:szCs w:val="24"/>
        </w:rPr>
        <w:t>l</w:t>
      </w:r>
      <w:proofErr w:type="spellEnd"/>
      <w:r w:rsidR="00420D3E" w:rsidRPr="00DC4582">
        <w:rPr>
          <w:szCs w:val="24"/>
        </w:rPr>
        <w:t> 2001)</w:t>
      </w:r>
      <w:r w:rsidR="00420D3E">
        <w:t>.</w:t>
      </w:r>
      <w:r w:rsidR="000555EA">
        <w:t xml:space="preserve"> </w:t>
      </w:r>
      <w:r w:rsidR="005A2B7E" w:rsidRPr="00F50F33">
        <w:t xml:space="preserve">There is </w:t>
      </w:r>
      <w:r w:rsidR="000555EA">
        <w:t xml:space="preserve">also </w:t>
      </w:r>
      <w:r w:rsidR="005A2B7E" w:rsidRPr="00F50F33">
        <w:t xml:space="preserve">great diversity in Torres Strait Islander communities, their languages and traditions. </w:t>
      </w:r>
    </w:p>
    <w:p w14:paraId="76CDC4AA" w14:textId="1C4D2ED3" w:rsidR="00C83752" w:rsidRDefault="00C83752" w:rsidP="00926C36">
      <w:pPr>
        <w:pStyle w:val="BodyText"/>
      </w:pPr>
      <w:r>
        <w:lastRenderedPageBreak/>
        <w:t>However, there are also similarities between Aboriginal people and Torres Strait Islander people. Similarities include connection to specific land</w:t>
      </w:r>
      <w:r w:rsidR="006A4B07">
        <w:t>s</w:t>
      </w:r>
      <w:r>
        <w:t xml:space="preserve"> and water</w:t>
      </w:r>
      <w:r w:rsidR="006A4B07">
        <w:t>s</w:t>
      </w:r>
      <w:r>
        <w:t>, and clear principles and values that determine cultural and social responsibilities</w:t>
      </w:r>
      <w:r w:rsidR="00790D1E">
        <w:t xml:space="preserve"> </w:t>
      </w:r>
      <w:r w:rsidR="00790D1E" w:rsidRPr="00790D1E">
        <w:rPr>
          <w:szCs w:val="24"/>
        </w:rPr>
        <w:t>(Garvey 2007)</w:t>
      </w:r>
      <w:r>
        <w:t>.</w:t>
      </w:r>
    </w:p>
    <w:p w14:paraId="4EFE9396" w14:textId="620CCC8B" w:rsidR="00926C36" w:rsidRDefault="008A44F9" w:rsidP="00926C36">
      <w:pPr>
        <w:pStyle w:val="BodyText"/>
      </w:pPr>
      <w:r>
        <w:t xml:space="preserve">Torres Strait Islander </w:t>
      </w:r>
      <w:r w:rsidR="000F044A">
        <w:t xml:space="preserve">people </w:t>
      </w:r>
      <w:r w:rsidR="00F849FA" w:rsidRPr="00F50F33">
        <w:t>liv</w:t>
      </w:r>
      <w:r w:rsidR="00F849FA">
        <w:t>e</w:t>
      </w:r>
      <w:r w:rsidR="00F849FA" w:rsidRPr="00F50F33">
        <w:t xml:space="preserve"> </w:t>
      </w:r>
      <w:r w:rsidR="00F849FA">
        <w:t>i</w:t>
      </w:r>
      <w:r w:rsidR="00F849FA" w:rsidRPr="00F50F33">
        <w:t>n the Torres Strait</w:t>
      </w:r>
      <w:r w:rsidR="00F849FA">
        <w:t xml:space="preserve">, but </w:t>
      </w:r>
      <w:r w:rsidR="00926C36">
        <w:t xml:space="preserve">also </w:t>
      </w:r>
      <w:r w:rsidR="000F044A">
        <w:t>o</w:t>
      </w:r>
      <w:r w:rsidR="00926C36">
        <w:t>n mainland Australia</w:t>
      </w:r>
      <w:r w:rsidR="00F849FA">
        <w:t>.</w:t>
      </w:r>
      <w:r w:rsidR="00F849FA" w:rsidRPr="00F50F33">
        <w:t xml:space="preserve"> </w:t>
      </w:r>
      <w:r w:rsidR="00926C36">
        <w:t xml:space="preserve">Torres Strait Islander people living on the mainland retain close ties with families and communities in the Torres Strait </w:t>
      </w:r>
      <w:r w:rsidR="001221D3" w:rsidRPr="001221D3">
        <w:rPr>
          <w:szCs w:val="24"/>
        </w:rPr>
        <w:t>(Watkin Lui 2012; Watkin Lui et al. 2016)</w:t>
      </w:r>
      <w:r w:rsidR="00926C36">
        <w:t>.</w:t>
      </w:r>
    </w:p>
    <w:p w14:paraId="1770B5A4" w14:textId="77777777" w:rsidR="005310DF" w:rsidRDefault="00F849FA" w:rsidP="00BD3910">
      <w:pPr>
        <w:pStyle w:val="BodyText"/>
      </w:pPr>
      <w:r>
        <w:t xml:space="preserve">This </w:t>
      </w:r>
      <w:r w:rsidR="000555EA">
        <w:t>chapter</w:t>
      </w:r>
      <w:r>
        <w:t xml:space="preserve"> compares results </w:t>
      </w:r>
      <w:r w:rsidR="000555EA">
        <w:t>for</w:t>
      </w:r>
      <w:r w:rsidR="000555EA" w:rsidRPr="000555EA">
        <w:t xml:space="preserve"> </w:t>
      </w:r>
      <w:r w:rsidR="000555EA">
        <w:t>Torres Strait Islander people o</w:t>
      </w:r>
      <w:r w:rsidR="008A44F9">
        <w:t>n a national basis and considers their education, employment</w:t>
      </w:r>
      <w:r w:rsidR="00107DE8">
        <w:t>, h</w:t>
      </w:r>
      <w:r w:rsidR="008A44F9">
        <w:t>ome</w:t>
      </w:r>
      <w:r w:rsidR="00A04329">
        <w:t xml:space="preserve"> </w:t>
      </w:r>
      <w:r w:rsidR="008A44F9">
        <w:t>ownership</w:t>
      </w:r>
      <w:r w:rsidR="00107DE8">
        <w:t xml:space="preserve"> and selected health</w:t>
      </w:r>
      <w:r w:rsidR="008A44F9">
        <w:t xml:space="preserve"> o</w:t>
      </w:r>
      <w:r w:rsidR="000751B8">
        <w:t>utcomes relative to Aboriginal people</w:t>
      </w:r>
      <w:r w:rsidR="008A44F9">
        <w:t xml:space="preserve">. It also considers the </w:t>
      </w:r>
      <w:r w:rsidR="00107DE8">
        <w:t xml:space="preserve">outcomes </w:t>
      </w:r>
      <w:r w:rsidR="008A44F9">
        <w:t>of Aboriginal and Torres Strait Islander people living in the Torres Strait</w:t>
      </w:r>
      <w:r w:rsidR="000751B8">
        <w:t xml:space="preserve">, and how </w:t>
      </w:r>
      <w:r w:rsidR="00107DE8">
        <w:t>these</w:t>
      </w:r>
      <w:r w:rsidR="000751B8">
        <w:t xml:space="preserve"> compare to Aboriginal and Torres S</w:t>
      </w:r>
      <w:r>
        <w:t xml:space="preserve">trait Islander people living </w:t>
      </w:r>
      <w:r w:rsidR="00107DE8">
        <w:t>on mainland</w:t>
      </w:r>
      <w:r>
        <w:t xml:space="preserve"> Australia</w:t>
      </w:r>
      <w:r w:rsidR="000751B8">
        <w:t xml:space="preserve">. </w:t>
      </w:r>
    </w:p>
    <w:p w14:paraId="59F50761" w14:textId="4F6EF625" w:rsidR="00045391" w:rsidRDefault="005310DF" w:rsidP="00995412">
      <w:pPr>
        <w:pStyle w:val="BodyText"/>
      </w:pPr>
      <w:r>
        <w:t xml:space="preserve">For those living in the </w:t>
      </w:r>
      <w:r w:rsidR="00BD3910">
        <w:t xml:space="preserve">Torres Strait </w:t>
      </w:r>
      <w:r>
        <w:t xml:space="preserve">there are some </w:t>
      </w:r>
      <w:r w:rsidR="00A04329">
        <w:t xml:space="preserve">issues </w:t>
      </w:r>
      <w:r>
        <w:t xml:space="preserve">unique </w:t>
      </w:r>
      <w:r w:rsidR="00A04329">
        <w:t xml:space="preserve">to such remote </w:t>
      </w:r>
      <w:r w:rsidR="00576D6F">
        <w:t>sea</w:t>
      </w:r>
      <w:r w:rsidR="00850173">
        <w:noBreakHyphen/>
      </w:r>
      <w:r w:rsidR="00576D6F">
        <w:t xml:space="preserve">locked </w:t>
      </w:r>
      <w:r w:rsidR="0058070D">
        <w:t>islands</w:t>
      </w:r>
      <w:r>
        <w:t xml:space="preserve">, which </w:t>
      </w:r>
      <w:r w:rsidR="00F97137">
        <w:t xml:space="preserve">are not considered in detail here but </w:t>
      </w:r>
      <w:r>
        <w:t>may affect the outcomes reported</w:t>
      </w:r>
      <w:r w:rsidR="00BC31CC">
        <w:t>. For example,</w:t>
      </w:r>
      <w:r w:rsidR="00045391" w:rsidRPr="00045391">
        <w:t xml:space="preserve"> </w:t>
      </w:r>
      <w:r w:rsidR="00045391">
        <w:t>the:</w:t>
      </w:r>
    </w:p>
    <w:p w14:paraId="2828F3EC" w14:textId="5279AF96" w:rsidR="00045391" w:rsidRPr="00652204" w:rsidRDefault="00093E85" w:rsidP="00AD0A39">
      <w:pPr>
        <w:pStyle w:val="ListBullet"/>
        <w:shd w:val="clear" w:color="auto" w:fill="FFFFFF" w:themeFill="background1"/>
      </w:pPr>
      <w:r w:rsidRPr="00652204">
        <w:t xml:space="preserve">high costs associated with </w:t>
      </w:r>
      <w:r w:rsidR="00A16509" w:rsidRPr="00652204">
        <w:t xml:space="preserve">complex transportation arrangements </w:t>
      </w:r>
      <w:r w:rsidR="000604F8" w:rsidRPr="00652204">
        <w:t>for the region</w:t>
      </w:r>
      <w:r w:rsidR="00A16509" w:rsidRPr="00652204">
        <w:t xml:space="preserve"> </w:t>
      </w:r>
      <w:r w:rsidRPr="00652204">
        <w:t>and the effect they have on the</w:t>
      </w:r>
      <w:r w:rsidR="00A16509" w:rsidRPr="00652204">
        <w:t xml:space="preserve"> development of infrastructure</w:t>
      </w:r>
      <w:r w:rsidRPr="00652204">
        <w:t xml:space="preserve"> and service delivery</w:t>
      </w:r>
      <w:r w:rsidR="00652204">
        <w:t xml:space="preserve"> </w:t>
      </w:r>
      <w:r w:rsidR="001221D3" w:rsidRPr="001221D3">
        <w:rPr>
          <w:szCs w:val="24"/>
        </w:rPr>
        <w:t>(</w:t>
      </w:r>
      <w:proofErr w:type="spellStart"/>
      <w:r w:rsidR="001221D3" w:rsidRPr="001221D3">
        <w:rPr>
          <w:szCs w:val="24"/>
        </w:rPr>
        <w:t>TSRA</w:t>
      </w:r>
      <w:proofErr w:type="spellEnd"/>
      <w:r w:rsidR="001221D3" w:rsidRPr="001221D3">
        <w:rPr>
          <w:szCs w:val="24"/>
        </w:rPr>
        <w:t> 2019)</w:t>
      </w:r>
      <w:r w:rsidRPr="00652204">
        <w:t>. This extra logistical expense is also passed on to the consumer, where the cost of necessities may exceed that on the mainland. When this issue is c</w:t>
      </w:r>
      <w:r w:rsidR="003D6C81" w:rsidRPr="00652204">
        <w:t xml:space="preserve">ompounded by </w:t>
      </w:r>
      <w:r w:rsidR="00F97137" w:rsidRPr="00652204">
        <w:t xml:space="preserve">relatively </w:t>
      </w:r>
      <w:r w:rsidR="003D6C81" w:rsidRPr="00652204">
        <w:t>low incomes</w:t>
      </w:r>
      <w:r w:rsidR="00A04329" w:rsidRPr="00652204">
        <w:t>,</w:t>
      </w:r>
      <w:r w:rsidR="003D6C81" w:rsidRPr="00652204">
        <w:t xml:space="preserve"> </w:t>
      </w:r>
      <w:r w:rsidR="00F97137" w:rsidRPr="00652204">
        <w:t>Aboriginal and Torres Strait Islander people</w:t>
      </w:r>
      <w:r w:rsidR="003D6C81" w:rsidRPr="00652204">
        <w:t xml:space="preserve"> who live on the </w:t>
      </w:r>
      <w:r w:rsidR="0058070D" w:rsidRPr="00652204">
        <w:t xml:space="preserve">Torres Strait Islands </w:t>
      </w:r>
      <w:r w:rsidRPr="00652204">
        <w:t xml:space="preserve">may </w:t>
      </w:r>
      <w:r w:rsidR="00A04329" w:rsidRPr="00652204">
        <w:t>have a higher cost of living and less disposable income</w:t>
      </w:r>
    </w:p>
    <w:p w14:paraId="46227CDA" w14:textId="4E74A74A" w:rsidR="00FB3AE9" w:rsidRDefault="00B6256E" w:rsidP="000604F8">
      <w:pPr>
        <w:pStyle w:val="ListBullet"/>
      </w:pPr>
      <w:r>
        <w:t xml:space="preserve">level of </w:t>
      </w:r>
      <w:r w:rsidR="00045391">
        <w:t xml:space="preserve">reliance on </w:t>
      </w:r>
      <w:r>
        <w:t xml:space="preserve">resources and </w:t>
      </w:r>
      <w:r w:rsidR="00045391">
        <w:t>industries</w:t>
      </w:r>
      <w:r>
        <w:t>, such as fishing that are at risk from environmental degradation and climate change</w:t>
      </w:r>
      <w:r w:rsidR="00652204">
        <w:t xml:space="preserve"> </w:t>
      </w:r>
      <w:r w:rsidR="001221D3" w:rsidRPr="001221D3">
        <w:rPr>
          <w:szCs w:val="24"/>
        </w:rPr>
        <w:t>(Johnson and Welch 2016)</w:t>
      </w:r>
      <w:r w:rsidR="00652204">
        <w:t>.</w:t>
      </w:r>
    </w:p>
    <w:p w14:paraId="341C820D" w14:textId="68F4614E" w:rsidR="00BD3910" w:rsidRDefault="000555EA" w:rsidP="008A44F9">
      <w:pPr>
        <w:pStyle w:val="BodyText"/>
      </w:pPr>
      <w:r w:rsidRPr="00F50F33">
        <w:t>Torres Strait Islander</w:t>
      </w:r>
      <w:r>
        <w:t xml:space="preserve"> people</w:t>
      </w:r>
      <w:r w:rsidRPr="00F50F33">
        <w:t xml:space="preserve"> make up a very small proportion of</w:t>
      </w:r>
      <w:r>
        <w:t xml:space="preserve"> the Australian population (0.3 </w:t>
      </w:r>
      <w:r w:rsidRPr="00F50F33">
        <w:t>per</w:t>
      </w:r>
      <w:r>
        <w:t> </w:t>
      </w:r>
      <w:r w:rsidRPr="00F50F33">
        <w:t>cent), making it difficult to report reliable data from sample surveys at a disaggregated level</w:t>
      </w:r>
      <w:r w:rsidR="001F62F9">
        <w:t xml:space="preserve"> </w:t>
      </w:r>
      <w:r w:rsidR="001F62F9" w:rsidRPr="001F62F9">
        <w:rPr>
          <w:szCs w:val="24"/>
        </w:rPr>
        <w:t>(ABS 2018)</w:t>
      </w:r>
      <w:r w:rsidRPr="00F50F33">
        <w:t>.</w:t>
      </w:r>
      <w:r w:rsidR="000E7E6B">
        <w:t xml:space="preserve"> Hence, the majority of </w:t>
      </w:r>
      <w:r w:rsidR="00A04329">
        <w:t xml:space="preserve">data in this </w:t>
      </w:r>
      <w:r w:rsidR="000E7E6B">
        <w:t xml:space="preserve">chapter </w:t>
      </w:r>
      <w:r w:rsidR="00A04329">
        <w:t xml:space="preserve">is </w:t>
      </w:r>
      <w:r w:rsidR="000E7E6B">
        <w:t>draw</w:t>
      </w:r>
      <w:r w:rsidR="00A04329">
        <w:t>n</w:t>
      </w:r>
      <w:r w:rsidR="000E7E6B">
        <w:t xml:space="preserve"> from the Census</w:t>
      </w:r>
      <w:r w:rsidR="00BC31CC">
        <w:t xml:space="preserve"> of Population and Housing</w:t>
      </w:r>
      <w:r w:rsidR="000E7E6B">
        <w:t xml:space="preserve"> (with the most recent data for 2016)</w:t>
      </w:r>
      <w:r w:rsidR="00BD3910">
        <w:t>.</w:t>
      </w:r>
    </w:p>
    <w:p w14:paraId="44B5F1CE" w14:textId="77777777" w:rsidR="00A04329" w:rsidRDefault="000555EA" w:rsidP="00995412">
      <w:pPr>
        <w:pStyle w:val="BodyText"/>
      </w:pPr>
      <w:r w:rsidRPr="00F50F33">
        <w:t xml:space="preserve">In this chapter, data </w:t>
      </w:r>
      <w:r>
        <w:t xml:space="preserve">reported </w:t>
      </w:r>
      <w:r w:rsidRPr="00F50F33">
        <w:t xml:space="preserve">for Torres Strait Islander </w:t>
      </w:r>
      <w:r>
        <w:t>people</w:t>
      </w:r>
      <w:r w:rsidRPr="00F50F33">
        <w:t xml:space="preserve"> include people who identified as Torres Strait Islander only and people who identified as </w:t>
      </w:r>
      <w:r w:rsidR="000F044A">
        <w:t>b</w:t>
      </w:r>
      <w:r w:rsidRPr="00F50F33">
        <w:t xml:space="preserve">oth Aboriginal and Torres Strait Islander. For comparison purposes, data for Aboriginal </w:t>
      </w:r>
      <w:r>
        <w:t>people</w:t>
      </w:r>
      <w:r w:rsidRPr="00F50F33">
        <w:t xml:space="preserve"> in this chapter have been limited to people who identified as Aboriginal only.</w:t>
      </w:r>
      <w:r w:rsidR="00870690">
        <w:t xml:space="preserve"> </w:t>
      </w:r>
    </w:p>
    <w:p w14:paraId="130A57D0" w14:textId="77777777" w:rsidR="00555F17" w:rsidRPr="005A2B7E" w:rsidRDefault="0058070D" w:rsidP="00C726BA">
      <w:pPr>
        <w:pStyle w:val="Heading3"/>
      </w:pPr>
      <w:r>
        <w:t xml:space="preserve">Torres Strait Islander people </w:t>
      </w:r>
      <w:r w:rsidR="00F849FA">
        <w:t xml:space="preserve">are about one in ten of the </w:t>
      </w:r>
      <w:r w:rsidR="00F849FA" w:rsidRPr="00F849FA">
        <w:t xml:space="preserve">Aboriginal and Torres Strait Islander </w:t>
      </w:r>
      <w:r w:rsidR="00F849FA">
        <w:t>population</w:t>
      </w:r>
      <w:r w:rsidR="00D42E8A">
        <w:t>, with the majority living in Queensland</w:t>
      </w:r>
    </w:p>
    <w:p w14:paraId="0ED7703A" w14:textId="77777777" w:rsidR="006A4B07" w:rsidRDefault="005C35E0" w:rsidP="004C0BA6">
      <w:pPr>
        <w:pStyle w:val="BodyText"/>
      </w:pPr>
      <w:r>
        <w:t xml:space="preserve">Of </w:t>
      </w:r>
      <w:r w:rsidR="00F849FA">
        <w:t>the estimated 650</w:t>
      </w:r>
      <w:r w:rsidR="00A00E0E">
        <w:t> </w:t>
      </w:r>
      <w:r w:rsidR="00F849FA">
        <w:t xml:space="preserve">000 people </w:t>
      </w:r>
      <w:r w:rsidR="00F849FA" w:rsidRPr="002D1197">
        <w:t>identified as being of Aboriginal and/or</w:t>
      </w:r>
      <w:r w:rsidR="00F849FA">
        <w:t xml:space="preserve"> Torres Strait Islander origin in 2016</w:t>
      </w:r>
      <w:r w:rsidR="00926C36">
        <w:t>,</w:t>
      </w:r>
      <w:r w:rsidR="00D42E8A">
        <w:t xml:space="preserve"> nearly 10 per cent </w:t>
      </w:r>
      <w:r w:rsidR="006B583B">
        <w:t>identified as being of</w:t>
      </w:r>
      <w:r w:rsidR="00D42E8A">
        <w:t xml:space="preserve"> </w:t>
      </w:r>
      <w:r w:rsidR="00D42E8A" w:rsidRPr="00D42E8A">
        <w:t>Torres Strait Islander origin</w:t>
      </w:r>
      <w:r w:rsidR="00D42E8A">
        <w:t xml:space="preserve">. </w:t>
      </w:r>
    </w:p>
    <w:p w14:paraId="79F9143E" w14:textId="56E07F53" w:rsidR="008A44F9" w:rsidRDefault="006A4B07" w:rsidP="004C0BA6">
      <w:pPr>
        <w:pStyle w:val="BodyText"/>
      </w:pPr>
      <w:r>
        <w:lastRenderedPageBreak/>
        <w:t>In 2016, most Torres Strait Islander people</w:t>
      </w:r>
      <w:r w:rsidR="00D42E8A">
        <w:t xml:space="preserve"> live</w:t>
      </w:r>
      <w:r>
        <w:t>d</w:t>
      </w:r>
      <w:r w:rsidR="00D42E8A">
        <w:t xml:space="preserve"> outside of the Torres Strait Region</w:t>
      </w:r>
      <w:r w:rsidR="00E43622">
        <w:t xml:space="preserve"> (90 per </w:t>
      </w:r>
      <w:r>
        <w:t xml:space="preserve">cent); </w:t>
      </w:r>
      <w:r w:rsidR="004340EF">
        <w:t>t</w:t>
      </w:r>
      <w:r w:rsidR="00D42E8A">
        <w:t>he</w:t>
      </w:r>
      <w:r w:rsidR="005C35E0" w:rsidRPr="002D1197">
        <w:t xml:space="preserve"> majority</w:t>
      </w:r>
      <w:r w:rsidR="0093151A">
        <w:t xml:space="preserve"> </w:t>
      </w:r>
      <w:r w:rsidR="005C35E0" w:rsidRPr="002D1197">
        <w:t>live</w:t>
      </w:r>
      <w:r>
        <w:t>d</w:t>
      </w:r>
      <w:r w:rsidR="005C35E0" w:rsidRPr="002D1197">
        <w:t xml:space="preserve"> in Queensland</w:t>
      </w:r>
      <w:r w:rsidR="005C35E0">
        <w:t xml:space="preserve"> </w:t>
      </w:r>
      <w:r w:rsidR="005C35E0" w:rsidRPr="002D1197">
        <w:t>(</w:t>
      </w:r>
      <w:r w:rsidR="009639C5">
        <w:t>6</w:t>
      </w:r>
      <w:r w:rsidR="00BA1F88">
        <w:t>3</w:t>
      </w:r>
      <w:r w:rsidR="009C7ACB">
        <w:t> </w:t>
      </w:r>
      <w:r w:rsidR="005C35E0" w:rsidRPr="002D1197">
        <w:t>per</w:t>
      </w:r>
      <w:r w:rsidR="009C7ACB">
        <w:t> </w:t>
      </w:r>
      <w:r w:rsidR="005C35E0" w:rsidRPr="002D1197">
        <w:t>cent)</w:t>
      </w:r>
      <w:r w:rsidR="009C7ACB">
        <w:t xml:space="preserve">. </w:t>
      </w:r>
      <w:r w:rsidR="00833869">
        <w:t>T</w:t>
      </w:r>
      <w:r w:rsidR="005C35E0">
        <w:t>he region</w:t>
      </w:r>
      <w:r w:rsidR="00D42E8A">
        <w:t>s</w:t>
      </w:r>
      <w:r w:rsidR="005C35E0">
        <w:t xml:space="preserve"> with the largest </w:t>
      </w:r>
      <w:r w:rsidR="00D42E8A">
        <w:t>numbers</w:t>
      </w:r>
      <w:r w:rsidR="005C35E0">
        <w:t xml:space="preserve"> of Torres Strait Islander people were </w:t>
      </w:r>
      <w:r w:rsidR="0093151A">
        <w:t>Cairns</w:t>
      </w:r>
      <w:r w:rsidR="00850173">
        <w:noBreakHyphen/>
      </w:r>
      <w:r w:rsidR="0093151A">
        <w:t>Atherton (1</w:t>
      </w:r>
      <w:r w:rsidR="00107DE8">
        <w:t>5</w:t>
      </w:r>
      <w:r w:rsidR="009C7ACB">
        <w:t> </w:t>
      </w:r>
      <w:r w:rsidR="0093151A">
        <w:t>per</w:t>
      </w:r>
      <w:r w:rsidR="009C7ACB">
        <w:t> </w:t>
      </w:r>
      <w:r w:rsidR="0093151A">
        <w:t>cent</w:t>
      </w:r>
      <w:r w:rsidR="00D42E8A">
        <w:t xml:space="preserve"> of </w:t>
      </w:r>
      <w:r>
        <w:t xml:space="preserve">all </w:t>
      </w:r>
      <w:r w:rsidR="00D42E8A">
        <w:t>Torres Strait Islander people live</w:t>
      </w:r>
      <w:r>
        <w:t>d</w:t>
      </w:r>
      <w:r w:rsidR="00D42E8A">
        <w:t xml:space="preserve"> here</w:t>
      </w:r>
      <w:r w:rsidR="0093151A">
        <w:t>), Brisbane (</w:t>
      </w:r>
      <w:r w:rsidR="00107DE8">
        <w:t>13</w:t>
      </w:r>
      <w:r w:rsidR="009C7ACB">
        <w:t> </w:t>
      </w:r>
      <w:r w:rsidR="0093151A">
        <w:t>per</w:t>
      </w:r>
      <w:r w:rsidR="009C7ACB">
        <w:t> </w:t>
      </w:r>
      <w:r w:rsidR="0093151A">
        <w:t xml:space="preserve">cent) and </w:t>
      </w:r>
      <w:r w:rsidR="009C7ACB">
        <w:t>Townsville</w:t>
      </w:r>
      <w:r w:rsidR="00850173">
        <w:noBreakHyphen/>
      </w:r>
      <w:r w:rsidR="009C7ACB">
        <w:t>Mackay (12 per </w:t>
      </w:r>
      <w:r w:rsidR="001E40A7">
        <w:t>cent)</w:t>
      </w:r>
      <w:r w:rsidR="000F0D56">
        <w:t xml:space="preserve"> </w:t>
      </w:r>
      <w:r w:rsidR="001221D3" w:rsidRPr="001221D3">
        <w:rPr>
          <w:szCs w:val="24"/>
        </w:rPr>
        <w:t>(ABS 2016)</w:t>
      </w:r>
      <w:r w:rsidR="008A44F9">
        <w:t>.</w:t>
      </w:r>
    </w:p>
    <w:p w14:paraId="638A910C" w14:textId="50FFE4EF" w:rsidR="00087F00" w:rsidRDefault="00087F00" w:rsidP="00087F00">
      <w:pPr>
        <w:pStyle w:val="BodyText"/>
      </w:pPr>
      <w:r>
        <w:t xml:space="preserve">In 2016, </w:t>
      </w:r>
      <w:r w:rsidR="000F044A">
        <w:t xml:space="preserve">about </w:t>
      </w:r>
      <w:r>
        <w:t>17 per cent of the Torres Strait Islander population in Queensland lived in the Torres Strait Region (648</w:t>
      </w:r>
      <w:r w:rsidR="00BA1F88">
        <w:t>9</w:t>
      </w:r>
      <w:r>
        <w:t> people), representing 80 per cent of the population of the region</w:t>
      </w:r>
      <w:r w:rsidRPr="00F63CEC">
        <w:rPr>
          <w:rStyle w:val="FootnoteReference"/>
        </w:rPr>
        <w:footnoteReference w:id="2"/>
      </w:r>
      <w:r>
        <w:t xml:space="preserve">. An additional </w:t>
      </w:r>
      <w:r w:rsidR="000F044A">
        <w:t>2</w:t>
      </w:r>
      <w:r>
        <w:t> per cent of the population in the Torres Strait Region is of Aboriginal origin only</w:t>
      </w:r>
      <w:r w:rsidR="00AC54A7">
        <w:t xml:space="preserve"> </w:t>
      </w:r>
      <w:r w:rsidR="001221D3" w:rsidRPr="001221D3">
        <w:rPr>
          <w:szCs w:val="24"/>
        </w:rPr>
        <w:t>(ABS 2018)</w:t>
      </w:r>
      <w:r w:rsidR="001C67F4">
        <w:t>.</w:t>
      </w:r>
    </w:p>
    <w:p w14:paraId="55EB6362" w14:textId="7AE8D790" w:rsidR="00C0297A" w:rsidRPr="002B1569" w:rsidRDefault="00B730DD" w:rsidP="001F62F9">
      <w:pPr>
        <w:pStyle w:val="Heading3"/>
      </w:pPr>
      <w:r>
        <w:t>Rates of Y</w:t>
      </w:r>
      <w:r w:rsidR="00801872" w:rsidRPr="002B1569">
        <w:t>ear 12 or equivalent attainment and post</w:t>
      </w:r>
      <w:r w:rsidR="00850173">
        <w:noBreakHyphen/>
      </w:r>
      <w:r w:rsidR="00801872" w:rsidRPr="002B1569">
        <w:t xml:space="preserve">secondary educational attainment are increasing for </w:t>
      </w:r>
      <w:r w:rsidR="00C0297A" w:rsidRPr="002B1569">
        <w:t xml:space="preserve">Torres Strait Islander people </w:t>
      </w:r>
    </w:p>
    <w:p w14:paraId="42508144" w14:textId="61E87656" w:rsidR="006E1BA2" w:rsidRPr="002B1569" w:rsidRDefault="00801872" w:rsidP="00AD0A39">
      <w:pPr>
        <w:pStyle w:val="BodyText"/>
        <w:shd w:val="clear" w:color="auto" w:fill="FFFFFF" w:themeFill="background1"/>
      </w:pPr>
      <w:r w:rsidRPr="002B1569">
        <w:t xml:space="preserve">Year 12 or equivalent attainment rates have increased for Torres Strait Islander people from the 2011 Census to the 2016 Census. </w:t>
      </w:r>
      <w:r w:rsidR="006E1BA2" w:rsidRPr="002B1569">
        <w:t xml:space="preserve">In 2016, 74 per cent of Torres Strait Islander people </w:t>
      </w:r>
      <w:r w:rsidR="000604F8" w:rsidRPr="00AD0A39">
        <w:rPr>
          <w:shd w:val="clear" w:color="auto" w:fill="FFFFFF" w:themeFill="background1"/>
        </w:rPr>
        <w:t>aged</w:t>
      </w:r>
      <w:r w:rsidR="006E1BA2" w:rsidRPr="00AD0A39">
        <w:rPr>
          <w:shd w:val="clear" w:color="auto" w:fill="FFFFFF" w:themeFill="background1"/>
        </w:rPr>
        <w:t xml:space="preserve"> 20</w:t>
      </w:r>
      <w:r w:rsidR="000604F8" w:rsidRPr="00AD0A39">
        <w:rPr>
          <w:shd w:val="clear" w:color="auto" w:fill="FFFFFF" w:themeFill="background1"/>
        </w:rPr>
        <w:t>–</w:t>
      </w:r>
      <w:r w:rsidR="005F6124" w:rsidRPr="00AD0A39">
        <w:rPr>
          <w:shd w:val="clear" w:color="auto" w:fill="FFFFFF" w:themeFill="background1"/>
        </w:rPr>
        <w:t>2</w:t>
      </w:r>
      <w:r w:rsidR="006E1BA2" w:rsidRPr="00AD0A39">
        <w:rPr>
          <w:shd w:val="clear" w:color="auto" w:fill="FFFFFF" w:themeFill="background1"/>
        </w:rPr>
        <w:t>4</w:t>
      </w:r>
      <w:r w:rsidR="006E1BA2" w:rsidRPr="002B1569">
        <w:t xml:space="preserve"> years </w:t>
      </w:r>
      <w:r w:rsidR="006B583B" w:rsidRPr="002B1569">
        <w:t>had</w:t>
      </w:r>
      <w:r w:rsidR="006E1BA2" w:rsidRPr="002B1569">
        <w:t xml:space="preserve"> </w:t>
      </w:r>
      <w:r w:rsidR="00B730DD">
        <w:t>Y</w:t>
      </w:r>
      <w:r w:rsidR="006E1BA2" w:rsidRPr="002B1569">
        <w:t>ear 12 or</w:t>
      </w:r>
      <w:r w:rsidR="006B583B" w:rsidRPr="002B1569">
        <w:t xml:space="preserve"> an</w:t>
      </w:r>
      <w:r w:rsidR="006E1BA2" w:rsidRPr="002B1569">
        <w:t xml:space="preserve"> equivalent</w:t>
      </w:r>
      <w:r w:rsidR="008D1A47" w:rsidRPr="002B1569">
        <w:t xml:space="preserve"> qualification</w:t>
      </w:r>
      <w:r w:rsidR="006E1BA2" w:rsidRPr="002B1569">
        <w:t>, representing an increase of about</w:t>
      </w:r>
      <w:r w:rsidR="00EE3D7F" w:rsidRPr="002B1569">
        <w:t xml:space="preserve"> five</w:t>
      </w:r>
      <w:r w:rsidR="006E1BA2" w:rsidRPr="002B1569">
        <w:t xml:space="preserve"> percentage points since 2011 (table 12A.1.12). In the Torres Strait </w:t>
      </w:r>
      <w:r w:rsidR="006B583B" w:rsidRPr="002B1569">
        <w:t>R</w:t>
      </w:r>
      <w:r w:rsidR="006E1BA2" w:rsidRPr="002B1569">
        <w:t>egion, this level of attainment increase</w:t>
      </w:r>
      <w:r w:rsidR="006B583B" w:rsidRPr="002B1569">
        <w:t>d</w:t>
      </w:r>
      <w:r w:rsidR="006E1BA2" w:rsidRPr="002B1569">
        <w:t xml:space="preserve"> to 85 per</w:t>
      </w:r>
      <w:r w:rsidR="00B730DD">
        <w:t xml:space="preserve"> </w:t>
      </w:r>
      <w:r w:rsidR="006E1BA2" w:rsidRPr="002B1569">
        <w:t xml:space="preserve">cent (table </w:t>
      </w:r>
      <w:proofErr w:type="spellStart"/>
      <w:r w:rsidR="006E1BA2" w:rsidRPr="002B1569">
        <w:t>12A.1.12</w:t>
      </w:r>
      <w:proofErr w:type="spellEnd"/>
      <w:r w:rsidR="006E1BA2" w:rsidRPr="002B1569">
        <w:t>)</w:t>
      </w:r>
      <w:r w:rsidR="000604F8" w:rsidRPr="002B1569">
        <w:t>,</w:t>
      </w:r>
      <w:r w:rsidR="006E1BA2" w:rsidRPr="002B1569">
        <w:t xml:space="preserve"> despite the fact that the </w:t>
      </w:r>
      <w:r w:rsidR="006B583B" w:rsidRPr="002B1569">
        <w:t xml:space="preserve">reduced </w:t>
      </w:r>
      <w:r w:rsidR="006E1BA2" w:rsidRPr="002B1569">
        <w:t>availability of secondary</w:t>
      </w:r>
      <w:r w:rsidR="00850173">
        <w:noBreakHyphen/>
      </w:r>
      <w:r w:rsidR="006E1BA2" w:rsidRPr="002B1569">
        <w:t>level education means that many student</w:t>
      </w:r>
      <w:r w:rsidR="00EE3D7F" w:rsidRPr="002B1569">
        <w:t>s</w:t>
      </w:r>
      <w:r w:rsidR="006E1BA2" w:rsidRPr="002B1569">
        <w:t xml:space="preserve"> need to leave their community to attend </w:t>
      </w:r>
      <w:r w:rsidR="006B583B" w:rsidRPr="002B1569">
        <w:t xml:space="preserve">secondary </w:t>
      </w:r>
      <w:r w:rsidR="006E1BA2" w:rsidRPr="002B1569">
        <w:t xml:space="preserve">school </w:t>
      </w:r>
      <w:r w:rsidR="001221D3" w:rsidRPr="001221D3">
        <w:rPr>
          <w:szCs w:val="24"/>
        </w:rPr>
        <w:t>(ABS 2018)</w:t>
      </w:r>
      <w:r w:rsidR="00EE3D7F" w:rsidRPr="002B1569">
        <w:t>. Aboriginal people</w:t>
      </w:r>
      <w:r w:rsidR="002B020D">
        <w:t xml:space="preserve"> </w:t>
      </w:r>
      <w:r w:rsidR="002B020D" w:rsidRPr="00AD0A39">
        <w:rPr>
          <w:shd w:val="clear" w:color="auto" w:fill="FFFFFF" w:themeFill="background1"/>
        </w:rPr>
        <w:t>(aged 20–24 years)</w:t>
      </w:r>
      <w:r w:rsidR="00EE3D7F" w:rsidRPr="002B1569">
        <w:t xml:space="preserve"> </w:t>
      </w:r>
      <w:r w:rsidR="006B583B" w:rsidRPr="002B1569">
        <w:t xml:space="preserve">also </w:t>
      </w:r>
      <w:r w:rsidR="00EE3D7F" w:rsidRPr="002B1569">
        <w:t>ha</w:t>
      </w:r>
      <w:r w:rsidR="008D1A47" w:rsidRPr="002B1569">
        <w:t>d</w:t>
      </w:r>
      <w:r w:rsidR="00EE3D7F" w:rsidRPr="002B1569">
        <w:t xml:space="preserve"> an increase </w:t>
      </w:r>
      <w:r w:rsidR="008D1A47" w:rsidRPr="002B1569">
        <w:t>in levels of attainment from 2011 to 2016</w:t>
      </w:r>
      <w:r w:rsidR="006B583B" w:rsidRPr="002B1569">
        <w:t xml:space="preserve">, but the proportion </w:t>
      </w:r>
      <w:r w:rsidR="008D1A47" w:rsidRPr="002B1569">
        <w:t>remains lower at</w:t>
      </w:r>
      <w:r w:rsidR="00EE3D7F" w:rsidRPr="002B1569">
        <w:t xml:space="preserve"> 64 per cent</w:t>
      </w:r>
      <w:r w:rsidR="009A07F5" w:rsidRPr="002B1569">
        <w:t>, and decreases as remoteness increases</w:t>
      </w:r>
      <w:r w:rsidR="00EE3D7F" w:rsidRPr="002B1569">
        <w:t xml:space="preserve"> (table 12A.1.12). </w:t>
      </w:r>
    </w:p>
    <w:p w14:paraId="257BDF4D" w14:textId="56F01E4B" w:rsidR="00645631" w:rsidRDefault="00801872" w:rsidP="00AD0A39">
      <w:pPr>
        <w:pStyle w:val="BodyText"/>
        <w:shd w:val="clear" w:color="auto" w:fill="FFFFFF" w:themeFill="background1"/>
      </w:pPr>
      <w:r w:rsidRPr="002B1569">
        <w:t>Post</w:t>
      </w:r>
      <w:r w:rsidR="00850173">
        <w:noBreakHyphen/>
      </w:r>
      <w:r w:rsidRPr="002B1569">
        <w:t xml:space="preserve">secondary education attainment rates have also increased for </w:t>
      </w:r>
      <w:r w:rsidR="00D643C5" w:rsidRPr="002B1569">
        <w:t>Torres Strait Islander people</w:t>
      </w:r>
      <w:r w:rsidR="00D01F56">
        <w:t xml:space="preserve"> </w:t>
      </w:r>
      <w:r w:rsidR="00D01F56" w:rsidRPr="00AD0A39">
        <w:rPr>
          <w:shd w:val="clear" w:color="auto" w:fill="FFFFFF" w:themeFill="background1"/>
        </w:rPr>
        <w:t>(aged 20–64 years)</w:t>
      </w:r>
      <w:r w:rsidRPr="00AD0A39">
        <w:rPr>
          <w:shd w:val="clear" w:color="auto" w:fill="FFFFFF" w:themeFill="background1"/>
        </w:rPr>
        <w:t>,</w:t>
      </w:r>
      <w:r w:rsidRPr="002B1569">
        <w:t xml:space="preserve"> and are comparable nationally with rates for Aboriginal people</w:t>
      </w:r>
      <w:r w:rsidR="00D01F56">
        <w:t xml:space="preserve"> </w:t>
      </w:r>
      <w:r w:rsidR="00D01F56" w:rsidRPr="00AD0A39">
        <w:rPr>
          <w:shd w:val="clear" w:color="auto" w:fill="FFFFFF" w:themeFill="background1"/>
        </w:rPr>
        <w:t>(aged 20–64 years)</w:t>
      </w:r>
      <w:r w:rsidR="00D643C5" w:rsidRPr="00AD0A39">
        <w:rPr>
          <w:shd w:val="clear" w:color="auto" w:fill="FFFFFF" w:themeFill="background1"/>
        </w:rPr>
        <w:t>.</w:t>
      </w:r>
      <w:r w:rsidR="00D643C5" w:rsidRPr="002B1569">
        <w:t xml:space="preserve"> </w:t>
      </w:r>
      <w:r w:rsidRPr="002B1569">
        <w:t>I</w:t>
      </w:r>
      <w:r w:rsidR="001E7AAA" w:rsidRPr="002B1569">
        <w:t xml:space="preserve">n </w:t>
      </w:r>
      <w:r w:rsidR="0045563E" w:rsidRPr="002B1569">
        <w:t>2016</w:t>
      </w:r>
      <w:r w:rsidR="001E7AAA" w:rsidRPr="002B1569">
        <w:t xml:space="preserve">, </w:t>
      </w:r>
      <w:r w:rsidR="0045563E" w:rsidRPr="002B1569">
        <w:t>39</w:t>
      </w:r>
      <w:r w:rsidR="001E7AAA" w:rsidRPr="002B1569">
        <w:t xml:space="preserve"> per</w:t>
      </w:r>
      <w:r w:rsidR="00D643C5" w:rsidRPr="002B1569">
        <w:t xml:space="preserve"> </w:t>
      </w:r>
      <w:r w:rsidR="001E7AAA" w:rsidRPr="002B1569">
        <w:t>cent of</w:t>
      </w:r>
      <w:r w:rsidR="00063BDC" w:rsidRPr="002B1569">
        <w:t xml:space="preserve"> Torres Strait </w:t>
      </w:r>
      <w:r w:rsidR="00E74C9B" w:rsidRPr="002B1569">
        <w:t>I</w:t>
      </w:r>
      <w:r w:rsidR="00063BDC" w:rsidRPr="002B1569">
        <w:t>slander people</w:t>
      </w:r>
      <w:r w:rsidR="001E7AAA" w:rsidRPr="002B1569">
        <w:t xml:space="preserve"> and </w:t>
      </w:r>
      <w:r w:rsidR="0045563E" w:rsidRPr="002B1569">
        <w:t>38</w:t>
      </w:r>
      <w:r w:rsidR="006B583B" w:rsidRPr="002B1569">
        <w:t> </w:t>
      </w:r>
      <w:r w:rsidR="001E7AAA" w:rsidRPr="002B1569">
        <w:t>per cent of Aboriginal people</w:t>
      </w:r>
      <w:r w:rsidR="00063BDC" w:rsidRPr="002B1569">
        <w:t xml:space="preserve"> </w:t>
      </w:r>
      <w:r w:rsidR="001E7AAA" w:rsidRPr="002B1569">
        <w:t xml:space="preserve">reported </w:t>
      </w:r>
      <w:r w:rsidR="0045563E" w:rsidRPr="002B1569">
        <w:t xml:space="preserve">having </w:t>
      </w:r>
      <w:r w:rsidR="001E7AAA" w:rsidRPr="002B1569">
        <w:t>qualifications at Certificate III level or above</w:t>
      </w:r>
      <w:r w:rsidR="00645631" w:rsidRPr="002B1569">
        <w:t xml:space="preserve"> (figure</w:t>
      </w:r>
      <w:r w:rsidR="001F62F9">
        <w:t> </w:t>
      </w:r>
      <w:r w:rsidR="00645631" w:rsidRPr="002B1569">
        <w:t>12.1)</w:t>
      </w:r>
      <w:r w:rsidR="001E7AAA" w:rsidRPr="002B1569">
        <w:t xml:space="preserve">. </w:t>
      </w:r>
      <w:r w:rsidR="00C87851" w:rsidRPr="002B1569">
        <w:t>This followed increases in the attainment rates from 2011, though the increases came from different geographic areas. For Torres Strait Islander people, the largest proportional increase was for people in very remote areas (8 percentage points), while for Aboriginal people the largest increase was in major cities (9 percentage points) (figure 12.1).</w:t>
      </w:r>
    </w:p>
    <w:p w14:paraId="1C325F65" w14:textId="77777777" w:rsidR="004875C6" w:rsidRDefault="004875C6" w:rsidP="001A612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F370DF" w:rsidRPr="00176D3F" w14:paraId="4F43E303" w14:textId="77777777" w:rsidTr="00FA34C4">
        <w:trPr>
          <w:tblHeader/>
        </w:trPr>
        <w:tc>
          <w:tcPr>
            <w:tcW w:w="5000" w:type="pct"/>
            <w:tcBorders>
              <w:top w:val="single" w:sz="6" w:space="0" w:color="78A22F"/>
              <w:left w:val="nil"/>
              <w:bottom w:val="nil"/>
              <w:right w:val="nil"/>
            </w:tcBorders>
            <w:shd w:val="clear" w:color="auto" w:fill="auto"/>
          </w:tcPr>
          <w:p w14:paraId="53827809" w14:textId="59395885" w:rsidR="00F370DF" w:rsidRPr="00176D3F" w:rsidRDefault="00F370DF">
            <w:pPr>
              <w:pStyle w:val="FigureTitle"/>
            </w:pPr>
            <w:bookmarkStart w:id="3" w:name="_Ref47528088"/>
            <w:r w:rsidRPr="00384682">
              <w:rPr>
                <w:b w:val="0"/>
              </w:rPr>
              <w:t xml:space="preserve">Figure </w:t>
            </w:r>
            <w:r w:rsidR="00CC1549">
              <w:rPr>
                <w:b w:val="0"/>
              </w:rPr>
              <w:t>12.</w:t>
            </w:r>
            <w:r w:rsidR="00173963">
              <w:rPr>
                <w:b w:val="0"/>
                <w:noProof/>
              </w:rPr>
              <w:t>1</w:t>
            </w:r>
            <w:bookmarkEnd w:id="3"/>
            <w:r w:rsidRPr="003B314E">
              <w:rPr>
                <w:b w:val="0"/>
              </w:rPr>
              <w:tab/>
            </w:r>
            <w:r w:rsidR="00D37C81">
              <w:t>P</w:t>
            </w:r>
            <w:r>
              <w:t xml:space="preserve">eople </w:t>
            </w:r>
            <w:r w:rsidR="00D37C81">
              <w:t>aged 20</w:t>
            </w:r>
            <w:r w:rsidR="00D37C81">
              <w:rPr>
                <w:rFonts w:cs="Arial"/>
              </w:rPr>
              <w:t>–</w:t>
            </w:r>
            <w:r w:rsidR="00D37C81">
              <w:t xml:space="preserve">64 years </w:t>
            </w:r>
            <w:r>
              <w:t>w</w:t>
            </w:r>
            <w:r w:rsidRPr="00F370DF">
              <w:t>ith non</w:t>
            </w:r>
            <w:r w:rsidR="00850173">
              <w:noBreakHyphen/>
            </w:r>
            <w:r w:rsidRPr="00F370DF">
              <w:t>school qualifications a</w:t>
            </w:r>
            <w:r>
              <w:t>t Certificate III level or above</w:t>
            </w:r>
            <w:r w:rsidR="00D37C81">
              <w:t>, by Aboriginal and Torres Strait Islander status</w:t>
            </w:r>
            <w:r w:rsidR="00EC47B2">
              <w:t>,</w:t>
            </w:r>
            <w:r>
              <w:t xml:space="preserve"> 2011 and 2016</w:t>
            </w:r>
            <w:r w:rsidR="00AC44D0" w:rsidRPr="0051678C">
              <w:rPr>
                <w:rStyle w:val="NoteLabel"/>
                <w:b/>
              </w:rPr>
              <w:t>a</w:t>
            </w:r>
          </w:p>
        </w:tc>
      </w:tr>
      <w:tr w:rsidR="00F370DF" w14:paraId="68BCED14" w14:textId="77777777" w:rsidTr="00FA34C4">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4252"/>
              <w:gridCol w:w="4252"/>
            </w:tblGrid>
            <w:tr w:rsidR="00EE107C" w14:paraId="2D5A03D5" w14:textId="77777777" w:rsidTr="00FA34C4">
              <w:trPr>
                <w:tblHeader/>
                <w:jc w:val="center"/>
              </w:trPr>
              <w:tc>
                <w:tcPr>
                  <w:tcW w:w="2500" w:type="pct"/>
                  <w:tcBorders>
                    <w:top w:val="nil"/>
                    <w:bottom w:val="nil"/>
                  </w:tcBorders>
                </w:tcPr>
                <w:p w14:paraId="7A68B996" w14:textId="58DE9D0D" w:rsidR="00EE107C" w:rsidRDefault="00C17EB4" w:rsidP="001A612A">
                  <w:pPr>
                    <w:pStyle w:val="Figure"/>
                    <w:spacing w:before="60" w:after="60"/>
                  </w:pPr>
                  <w:r w:rsidRPr="00C17EB4">
                    <w:rPr>
                      <w:noProof/>
                    </w:rPr>
                    <w:drawing>
                      <wp:inline distT="0" distB="0" distL="0" distR="0" wp14:anchorId="0F35EACE" wp14:editId="3E203085">
                        <wp:extent cx="2667000" cy="2695575"/>
                        <wp:effectExtent l="0" t="0" r="0" b="0"/>
                        <wp:docPr id="3" name="Picture 3" descr="Figure 12.1 People aged 20–64 years with non-school qualifications at Certificate III level or above, by Aboriginal and Torres Strait Islander status, 2011 and 2016&#10;&#10;Aboriginal peopl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2.1 People aged 20–64 years with non-school qualifications at Certificate III level or above, by Aboriginal and Torres Strait Islander status, 2011 and 2016&#10;&#10;Aboriginal people&#10;&#10;More details can be found within the text surrounding this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2695575"/>
                                </a:xfrm>
                                <a:prstGeom prst="rect">
                                  <a:avLst/>
                                </a:prstGeom>
                                <a:noFill/>
                                <a:ln>
                                  <a:noFill/>
                                </a:ln>
                              </pic:spPr>
                            </pic:pic>
                          </a:graphicData>
                        </a:graphic>
                      </wp:inline>
                    </w:drawing>
                  </w:r>
                </w:p>
              </w:tc>
              <w:tc>
                <w:tcPr>
                  <w:tcW w:w="2500" w:type="pct"/>
                  <w:tcBorders>
                    <w:top w:val="nil"/>
                    <w:bottom w:val="nil"/>
                  </w:tcBorders>
                </w:tcPr>
                <w:p w14:paraId="1EA4A4FB" w14:textId="3A8EB7D5" w:rsidR="00EE107C" w:rsidRDefault="00C17EB4" w:rsidP="001A612A">
                  <w:pPr>
                    <w:pStyle w:val="Figure"/>
                    <w:spacing w:before="60" w:after="60"/>
                  </w:pPr>
                  <w:r w:rsidRPr="00C17EB4">
                    <w:rPr>
                      <w:noProof/>
                    </w:rPr>
                    <w:drawing>
                      <wp:inline distT="0" distB="0" distL="0" distR="0" wp14:anchorId="781D8C3D" wp14:editId="04BADCC1">
                        <wp:extent cx="2667000" cy="2695575"/>
                        <wp:effectExtent l="0" t="0" r="0" b="0"/>
                        <wp:docPr id="4" name="Picture 4" descr="Figure 12.1 People aged 20–64 years with non-school qualifications at Certificate III level or above, by Aboriginal and Torres Strait Islander status, 2011 and 2016&#10;&#10;Torres Strait Islander peopl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2.1 People aged 20–64 years with non-school qualifications at Certificate III level or above, by Aboriginal and Torres Strait Islander status, 2011 and 2016&#10;&#10;Torres Strait Islander people&#10;&#10;More details can be found within the text surrounding this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0" cy="2695575"/>
                                </a:xfrm>
                                <a:prstGeom prst="rect">
                                  <a:avLst/>
                                </a:prstGeom>
                                <a:noFill/>
                                <a:ln>
                                  <a:noFill/>
                                </a:ln>
                              </pic:spPr>
                            </pic:pic>
                          </a:graphicData>
                        </a:graphic>
                      </wp:inline>
                    </w:drawing>
                  </w:r>
                </w:p>
              </w:tc>
            </w:tr>
          </w:tbl>
          <w:p w14:paraId="7151C344" w14:textId="77777777" w:rsidR="00F370DF" w:rsidRDefault="00F370DF" w:rsidP="001A612A">
            <w:pPr>
              <w:pStyle w:val="Figure"/>
            </w:pPr>
          </w:p>
        </w:tc>
      </w:tr>
      <w:tr w:rsidR="00334406" w:rsidRPr="00176D3F" w14:paraId="58B8D50B" w14:textId="77777777" w:rsidTr="00FA34C4">
        <w:tc>
          <w:tcPr>
            <w:tcW w:w="5000" w:type="pct"/>
            <w:tcBorders>
              <w:top w:val="nil"/>
              <w:left w:val="nil"/>
              <w:bottom w:val="nil"/>
              <w:right w:val="nil"/>
            </w:tcBorders>
            <w:shd w:val="clear" w:color="auto" w:fill="auto"/>
          </w:tcPr>
          <w:p w14:paraId="32E00F54" w14:textId="77777777" w:rsidR="00AC44D0" w:rsidRPr="00AC44D0" w:rsidRDefault="00334406" w:rsidP="001A612A">
            <w:pPr>
              <w:pStyle w:val="Source"/>
            </w:pPr>
            <w:r w:rsidRPr="00334406">
              <w:t>TSR = Torres Strait Region</w:t>
            </w:r>
          </w:p>
        </w:tc>
      </w:tr>
      <w:tr w:rsidR="00AC44D0" w:rsidRPr="00176D3F" w14:paraId="20353D35" w14:textId="77777777" w:rsidTr="00FA34C4">
        <w:tc>
          <w:tcPr>
            <w:tcW w:w="5000" w:type="pct"/>
            <w:tcBorders>
              <w:top w:val="nil"/>
              <w:left w:val="nil"/>
              <w:bottom w:val="nil"/>
              <w:right w:val="nil"/>
            </w:tcBorders>
            <w:shd w:val="clear" w:color="auto" w:fill="auto"/>
          </w:tcPr>
          <w:p w14:paraId="45D1E46F" w14:textId="54AA8809" w:rsidR="00AC44D0" w:rsidRPr="00334406" w:rsidRDefault="00AC44D0" w:rsidP="001A612A">
            <w:pPr>
              <w:pStyle w:val="Note"/>
            </w:pPr>
            <w:r w:rsidRPr="00106353">
              <w:rPr>
                <w:rStyle w:val="NoteLabel"/>
              </w:rPr>
              <w:t>a</w:t>
            </w:r>
            <w:r>
              <w:t xml:space="preserve"> See tables 12A.1.14</w:t>
            </w:r>
            <w:r w:rsidR="00850173">
              <w:noBreakHyphen/>
            </w:r>
            <w:r>
              <w:t>15 for detailed definitions, footnotes and caveats.</w:t>
            </w:r>
          </w:p>
        </w:tc>
      </w:tr>
      <w:tr w:rsidR="00F370DF" w:rsidRPr="00176D3F" w14:paraId="219ED984" w14:textId="77777777" w:rsidTr="00FA34C4">
        <w:tc>
          <w:tcPr>
            <w:tcW w:w="5000" w:type="pct"/>
            <w:tcBorders>
              <w:top w:val="nil"/>
              <w:left w:val="nil"/>
              <w:bottom w:val="nil"/>
              <w:right w:val="nil"/>
            </w:tcBorders>
            <w:shd w:val="clear" w:color="auto" w:fill="auto"/>
          </w:tcPr>
          <w:p w14:paraId="3579EDA6" w14:textId="62A27825" w:rsidR="00F370DF" w:rsidRPr="00176D3F" w:rsidRDefault="00F370DF" w:rsidP="001A612A">
            <w:pPr>
              <w:pStyle w:val="Source"/>
            </w:pPr>
            <w:r>
              <w:rPr>
                <w:i/>
              </w:rPr>
              <w:t>S</w:t>
            </w:r>
            <w:r w:rsidRPr="00784A05">
              <w:rPr>
                <w:i/>
              </w:rPr>
              <w:t>ource</w:t>
            </w:r>
            <w:r w:rsidRPr="00176D3F">
              <w:t>:</w:t>
            </w:r>
            <w:r w:rsidRPr="0070094D">
              <w:t xml:space="preserve"> </w:t>
            </w:r>
            <w:r w:rsidR="00AC44D0">
              <w:t xml:space="preserve">ABS (unpublished) </w:t>
            </w:r>
            <w:r w:rsidR="003E3661">
              <w:t xml:space="preserve">2016 and 2011 Census of </w:t>
            </w:r>
            <w:r w:rsidR="00503972">
              <w:t>P</w:t>
            </w:r>
            <w:r w:rsidR="003E3661">
              <w:t xml:space="preserve">opulation and </w:t>
            </w:r>
            <w:r w:rsidR="00503972">
              <w:t>H</w:t>
            </w:r>
            <w:r w:rsidR="003E3661">
              <w:t>ousing; table</w:t>
            </w:r>
            <w:r w:rsidR="004E6899">
              <w:t>s</w:t>
            </w:r>
            <w:r w:rsidR="003E3661">
              <w:t xml:space="preserve"> 12A.1.1</w:t>
            </w:r>
            <w:r w:rsidR="00E738D3">
              <w:t>4</w:t>
            </w:r>
            <w:r w:rsidR="00850173">
              <w:noBreakHyphen/>
            </w:r>
            <w:r w:rsidR="003E3661">
              <w:t>1</w:t>
            </w:r>
            <w:r w:rsidR="00E738D3">
              <w:t>5</w:t>
            </w:r>
            <w:r w:rsidR="003E3661">
              <w:t>.</w:t>
            </w:r>
          </w:p>
        </w:tc>
      </w:tr>
      <w:tr w:rsidR="00F370DF" w14:paraId="5C66CEA1" w14:textId="77777777" w:rsidTr="00FA34C4">
        <w:tc>
          <w:tcPr>
            <w:tcW w:w="5000" w:type="pct"/>
            <w:tcBorders>
              <w:top w:val="nil"/>
              <w:left w:val="nil"/>
              <w:bottom w:val="single" w:sz="6" w:space="0" w:color="78A22F"/>
              <w:right w:val="nil"/>
            </w:tcBorders>
            <w:shd w:val="clear" w:color="auto" w:fill="auto"/>
          </w:tcPr>
          <w:p w14:paraId="660B591E" w14:textId="77777777" w:rsidR="00F370DF" w:rsidRDefault="00F370DF" w:rsidP="001A612A">
            <w:pPr>
              <w:pStyle w:val="Figurespace"/>
            </w:pPr>
          </w:p>
        </w:tc>
      </w:tr>
      <w:tr w:rsidR="00F370DF" w:rsidRPr="00626D32" w14:paraId="1C7A1546" w14:textId="77777777" w:rsidTr="00FA34C4">
        <w:tc>
          <w:tcPr>
            <w:tcW w:w="5000" w:type="pct"/>
            <w:tcBorders>
              <w:top w:val="single" w:sz="6" w:space="0" w:color="78A22F"/>
              <w:left w:val="nil"/>
              <w:bottom w:val="nil"/>
              <w:right w:val="nil"/>
            </w:tcBorders>
          </w:tcPr>
          <w:p w14:paraId="6F11E48E" w14:textId="097122D0" w:rsidR="00F370DF" w:rsidRPr="00626D32" w:rsidRDefault="00F370DF" w:rsidP="001A612A">
            <w:pPr>
              <w:pStyle w:val="BoxSpaceBelow"/>
            </w:pPr>
          </w:p>
        </w:tc>
      </w:tr>
    </w:tbl>
    <w:p w14:paraId="128ED14F" w14:textId="052E395F" w:rsidR="008D1A47" w:rsidRPr="008D1A47" w:rsidRDefault="008D1A47" w:rsidP="001A612A">
      <w:pPr>
        <w:pStyle w:val="Heading3"/>
      </w:pPr>
      <w:r w:rsidRPr="000F729B">
        <w:t>Most of the growth in post</w:t>
      </w:r>
      <w:r w:rsidR="00850173">
        <w:noBreakHyphen/>
      </w:r>
      <w:r w:rsidRPr="000F729B">
        <w:t>secondary educational attainment for Torres Strait Islander people can be attr</w:t>
      </w:r>
      <w:r w:rsidR="003B197B">
        <w:t>ibuted to growth in Certificate </w:t>
      </w:r>
      <w:r w:rsidRPr="000F729B">
        <w:t xml:space="preserve">III to </w:t>
      </w:r>
      <w:r w:rsidR="00EF5100" w:rsidRPr="000F729B">
        <w:t>D</w:t>
      </w:r>
      <w:r w:rsidRPr="000F729B">
        <w:t>iploma level</w:t>
      </w:r>
      <w:r w:rsidRPr="008D1A47">
        <w:t xml:space="preserve"> </w:t>
      </w:r>
      <w:r w:rsidR="003B197B">
        <w:t>qualifications</w:t>
      </w:r>
    </w:p>
    <w:p w14:paraId="0C0083FE" w14:textId="104E8E53" w:rsidR="00503972" w:rsidRDefault="00503972" w:rsidP="001F62F9">
      <w:pPr>
        <w:pStyle w:val="BodyText"/>
      </w:pPr>
      <w:r w:rsidRPr="00801872">
        <w:t>Most of</w:t>
      </w:r>
      <w:r w:rsidRPr="00EF5100">
        <w:t xml:space="preserve"> the growth in post</w:t>
      </w:r>
      <w:r w:rsidR="00850173">
        <w:noBreakHyphen/>
      </w:r>
      <w:r w:rsidRPr="00EF5100">
        <w:t xml:space="preserve">secondary educational attainment for Torres Strait Islander people nationally can be attributed to growth in Certificate III to </w:t>
      </w:r>
      <w:r w:rsidR="00801872" w:rsidRPr="00106353">
        <w:t>D</w:t>
      </w:r>
      <w:r w:rsidRPr="00EF5100">
        <w:t>iploma level qualifications</w:t>
      </w:r>
      <w:r w:rsidR="008D1A47" w:rsidRPr="00801872">
        <w:t xml:space="preserve"> </w:t>
      </w:r>
      <w:r w:rsidRPr="00801872">
        <w:t>(tables 12A.1.14</w:t>
      </w:r>
      <w:r w:rsidR="00850173">
        <w:noBreakHyphen/>
      </w:r>
      <w:r w:rsidRPr="00801872">
        <w:t xml:space="preserve">15). From 2011 to 2016 the growth was 6 percentage points (compared to less than 1 percentage point growth in the proportion with a </w:t>
      </w:r>
      <w:r w:rsidR="008D1A47" w:rsidRPr="00801872">
        <w:t>Bachelor</w:t>
      </w:r>
      <w:r w:rsidRPr="00801872">
        <w:t xml:space="preserve"> degree or above, and negative growth in remote areas). In 2016, Torres Strait Islander people had the highest rates of Certificate III to </w:t>
      </w:r>
      <w:r w:rsidR="00801872" w:rsidRPr="00106353">
        <w:t>D</w:t>
      </w:r>
      <w:r w:rsidRPr="00801872">
        <w:t>iploma level attainment nationally (</w:t>
      </w:r>
      <w:r w:rsidR="00173963" w:rsidRPr="00630DF2">
        <w:t xml:space="preserve">figure </w:t>
      </w:r>
      <w:r w:rsidR="00173963" w:rsidRPr="00173963">
        <w:t>12.2</w:t>
      </w:r>
      <w:r w:rsidRPr="00EF5100">
        <w:t>).</w:t>
      </w:r>
    </w:p>
    <w:p w14:paraId="02B6A27E" w14:textId="54514C12" w:rsidR="00FA34C4" w:rsidRDefault="00FA34C4" w:rsidP="001A612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09606B" w:rsidRPr="00176D3F" w14:paraId="795B4A26" w14:textId="77777777" w:rsidTr="001F62F9">
        <w:trPr>
          <w:tblHeader/>
        </w:trPr>
        <w:tc>
          <w:tcPr>
            <w:tcW w:w="5000" w:type="pct"/>
            <w:tcBorders>
              <w:top w:val="single" w:sz="6" w:space="0" w:color="78A22F"/>
              <w:left w:val="nil"/>
              <w:bottom w:val="nil"/>
              <w:right w:val="nil"/>
            </w:tcBorders>
            <w:shd w:val="clear" w:color="auto" w:fill="auto"/>
          </w:tcPr>
          <w:p w14:paraId="0ECA1383" w14:textId="485AD41E" w:rsidR="0009606B" w:rsidRPr="00176D3F" w:rsidRDefault="0009606B" w:rsidP="001A612A">
            <w:pPr>
              <w:pStyle w:val="FigureTitle"/>
            </w:pPr>
            <w:bookmarkStart w:id="4" w:name="_Ref47530099"/>
            <w:r w:rsidRPr="00630DF2">
              <w:rPr>
                <w:b w:val="0"/>
              </w:rPr>
              <w:t xml:space="preserve">Figure </w:t>
            </w:r>
            <w:r w:rsidR="00CC1549">
              <w:rPr>
                <w:b w:val="0"/>
              </w:rPr>
              <w:t>12.</w:t>
            </w:r>
            <w:r w:rsidR="00173963">
              <w:rPr>
                <w:b w:val="0"/>
                <w:noProof/>
              </w:rPr>
              <w:t>2</w:t>
            </w:r>
            <w:bookmarkEnd w:id="4"/>
            <w:r>
              <w:tab/>
            </w:r>
            <w:r w:rsidR="00D37C81">
              <w:t>P</w:t>
            </w:r>
            <w:r>
              <w:t>eople</w:t>
            </w:r>
            <w:r w:rsidR="00D37C81">
              <w:t xml:space="preserve"> aged 20</w:t>
            </w:r>
            <w:r w:rsidR="00D37C81">
              <w:rPr>
                <w:rFonts w:cs="Arial"/>
              </w:rPr>
              <w:t>–</w:t>
            </w:r>
            <w:r w:rsidR="00D37C81">
              <w:t>64 years</w:t>
            </w:r>
            <w:r>
              <w:t xml:space="preserve"> w</w:t>
            </w:r>
            <w:r w:rsidRPr="00F370DF">
              <w:t>ith</w:t>
            </w:r>
            <w:r>
              <w:t xml:space="preserve"> </w:t>
            </w:r>
            <w:r w:rsidRPr="0009606B">
              <w:t>Certificate III to diploma qualifications</w:t>
            </w:r>
            <w:r>
              <w:t xml:space="preserve">, </w:t>
            </w:r>
            <w:r w:rsidR="00D37C81">
              <w:t>by Indigenous status</w:t>
            </w:r>
            <w:r>
              <w:t>, 2016</w:t>
            </w:r>
            <w:r w:rsidR="00AC44D0" w:rsidRPr="0051678C">
              <w:rPr>
                <w:rStyle w:val="NoteLabel"/>
                <w:b/>
              </w:rPr>
              <w:t>a</w:t>
            </w:r>
            <w:r w:rsidR="001A2B09">
              <w:t xml:space="preserve"> </w:t>
            </w:r>
          </w:p>
        </w:tc>
      </w:tr>
      <w:tr w:rsidR="0009606B" w14:paraId="46462CBB" w14:textId="77777777" w:rsidTr="001F62F9">
        <w:trPr>
          <w:trHeight w:val="4137"/>
        </w:trPr>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09606B" w14:paraId="1B3406D2" w14:textId="77777777" w:rsidTr="00FA34C4">
              <w:trPr>
                <w:tblHeader/>
                <w:jc w:val="center"/>
              </w:trPr>
              <w:tc>
                <w:tcPr>
                  <w:tcW w:w="8504" w:type="dxa"/>
                  <w:tcBorders>
                    <w:top w:val="nil"/>
                    <w:bottom w:val="nil"/>
                  </w:tcBorders>
                </w:tcPr>
                <w:p w14:paraId="3E389189" w14:textId="1B467466" w:rsidR="0009606B" w:rsidRDefault="00C617B9" w:rsidP="001A612A">
                  <w:pPr>
                    <w:pStyle w:val="Figure"/>
                    <w:spacing w:before="60" w:after="60"/>
                  </w:pPr>
                  <w:r w:rsidRPr="00C617B9">
                    <w:rPr>
                      <w:noProof/>
                    </w:rPr>
                    <w:drawing>
                      <wp:inline distT="0" distB="0" distL="0" distR="0" wp14:anchorId="09BB4FEE" wp14:editId="3DAB778D">
                        <wp:extent cx="5276850" cy="2800350"/>
                        <wp:effectExtent l="0" t="0" r="0" b="0"/>
                        <wp:docPr id="5" name="Picture 5" descr="Figure 12.2 People aged 20–64 years with Certificate III to diploma qualifications, by Indigenous status, 2016&#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6850" cy="2800350"/>
                                </a:xfrm>
                                <a:prstGeom prst="rect">
                                  <a:avLst/>
                                </a:prstGeom>
                                <a:noFill/>
                                <a:ln>
                                  <a:noFill/>
                                </a:ln>
                              </pic:spPr>
                            </pic:pic>
                          </a:graphicData>
                        </a:graphic>
                      </wp:inline>
                    </w:drawing>
                  </w:r>
                </w:p>
              </w:tc>
            </w:tr>
          </w:tbl>
          <w:p w14:paraId="35F655CB" w14:textId="77777777" w:rsidR="0009606B" w:rsidRDefault="0009606B" w:rsidP="001A612A">
            <w:pPr>
              <w:pStyle w:val="Figure"/>
            </w:pPr>
          </w:p>
        </w:tc>
      </w:tr>
      <w:tr w:rsidR="00AC44D0" w:rsidRPr="00176D3F" w14:paraId="57DD81AE" w14:textId="77777777" w:rsidTr="001F62F9">
        <w:tc>
          <w:tcPr>
            <w:tcW w:w="5000" w:type="pct"/>
            <w:tcBorders>
              <w:top w:val="nil"/>
              <w:left w:val="nil"/>
              <w:bottom w:val="nil"/>
              <w:right w:val="nil"/>
            </w:tcBorders>
            <w:shd w:val="clear" w:color="auto" w:fill="auto"/>
          </w:tcPr>
          <w:p w14:paraId="0D2ECF90" w14:textId="77777777" w:rsidR="00AC44D0" w:rsidRDefault="00AC44D0" w:rsidP="001A612A">
            <w:pPr>
              <w:pStyle w:val="Note"/>
              <w:rPr>
                <w:i/>
              </w:rPr>
            </w:pPr>
            <w:r w:rsidRPr="00106353">
              <w:rPr>
                <w:rStyle w:val="NoteLabel"/>
              </w:rPr>
              <w:t>a</w:t>
            </w:r>
            <w:r>
              <w:rPr>
                <w:i/>
              </w:rPr>
              <w:t xml:space="preserve"> </w:t>
            </w:r>
            <w:r>
              <w:t>See table 12A.1.14 for detailed definitions, footnotes and caveats.</w:t>
            </w:r>
          </w:p>
        </w:tc>
      </w:tr>
      <w:tr w:rsidR="0009606B" w:rsidRPr="00176D3F" w14:paraId="0665256C" w14:textId="77777777" w:rsidTr="001F62F9">
        <w:tc>
          <w:tcPr>
            <w:tcW w:w="5000" w:type="pct"/>
            <w:tcBorders>
              <w:top w:val="nil"/>
              <w:left w:val="nil"/>
              <w:bottom w:val="nil"/>
              <w:right w:val="nil"/>
            </w:tcBorders>
            <w:shd w:val="clear" w:color="auto" w:fill="auto"/>
          </w:tcPr>
          <w:p w14:paraId="67C4DD28" w14:textId="77777777" w:rsidR="0009606B" w:rsidRPr="00176D3F" w:rsidRDefault="0009606B" w:rsidP="001A612A">
            <w:pPr>
              <w:pStyle w:val="Source"/>
            </w:pPr>
            <w:r>
              <w:rPr>
                <w:i/>
              </w:rPr>
              <w:t>S</w:t>
            </w:r>
            <w:r w:rsidRPr="00784A05">
              <w:rPr>
                <w:i/>
              </w:rPr>
              <w:t>ource</w:t>
            </w:r>
            <w:r w:rsidRPr="00176D3F">
              <w:t>:</w:t>
            </w:r>
            <w:r w:rsidRPr="0070094D">
              <w:t xml:space="preserve"> </w:t>
            </w:r>
            <w:r w:rsidR="00AC44D0">
              <w:t xml:space="preserve">ABS (unpublished) </w:t>
            </w:r>
            <w:r>
              <w:t xml:space="preserve">2016 Census of </w:t>
            </w:r>
            <w:r w:rsidR="00503972">
              <w:t>P</w:t>
            </w:r>
            <w:r>
              <w:t xml:space="preserve">opulation and </w:t>
            </w:r>
            <w:r w:rsidR="00503972">
              <w:t>H</w:t>
            </w:r>
            <w:r>
              <w:t>ousing; table 12A.1.1</w:t>
            </w:r>
            <w:r w:rsidR="00E738D3">
              <w:t>4</w:t>
            </w:r>
            <w:r>
              <w:t>.</w:t>
            </w:r>
          </w:p>
        </w:tc>
      </w:tr>
      <w:tr w:rsidR="0009606B" w14:paraId="089A3990" w14:textId="77777777" w:rsidTr="001F62F9">
        <w:tc>
          <w:tcPr>
            <w:tcW w:w="5000" w:type="pct"/>
            <w:tcBorders>
              <w:top w:val="nil"/>
              <w:left w:val="nil"/>
              <w:bottom w:val="single" w:sz="6" w:space="0" w:color="78A22F"/>
              <w:right w:val="nil"/>
            </w:tcBorders>
            <w:shd w:val="clear" w:color="auto" w:fill="auto"/>
          </w:tcPr>
          <w:p w14:paraId="71594433" w14:textId="77777777" w:rsidR="0009606B" w:rsidRDefault="0009606B" w:rsidP="008B7525">
            <w:pPr>
              <w:pStyle w:val="Figurespace"/>
            </w:pPr>
          </w:p>
        </w:tc>
      </w:tr>
      <w:tr w:rsidR="0009606B" w:rsidRPr="00626D32" w14:paraId="32A2140E" w14:textId="77777777" w:rsidTr="001F62F9">
        <w:tc>
          <w:tcPr>
            <w:tcW w:w="5000" w:type="pct"/>
            <w:tcBorders>
              <w:top w:val="single" w:sz="6" w:space="0" w:color="78A22F"/>
              <w:left w:val="nil"/>
              <w:bottom w:val="nil"/>
              <w:right w:val="nil"/>
            </w:tcBorders>
          </w:tcPr>
          <w:p w14:paraId="1F9F057B" w14:textId="4DE02575" w:rsidR="0009606B" w:rsidRPr="00626D32" w:rsidRDefault="0009606B" w:rsidP="008B7525">
            <w:pPr>
              <w:pStyle w:val="BoxSpaceBelow"/>
            </w:pPr>
          </w:p>
        </w:tc>
      </w:tr>
    </w:tbl>
    <w:p w14:paraId="0EE824CC" w14:textId="76D0D023" w:rsidR="00A301F4" w:rsidRPr="00DF799F" w:rsidRDefault="00DF799F" w:rsidP="00C726BA">
      <w:pPr>
        <w:pStyle w:val="Heading3"/>
      </w:pPr>
      <w:r w:rsidRPr="00DF799F">
        <w:t xml:space="preserve">Despite growth in </w:t>
      </w:r>
      <w:r w:rsidR="00772733">
        <w:t>Y</w:t>
      </w:r>
      <w:r w:rsidR="00801872">
        <w:t xml:space="preserve">ear 12 and </w:t>
      </w:r>
      <w:r w:rsidRPr="00DF799F">
        <w:t>post</w:t>
      </w:r>
      <w:r w:rsidR="00850173">
        <w:noBreakHyphen/>
      </w:r>
      <w:r w:rsidRPr="00DF799F">
        <w:t xml:space="preserve">secondary </w:t>
      </w:r>
      <w:r w:rsidR="00801872">
        <w:t xml:space="preserve">education </w:t>
      </w:r>
      <w:r w:rsidRPr="00DF799F">
        <w:t xml:space="preserve">attainment, this does not appear to </w:t>
      </w:r>
      <w:r w:rsidR="00CF537A">
        <w:t xml:space="preserve">have </w:t>
      </w:r>
      <w:r w:rsidRPr="00DF799F">
        <w:t>translate</w:t>
      </w:r>
      <w:r w:rsidR="00CF537A">
        <w:t>d</w:t>
      </w:r>
      <w:r w:rsidRPr="00DF799F">
        <w:t xml:space="preserve"> into better employment outcomes</w:t>
      </w:r>
      <w:r w:rsidR="00E115EE">
        <w:t xml:space="preserve"> for Torres Strait Island</w:t>
      </w:r>
      <w:r w:rsidR="00CD5196">
        <w:t>er</w:t>
      </w:r>
      <w:r w:rsidR="00C726BA">
        <w:t xml:space="preserve"> p</w:t>
      </w:r>
      <w:r w:rsidR="00E115EE">
        <w:t>eople</w:t>
      </w:r>
      <w:r w:rsidR="001B55C5">
        <w:t>…</w:t>
      </w:r>
    </w:p>
    <w:p w14:paraId="7AD85310" w14:textId="72705A96" w:rsidR="00A301F4" w:rsidRDefault="00503972" w:rsidP="004E6899">
      <w:pPr>
        <w:pStyle w:val="BodyText"/>
      </w:pPr>
      <w:r>
        <w:t>I</w:t>
      </w:r>
      <w:r w:rsidR="00CD5196">
        <w:t xml:space="preserve">ncreased attainment of </w:t>
      </w:r>
      <w:r w:rsidR="00772733">
        <w:t>Y</w:t>
      </w:r>
      <w:r w:rsidR="00801872">
        <w:t xml:space="preserve">ear 12 or equivalent and </w:t>
      </w:r>
      <w:r w:rsidR="00CD5196">
        <w:t>post</w:t>
      </w:r>
      <w:r w:rsidR="00850173">
        <w:noBreakHyphen/>
      </w:r>
      <w:r w:rsidR="00CD5196">
        <w:t xml:space="preserve">secondary qualifications does not appear to </w:t>
      </w:r>
      <w:r w:rsidR="00CF537A">
        <w:t xml:space="preserve">have </w:t>
      </w:r>
      <w:r w:rsidR="00814DD7">
        <w:t>translate</w:t>
      </w:r>
      <w:r w:rsidR="00CF537A">
        <w:t>d into</w:t>
      </w:r>
      <w:r w:rsidR="00814DD7">
        <w:t xml:space="preserve"> improved employment outcomes for Torres Strait Islander people</w:t>
      </w:r>
      <w:r w:rsidR="001F62F9">
        <w:t xml:space="preserve"> </w:t>
      </w:r>
      <w:r w:rsidR="001F62F9" w:rsidRPr="001F62F9">
        <w:rPr>
          <w:szCs w:val="24"/>
        </w:rPr>
        <w:t>(ABS 2018)</w:t>
      </w:r>
      <w:r w:rsidR="00814DD7">
        <w:t>.</w:t>
      </w:r>
      <w:r w:rsidR="00FD223A">
        <w:t xml:space="preserve"> </w:t>
      </w:r>
      <w:r w:rsidR="00814DD7">
        <w:t>In th</w:t>
      </w:r>
      <w:r w:rsidR="002B7412">
        <w:t>e</w:t>
      </w:r>
      <w:r w:rsidR="00814DD7">
        <w:t xml:space="preserve"> same period</w:t>
      </w:r>
      <w:r w:rsidR="00CF537A">
        <w:t xml:space="preserve"> as the </w:t>
      </w:r>
      <w:r w:rsidR="002B7412">
        <w:t>attainment rate</w:t>
      </w:r>
      <w:r w:rsidR="00CF537A">
        <w:t xml:space="preserve"> increased</w:t>
      </w:r>
      <w:r w:rsidR="002B7412">
        <w:t xml:space="preserve"> for Torres Strait Islander people</w:t>
      </w:r>
      <w:r w:rsidR="00CF537A">
        <w:t xml:space="preserve"> (2011 to 2016)</w:t>
      </w:r>
      <w:r w:rsidR="00814DD7">
        <w:t xml:space="preserve">, the </w:t>
      </w:r>
      <w:r w:rsidR="00CD5196">
        <w:t>employment rate</w:t>
      </w:r>
      <w:r w:rsidR="00814DD7">
        <w:t xml:space="preserve"> </w:t>
      </w:r>
      <w:r w:rsidR="00CD5196">
        <w:t>decreased by 4 percentage points</w:t>
      </w:r>
      <w:r>
        <w:t xml:space="preserve"> nationally</w:t>
      </w:r>
      <w:r w:rsidR="002B7412">
        <w:t xml:space="preserve">, </w:t>
      </w:r>
      <w:r w:rsidR="00CD5196">
        <w:t xml:space="preserve">and </w:t>
      </w:r>
      <w:r w:rsidR="00814DD7">
        <w:t xml:space="preserve">by </w:t>
      </w:r>
      <w:r w:rsidR="00CD5196">
        <w:t>19 percentage points in the Torres Strait Region (</w:t>
      </w:r>
      <w:r w:rsidR="00174B96">
        <w:t>figure 12.3</w:t>
      </w:r>
      <w:r w:rsidR="00CD5196">
        <w:t>).</w:t>
      </w:r>
      <w:r w:rsidR="005A6B03">
        <w:t xml:space="preserve"> </w:t>
      </w:r>
    </w:p>
    <w:p w14:paraId="57F78C6A" w14:textId="3B110C74" w:rsidR="006F1AD8" w:rsidRDefault="002B7412" w:rsidP="004E6899">
      <w:pPr>
        <w:pStyle w:val="BodyText"/>
      </w:pPr>
      <w:r>
        <w:t>For</w:t>
      </w:r>
      <w:r w:rsidR="008A049A">
        <w:t xml:space="preserve"> Aboriginal </w:t>
      </w:r>
      <w:r w:rsidR="008A049A" w:rsidRPr="008A049A">
        <w:t>people</w:t>
      </w:r>
      <w:r>
        <w:t xml:space="preserve"> and non</w:t>
      </w:r>
      <w:r w:rsidR="00850173">
        <w:noBreakHyphen/>
      </w:r>
      <w:r>
        <w:t>Indigenous people</w:t>
      </w:r>
      <w:r w:rsidR="008A049A" w:rsidRPr="008A049A">
        <w:t xml:space="preserve">, </w:t>
      </w:r>
      <w:r w:rsidR="008F6AE8" w:rsidRPr="008A049A">
        <w:t>employment</w:t>
      </w:r>
      <w:r w:rsidR="008A049A" w:rsidRPr="008A049A">
        <w:t xml:space="preserve"> rate</w:t>
      </w:r>
      <w:r>
        <w:t>s remained relatively unchanged</w:t>
      </w:r>
      <w:r w:rsidR="008A049A" w:rsidRPr="008A049A">
        <w:t xml:space="preserve"> from 2011 to 2016</w:t>
      </w:r>
      <w:r>
        <w:t xml:space="preserve"> (</w:t>
      </w:r>
      <w:r w:rsidR="00E616A3">
        <w:t>t</w:t>
      </w:r>
      <w:r>
        <w:t xml:space="preserve">able </w:t>
      </w:r>
      <w:r w:rsidR="00BA70E1" w:rsidRPr="00CD5196">
        <w:t>12A.1.</w:t>
      </w:r>
      <w:r w:rsidR="00E616A3">
        <w:t>17</w:t>
      </w:r>
      <w:r w:rsidR="00BA70E1">
        <w:t>).</w:t>
      </w:r>
      <w:r w:rsidR="00264983">
        <w:t xml:space="preserve"> </w:t>
      </w:r>
    </w:p>
    <w:p w14:paraId="4ED2A53C" w14:textId="22261144" w:rsidR="00264983" w:rsidRDefault="00772733">
      <w:pPr>
        <w:pStyle w:val="BodyText"/>
      </w:pPr>
      <w:r>
        <w:t>Employment data are</w:t>
      </w:r>
      <w:r w:rsidR="00264983">
        <w:t xml:space="preserve"> affected by the replacement of the Community Development Employment Projects </w:t>
      </w:r>
      <w:r w:rsidR="00801872">
        <w:t>s</w:t>
      </w:r>
      <w:r w:rsidR="00264983">
        <w:t xml:space="preserve">cheme (in operation in 2011) with the Community Development Program (in operation in 2016), and the associated change in classification of participants from employed to not employed </w:t>
      </w:r>
      <w:r w:rsidR="001F62F9" w:rsidRPr="001F62F9">
        <w:rPr>
          <w:szCs w:val="24"/>
        </w:rPr>
        <w:t>(ABS 2018)</w:t>
      </w:r>
      <w:r w:rsidR="00264983">
        <w:t>. This had a particular impact in remote areas where the schemes operated. A greater proportion of Torres Strait Islander people live in remote ar</w:t>
      </w:r>
      <w:r w:rsidR="00A57BD8">
        <w:t xml:space="preserve">eas compared to Aboriginal and </w:t>
      </w:r>
      <w:r w:rsidR="00264983">
        <w:t>non</w:t>
      </w:r>
      <w:r w:rsidR="00850173">
        <w:noBreakHyphen/>
      </w:r>
      <w:r w:rsidR="00264983">
        <w:t xml:space="preserve">Indigenous people </w:t>
      </w:r>
      <w:r w:rsidR="001221D3" w:rsidRPr="001221D3">
        <w:rPr>
          <w:szCs w:val="24"/>
        </w:rPr>
        <w:t>(ABS 2016)</w:t>
      </w:r>
      <w:r w:rsidR="00152370">
        <w:t>.</w:t>
      </w:r>
      <w:r w:rsidR="00AF6F2F">
        <w:t xml:space="preserve"> </w:t>
      </w:r>
      <w:r w:rsidR="00264983">
        <w:t xml:space="preserve">Therefore, a greater proportion of Torres Strait </w:t>
      </w:r>
      <w:r w:rsidR="00685F2F">
        <w:t>Islander people are likely to have been reclassified from employed in the 2011 Census to unemployed in the 2016 Census.</w:t>
      </w:r>
    </w:p>
    <w:p w14:paraId="0219C9C4" w14:textId="77777777" w:rsidR="00DE7E15" w:rsidRDefault="00DE7E15" w:rsidP="009417A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814DD7" w:rsidRPr="00176D3F" w14:paraId="5BF0A037" w14:textId="77777777" w:rsidTr="001F62F9">
        <w:trPr>
          <w:tblHeader/>
        </w:trPr>
        <w:tc>
          <w:tcPr>
            <w:tcW w:w="5000" w:type="pct"/>
            <w:tcBorders>
              <w:top w:val="single" w:sz="6" w:space="0" w:color="78A22F"/>
              <w:left w:val="nil"/>
              <w:bottom w:val="nil"/>
              <w:right w:val="nil"/>
            </w:tcBorders>
            <w:shd w:val="clear" w:color="auto" w:fill="auto"/>
          </w:tcPr>
          <w:p w14:paraId="325E04F3" w14:textId="4654F25B" w:rsidR="00814DD7" w:rsidRPr="00176D3F" w:rsidRDefault="00814DD7" w:rsidP="00954625">
            <w:pPr>
              <w:pStyle w:val="FigureTitle"/>
            </w:pPr>
            <w:bookmarkStart w:id="5" w:name="_Ref47533568"/>
            <w:r w:rsidRPr="00A146FB">
              <w:rPr>
                <w:b w:val="0"/>
              </w:rPr>
              <w:t xml:space="preserve">Figure </w:t>
            </w:r>
            <w:r w:rsidR="00CC1549">
              <w:rPr>
                <w:b w:val="0"/>
              </w:rPr>
              <w:t>12.</w:t>
            </w:r>
            <w:r w:rsidR="00173963">
              <w:rPr>
                <w:b w:val="0"/>
                <w:noProof/>
              </w:rPr>
              <w:t>3</w:t>
            </w:r>
            <w:bookmarkEnd w:id="5"/>
            <w:r w:rsidRPr="003B314E">
              <w:rPr>
                <w:b w:val="0"/>
              </w:rPr>
              <w:tab/>
            </w:r>
            <w:r w:rsidRPr="00814DD7">
              <w:t xml:space="preserve">Employment rate </w:t>
            </w:r>
            <w:r w:rsidR="00503972">
              <w:t>for</w:t>
            </w:r>
            <w:r w:rsidRPr="00814DD7">
              <w:t xml:space="preserve"> Aboriginal</w:t>
            </w:r>
            <w:r w:rsidRPr="00DF799F">
              <w:t xml:space="preserve"> </w:t>
            </w:r>
            <w:r w:rsidR="007D6FED">
              <w:t xml:space="preserve">people </w:t>
            </w:r>
            <w:r w:rsidRPr="00DF799F">
              <w:t>and Torres Strait Island</w:t>
            </w:r>
            <w:r w:rsidR="008F6AE8">
              <w:t>er</w:t>
            </w:r>
            <w:r w:rsidRPr="00DF799F">
              <w:t xml:space="preserve"> people</w:t>
            </w:r>
            <w:r>
              <w:t>, aged 15</w:t>
            </w:r>
            <w:r w:rsidR="007D6FED">
              <w:t>–</w:t>
            </w:r>
            <w:r>
              <w:t>64</w:t>
            </w:r>
            <w:r w:rsidR="00127F8D">
              <w:t xml:space="preserve"> years</w:t>
            </w:r>
            <w:r>
              <w:t>, 2011 and 2016</w:t>
            </w:r>
            <w:r w:rsidR="00AC44D0" w:rsidRPr="0051678C">
              <w:rPr>
                <w:rStyle w:val="NoteLabel"/>
                <w:b/>
              </w:rPr>
              <w:t>a</w:t>
            </w:r>
          </w:p>
        </w:tc>
      </w:tr>
      <w:tr w:rsidR="00814DD7" w14:paraId="404557FB" w14:textId="77777777" w:rsidTr="001F62F9">
        <w:trPr>
          <w:trHeight w:val="4438"/>
        </w:trPr>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4252"/>
              <w:gridCol w:w="4252"/>
            </w:tblGrid>
            <w:tr w:rsidR="001052BB" w14:paraId="7CCB4FEF" w14:textId="77777777" w:rsidTr="00FA34C4">
              <w:trPr>
                <w:trHeight w:val="4410"/>
                <w:tblHeader/>
                <w:jc w:val="center"/>
              </w:trPr>
              <w:tc>
                <w:tcPr>
                  <w:tcW w:w="2500" w:type="pct"/>
                  <w:tcBorders>
                    <w:top w:val="nil"/>
                    <w:bottom w:val="nil"/>
                  </w:tcBorders>
                </w:tcPr>
                <w:p w14:paraId="393F48D4" w14:textId="631B004C" w:rsidR="001052BB" w:rsidRDefault="0021662B" w:rsidP="008B7525">
                  <w:pPr>
                    <w:pStyle w:val="Figure"/>
                    <w:spacing w:before="60" w:after="60"/>
                  </w:pPr>
                  <w:r w:rsidRPr="0021662B">
                    <w:rPr>
                      <w:noProof/>
                    </w:rPr>
                    <w:drawing>
                      <wp:inline distT="0" distB="0" distL="0" distR="0" wp14:anchorId="26840BED" wp14:editId="51FFE9B0">
                        <wp:extent cx="2686050" cy="2800350"/>
                        <wp:effectExtent l="0" t="0" r="0" b="0"/>
                        <wp:docPr id="12" name="Picture 12" descr="Figure 12.3 Employment rate for Aboriginal people and Torres Strait Islander people, aged 15–64 years, 2011 and 2016&#10;&#10;Aboriginal peopl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6050" cy="2800350"/>
                                </a:xfrm>
                                <a:prstGeom prst="rect">
                                  <a:avLst/>
                                </a:prstGeom>
                                <a:noFill/>
                                <a:ln>
                                  <a:noFill/>
                                </a:ln>
                              </pic:spPr>
                            </pic:pic>
                          </a:graphicData>
                        </a:graphic>
                      </wp:inline>
                    </w:drawing>
                  </w:r>
                </w:p>
              </w:tc>
              <w:tc>
                <w:tcPr>
                  <w:tcW w:w="2500" w:type="pct"/>
                  <w:tcBorders>
                    <w:top w:val="nil"/>
                    <w:bottom w:val="nil"/>
                  </w:tcBorders>
                </w:tcPr>
                <w:p w14:paraId="4BD9C79B" w14:textId="612E1669" w:rsidR="001052BB" w:rsidRDefault="0021662B" w:rsidP="008B7525">
                  <w:pPr>
                    <w:pStyle w:val="Figure"/>
                    <w:spacing w:before="60" w:after="60"/>
                  </w:pPr>
                  <w:r w:rsidRPr="0021662B">
                    <w:rPr>
                      <w:noProof/>
                    </w:rPr>
                    <w:drawing>
                      <wp:inline distT="0" distB="0" distL="0" distR="0" wp14:anchorId="7F856704" wp14:editId="61B4EA17">
                        <wp:extent cx="2686050" cy="2800350"/>
                        <wp:effectExtent l="0" t="0" r="0" b="0"/>
                        <wp:docPr id="11" name="Picture 11" descr="Figure 12.3 Employment rate for Aboriginal people and Torres Strait Islander people, aged 15–64 years, 2011 and 2016&#10;&#10;Torres Strait Islander peopl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6050" cy="2800350"/>
                                </a:xfrm>
                                <a:prstGeom prst="rect">
                                  <a:avLst/>
                                </a:prstGeom>
                                <a:noFill/>
                                <a:ln>
                                  <a:noFill/>
                                </a:ln>
                              </pic:spPr>
                            </pic:pic>
                          </a:graphicData>
                        </a:graphic>
                      </wp:inline>
                    </w:drawing>
                  </w:r>
                </w:p>
              </w:tc>
            </w:tr>
          </w:tbl>
          <w:p w14:paraId="1EC680BB" w14:textId="77777777" w:rsidR="00814DD7" w:rsidRDefault="00814DD7" w:rsidP="008B7525">
            <w:pPr>
              <w:pStyle w:val="Figure"/>
            </w:pPr>
          </w:p>
        </w:tc>
      </w:tr>
      <w:tr w:rsidR="00AC44D0" w:rsidRPr="00176D3F" w14:paraId="0A20E8B6" w14:textId="77777777" w:rsidTr="001F62F9">
        <w:tc>
          <w:tcPr>
            <w:tcW w:w="5000" w:type="pct"/>
            <w:tcBorders>
              <w:top w:val="nil"/>
              <w:left w:val="nil"/>
              <w:bottom w:val="nil"/>
              <w:right w:val="nil"/>
            </w:tcBorders>
            <w:shd w:val="clear" w:color="auto" w:fill="auto"/>
          </w:tcPr>
          <w:p w14:paraId="3F4D0E0D" w14:textId="1F0C1440" w:rsidR="00AC44D0" w:rsidRDefault="00AC44D0" w:rsidP="00A66BEC">
            <w:pPr>
              <w:pStyle w:val="Note"/>
              <w:rPr>
                <w:i/>
              </w:rPr>
            </w:pPr>
            <w:r w:rsidRPr="00106353">
              <w:rPr>
                <w:rStyle w:val="NoteLabel"/>
              </w:rPr>
              <w:t>a</w:t>
            </w:r>
            <w:r>
              <w:rPr>
                <w:i/>
              </w:rPr>
              <w:t xml:space="preserve"> </w:t>
            </w:r>
            <w:r>
              <w:t>See table 12A.1.1</w:t>
            </w:r>
            <w:r w:rsidR="00A66BEC">
              <w:t>7</w:t>
            </w:r>
            <w:r>
              <w:t xml:space="preserve"> for detailed definitions, footnotes and caveats.</w:t>
            </w:r>
          </w:p>
        </w:tc>
      </w:tr>
      <w:tr w:rsidR="00814DD7" w:rsidRPr="00176D3F" w14:paraId="3CE8AAF9" w14:textId="77777777" w:rsidTr="001F62F9">
        <w:tc>
          <w:tcPr>
            <w:tcW w:w="5000" w:type="pct"/>
            <w:tcBorders>
              <w:top w:val="nil"/>
              <w:left w:val="nil"/>
              <w:bottom w:val="nil"/>
              <w:right w:val="nil"/>
            </w:tcBorders>
            <w:shd w:val="clear" w:color="auto" w:fill="auto"/>
          </w:tcPr>
          <w:p w14:paraId="2B8C3562" w14:textId="30AF7E2C" w:rsidR="00814DD7" w:rsidRPr="00176D3F" w:rsidRDefault="00814DD7" w:rsidP="00A66BEC">
            <w:pPr>
              <w:pStyle w:val="Source"/>
            </w:pPr>
            <w:r>
              <w:rPr>
                <w:i/>
              </w:rPr>
              <w:t>S</w:t>
            </w:r>
            <w:r w:rsidRPr="00784A05">
              <w:rPr>
                <w:i/>
              </w:rPr>
              <w:t>ource</w:t>
            </w:r>
            <w:r w:rsidRPr="00176D3F">
              <w:t>:</w:t>
            </w:r>
            <w:r w:rsidRPr="0070094D">
              <w:t xml:space="preserve"> </w:t>
            </w:r>
            <w:r w:rsidR="00AC44D0">
              <w:t xml:space="preserve">ABS (unpublished) </w:t>
            </w:r>
            <w:r>
              <w:t xml:space="preserve">2016 and 2011 Census of </w:t>
            </w:r>
            <w:r w:rsidR="00E616A3">
              <w:t>P</w:t>
            </w:r>
            <w:r>
              <w:t xml:space="preserve">opulation and </w:t>
            </w:r>
            <w:r w:rsidR="00E616A3">
              <w:t>H</w:t>
            </w:r>
            <w:r>
              <w:t>ousing; table 12A.1.</w:t>
            </w:r>
            <w:r w:rsidR="008F6AE8">
              <w:t>1</w:t>
            </w:r>
            <w:r w:rsidR="00A66BEC">
              <w:t>7</w:t>
            </w:r>
            <w:r>
              <w:t>.</w:t>
            </w:r>
          </w:p>
        </w:tc>
      </w:tr>
      <w:tr w:rsidR="00814DD7" w14:paraId="59DA3284" w14:textId="77777777" w:rsidTr="001F62F9">
        <w:tc>
          <w:tcPr>
            <w:tcW w:w="5000" w:type="pct"/>
            <w:tcBorders>
              <w:top w:val="nil"/>
              <w:left w:val="nil"/>
              <w:bottom w:val="single" w:sz="6" w:space="0" w:color="78A22F"/>
              <w:right w:val="nil"/>
            </w:tcBorders>
            <w:shd w:val="clear" w:color="auto" w:fill="auto"/>
          </w:tcPr>
          <w:p w14:paraId="44F3D90A" w14:textId="77777777" w:rsidR="00814DD7" w:rsidRDefault="00814DD7" w:rsidP="008B7525">
            <w:pPr>
              <w:pStyle w:val="Figurespace"/>
            </w:pPr>
          </w:p>
        </w:tc>
      </w:tr>
      <w:tr w:rsidR="00814DD7" w:rsidRPr="00626D32" w14:paraId="4293B4F9" w14:textId="77777777" w:rsidTr="001F62F9">
        <w:tc>
          <w:tcPr>
            <w:tcW w:w="5000" w:type="pct"/>
            <w:tcBorders>
              <w:top w:val="single" w:sz="6" w:space="0" w:color="78A22F"/>
              <w:left w:val="nil"/>
              <w:bottom w:val="nil"/>
              <w:right w:val="nil"/>
            </w:tcBorders>
          </w:tcPr>
          <w:p w14:paraId="22D0E2A6" w14:textId="2B09C7F5" w:rsidR="00814DD7" w:rsidRPr="00626D32" w:rsidRDefault="00814DD7" w:rsidP="008B7525">
            <w:pPr>
              <w:pStyle w:val="BoxSpaceBelow"/>
            </w:pPr>
          </w:p>
        </w:tc>
      </w:tr>
    </w:tbl>
    <w:p w14:paraId="379296EA" w14:textId="6155AC26" w:rsidR="00814DD7" w:rsidRDefault="001B55C5" w:rsidP="00C726BA">
      <w:pPr>
        <w:pStyle w:val="Heading3"/>
      </w:pPr>
      <w:r>
        <w:t xml:space="preserve">…and the engagement of Torres Strait Islander people in </w:t>
      </w:r>
      <w:r w:rsidR="00410135">
        <w:t>the workforce is also declining</w:t>
      </w:r>
    </w:p>
    <w:p w14:paraId="0DB45C6A" w14:textId="77777777" w:rsidR="00EF5100" w:rsidRDefault="00863938" w:rsidP="00643C2C">
      <w:pPr>
        <w:pStyle w:val="BodyText"/>
      </w:pPr>
      <w:r>
        <w:t>Not only is the proportion of employed Torres Strait Islander people aged 15</w:t>
      </w:r>
      <w:r w:rsidR="00401AB7">
        <w:t>–</w:t>
      </w:r>
      <w:r>
        <w:t xml:space="preserve">64 years decreasing, but the proportion </w:t>
      </w:r>
      <w:r w:rsidR="00401AB7">
        <w:t>engaging</w:t>
      </w:r>
      <w:r>
        <w:t xml:space="preserve"> with the workforce is also declining. </w:t>
      </w:r>
      <w:r w:rsidR="001B55C5">
        <w:t>The labour force participation rate</w:t>
      </w:r>
      <w:r w:rsidR="00401AB7" w:rsidRPr="00F63CEC">
        <w:rPr>
          <w:rStyle w:val="FootnoteReference"/>
        </w:rPr>
        <w:footnoteReference w:id="3"/>
      </w:r>
      <w:r w:rsidR="00401AB7">
        <w:t xml:space="preserve"> </w:t>
      </w:r>
      <w:r w:rsidR="001B55C5">
        <w:t>of Torres Strait Islander</w:t>
      </w:r>
      <w:r w:rsidR="002B7412">
        <w:t xml:space="preserve"> people</w:t>
      </w:r>
      <w:r w:rsidR="001B55C5">
        <w:t xml:space="preserve"> decreased by 3 </w:t>
      </w:r>
      <w:r>
        <w:t>percentage points</w:t>
      </w:r>
      <w:r w:rsidR="001B55C5">
        <w:t xml:space="preserve"> on a national basis and by 16 </w:t>
      </w:r>
      <w:r>
        <w:t>percentage point</w:t>
      </w:r>
      <w:r w:rsidR="00401AB7">
        <w:t>s</w:t>
      </w:r>
      <w:r w:rsidR="001B55C5">
        <w:t xml:space="preserve"> in the Torres Strait </w:t>
      </w:r>
      <w:r w:rsidR="00801872">
        <w:t>R</w:t>
      </w:r>
      <w:r w:rsidR="001B55C5">
        <w:t xml:space="preserve">egion </w:t>
      </w:r>
      <w:r w:rsidR="00801872">
        <w:t xml:space="preserve">between 2011 and 2016 </w:t>
      </w:r>
      <w:r w:rsidR="001B55C5">
        <w:t xml:space="preserve">(table </w:t>
      </w:r>
      <w:r w:rsidR="001B55C5" w:rsidRPr="00CD5196">
        <w:t>12A.1.1</w:t>
      </w:r>
      <w:r w:rsidR="00E616A3">
        <w:t>7</w:t>
      </w:r>
      <w:r w:rsidR="001B55C5">
        <w:t xml:space="preserve">). </w:t>
      </w:r>
    </w:p>
    <w:p w14:paraId="5B49F3F8" w14:textId="4305F935" w:rsidR="00CB6279" w:rsidRDefault="00863938" w:rsidP="001F62F9">
      <w:pPr>
        <w:pStyle w:val="BodyText"/>
      </w:pPr>
      <w:r w:rsidRPr="002B1569">
        <w:t xml:space="preserve">Decreases in participation in the labour force can occur when discouraged job seekers </w:t>
      </w:r>
      <w:r w:rsidR="00FD223A" w:rsidRPr="002B1569">
        <w:t xml:space="preserve">drop out of the workforce </w:t>
      </w:r>
      <w:r w:rsidR="00643C2C" w:rsidRPr="002B1569">
        <w:t xml:space="preserve">when there are limited opportunities available or when caring responsibilities </w:t>
      </w:r>
      <w:r w:rsidR="00A13DD7" w:rsidRPr="002B1569">
        <w:t>limit their</w:t>
      </w:r>
      <w:r w:rsidR="00643C2C" w:rsidRPr="002B1569">
        <w:t xml:space="preserve"> ability to participate in the workforce. </w:t>
      </w:r>
      <w:r w:rsidR="008657B6" w:rsidRPr="002B1569">
        <w:t xml:space="preserve">This has been identified as a challenge </w:t>
      </w:r>
      <w:r w:rsidR="00A13DD7" w:rsidRPr="002B1569">
        <w:t>for the</w:t>
      </w:r>
      <w:r w:rsidR="008657B6" w:rsidRPr="002B1569">
        <w:t xml:space="preserve"> Torres Strait </w:t>
      </w:r>
      <w:r w:rsidR="00801872" w:rsidRPr="002B1569">
        <w:t>R</w:t>
      </w:r>
      <w:r w:rsidR="008657B6" w:rsidRPr="002B1569">
        <w:t xml:space="preserve">egion, where </w:t>
      </w:r>
      <w:r w:rsidR="00371D45" w:rsidRPr="002B1569">
        <w:t xml:space="preserve">a </w:t>
      </w:r>
      <w:r w:rsidR="008657B6" w:rsidRPr="002B1569">
        <w:t xml:space="preserve">lack of </w:t>
      </w:r>
      <w:r w:rsidR="00371D45" w:rsidRPr="002B1569">
        <w:t>opportunity (particularly in employment) can</w:t>
      </w:r>
      <w:r w:rsidR="008657B6" w:rsidRPr="002B1569">
        <w:t xml:space="preserve"> </w:t>
      </w:r>
      <w:r w:rsidR="00371D45" w:rsidRPr="002B1569">
        <w:t>interfere</w:t>
      </w:r>
      <w:r w:rsidR="008657B6" w:rsidRPr="002B1569">
        <w:t xml:space="preserve"> with maintaining viable communities</w:t>
      </w:r>
      <w:r w:rsidR="00371D45" w:rsidRPr="002B1569">
        <w:t>, as it</w:t>
      </w:r>
      <w:r w:rsidR="008657B6" w:rsidRPr="002B1569">
        <w:t xml:space="preserve"> can force people to move away from the region </w:t>
      </w:r>
      <w:r w:rsidR="007B791A" w:rsidRPr="002B1569">
        <w:t>(</w:t>
      </w:r>
      <w:proofErr w:type="spellStart"/>
      <w:r w:rsidR="007B791A" w:rsidRPr="002B1569">
        <w:t>TSRA</w:t>
      </w:r>
      <w:proofErr w:type="spellEnd"/>
      <w:r w:rsidR="00371D45" w:rsidRPr="002B1569">
        <w:t> </w:t>
      </w:r>
      <w:r w:rsidR="007B791A" w:rsidRPr="002B1569">
        <w:t>2009)</w:t>
      </w:r>
      <w:r w:rsidR="00371D45" w:rsidRPr="002B1569">
        <w:t>.</w:t>
      </w:r>
    </w:p>
    <w:p w14:paraId="3F216A67" w14:textId="77777777" w:rsidR="008B5989" w:rsidRPr="005462F6" w:rsidRDefault="008B7525" w:rsidP="00106353">
      <w:pPr>
        <w:pStyle w:val="Heading3"/>
      </w:pPr>
      <w:r>
        <w:lastRenderedPageBreak/>
        <w:t>Rates of home</w:t>
      </w:r>
      <w:r w:rsidR="00863938">
        <w:t xml:space="preserve"> </w:t>
      </w:r>
      <w:r>
        <w:t>ownership</w:t>
      </w:r>
      <w:r w:rsidR="00863938">
        <w:t xml:space="preserve"> are similar for</w:t>
      </w:r>
      <w:r>
        <w:t xml:space="preserve"> Torres Strait Islander</w:t>
      </w:r>
      <w:r w:rsidR="00863938">
        <w:t xml:space="preserve"> people</w:t>
      </w:r>
      <w:r>
        <w:t xml:space="preserve"> </w:t>
      </w:r>
      <w:r w:rsidR="00233CCA">
        <w:t xml:space="preserve">and Aboriginal people </w:t>
      </w:r>
      <w:r w:rsidR="00863938">
        <w:t xml:space="preserve">nationally, but are lower for those in the Torres Strait </w:t>
      </w:r>
      <w:r w:rsidR="00BB79E4">
        <w:t>R</w:t>
      </w:r>
      <w:r w:rsidR="00863938">
        <w:t>egion</w:t>
      </w:r>
    </w:p>
    <w:p w14:paraId="7FFBCE2D" w14:textId="78315814" w:rsidR="00EF5100" w:rsidRDefault="008B7525" w:rsidP="00106353">
      <w:pPr>
        <w:pStyle w:val="BodyText"/>
      </w:pPr>
      <w:r>
        <w:t>On a nationa</w:t>
      </w:r>
      <w:r w:rsidR="00863938">
        <w:t>l basis, Torres Strait Islander people</w:t>
      </w:r>
      <w:r>
        <w:t xml:space="preserve"> have comparable rates of home</w:t>
      </w:r>
      <w:r w:rsidR="00233CCA">
        <w:t xml:space="preserve"> </w:t>
      </w:r>
      <w:r>
        <w:t>ownership to Aboriginal people, both at about 30 per cent.</w:t>
      </w:r>
      <w:r w:rsidR="007C64F5">
        <w:t xml:space="preserve"> </w:t>
      </w:r>
      <w:r>
        <w:t xml:space="preserve">However, in the Torres Strait </w:t>
      </w:r>
      <w:r w:rsidR="00233CCA">
        <w:t>R</w:t>
      </w:r>
      <w:r>
        <w:t xml:space="preserve">egion homeownership for Torres </w:t>
      </w:r>
      <w:r w:rsidR="00863938">
        <w:t>S</w:t>
      </w:r>
      <w:r>
        <w:t xml:space="preserve">trait </w:t>
      </w:r>
      <w:r w:rsidR="00863938">
        <w:t xml:space="preserve">Islander </w:t>
      </w:r>
      <w:r w:rsidR="00863938" w:rsidRPr="00A13DD7">
        <w:t>people</w:t>
      </w:r>
      <w:r>
        <w:t xml:space="preserve"> </w:t>
      </w:r>
      <w:r w:rsidR="00FD0F9E">
        <w:t>wa</w:t>
      </w:r>
      <w:r w:rsidR="001E0790">
        <w:t>s estimated to be</w:t>
      </w:r>
      <w:r>
        <w:t xml:space="preserve"> 13 per cent </w:t>
      </w:r>
      <w:r w:rsidR="00CF1F8E">
        <w:t>in 2018</w:t>
      </w:r>
      <w:r w:rsidR="00850173">
        <w:noBreakHyphen/>
      </w:r>
      <w:r w:rsidR="00CF1F8E">
        <w:t xml:space="preserve">19 </w:t>
      </w:r>
      <w:r>
        <w:t>(table 12A.1.</w:t>
      </w:r>
      <w:r w:rsidR="00233CCA">
        <w:t>9</w:t>
      </w:r>
      <w:r>
        <w:t>).</w:t>
      </w:r>
      <w:r w:rsidR="00863938">
        <w:t xml:space="preserve"> </w:t>
      </w:r>
      <w:r w:rsidR="00233CCA">
        <w:t>According to the Torres Strait Regi</w:t>
      </w:r>
      <w:r w:rsidR="00A844F0">
        <w:t>o</w:t>
      </w:r>
      <w:r w:rsidR="00233CCA">
        <w:t xml:space="preserve">nal Authority, complex land tenure arrangements in the </w:t>
      </w:r>
      <w:r w:rsidR="00C74D43">
        <w:t>region</w:t>
      </w:r>
      <w:r w:rsidR="00233CCA">
        <w:t xml:space="preserve"> and a lack of freehold land and long</w:t>
      </w:r>
      <w:r w:rsidR="00850173">
        <w:noBreakHyphen/>
      </w:r>
      <w:r w:rsidR="00233CCA">
        <w:t xml:space="preserve">tenure leasehold land remain challenges to increasing home ownership </w:t>
      </w:r>
      <w:r w:rsidR="001221D3" w:rsidRPr="001221D3">
        <w:rPr>
          <w:szCs w:val="24"/>
        </w:rPr>
        <w:t>(</w:t>
      </w:r>
      <w:proofErr w:type="spellStart"/>
      <w:r w:rsidR="001221D3" w:rsidRPr="001221D3">
        <w:rPr>
          <w:szCs w:val="24"/>
        </w:rPr>
        <w:t>TSRA</w:t>
      </w:r>
      <w:proofErr w:type="spellEnd"/>
      <w:r w:rsidR="001221D3" w:rsidRPr="001221D3">
        <w:rPr>
          <w:szCs w:val="24"/>
        </w:rPr>
        <w:t> 2019)</w:t>
      </w:r>
      <w:r w:rsidR="00BB79E4" w:rsidRPr="00BB79E4">
        <w:t xml:space="preserve">. </w:t>
      </w:r>
      <w:r w:rsidR="00FD0F9E">
        <w:t>Further, in the Torres Strait Region in 2016</w:t>
      </w:r>
      <w:r w:rsidR="00E541CE">
        <w:t xml:space="preserve">, </w:t>
      </w:r>
      <w:r w:rsidR="00FD0F9E">
        <w:t>around two in five</w:t>
      </w:r>
      <w:r w:rsidR="00B10D44">
        <w:t xml:space="preserve"> </w:t>
      </w:r>
      <w:r w:rsidR="00FD0F9E">
        <w:t>Torres Strait Islander</w:t>
      </w:r>
      <w:r w:rsidR="00B10D44">
        <w:t xml:space="preserve"> people </w:t>
      </w:r>
      <w:r w:rsidR="00FD0F9E">
        <w:t>were</w:t>
      </w:r>
      <w:r w:rsidR="00B10D44">
        <w:t xml:space="preserve"> living in overcrowded </w:t>
      </w:r>
      <w:r w:rsidR="00FD0F9E">
        <w:t>housing (more than double the proportions for Aboriginal and non</w:t>
      </w:r>
      <w:r w:rsidR="00850173">
        <w:noBreakHyphen/>
      </w:r>
      <w:r w:rsidR="00FD0F9E">
        <w:t>Indigenous people)</w:t>
      </w:r>
      <w:r w:rsidR="00E43622">
        <w:t xml:space="preserve"> (table </w:t>
      </w:r>
      <w:r w:rsidR="00B10D44">
        <w:t>12A.1.10).</w:t>
      </w:r>
    </w:p>
    <w:p w14:paraId="7A218F9A" w14:textId="77777777" w:rsidR="001066FA" w:rsidRDefault="00C74D43">
      <w:pPr>
        <w:pStyle w:val="Heading3"/>
      </w:pPr>
      <w:r>
        <w:t xml:space="preserve">But for selected </w:t>
      </w:r>
      <w:r w:rsidR="00401AB7">
        <w:t xml:space="preserve">health </w:t>
      </w:r>
      <w:r>
        <w:t xml:space="preserve">indicators, </w:t>
      </w:r>
      <w:r w:rsidR="00BA6E5D">
        <w:t xml:space="preserve">Aboriginal and Torres Strait Islander people living in the Torres Strait </w:t>
      </w:r>
      <w:r>
        <w:t xml:space="preserve">Region </w:t>
      </w:r>
      <w:r w:rsidR="00BB79E4">
        <w:t xml:space="preserve">appear to have </w:t>
      </w:r>
      <w:r w:rsidR="00D64EF7">
        <w:t>better outcomes</w:t>
      </w:r>
      <w:r w:rsidR="00BA6E5D">
        <w:t xml:space="preserve"> than </w:t>
      </w:r>
      <w:r w:rsidR="00A04FE4">
        <w:t>their peers</w:t>
      </w:r>
      <w:r w:rsidR="00BA6E5D">
        <w:t xml:space="preserve"> </w:t>
      </w:r>
      <w:r w:rsidR="00BB79E4">
        <w:t>on the mainland</w:t>
      </w:r>
    </w:p>
    <w:p w14:paraId="748EFF81" w14:textId="77777777" w:rsidR="005F0365" w:rsidRDefault="00983325" w:rsidP="004C0BA6">
      <w:pPr>
        <w:pStyle w:val="BodyText"/>
      </w:pPr>
      <w:r>
        <w:t xml:space="preserve">While comparatively lower employment </w:t>
      </w:r>
      <w:r w:rsidR="00B14D1A">
        <w:t xml:space="preserve">and home ownership </w:t>
      </w:r>
      <w:r>
        <w:t xml:space="preserve">rates persist as issues for Torres Strait Islander people </w:t>
      </w:r>
      <w:r w:rsidR="00C74D43">
        <w:t>in the Torres Strait Region</w:t>
      </w:r>
      <w:r>
        <w:t xml:space="preserve">, </w:t>
      </w:r>
      <w:r w:rsidR="00B14D1A">
        <w:t xml:space="preserve">some health </w:t>
      </w:r>
      <w:r w:rsidR="00F55465">
        <w:t>outcomes</w:t>
      </w:r>
      <w:r>
        <w:t xml:space="preserve"> for Aboriginal and Torres Strait Islander</w:t>
      </w:r>
      <w:r w:rsidR="00BB79E4">
        <w:t xml:space="preserve"> people</w:t>
      </w:r>
      <w:r>
        <w:t xml:space="preserve"> may be better in the Torres Strait </w:t>
      </w:r>
      <w:r w:rsidR="00F55465">
        <w:t>R</w:t>
      </w:r>
      <w:r w:rsidR="00BB79E4">
        <w:t xml:space="preserve">egion </w:t>
      </w:r>
      <w:r>
        <w:t xml:space="preserve">than </w:t>
      </w:r>
      <w:r w:rsidR="00C74D43">
        <w:t>on</w:t>
      </w:r>
      <w:r>
        <w:t xml:space="preserve"> the Australian mainland.</w:t>
      </w:r>
    </w:p>
    <w:p w14:paraId="2CECDBBF" w14:textId="6E7A33D7" w:rsidR="00B14D1A" w:rsidRDefault="00983325" w:rsidP="001F0A1D">
      <w:pPr>
        <w:pStyle w:val="BodyText"/>
      </w:pPr>
      <w:r>
        <w:t>An analysis of 2018</w:t>
      </w:r>
      <w:r w:rsidR="00850173">
        <w:noBreakHyphen/>
      </w:r>
      <w:r>
        <w:t xml:space="preserve">19 survey data indicates that </w:t>
      </w:r>
      <w:r w:rsidR="00B14D1A">
        <w:t>for Aboriginal and Torres Strait Islander people in the Torres Strait Region</w:t>
      </w:r>
      <w:r w:rsidR="00A04FE4">
        <w:t>,</w:t>
      </w:r>
      <w:r w:rsidR="00B14D1A">
        <w:t xml:space="preserve"> compared </w:t>
      </w:r>
      <w:r w:rsidR="004E1E50">
        <w:t>with</w:t>
      </w:r>
      <w:r w:rsidR="00B14D1A">
        <w:t xml:space="preserve"> </w:t>
      </w:r>
      <w:r w:rsidR="00C737F2">
        <w:t>all Aboriginal and Torres Strait Islander people in Australia (as a proxy for the mainland Australia):</w:t>
      </w:r>
    </w:p>
    <w:p w14:paraId="15B6E6D0" w14:textId="77777777" w:rsidR="00B14D1A" w:rsidRDefault="00A04FE4" w:rsidP="00995412">
      <w:pPr>
        <w:pStyle w:val="ListBullet"/>
      </w:pPr>
      <w:r>
        <w:t xml:space="preserve">the </w:t>
      </w:r>
      <w:r w:rsidR="00983325">
        <w:t xml:space="preserve">rate of substance use </w:t>
      </w:r>
      <w:r w:rsidR="00B14D1A">
        <w:t>w</w:t>
      </w:r>
      <w:r>
        <w:t>as</w:t>
      </w:r>
      <w:r w:rsidR="00983325">
        <w:t xml:space="preserve"> lower </w:t>
      </w:r>
      <w:r w:rsidR="00B14D1A">
        <w:t>(</w:t>
      </w:r>
      <w:r w:rsidR="00983325">
        <w:t xml:space="preserve">20 per cent </w:t>
      </w:r>
      <w:r w:rsidR="00BB79E4">
        <w:t xml:space="preserve">compared </w:t>
      </w:r>
      <w:r w:rsidR="004E1E50">
        <w:t>with</w:t>
      </w:r>
      <w:r w:rsidR="00BB79E4">
        <w:t xml:space="preserve"> </w:t>
      </w:r>
      <w:r w:rsidR="00983325">
        <w:t>29 per cent)</w:t>
      </w:r>
    </w:p>
    <w:p w14:paraId="24C1646C" w14:textId="3D3DFF27" w:rsidR="00A04FE4" w:rsidRDefault="00B14D1A" w:rsidP="00995412">
      <w:pPr>
        <w:pStyle w:val="ListBullet"/>
      </w:pPr>
      <w:r>
        <w:t xml:space="preserve">the proportion </w:t>
      </w:r>
      <w:r w:rsidR="00A04FE4">
        <w:t>with a self</w:t>
      </w:r>
      <w:r w:rsidR="00850173">
        <w:noBreakHyphen/>
      </w:r>
      <w:r w:rsidR="00A04FE4">
        <w:t>assessed</w:t>
      </w:r>
      <w:r>
        <w:t xml:space="preserve"> health status</w:t>
      </w:r>
      <w:r w:rsidR="00A04FE4">
        <w:t xml:space="preserve"> of fair or poor was lower (</w:t>
      </w:r>
      <w:r w:rsidR="00983325">
        <w:t xml:space="preserve">13 per cent compared to the </w:t>
      </w:r>
      <w:r w:rsidR="003F23AF">
        <w:t>24</w:t>
      </w:r>
      <w:r w:rsidR="00983325">
        <w:t xml:space="preserve"> per cent</w:t>
      </w:r>
      <w:r w:rsidR="00A04FE4">
        <w:t>)</w:t>
      </w:r>
      <w:r w:rsidR="00296FCA">
        <w:t xml:space="preserve"> (see section 8.1 </w:t>
      </w:r>
      <w:r w:rsidR="00296FCA" w:rsidRPr="00847229">
        <w:rPr>
          <w:i/>
        </w:rPr>
        <w:t>Access to Primary Health Care</w:t>
      </w:r>
      <w:r w:rsidR="00296FCA">
        <w:t>)</w:t>
      </w:r>
    </w:p>
    <w:p w14:paraId="2A36592E" w14:textId="77777777" w:rsidR="00A3545A" w:rsidRPr="002B1569" w:rsidRDefault="00A04FE4" w:rsidP="00995412">
      <w:pPr>
        <w:pStyle w:val="ListBullet"/>
      </w:pPr>
      <w:r>
        <w:t xml:space="preserve">the proportion reported as having high/very high levels of psychological distress was </w:t>
      </w:r>
      <w:r w:rsidRPr="002B1569">
        <w:t>lower (</w:t>
      </w:r>
      <w:r w:rsidR="00983325" w:rsidRPr="002B1569">
        <w:t>24 per</w:t>
      </w:r>
      <w:r w:rsidR="00BB79E4" w:rsidRPr="002B1569">
        <w:t xml:space="preserve"> </w:t>
      </w:r>
      <w:r w:rsidR="00983325" w:rsidRPr="002B1569">
        <w:t xml:space="preserve">cent compared </w:t>
      </w:r>
      <w:r w:rsidR="004E1E50" w:rsidRPr="002B1569">
        <w:t xml:space="preserve">with </w:t>
      </w:r>
      <w:r w:rsidR="00983325" w:rsidRPr="002B1569">
        <w:t>32 per cent</w:t>
      </w:r>
      <w:r w:rsidRPr="002B1569">
        <w:t>)</w:t>
      </w:r>
    </w:p>
    <w:p w14:paraId="0207FA4E" w14:textId="3349AD34" w:rsidR="00A3545A" w:rsidRPr="002B1569" w:rsidRDefault="00C737F2" w:rsidP="000415DE">
      <w:pPr>
        <w:pStyle w:val="ListBullet"/>
      </w:pPr>
      <w:r>
        <w:t>the proportion with a long-</w:t>
      </w:r>
      <w:r w:rsidR="00A3545A" w:rsidRPr="002B1569">
        <w:t>term health condition was lower (53 per cent compared with 67 per cent)</w:t>
      </w:r>
    </w:p>
    <w:p w14:paraId="071A257B" w14:textId="68E82B22" w:rsidR="00A3545A" w:rsidRDefault="00A3545A" w:rsidP="00847229">
      <w:pPr>
        <w:pStyle w:val="ListBullet"/>
      </w:pPr>
      <w:r>
        <w:t>r</w:t>
      </w:r>
      <w:r w:rsidR="00BB0D98">
        <w:t>ates of obesity</w:t>
      </w:r>
      <w:r w:rsidR="00EB0CC9">
        <w:t>,</w:t>
      </w:r>
      <w:r w:rsidR="00BB0D98">
        <w:t xml:space="preserve"> dis</w:t>
      </w:r>
      <w:r w:rsidR="005A2B7E">
        <w:t xml:space="preserve">ability </w:t>
      </w:r>
      <w:r w:rsidR="00EB0CC9">
        <w:t xml:space="preserve">and smoker status </w:t>
      </w:r>
      <w:r w:rsidR="005A2B7E">
        <w:t>were not statistically different</w:t>
      </w:r>
      <w:r w:rsidR="00BB0D98">
        <w:t xml:space="preserve"> </w:t>
      </w:r>
      <w:r w:rsidR="00A04FE4">
        <w:t>(</w:t>
      </w:r>
      <w:r w:rsidR="00173963" w:rsidRPr="00784A05">
        <w:t xml:space="preserve">figure </w:t>
      </w:r>
      <w:r w:rsidR="00173963" w:rsidRPr="00F313A9">
        <w:rPr>
          <w:bCs/>
        </w:rPr>
        <w:t>12.4</w:t>
      </w:r>
      <w:r w:rsidR="00A04FE4" w:rsidRPr="00983325">
        <w:t>)</w:t>
      </w:r>
      <w:r w:rsidR="00BB0D98">
        <w:t xml:space="preserve">. </w:t>
      </w:r>
    </w:p>
    <w:p w14:paraId="111C9A6F" w14:textId="22882753" w:rsidR="00BB0D98" w:rsidRDefault="00C74D43" w:rsidP="00851F9D">
      <w:pPr>
        <w:pStyle w:val="BodyText"/>
      </w:pPr>
      <w:r>
        <w:t>H</w:t>
      </w:r>
      <w:r w:rsidR="00BB0D98">
        <w:t xml:space="preserve">owever, </w:t>
      </w:r>
      <w:r w:rsidR="002661B8">
        <w:t xml:space="preserve">data were not available on </w:t>
      </w:r>
      <w:r w:rsidR="00BB0D98">
        <w:t>access to primary health care</w:t>
      </w:r>
      <w:r w:rsidR="002661B8">
        <w:t>, and access issues can</w:t>
      </w:r>
      <w:r w:rsidR="00BB0D98">
        <w:t xml:space="preserve"> result in undiagnosed </w:t>
      </w:r>
      <w:r w:rsidR="00614FEB">
        <w:t xml:space="preserve">and untreated </w:t>
      </w:r>
      <w:r w:rsidR="00BB0D98">
        <w:t>conditions</w:t>
      </w:r>
      <w:r w:rsidR="00851F9D">
        <w:t>,</w:t>
      </w:r>
      <w:r w:rsidR="00250B46">
        <w:t xml:space="preserve"> </w:t>
      </w:r>
      <w:r w:rsidR="00614FEB">
        <w:t>especially if conditions are not well understood.</w:t>
      </w:r>
      <w:r w:rsidR="00250B46">
        <w:t xml:space="preserve"> </w:t>
      </w:r>
      <w:r w:rsidR="00851F9D">
        <w:t>R</w:t>
      </w:r>
      <w:r w:rsidR="00614FEB">
        <w:t xml:space="preserve">esearch </w:t>
      </w:r>
      <w:r w:rsidR="00A04FE4">
        <w:t xml:space="preserve">indicates </w:t>
      </w:r>
      <w:r w:rsidR="00DD3F48">
        <w:t xml:space="preserve">that there may be barriers </w:t>
      </w:r>
      <w:r w:rsidR="00A04FE4">
        <w:t>to</w:t>
      </w:r>
      <w:r w:rsidR="00DD3F48">
        <w:t xml:space="preserve"> people </w:t>
      </w:r>
      <w:r w:rsidR="00A04FE4">
        <w:t xml:space="preserve">in </w:t>
      </w:r>
      <w:r w:rsidR="00DD3F48">
        <w:t>the Torres Strait</w:t>
      </w:r>
      <w:r w:rsidR="00A3545A">
        <w:t xml:space="preserve"> Region</w:t>
      </w:r>
      <w:r w:rsidR="00DD3F48">
        <w:t xml:space="preserve"> in understanding and accessing treatment for </w:t>
      </w:r>
      <w:r w:rsidR="00851F9D">
        <w:t>chronic diseases, such as</w:t>
      </w:r>
      <w:r w:rsidR="00614FEB">
        <w:t xml:space="preserve"> </w:t>
      </w:r>
      <w:r w:rsidR="00686389">
        <w:t>c</w:t>
      </w:r>
      <w:r w:rsidR="00614FEB">
        <w:t xml:space="preserve">hronic </w:t>
      </w:r>
      <w:r w:rsidR="00686389">
        <w:t>h</w:t>
      </w:r>
      <w:r w:rsidR="00614FEB">
        <w:t xml:space="preserve">epatitis B </w:t>
      </w:r>
      <w:r w:rsidR="00851F9D">
        <w:t xml:space="preserve">and </w:t>
      </w:r>
      <w:r w:rsidR="00686389">
        <w:t>d</w:t>
      </w:r>
      <w:r w:rsidR="00851F9D">
        <w:t>iabetes</w:t>
      </w:r>
      <w:r w:rsidR="00EA4BDB">
        <w:t xml:space="preserve"> </w:t>
      </w:r>
      <w:r w:rsidR="00EA4BDB" w:rsidRPr="00EA4BDB">
        <w:rPr>
          <w:szCs w:val="24"/>
        </w:rPr>
        <w:t>(Anderson, Ellard and Wallace 2016; Taylor, Thompson and McDermott 2016)</w:t>
      </w:r>
      <w:r w:rsidR="00AD0A39">
        <w:t>.</w:t>
      </w:r>
      <w:r w:rsidR="00851F9D">
        <w:t xml:space="preserve"> </w:t>
      </w:r>
    </w:p>
    <w:p w14:paraId="115D4805" w14:textId="77777777" w:rsidR="00FD0F9E" w:rsidRDefault="00FD0F9E" w:rsidP="0084722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70094D" w:rsidRPr="00176D3F" w14:paraId="26121241" w14:textId="77777777" w:rsidTr="00AD0A39">
        <w:trPr>
          <w:tblHeader/>
        </w:trPr>
        <w:tc>
          <w:tcPr>
            <w:tcW w:w="5000" w:type="pct"/>
            <w:tcBorders>
              <w:top w:val="single" w:sz="6" w:space="0" w:color="78A22F"/>
              <w:left w:val="nil"/>
              <w:bottom w:val="nil"/>
              <w:right w:val="nil"/>
            </w:tcBorders>
            <w:shd w:val="clear" w:color="auto" w:fill="auto"/>
          </w:tcPr>
          <w:p w14:paraId="42A098C8" w14:textId="342E08D9" w:rsidR="0070094D" w:rsidRPr="00176D3F" w:rsidRDefault="0070094D" w:rsidP="00F65580">
            <w:pPr>
              <w:pStyle w:val="FigureTitle"/>
              <w:widowControl w:val="0"/>
            </w:pPr>
            <w:bookmarkStart w:id="6" w:name="_Ref47536068"/>
            <w:r w:rsidRPr="00784A05">
              <w:rPr>
                <w:b w:val="0"/>
              </w:rPr>
              <w:t xml:space="preserve">Figure </w:t>
            </w:r>
            <w:r w:rsidR="00CC1549">
              <w:rPr>
                <w:b w:val="0"/>
              </w:rPr>
              <w:t>12.</w:t>
            </w:r>
            <w:r w:rsidR="00173963">
              <w:rPr>
                <w:b w:val="0"/>
                <w:noProof/>
              </w:rPr>
              <w:t>4</w:t>
            </w:r>
            <w:bookmarkEnd w:id="6"/>
            <w:r>
              <w:tab/>
              <w:t xml:space="preserve">Selected survey responses for Aboriginal and Torres Strait Island people in the Torres Strait </w:t>
            </w:r>
            <w:r w:rsidR="00401AB7">
              <w:t>R</w:t>
            </w:r>
            <w:r>
              <w:t xml:space="preserve">egion and </w:t>
            </w:r>
            <w:r w:rsidR="00F65580">
              <w:t>all of</w:t>
            </w:r>
            <w:r>
              <w:t xml:space="preserve"> Australia, 2018</w:t>
            </w:r>
            <w:r w:rsidR="00850173">
              <w:noBreakHyphen/>
            </w:r>
            <w:r>
              <w:t>19</w:t>
            </w:r>
            <w:r w:rsidR="00BB79E4" w:rsidRPr="00BB79E4">
              <w:rPr>
                <w:rStyle w:val="NoteLabel"/>
                <w:b/>
              </w:rPr>
              <w:t>a</w:t>
            </w:r>
            <w:r w:rsidR="00AC44D0">
              <w:rPr>
                <w:rStyle w:val="NoteLabel"/>
                <w:b/>
              </w:rPr>
              <w:t>,b</w:t>
            </w:r>
            <w:r w:rsidR="00995412">
              <w:rPr>
                <w:rStyle w:val="NoteLabel"/>
                <w:b/>
              </w:rPr>
              <w:t xml:space="preserve"> </w:t>
            </w:r>
          </w:p>
        </w:tc>
      </w:tr>
      <w:tr w:rsidR="0070094D" w14:paraId="5E553452" w14:textId="77777777" w:rsidTr="00AD0A3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70094D" w14:paraId="70F8CD34" w14:textId="77777777" w:rsidTr="00F3253D">
              <w:trPr>
                <w:tblHeader/>
                <w:jc w:val="center"/>
              </w:trPr>
              <w:tc>
                <w:tcPr>
                  <w:tcW w:w="8504" w:type="dxa"/>
                  <w:tcBorders>
                    <w:top w:val="nil"/>
                    <w:bottom w:val="nil"/>
                  </w:tcBorders>
                </w:tcPr>
                <w:p w14:paraId="1E52FE77" w14:textId="6005FD66" w:rsidR="0070094D" w:rsidRDefault="00C877DE" w:rsidP="00BB0D98">
                  <w:pPr>
                    <w:pStyle w:val="Figure"/>
                    <w:keepLines/>
                    <w:widowControl w:val="0"/>
                    <w:spacing w:before="60" w:after="60"/>
                  </w:pPr>
                  <w:r w:rsidRPr="00C877DE">
                    <w:rPr>
                      <w:noProof/>
                    </w:rPr>
                    <w:drawing>
                      <wp:inline distT="0" distB="0" distL="0" distR="0" wp14:anchorId="1F3B3AE6" wp14:editId="1507A863">
                        <wp:extent cx="5334000" cy="2809875"/>
                        <wp:effectExtent l="0" t="0" r="0" b="9525"/>
                        <wp:docPr id="13" name="Picture 13" descr="Figure 12.4 Selected survey responses for Aboriginal and Torres Strait Island people in the Torres Strait Region and all of Australia, 2018-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0" cy="2809875"/>
                                </a:xfrm>
                                <a:prstGeom prst="rect">
                                  <a:avLst/>
                                </a:prstGeom>
                                <a:noFill/>
                                <a:ln>
                                  <a:noFill/>
                                </a:ln>
                              </pic:spPr>
                            </pic:pic>
                          </a:graphicData>
                        </a:graphic>
                      </wp:inline>
                    </w:drawing>
                  </w:r>
                </w:p>
              </w:tc>
            </w:tr>
          </w:tbl>
          <w:p w14:paraId="13E54A04" w14:textId="77777777" w:rsidR="0070094D" w:rsidRDefault="0070094D" w:rsidP="00BB0D98">
            <w:pPr>
              <w:pStyle w:val="Figure"/>
              <w:keepLines/>
              <w:widowControl w:val="0"/>
            </w:pPr>
          </w:p>
        </w:tc>
      </w:tr>
      <w:tr w:rsidR="00363691" w:rsidRPr="00176D3F" w14:paraId="77BBE3DE" w14:textId="77777777" w:rsidTr="00AD0A39">
        <w:tc>
          <w:tcPr>
            <w:tcW w:w="5000" w:type="pct"/>
            <w:tcBorders>
              <w:top w:val="nil"/>
              <w:left w:val="nil"/>
              <w:bottom w:val="nil"/>
              <w:right w:val="nil"/>
            </w:tcBorders>
            <w:shd w:val="clear" w:color="auto" w:fill="auto"/>
          </w:tcPr>
          <w:p w14:paraId="05C528D3" w14:textId="77777777" w:rsidR="00363691" w:rsidRPr="002D1928" w:rsidRDefault="00363691" w:rsidP="002D1928">
            <w:pPr>
              <w:pStyle w:val="Note"/>
            </w:pPr>
            <w:r w:rsidRPr="00D64EF7">
              <w:rPr>
                <w:b/>
                <w:sz w:val="28"/>
                <w:vertAlign w:val="superscript"/>
              </w:rPr>
              <w:t>a</w:t>
            </w:r>
            <w:r w:rsidRPr="00D64EF7">
              <w:rPr>
                <w:sz w:val="28"/>
                <w:vertAlign w:val="superscript"/>
              </w:rPr>
              <w:t xml:space="preserve"> </w:t>
            </w:r>
            <w:r w:rsidR="002E6D44" w:rsidRPr="00D64EF7">
              <w:t>Error bars are 95</w:t>
            </w:r>
            <w:r w:rsidR="002D1928">
              <w:t xml:space="preserve"> per cent</w:t>
            </w:r>
            <w:r w:rsidR="002E6D44" w:rsidRPr="00D64EF7">
              <w:t xml:space="preserve"> confidence intervals.</w:t>
            </w:r>
            <w:r w:rsidR="00AC44D0">
              <w:t xml:space="preserve"> </w:t>
            </w:r>
            <w:r w:rsidR="00AC44D0" w:rsidRPr="00847229">
              <w:rPr>
                <w:rStyle w:val="NoteLabel"/>
              </w:rPr>
              <w:t>b</w:t>
            </w:r>
            <w:r w:rsidR="00AC44D0">
              <w:t xml:space="preserve"> See table 12A.1.20 for detailed definitions, footnotes and caveats.</w:t>
            </w:r>
            <w:r w:rsidR="00BB79E4" w:rsidRPr="00D64EF7">
              <w:rPr>
                <w:sz w:val="28"/>
                <w:vertAlign w:val="superscript"/>
              </w:rPr>
              <w:t xml:space="preserve"> </w:t>
            </w:r>
          </w:p>
        </w:tc>
      </w:tr>
      <w:tr w:rsidR="0070094D" w:rsidRPr="00176D3F" w14:paraId="6BBDF391" w14:textId="77777777" w:rsidTr="00EA4BDB">
        <w:tc>
          <w:tcPr>
            <w:tcW w:w="5000" w:type="pct"/>
            <w:tcBorders>
              <w:top w:val="nil"/>
              <w:left w:val="nil"/>
              <w:bottom w:val="nil"/>
              <w:right w:val="nil"/>
            </w:tcBorders>
            <w:shd w:val="clear" w:color="auto" w:fill="auto"/>
          </w:tcPr>
          <w:p w14:paraId="7E21A4D8" w14:textId="7B296AE7" w:rsidR="0070094D" w:rsidRPr="00176D3F" w:rsidRDefault="0070094D" w:rsidP="007D6FED">
            <w:pPr>
              <w:pStyle w:val="Source"/>
              <w:keepNext/>
              <w:widowControl w:val="0"/>
            </w:pPr>
            <w:r>
              <w:rPr>
                <w:i/>
              </w:rPr>
              <w:t>S</w:t>
            </w:r>
            <w:r w:rsidRPr="00784A05">
              <w:rPr>
                <w:i/>
              </w:rPr>
              <w:t>ource</w:t>
            </w:r>
            <w:r w:rsidRPr="00176D3F">
              <w:t xml:space="preserve">: </w:t>
            </w:r>
            <w:r w:rsidRPr="0070094D">
              <w:t xml:space="preserve">ABS </w:t>
            </w:r>
            <w:r w:rsidR="007D6FED">
              <w:t>(</w:t>
            </w:r>
            <w:r w:rsidR="00ED1A49">
              <w:t>2020</w:t>
            </w:r>
            <w:r w:rsidR="007D6FED">
              <w:t>)</w:t>
            </w:r>
            <w:r w:rsidR="00ED1A49">
              <w:t xml:space="preserve"> </w:t>
            </w:r>
            <w:r w:rsidRPr="00B471C6">
              <w:rPr>
                <w:i/>
              </w:rPr>
              <w:t>National Aboriginal and Torres Strait Islander Health Survey 2018</w:t>
            </w:r>
            <w:r w:rsidR="00850173">
              <w:rPr>
                <w:i/>
              </w:rPr>
              <w:noBreakHyphen/>
            </w:r>
            <w:r w:rsidRPr="00B471C6">
              <w:rPr>
                <w:i/>
              </w:rPr>
              <w:t>19</w:t>
            </w:r>
            <w:r>
              <w:t xml:space="preserve">, for small area estimates </w:t>
            </w:r>
            <w:r w:rsidR="003A69FE" w:rsidRPr="00AD0A39">
              <w:t>(Torres Strait Region)</w:t>
            </w:r>
            <w:r w:rsidR="003A69FE">
              <w:t xml:space="preserve"> </w:t>
            </w:r>
            <w:r>
              <w:t xml:space="preserve">and ABS TableBuilder for national </w:t>
            </w:r>
            <w:r w:rsidR="00167E2E">
              <w:t>estimates</w:t>
            </w:r>
            <w:r w:rsidR="003F23AF">
              <w:t>; table 12A.1.20.</w:t>
            </w:r>
          </w:p>
        </w:tc>
      </w:tr>
      <w:tr w:rsidR="0070094D" w14:paraId="3FC4E88E" w14:textId="77777777" w:rsidTr="00AD0A39">
        <w:tc>
          <w:tcPr>
            <w:tcW w:w="5000" w:type="pct"/>
            <w:tcBorders>
              <w:top w:val="nil"/>
              <w:left w:val="nil"/>
              <w:bottom w:val="single" w:sz="6" w:space="0" w:color="78A22F"/>
              <w:right w:val="nil"/>
            </w:tcBorders>
            <w:shd w:val="clear" w:color="auto" w:fill="auto"/>
          </w:tcPr>
          <w:p w14:paraId="713600AD" w14:textId="77777777" w:rsidR="0070094D" w:rsidRDefault="0070094D" w:rsidP="00BB0D98">
            <w:pPr>
              <w:pStyle w:val="Figurespace"/>
              <w:keepLines/>
              <w:widowControl w:val="0"/>
            </w:pPr>
          </w:p>
        </w:tc>
      </w:tr>
      <w:tr w:rsidR="0070094D" w:rsidRPr="00626D32" w14:paraId="0FAA5384" w14:textId="77777777" w:rsidTr="00AD0A39">
        <w:tc>
          <w:tcPr>
            <w:tcW w:w="5000" w:type="pct"/>
            <w:tcBorders>
              <w:top w:val="single" w:sz="6" w:space="0" w:color="78A22F"/>
              <w:left w:val="nil"/>
              <w:bottom w:val="nil"/>
              <w:right w:val="nil"/>
            </w:tcBorders>
          </w:tcPr>
          <w:p w14:paraId="001A653C" w14:textId="3148BC4D" w:rsidR="0070094D" w:rsidRPr="00626D32" w:rsidRDefault="0070094D" w:rsidP="008B7525">
            <w:pPr>
              <w:pStyle w:val="BoxSpaceBelow"/>
            </w:pPr>
          </w:p>
        </w:tc>
      </w:tr>
    </w:tbl>
    <w:p w14:paraId="1452A295" w14:textId="7A33DA3F" w:rsidR="0035762B" w:rsidRPr="00D22628" w:rsidRDefault="002B7949" w:rsidP="00EA4BDB">
      <w:pPr>
        <w:pStyle w:val="BodyText"/>
      </w:pPr>
      <w:r w:rsidRPr="00D22628">
        <w:t xml:space="preserve">The effect of trauma on the members and descendants of the </w:t>
      </w:r>
      <w:r w:rsidR="009A48EA" w:rsidRPr="00D22628">
        <w:t>S</w:t>
      </w:r>
      <w:r w:rsidRPr="00D22628">
        <w:t xml:space="preserve">tolen </w:t>
      </w:r>
      <w:r w:rsidR="009A48EA" w:rsidRPr="00D22628">
        <w:t>G</w:t>
      </w:r>
      <w:r w:rsidRPr="00D22628">
        <w:t>enerations is an</w:t>
      </w:r>
      <w:r w:rsidR="00510FE1" w:rsidRPr="00D22628">
        <w:t xml:space="preserve"> important </w:t>
      </w:r>
      <w:r w:rsidR="0035762B" w:rsidRPr="00D22628">
        <w:t>consideration</w:t>
      </w:r>
      <w:r w:rsidR="005607F1" w:rsidRPr="00D22628">
        <w:t xml:space="preserve"> for the</w:t>
      </w:r>
      <w:r w:rsidRPr="00D22628">
        <w:t xml:space="preserve"> </w:t>
      </w:r>
      <w:r w:rsidR="004E1E50" w:rsidRPr="00D22628">
        <w:t xml:space="preserve">health </w:t>
      </w:r>
      <w:r w:rsidR="0035762B" w:rsidRPr="00D22628">
        <w:t xml:space="preserve">outcomes of Torres Strait Islander </w:t>
      </w:r>
      <w:r w:rsidR="005607F1" w:rsidRPr="00D22628">
        <w:t>and Aboriginal people.</w:t>
      </w:r>
      <w:r w:rsidR="00510FE1" w:rsidRPr="00D22628">
        <w:t xml:space="preserve"> For example, d</w:t>
      </w:r>
      <w:r w:rsidR="0035762B" w:rsidRPr="00D22628">
        <w:t xml:space="preserve">escendants </w:t>
      </w:r>
      <w:r w:rsidR="00510FE1" w:rsidRPr="00D22628">
        <w:t xml:space="preserve">of the </w:t>
      </w:r>
      <w:r w:rsidR="009A48EA" w:rsidRPr="00D22628">
        <w:t>S</w:t>
      </w:r>
      <w:r w:rsidR="00510FE1" w:rsidRPr="00D22628">
        <w:t xml:space="preserve">tolen </w:t>
      </w:r>
      <w:r w:rsidR="009A48EA" w:rsidRPr="00D22628">
        <w:t>G</w:t>
      </w:r>
      <w:r w:rsidR="00510FE1" w:rsidRPr="00D22628">
        <w:t xml:space="preserve">enerations </w:t>
      </w:r>
      <w:r w:rsidR="0035762B" w:rsidRPr="00D22628">
        <w:t xml:space="preserve">have </w:t>
      </w:r>
      <w:r w:rsidR="00510FE1" w:rsidRPr="00D22628">
        <w:t xml:space="preserve">a </w:t>
      </w:r>
      <w:r w:rsidR="0035762B" w:rsidRPr="00D22628">
        <w:t>higher likelihood to</w:t>
      </w:r>
      <w:r w:rsidR="00C737F2">
        <w:t>;</w:t>
      </w:r>
      <w:r w:rsidR="0035762B" w:rsidRPr="00D22628">
        <w:t xml:space="preserve"> experience violence, make contact with the criminal justice system, have a low level of trust in the general community and generally poorer health outcomes </w:t>
      </w:r>
      <w:r w:rsidR="001221D3" w:rsidRPr="001221D3">
        <w:rPr>
          <w:szCs w:val="24"/>
        </w:rPr>
        <w:t>(AIHW 2018)</w:t>
      </w:r>
      <w:r w:rsidR="0035762B" w:rsidRPr="00D22628">
        <w:t>.</w:t>
      </w:r>
      <w:r w:rsidR="00510FE1" w:rsidRPr="00D22628">
        <w:t xml:space="preserve"> In 2018</w:t>
      </w:r>
      <w:r w:rsidR="00850173">
        <w:noBreakHyphen/>
      </w:r>
      <w:r w:rsidR="00510FE1" w:rsidRPr="00D22628">
        <w:t>19, 35 per cent of Torres Strait Islander people and 46 percent of Aboriginal people reported that they</w:t>
      </w:r>
      <w:r w:rsidR="009A48EA" w:rsidRPr="00D22628">
        <w:t>,</w:t>
      </w:r>
      <w:r w:rsidR="00510FE1" w:rsidRPr="00D22628">
        <w:t xml:space="preserve"> or a relative</w:t>
      </w:r>
      <w:r w:rsidR="009A48EA" w:rsidRPr="00D22628">
        <w:t>,</w:t>
      </w:r>
      <w:r w:rsidR="00510FE1" w:rsidRPr="00D22628">
        <w:t xml:space="preserve"> had been removed from </w:t>
      </w:r>
      <w:r w:rsidR="009A48EA" w:rsidRPr="00D22628">
        <w:t>their</w:t>
      </w:r>
      <w:r w:rsidR="00510FE1" w:rsidRPr="00D22628">
        <w:t xml:space="preserve"> family</w:t>
      </w:r>
      <w:r w:rsidR="00F934BB" w:rsidRPr="00D22628">
        <w:t xml:space="preserve"> at some point</w:t>
      </w:r>
      <w:r w:rsidR="00510FE1" w:rsidRPr="00D22628">
        <w:t xml:space="preserve"> (table 12A.1.21). In the Torres Strait Region, </w:t>
      </w:r>
      <w:r w:rsidR="009A48EA" w:rsidRPr="00D22628">
        <w:t>9</w:t>
      </w:r>
      <w:r w:rsidR="00510FE1" w:rsidRPr="00D22628">
        <w:t xml:space="preserve"> per cent of Aboriginal and Torres Strait Islander people reported an incident of removal, while on a national basis, th</w:t>
      </w:r>
      <w:r w:rsidR="00883FF3" w:rsidRPr="00D22628">
        <w:t>is</w:t>
      </w:r>
      <w:r w:rsidR="00510FE1" w:rsidRPr="00D22628">
        <w:t xml:space="preserve"> was closer to 45 per cent of all Aboriginal and Torres Strait Islander people (table 12A.1.21).</w:t>
      </w:r>
    </w:p>
    <w:p w14:paraId="4133F5BE" w14:textId="77777777" w:rsidR="0035762B" w:rsidRPr="00D22628" w:rsidRDefault="0035762B" w:rsidP="00EA4BDB">
      <w:pPr>
        <w:pStyle w:val="Heading3"/>
      </w:pPr>
      <w:r w:rsidRPr="00D22628">
        <w:t>Future directions in data</w:t>
      </w:r>
    </w:p>
    <w:p w14:paraId="01674E3A" w14:textId="77777777" w:rsidR="0035762B" w:rsidRPr="00D22628" w:rsidRDefault="00C512E3" w:rsidP="00EA4BDB">
      <w:pPr>
        <w:pStyle w:val="BodyText"/>
      </w:pPr>
      <w:r w:rsidRPr="00D22628">
        <w:t>D</w:t>
      </w:r>
      <w:r w:rsidR="002B7949" w:rsidRPr="00D22628">
        <w:t xml:space="preserve">ata collected on </w:t>
      </w:r>
      <w:r w:rsidR="00883FF3" w:rsidRPr="00D22628">
        <w:t>Torres Strait Islander</w:t>
      </w:r>
      <w:r w:rsidR="009A48EA" w:rsidRPr="00D22628">
        <w:t xml:space="preserve"> people</w:t>
      </w:r>
      <w:r w:rsidR="00883FF3" w:rsidRPr="00D22628">
        <w:t xml:space="preserve"> </w:t>
      </w:r>
      <w:r w:rsidR="00BD4294" w:rsidRPr="00D22628">
        <w:t>are</w:t>
      </w:r>
      <w:r w:rsidR="00883FF3" w:rsidRPr="00D22628">
        <w:t xml:space="preserve"> </w:t>
      </w:r>
      <w:r w:rsidRPr="00D22628">
        <w:t xml:space="preserve">generally </w:t>
      </w:r>
      <w:r w:rsidR="00883FF3" w:rsidRPr="00D22628">
        <w:t>grouped with data for Aboriginal people, despite the fact that Torres Strait Islander</w:t>
      </w:r>
      <w:r w:rsidR="009A48EA" w:rsidRPr="00D22628">
        <w:t xml:space="preserve"> people</w:t>
      </w:r>
      <w:r w:rsidR="00883FF3" w:rsidRPr="00D22628">
        <w:t xml:space="preserve"> </w:t>
      </w:r>
      <w:r w:rsidR="004E1E50" w:rsidRPr="00D22628">
        <w:t>are a culturally unique</w:t>
      </w:r>
      <w:r w:rsidR="00883FF3" w:rsidRPr="00D22628">
        <w:t xml:space="preserve"> group. </w:t>
      </w:r>
      <w:r w:rsidR="002B7949" w:rsidRPr="00D22628">
        <w:t>The</w:t>
      </w:r>
      <w:r w:rsidR="009A48EA" w:rsidRPr="00D22628">
        <w:t xml:space="preserve"> disaggregation of data for</w:t>
      </w:r>
      <w:r w:rsidR="005607F1" w:rsidRPr="00D22628">
        <w:t xml:space="preserve"> Torres Strait Islander</w:t>
      </w:r>
      <w:r w:rsidR="009A48EA" w:rsidRPr="00D22628">
        <w:t xml:space="preserve"> people in</w:t>
      </w:r>
      <w:r w:rsidR="002B7949" w:rsidRPr="00D22628">
        <w:t xml:space="preserve"> </w:t>
      </w:r>
      <w:r w:rsidR="00716D33" w:rsidRPr="00D22628">
        <w:t>data collections</w:t>
      </w:r>
      <w:r w:rsidR="002B7949" w:rsidRPr="00D22628">
        <w:t xml:space="preserve"> </w:t>
      </w:r>
      <w:r w:rsidR="005607F1" w:rsidRPr="00D22628">
        <w:t xml:space="preserve">would support further analysis on understanding why outcomes between Aboriginal people and Torres Strait Islander people </w:t>
      </w:r>
      <w:r w:rsidR="00BD4294" w:rsidRPr="00D22628">
        <w:t>may differ, particular</w:t>
      </w:r>
      <w:r w:rsidR="00E92CCF" w:rsidRPr="00D22628">
        <w:t>ly</w:t>
      </w:r>
      <w:r w:rsidR="00BD4294" w:rsidRPr="00D22628">
        <w:t xml:space="preserve"> those observed between the Torres Strait </w:t>
      </w:r>
      <w:r w:rsidR="00716D33" w:rsidRPr="00D22628">
        <w:t>R</w:t>
      </w:r>
      <w:r w:rsidR="00BD4294" w:rsidRPr="00D22628">
        <w:t xml:space="preserve">egion and </w:t>
      </w:r>
      <w:r w:rsidR="00716D33" w:rsidRPr="00D22628">
        <w:t>mainland</w:t>
      </w:r>
      <w:r w:rsidR="00E92CCF" w:rsidRPr="00D22628">
        <w:t xml:space="preserve"> Australia</w:t>
      </w:r>
      <w:r w:rsidR="005607F1" w:rsidRPr="00D22628">
        <w:t>.</w:t>
      </w:r>
    </w:p>
    <w:p w14:paraId="7330C8B4" w14:textId="77777777" w:rsidR="007A3E1D" w:rsidRDefault="004C0BA6" w:rsidP="00B471C6">
      <w:pPr>
        <w:pStyle w:val="Heading3"/>
      </w:pPr>
      <w:r w:rsidRPr="004C0BA6">
        <w:lastRenderedPageBreak/>
        <w:t>References</w:t>
      </w:r>
    </w:p>
    <w:p w14:paraId="626CF75D" w14:textId="50AC096D" w:rsidR="005C1E57" w:rsidRPr="008C6467" w:rsidRDefault="005C1E57" w:rsidP="005C1E57">
      <w:pPr>
        <w:pStyle w:val="Reference"/>
        <w:rPr>
          <w:sz w:val="20"/>
        </w:rPr>
      </w:pPr>
      <w:r w:rsidRPr="008C6467">
        <w:rPr>
          <w:sz w:val="20"/>
        </w:rPr>
        <w:t xml:space="preserve">ABS (Australian Bureau of Statistics) 2016, </w:t>
      </w:r>
      <w:r w:rsidRPr="008C6467">
        <w:rPr>
          <w:i/>
          <w:iCs/>
          <w:sz w:val="20"/>
        </w:rPr>
        <w:t>Census of Population and Housing</w:t>
      </w:r>
      <w:r w:rsidRPr="008C6467">
        <w:rPr>
          <w:sz w:val="20"/>
        </w:rPr>
        <w:t>, Canberra.</w:t>
      </w:r>
    </w:p>
    <w:p w14:paraId="095AA752" w14:textId="77777777" w:rsidR="005C1E57" w:rsidRPr="008C6467" w:rsidRDefault="005C1E57" w:rsidP="005C1E57">
      <w:pPr>
        <w:pStyle w:val="Reference"/>
        <w:rPr>
          <w:sz w:val="20"/>
        </w:rPr>
      </w:pPr>
      <w:r w:rsidRPr="008C6467">
        <w:rPr>
          <w:sz w:val="20"/>
        </w:rPr>
        <w:t xml:space="preserve">—— (Australian Bureau of Statistics) 2018, </w:t>
      </w:r>
      <w:r w:rsidRPr="008C6467">
        <w:rPr>
          <w:i/>
          <w:iCs/>
          <w:sz w:val="20"/>
        </w:rPr>
        <w:t>Changing Characteristics of the Torres Strait Region and its People, 2011 to 2016</w:t>
      </w:r>
      <w:r w:rsidRPr="008C6467">
        <w:rPr>
          <w:sz w:val="20"/>
        </w:rPr>
        <w:t>, Cat. no. 4738.0, ABS, Canberra.</w:t>
      </w:r>
    </w:p>
    <w:p w14:paraId="75D1A3EA" w14:textId="77777777" w:rsidR="005C1E57" w:rsidRPr="008C6467" w:rsidRDefault="005C1E57" w:rsidP="005C1E57">
      <w:pPr>
        <w:pStyle w:val="Reference"/>
        <w:rPr>
          <w:sz w:val="20"/>
        </w:rPr>
      </w:pPr>
      <w:proofErr w:type="spellStart"/>
      <w:r w:rsidRPr="008C6467">
        <w:rPr>
          <w:sz w:val="20"/>
        </w:rPr>
        <w:t>AIATSIS</w:t>
      </w:r>
      <w:proofErr w:type="spellEnd"/>
      <w:r w:rsidRPr="008C6467">
        <w:rPr>
          <w:sz w:val="20"/>
        </w:rPr>
        <w:t xml:space="preserve"> (Australian Institute of Aboriginal and Torres Strait Islander Studies) 2008, </w:t>
      </w:r>
      <w:r w:rsidRPr="008C6467">
        <w:rPr>
          <w:i/>
          <w:iCs/>
          <w:sz w:val="20"/>
        </w:rPr>
        <w:t>The Little Red Yellow Black Book</w:t>
      </w:r>
      <w:r w:rsidRPr="008C6467">
        <w:rPr>
          <w:sz w:val="20"/>
        </w:rPr>
        <w:t>, Aboriginal Studies Press, Canberra, ACT.</w:t>
      </w:r>
    </w:p>
    <w:p w14:paraId="068A51E1" w14:textId="77777777" w:rsidR="005C1E57" w:rsidRPr="008C6467" w:rsidRDefault="005C1E57" w:rsidP="005C1E57">
      <w:pPr>
        <w:pStyle w:val="Reference"/>
        <w:rPr>
          <w:sz w:val="20"/>
        </w:rPr>
      </w:pPr>
      <w:r w:rsidRPr="008C6467">
        <w:rPr>
          <w:sz w:val="20"/>
        </w:rPr>
        <w:t xml:space="preserve">AIHW (Australian Institute of Health and Welfare) 2018, </w:t>
      </w:r>
      <w:r w:rsidRPr="008C6467">
        <w:rPr>
          <w:i/>
          <w:iCs/>
          <w:sz w:val="20"/>
        </w:rPr>
        <w:t>Aboriginal and Torres Strait Islander Stolen Generations and Descendants: Numbers, Demographic Characteristics and Selected Outcomes</w:t>
      </w:r>
      <w:r w:rsidRPr="008C6467">
        <w:rPr>
          <w:sz w:val="20"/>
        </w:rPr>
        <w:t xml:space="preserve">, Cat. no. </w:t>
      </w:r>
      <w:proofErr w:type="spellStart"/>
      <w:r w:rsidRPr="008C6467">
        <w:rPr>
          <w:sz w:val="20"/>
        </w:rPr>
        <w:t>IHW</w:t>
      </w:r>
      <w:proofErr w:type="spellEnd"/>
      <w:r w:rsidRPr="008C6467">
        <w:rPr>
          <w:sz w:val="20"/>
        </w:rPr>
        <w:t xml:space="preserve"> 195, Canberra.</w:t>
      </w:r>
    </w:p>
    <w:p w14:paraId="0373E09C" w14:textId="77777777" w:rsidR="005C1E57" w:rsidRPr="008C6467" w:rsidRDefault="005C1E57" w:rsidP="005C1E57">
      <w:pPr>
        <w:pStyle w:val="Reference"/>
        <w:rPr>
          <w:sz w:val="20"/>
        </w:rPr>
      </w:pPr>
      <w:r w:rsidRPr="008C6467">
        <w:rPr>
          <w:sz w:val="20"/>
        </w:rPr>
        <w:t xml:space="preserve">Anderson, E., Ellard, J. and Wallace, J. 2016, ‘Torres Strait Islanders‘ understandings of chronic hepatitis B and attitudes to treatment’, </w:t>
      </w:r>
      <w:r w:rsidRPr="008C6467">
        <w:rPr>
          <w:i/>
          <w:iCs/>
          <w:sz w:val="20"/>
        </w:rPr>
        <w:t>Australian Journal of Primary Health</w:t>
      </w:r>
      <w:r w:rsidRPr="008C6467">
        <w:rPr>
          <w:sz w:val="20"/>
        </w:rPr>
        <w:t>, vol. 22, no. 4, p. 316.</w:t>
      </w:r>
    </w:p>
    <w:p w14:paraId="0F7C792C" w14:textId="77777777" w:rsidR="005C1E57" w:rsidRPr="008C6467" w:rsidRDefault="005C1E57" w:rsidP="005C1E57">
      <w:pPr>
        <w:pStyle w:val="Reference"/>
        <w:rPr>
          <w:sz w:val="20"/>
        </w:rPr>
      </w:pPr>
      <w:r w:rsidRPr="008C6467">
        <w:rPr>
          <w:sz w:val="20"/>
        </w:rPr>
        <w:t xml:space="preserve">Garvey, D.C. 2007, </w:t>
      </w:r>
      <w:r w:rsidRPr="008C6467">
        <w:rPr>
          <w:i/>
          <w:iCs/>
          <w:sz w:val="20"/>
        </w:rPr>
        <w:t>Indigenous Identity in Contemporary Psychology: Dilemmas, Developments, Directions</w:t>
      </w:r>
      <w:r w:rsidRPr="008C6467">
        <w:rPr>
          <w:sz w:val="20"/>
        </w:rPr>
        <w:t>, Thomson Learning.</w:t>
      </w:r>
    </w:p>
    <w:p w14:paraId="35413ED0" w14:textId="77777777" w:rsidR="005C1E57" w:rsidRPr="008C6467" w:rsidRDefault="005C1E57" w:rsidP="005C1E57">
      <w:pPr>
        <w:pStyle w:val="Reference"/>
        <w:rPr>
          <w:sz w:val="20"/>
        </w:rPr>
      </w:pPr>
      <w:r w:rsidRPr="008C6467">
        <w:rPr>
          <w:sz w:val="20"/>
        </w:rPr>
        <w:t xml:space="preserve">Johnson, </w:t>
      </w:r>
      <w:proofErr w:type="spellStart"/>
      <w:r w:rsidRPr="008C6467">
        <w:rPr>
          <w:sz w:val="20"/>
        </w:rPr>
        <w:t>J.E</w:t>
      </w:r>
      <w:proofErr w:type="spellEnd"/>
      <w:r w:rsidRPr="008C6467">
        <w:rPr>
          <w:sz w:val="20"/>
        </w:rPr>
        <w:t xml:space="preserve">. and Welch, D.J. 2016, ‘Climate change implications for Torres Strait fisheries: assessing vulnerability to inform adaptation’, </w:t>
      </w:r>
      <w:r w:rsidRPr="008C6467">
        <w:rPr>
          <w:i/>
          <w:iCs/>
          <w:sz w:val="20"/>
        </w:rPr>
        <w:t>Climatic Change</w:t>
      </w:r>
      <w:r w:rsidRPr="008C6467">
        <w:rPr>
          <w:sz w:val="20"/>
        </w:rPr>
        <w:t>, vol. 135, pp. 611–624.</w:t>
      </w:r>
    </w:p>
    <w:p w14:paraId="23138363" w14:textId="77777777" w:rsidR="005C1E57" w:rsidRPr="008C6467" w:rsidRDefault="005C1E57" w:rsidP="005C1E57">
      <w:pPr>
        <w:pStyle w:val="Reference"/>
        <w:rPr>
          <w:sz w:val="20"/>
        </w:rPr>
      </w:pPr>
      <w:proofErr w:type="spellStart"/>
      <w:r w:rsidRPr="008C6467">
        <w:rPr>
          <w:sz w:val="20"/>
        </w:rPr>
        <w:t>Shnukal</w:t>
      </w:r>
      <w:proofErr w:type="spellEnd"/>
      <w:r w:rsidRPr="008C6467">
        <w:rPr>
          <w:sz w:val="20"/>
        </w:rPr>
        <w:t xml:space="preserve">, A. 2001, ‘Torres Strait Islanders’, in </w:t>
      </w:r>
      <w:proofErr w:type="spellStart"/>
      <w:r w:rsidRPr="008C6467">
        <w:rPr>
          <w:sz w:val="20"/>
        </w:rPr>
        <w:t>Brandle</w:t>
      </w:r>
      <w:proofErr w:type="spellEnd"/>
      <w:r w:rsidRPr="008C6467">
        <w:rPr>
          <w:sz w:val="20"/>
        </w:rPr>
        <w:t xml:space="preserve">, M. (ed), </w:t>
      </w:r>
      <w:r w:rsidRPr="008C6467">
        <w:rPr>
          <w:i/>
          <w:iCs/>
          <w:sz w:val="20"/>
        </w:rPr>
        <w:t>Multicultural Queensland 2001: 100 Years, 100 Communities, a Century of Contributions</w:t>
      </w:r>
      <w:r w:rsidRPr="008C6467">
        <w:rPr>
          <w:sz w:val="20"/>
        </w:rPr>
        <w:t>, Department of Premier and Cabinet, Brisbane.</w:t>
      </w:r>
    </w:p>
    <w:p w14:paraId="3EA42DEE" w14:textId="77777777" w:rsidR="005C1E57" w:rsidRPr="008C6467" w:rsidRDefault="005C1E57" w:rsidP="005C1E57">
      <w:pPr>
        <w:pStyle w:val="Reference"/>
        <w:rPr>
          <w:sz w:val="20"/>
        </w:rPr>
      </w:pPr>
      <w:r w:rsidRPr="008C6467">
        <w:rPr>
          <w:sz w:val="20"/>
        </w:rPr>
        <w:t xml:space="preserve">Taylor, S., Thompson, F. and McDermott, R. 2016, ‘Barriers to insulin treatment among Australian Torres Strait Islanders with poorly controlled diabetes’, </w:t>
      </w:r>
      <w:r w:rsidRPr="008C6467">
        <w:rPr>
          <w:i/>
          <w:iCs/>
          <w:sz w:val="20"/>
        </w:rPr>
        <w:t>Australian Journal of Rural Health</w:t>
      </w:r>
      <w:r w:rsidRPr="008C6467">
        <w:rPr>
          <w:sz w:val="20"/>
        </w:rPr>
        <w:t>, vol. 24, no. 6, pp. 363–370.</w:t>
      </w:r>
    </w:p>
    <w:p w14:paraId="3B82C972" w14:textId="77777777" w:rsidR="005C1E57" w:rsidRPr="008C6467" w:rsidRDefault="005C1E57" w:rsidP="005C1E57">
      <w:pPr>
        <w:pStyle w:val="Reference"/>
        <w:rPr>
          <w:sz w:val="20"/>
        </w:rPr>
      </w:pPr>
      <w:proofErr w:type="spellStart"/>
      <w:r w:rsidRPr="008C6467">
        <w:rPr>
          <w:sz w:val="20"/>
        </w:rPr>
        <w:t>TSRA</w:t>
      </w:r>
      <w:proofErr w:type="spellEnd"/>
      <w:r w:rsidRPr="008C6467">
        <w:rPr>
          <w:sz w:val="20"/>
        </w:rPr>
        <w:t xml:space="preserve"> (Torres Strait Regional Authority) 2009, </w:t>
      </w:r>
      <w:r w:rsidRPr="008C6467">
        <w:rPr>
          <w:i/>
          <w:iCs/>
          <w:sz w:val="20"/>
        </w:rPr>
        <w:t>Torres Strait and Northern Peninsula Regional Plan 2009-2029</w:t>
      </w:r>
      <w:r w:rsidRPr="008C6467">
        <w:rPr>
          <w:sz w:val="20"/>
        </w:rPr>
        <w:t>, 23 July.</w:t>
      </w:r>
    </w:p>
    <w:p w14:paraId="2376E6EB" w14:textId="77777777" w:rsidR="005C1E57" w:rsidRPr="008C6467" w:rsidRDefault="005C1E57" w:rsidP="005C1E57">
      <w:pPr>
        <w:pStyle w:val="Reference"/>
        <w:rPr>
          <w:sz w:val="20"/>
        </w:rPr>
      </w:pPr>
      <w:r w:rsidRPr="008C6467">
        <w:rPr>
          <w:sz w:val="20"/>
        </w:rPr>
        <w:t xml:space="preserve">—— (Torres Strait Regional Authority) 2019, </w:t>
      </w:r>
      <w:r w:rsidRPr="008C6467">
        <w:rPr>
          <w:i/>
          <w:iCs/>
          <w:sz w:val="20"/>
        </w:rPr>
        <w:t>Torres Strait Regional Authority Annual Report 2018-2019</w:t>
      </w:r>
      <w:r w:rsidRPr="008C6467">
        <w:rPr>
          <w:sz w:val="20"/>
        </w:rPr>
        <w:t>.</w:t>
      </w:r>
    </w:p>
    <w:p w14:paraId="23858A4F" w14:textId="77777777" w:rsidR="005C1E57" w:rsidRPr="008C6467" w:rsidRDefault="005C1E57" w:rsidP="005C1E57">
      <w:pPr>
        <w:pStyle w:val="Reference"/>
        <w:rPr>
          <w:sz w:val="20"/>
        </w:rPr>
      </w:pPr>
      <w:r w:rsidRPr="008C6467">
        <w:rPr>
          <w:sz w:val="20"/>
        </w:rPr>
        <w:t xml:space="preserve">Watkin Lui, F. 2012, ‘My island home: re-presenting identities for Torres Strait Islanders living outside the Torres Strait’, </w:t>
      </w:r>
      <w:r w:rsidRPr="008C6467">
        <w:rPr>
          <w:i/>
          <w:iCs/>
          <w:sz w:val="20"/>
        </w:rPr>
        <w:t>Journal of Australian Studies</w:t>
      </w:r>
      <w:r w:rsidRPr="008C6467">
        <w:rPr>
          <w:sz w:val="20"/>
        </w:rPr>
        <w:t>, vol. 36, no. 2, pp. 141–153.</w:t>
      </w:r>
    </w:p>
    <w:p w14:paraId="5517B05F" w14:textId="77777777" w:rsidR="005C1E57" w:rsidRPr="008C6467" w:rsidRDefault="005C1E57" w:rsidP="005C1E57">
      <w:pPr>
        <w:pStyle w:val="Reference"/>
        <w:rPr>
          <w:sz w:val="20"/>
        </w:rPr>
      </w:pPr>
      <w:r w:rsidRPr="008C6467">
        <w:rPr>
          <w:sz w:val="20"/>
        </w:rPr>
        <w:t xml:space="preserve">——, </w:t>
      </w:r>
      <w:proofErr w:type="spellStart"/>
      <w:r w:rsidRPr="008C6467">
        <w:rPr>
          <w:sz w:val="20"/>
        </w:rPr>
        <w:t>Kiatkoski</w:t>
      </w:r>
      <w:proofErr w:type="spellEnd"/>
      <w:r w:rsidRPr="008C6467">
        <w:rPr>
          <w:sz w:val="20"/>
        </w:rPr>
        <w:t xml:space="preserve">, M., Delisle, A., </w:t>
      </w:r>
      <w:proofErr w:type="spellStart"/>
      <w:r w:rsidRPr="008C6467">
        <w:rPr>
          <w:sz w:val="20"/>
        </w:rPr>
        <w:t>Stoeckl</w:t>
      </w:r>
      <w:proofErr w:type="spellEnd"/>
      <w:r w:rsidRPr="008C6467">
        <w:rPr>
          <w:sz w:val="20"/>
        </w:rPr>
        <w:t xml:space="preserve">, N. and Helene, M. 2016, ‘Setting the table: Indigenous engagement on environmental issues in a politicized context’, </w:t>
      </w:r>
      <w:r w:rsidRPr="008C6467">
        <w:rPr>
          <w:i/>
          <w:iCs/>
          <w:sz w:val="20"/>
        </w:rPr>
        <w:t>Society and Natural Resources</w:t>
      </w:r>
      <w:r w:rsidRPr="008C6467">
        <w:rPr>
          <w:sz w:val="20"/>
        </w:rPr>
        <w:t>, vol. 29, no. 11, pp. 1263–1279.</w:t>
      </w:r>
    </w:p>
    <w:p w14:paraId="49324AC0" w14:textId="663D1719" w:rsidR="001128E9" w:rsidRPr="0042232F" w:rsidRDefault="001128E9" w:rsidP="005C1E57">
      <w:pPr>
        <w:pStyle w:val="Reference"/>
        <w:rPr>
          <w:rFonts w:ascii="Arial" w:hAnsi="Arial" w:cs="Arial"/>
        </w:rPr>
      </w:pPr>
    </w:p>
    <w:sectPr w:rsidR="001128E9" w:rsidRPr="0042232F" w:rsidSect="001D03C7">
      <w:headerReference w:type="even" r:id="rId14"/>
      <w:headerReference w:type="default" r:id="rId15"/>
      <w:footerReference w:type="even" r:id="rId16"/>
      <w:footerReference w:type="default" r:id="rId17"/>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C43C3" w14:textId="77777777" w:rsidR="007E5909" w:rsidRDefault="007E5909">
      <w:r>
        <w:separator/>
      </w:r>
    </w:p>
  </w:endnote>
  <w:endnote w:type="continuationSeparator" w:id="0">
    <w:p w14:paraId="726E0295" w14:textId="77777777" w:rsidR="007E5909" w:rsidRDefault="007E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A48EA" w14:paraId="1B6E3354" w14:textId="77777777" w:rsidTr="005F48ED">
      <w:trPr>
        <w:trHeight w:hRule="exact" w:val="567"/>
      </w:trPr>
      <w:tc>
        <w:tcPr>
          <w:tcW w:w="510" w:type="dxa"/>
        </w:tcPr>
        <w:p w14:paraId="6F32D207" w14:textId="77777777" w:rsidR="009A48EA" w:rsidRPr="00A24443" w:rsidRDefault="009A48EA" w:rsidP="0019293B">
          <w:pPr>
            <w:pStyle w:val="Footer"/>
            <w:tabs>
              <w:tab w:val="left" w:pos="0"/>
            </w:tabs>
            <w:ind w:right="0"/>
            <w:rPr>
              <w:rStyle w:val="PageNumber"/>
              <w:caps w:val="0"/>
            </w:rPr>
          </w:pPr>
          <w:r>
            <w:rPr>
              <w:rStyle w:val="PageNumber"/>
              <w:caps w:val="0"/>
            </w:rPr>
            <w:t>12.</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877DE">
            <w:rPr>
              <w:rStyle w:val="PageNumber"/>
              <w:caps w:val="0"/>
              <w:noProof/>
            </w:rPr>
            <w:t>8</w:t>
          </w:r>
          <w:r w:rsidRPr="00A24443">
            <w:rPr>
              <w:rStyle w:val="PageNumber"/>
              <w:caps w:val="0"/>
            </w:rPr>
            <w:fldChar w:fldCharType="end"/>
          </w:r>
        </w:p>
      </w:tc>
      <w:tc>
        <w:tcPr>
          <w:tcW w:w="7767" w:type="dxa"/>
        </w:tcPr>
        <w:p w14:paraId="0BB04690" w14:textId="7CE5F145" w:rsidR="009A48EA" w:rsidRPr="0013739A" w:rsidRDefault="00173963" w:rsidP="006932B9">
          <w:pPr>
            <w:pStyle w:val="Footer"/>
            <w:rPr>
              <w:rFonts w:cs="Arial"/>
            </w:rPr>
          </w:pPr>
          <w:bookmarkStart w:id="7" w:name="DraftReportEven"/>
          <w:bookmarkEnd w:id="7"/>
          <w:r>
            <w:rPr>
              <w:rFonts w:cs="Arial"/>
            </w:rPr>
            <w:t>OVERCOMING INDIGENOUS DISADVANTAGE 2020</w:t>
          </w:r>
        </w:p>
      </w:tc>
      <w:tc>
        <w:tcPr>
          <w:tcW w:w="510" w:type="dxa"/>
        </w:tcPr>
        <w:p w14:paraId="048FCB12" w14:textId="77777777" w:rsidR="009A48EA" w:rsidRDefault="009A48EA" w:rsidP="0019293B">
          <w:pPr>
            <w:pStyle w:val="Footer"/>
          </w:pPr>
        </w:p>
      </w:tc>
    </w:tr>
  </w:tbl>
  <w:p w14:paraId="6DB3E36C" w14:textId="77777777" w:rsidR="009A48EA" w:rsidRDefault="009A48EA"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A48EA" w14:paraId="17374324" w14:textId="77777777" w:rsidTr="005F48ED">
      <w:trPr>
        <w:trHeight w:hRule="exact" w:val="567"/>
      </w:trPr>
      <w:tc>
        <w:tcPr>
          <w:tcW w:w="510" w:type="dxa"/>
        </w:tcPr>
        <w:p w14:paraId="147AEB69" w14:textId="77777777" w:rsidR="009A48EA" w:rsidRDefault="009A48EA">
          <w:pPr>
            <w:pStyle w:val="Footer"/>
            <w:ind w:right="360" w:firstLine="360"/>
          </w:pPr>
        </w:p>
      </w:tc>
      <w:tc>
        <w:tcPr>
          <w:tcW w:w="7767" w:type="dxa"/>
        </w:tcPr>
        <w:p w14:paraId="4AA5D271" w14:textId="7330BE6D" w:rsidR="009A48EA" w:rsidRPr="00BA5B14" w:rsidRDefault="00173963" w:rsidP="0013739A">
          <w:pPr>
            <w:pStyle w:val="Footer"/>
            <w:jc w:val="right"/>
            <w:rPr>
              <w:rFonts w:cs="Arial"/>
            </w:rPr>
          </w:pPr>
          <w:r>
            <w:rPr>
              <w:rFonts w:cs="Arial"/>
            </w:rPr>
            <w:t>OUTCOMES FOR TORRES STRAIT ISLANDER PEOPLE</w:t>
          </w:r>
          <w:bookmarkStart w:id="8" w:name="DraftReportOdd"/>
          <w:bookmarkEnd w:id="8"/>
        </w:p>
      </w:tc>
      <w:tc>
        <w:tcPr>
          <w:tcW w:w="510" w:type="dxa"/>
        </w:tcPr>
        <w:p w14:paraId="568714D6" w14:textId="77777777" w:rsidR="009A48EA" w:rsidRPr="00A24443" w:rsidRDefault="009A48EA">
          <w:pPr>
            <w:pStyle w:val="Footer"/>
            <w:jc w:val="right"/>
            <w:rPr>
              <w:caps w:val="0"/>
            </w:rPr>
          </w:pPr>
          <w:r>
            <w:rPr>
              <w:rStyle w:val="PageNumber"/>
              <w:caps w:val="0"/>
            </w:rPr>
            <w:t>12.</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877DE">
            <w:rPr>
              <w:rStyle w:val="PageNumber"/>
              <w:caps w:val="0"/>
              <w:noProof/>
            </w:rPr>
            <w:t>7</w:t>
          </w:r>
          <w:r w:rsidRPr="00A24443">
            <w:rPr>
              <w:rStyle w:val="PageNumber"/>
              <w:caps w:val="0"/>
            </w:rPr>
            <w:fldChar w:fldCharType="end"/>
          </w:r>
        </w:p>
      </w:tc>
    </w:tr>
  </w:tbl>
  <w:p w14:paraId="3E17770C" w14:textId="77777777" w:rsidR="009A48EA" w:rsidRDefault="009A48EA">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CEE1C" w14:textId="77777777" w:rsidR="007E5909" w:rsidRDefault="007E5909">
      <w:r>
        <w:separator/>
      </w:r>
    </w:p>
  </w:footnote>
  <w:footnote w:type="continuationSeparator" w:id="0">
    <w:p w14:paraId="055CD0AB" w14:textId="77777777" w:rsidR="007E5909" w:rsidRDefault="007E5909">
      <w:r>
        <w:continuationSeparator/>
      </w:r>
    </w:p>
  </w:footnote>
  <w:footnote w:id="1">
    <w:p w14:paraId="3FA2ADA7" w14:textId="2BE504C0" w:rsidR="009A48EA" w:rsidRDefault="009A48EA">
      <w:pPr>
        <w:pStyle w:val="FootnoteText"/>
      </w:pPr>
      <w:r w:rsidRPr="00F63CEC">
        <w:rPr>
          <w:rStyle w:val="FootnoteReference"/>
        </w:rPr>
        <w:footnoteRef/>
      </w:r>
      <w:r>
        <w:tab/>
      </w:r>
      <w:r w:rsidRPr="00DC4582">
        <w:t xml:space="preserve">The Steering Committee notes its appreciation to </w:t>
      </w:r>
      <w:r w:rsidRPr="00834DC6">
        <w:t>Associate Professor Felecia Watkin Lu</w:t>
      </w:r>
      <w:r>
        <w:t>i</w:t>
      </w:r>
      <w:r w:rsidRPr="00DC4582">
        <w:t xml:space="preserve">, </w:t>
      </w:r>
      <w:r>
        <w:t xml:space="preserve">James Cook University, </w:t>
      </w:r>
      <w:r w:rsidRPr="00DC4582">
        <w:t>who reviewed a draft</w:t>
      </w:r>
      <w:r>
        <w:t xml:space="preserve"> of this section of the </w:t>
      </w:r>
      <w:r w:rsidR="00B730DD">
        <w:t>R</w:t>
      </w:r>
      <w:r>
        <w:t>eport.</w:t>
      </w:r>
    </w:p>
  </w:footnote>
  <w:footnote w:id="2">
    <w:p w14:paraId="5EECA487" w14:textId="77777777" w:rsidR="009A48EA" w:rsidRDefault="009A48EA" w:rsidP="00087F00">
      <w:pPr>
        <w:pStyle w:val="FootnoteText"/>
      </w:pPr>
      <w:r w:rsidRPr="00F63CEC">
        <w:rPr>
          <w:rStyle w:val="FootnoteReference"/>
        </w:rPr>
        <w:footnoteRef/>
      </w:r>
      <w:r>
        <w:tab/>
      </w:r>
      <w:r w:rsidRPr="0093151A">
        <w:t>The Torres Strait Region (for Census purposes) includes the Torres Strait Islands, islands between Cape York a</w:t>
      </w:r>
      <w:r>
        <w:t>nd Papua New Guinea, and does not</w:t>
      </w:r>
      <w:r w:rsidRPr="0093151A">
        <w:t xml:space="preserve"> include Bamaga and </w:t>
      </w:r>
      <w:proofErr w:type="spellStart"/>
      <w:r w:rsidRPr="0093151A">
        <w:t>Seisa</w:t>
      </w:r>
      <w:proofErr w:type="spellEnd"/>
      <w:r w:rsidRPr="0093151A">
        <w:t xml:space="preserve"> (mainland </w:t>
      </w:r>
      <w:r>
        <w:t xml:space="preserve">Torres Strait Islander communities </w:t>
      </w:r>
      <w:r w:rsidRPr="0093151A">
        <w:t>at the tip of Cape York).</w:t>
      </w:r>
    </w:p>
  </w:footnote>
  <w:footnote w:id="3">
    <w:p w14:paraId="3770A61C" w14:textId="77777777" w:rsidR="009A48EA" w:rsidRDefault="009A48EA">
      <w:pPr>
        <w:pStyle w:val="FootnoteText"/>
      </w:pPr>
      <w:r w:rsidRPr="00F63CEC">
        <w:rPr>
          <w:rStyle w:val="FootnoteReference"/>
        </w:rPr>
        <w:footnoteRef/>
      </w:r>
      <w:r>
        <w:tab/>
        <w:t>Includes those employed plus those who are not employed but actively looking for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9A48EA" w14:paraId="13946D85" w14:textId="77777777">
      <w:tc>
        <w:tcPr>
          <w:tcW w:w="2155" w:type="dxa"/>
          <w:tcBorders>
            <w:top w:val="single" w:sz="24" w:space="0" w:color="auto"/>
          </w:tcBorders>
        </w:tcPr>
        <w:p w14:paraId="406C4537" w14:textId="77777777" w:rsidR="009A48EA" w:rsidRDefault="009A48EA" w:rsidP="0019293B">
          <w:pPr>
            <w:pStyle w:val="HeaderEven"/>
          </w:pPr>
        </w:p>
      </w:tc>
      <w:tc>
        <w:tcPr>
          <w:tcW w:w="6634" w:type="dxa"/>
          <w:tcBorders>
            <w:top w:val="single" w:sz="6" w:space="0" w:color="auto"/>
          </w:tcBorders>
        </w:tcPr>
        <w:p w14:paraId="14A8320A" w14:textId="71AA9E77" w:rsidR="009A48EA" w:rsidRDefault="009A48EA" w:rsidP="0019293B">
          <w:pPr>
            <w:pStyle w:val="HeaderEven"/>
          </w:pPr>
        </w:p>
      </w:tc>
    </w:tr>
  </w:tbl>
  <w:p w14:paraId="403A5086" w14:textId="77777777" w:rsidR="009A48EA" w:rsidRDefault="009A48EA"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A48EA" w14:paraId="4699F470" w14:textId="77777777">
      <w:tc>
        <w:tcPr>
          <w:tcW w:w="6634" w:type="dxa"/>
          <w:tcBorders>
            <w:top w:val="single" w:sz="6" w:space="0" w:color="auto"/>
          </w:tcBorders>
        </w:tcPr>
        <w:p w14:paraId="012D898F" w14:textId="358CB28D" w:rsidR="009A48EA" w:rsidRDefault="009A48EA" w:rsidP="00E669E2">
          <w:pPr>
            <w:pStyle w:val="HeaderOdd"/>
          </w:pPr>
        </w:p>
      </w:tc>
      <w:tc>
        <w:tcPr>
          <w:tcW w:w="2155" w:type="dxa"/>
          <w:tcBorders>
            <w:top w:val="single" w:sz="24" w:space="0" w:color="auto"/>
          </w:tcBorders>
        </w:tcPr>
        <w:p w14:paraId="4B02D45E" w14:textId="77777777" w:rsidR="009A48EA" w:rsidRDefault="009A48EA" w:rsidP="00E669E2">
          <w:pPr>
            <w:pStyle w:val="HeaderOdd"/>
          </w:pPr>
        </w:p>
      </w:tc>
    </w:tr>
  </w:tbl>
  <w:p w14:paraId="1B434D46" w14:textId="77777777" w:rsidR="009A48EA" w:rsidRDefault="009A48EA"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344170D3"/>
    <w:multiLevelType w:val="hybridMultilevel"/>
    <w:tmpl w:val="4BC643E2"/>
    <w:lvl w:ilvl="0" w:tplc="8006F0F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0"/>
  </w:num>
  <w:num w:numId="16">
    <w:abstractNumId w:val="13"/>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OUTCOMES FOR TORRES STRAIT ISLANDER PEOPLE"/>
    <w:docVar w:name="ShortReportTitle" w:val="OVERCOMING INDIGENOUS DISADVANTAGE 2020"/>
  </w:docVars>
  <w:rsids>
    <w:rsidRoot w:val="00192E97"/>
    <w:rsid w:val="0001308F"/>
    <w:rsid w:val="00016085"/>
    <w:rsid w:val="00022510"/>
    <w:rsid w:val="000227D5"/>
    <w:rsid w:val="00023F24"/>
    <w:rsid w:val="000245AA"/>
    <w:rsid w:val="0002582D"/>
    <w:rsid w:val="0002751A"/>
    <w:rsid w:val="00031F18"/>
    <w:rsid w:val="000328A9"/>
    <w:rsid w:val="00033271"/>
    <w:rsid w:val="0003664B"/>
    <w:rsid w:val="0004111F"/>
    <w:rsid w:val="000415DE"/>
    <w:rsid w:val="0004273D"/>
    <w:rsid w:val="00045391"/>
    <w:rsid w:val="0005102A"/>
    <w:rsid w:val="00053F81"/>
    <w:rsid w:val="00055077"/>
    <w:rsid w:val="000555EA"/>
    <w:rsid w:val="000565B3"/>
    <w:rsid w:val="000604F8"/>
    <w:rsid w:val="00063063"/>
    <w:rsid w:val="00063BDC"/>
    <w:rsid w:val="00066262"/>
    <w:rsid w:val="0007150B"/>
    <w:rsid w:val="00072B7A"/>
    <w:rsid w:val="000751B8"/>
    <w:rsid w:val="000778CD"/>
    <w:rsid w:val="00083D70"/>
    <w:rsid w:val="00084DF4"/>
    <w:rsid w:val="00085A1E"/>
    <w:rsid w:val="00087F00"/>
    <w:rsid w:val="000919BF"/>
    <w:rsid w:val="000938F5"/>
    <w:rsid w:val="00093E85"/>
    <w:rsid w:val="00094299"/>
    <w:rsid w:val="00095663"/>
    <w:rsid w:val="0009606B"/>
    <w:rsid w:val="00096E55"/>
    <w:rsid w:val="0009783E"/>
    <w:rsid w:val="000A3684"/>
    <w:rsid w:val="000B060B"/>
    <w:rsid w:val="000B1022"/>
    <w:rsid w:val="000B2D79"/>
    <w:rsid w:val="000B601B"/>
    <w:rsid w:val="000B6311"/>
    <w:rsid w:val="000B7D0F"/>
    <w:rsid w:val="000C207E"/>
    <w:rsid w:val="000D0EEA"/>
    <w:rsid w:val="000D1571"/>
    <w:rsid w:val="000D1824"/>
    <w:rsid w:val="000D41E9"/>
    <w:rsid w:val="000E0253"/>
    <w:rsid w:val="000E2FB1"/>
    <w:rsid w:val="000E3163"/>
    <w:rsid w:val="000E7E6B"/>
    <w:rsid w:val="000F0035"/>
    <w:rsid w:val="000F0186"/>
    <w:rsid w:val="000F044A"/>
    <w:rsid w:val="000F04E7"/>
    <w:rsid w:val="000F060A"/>
    <w:rsid w:val="000F0D56"/>
    <w:rsid w:val="000F2129"/>
    <w:rsid w:val="000F2805"/>
    <w:rsid w:val="000F2F1D"/>
    <w:rsid w:val="000F420B"/>
    <w:rsid w:val="000F4E83"/>
    <w:rsid w:val="000F5175"/>
    <w:rsid w:val="000F729B"/>
    <w:rsid w:val="001052BB"/>
    <w:rsid w:val="00106353"/>
    <w:rsid w:val="001066FA"/>
    <w:rsid w:val="00107DE8"/>
    <w:rsid w:val="00110116"/>
    <w:rsid w:val="001128E9"/>
    <w:rsid w:val="001158BD"/>
    <w:rsid w:val="00120072"/>
    <w:rsid w:val="001221D3"/>
    <w:rsid w:val="00126EB8"/>
    <w:rsid w:val="001274D4"/>
    <w:rsid w:val="00127F8D"/>
    <w:rsid w:val="00131373"/>
    <w:rsid w:val="00132167"/>
    <w:rsid w:val="001329C7"/>
    <w:rsid w:val="001346B3"/>
    <w:rsid w:val="00135AAD"/>
    <w:rsid w:val="001363AA"/>
    <w:rsid w:val="0013739A"/>
    <w:rsid w:val="00140B47"/>
    <w:rsid w:val="00140BDC"/>
    <w:rsid w:val="00142165"/>
    <w:rsid w:val="0014367A"/>
    <w:rsid w:val="00144AE7"/>
    <w:rsid w:val="00145ADF"/>
    <w:rsid w:val="00152370"/>
    <w:rsid w:val="00162434"/>
    <w:rsid w:val="00163F1E"/>
    <w:rsid w:val="00165DBE"/>
    <w:rsid w:val="001677C8"/>
    <w:rsid w:val="00167E2E"/>
    <w:rsid w:val="00172480"/>
    <w:rsid w:val="00173963"/>
    <w:rsid w:val="00174B96"/>
    <w:rsid w:val="00176818"/>
    <w:rsid w:val="00180B2B"/>
    <w:rsid w:val="00183E82"/>
    <w:rsid w:val="001868FA"/>
    <w:rsid w:val="00186AF2"/>
    <w:rsid w:val="0018716B"/>
    <w:rsid w:val="001878BB"/>
    <w:rsid w:val="00190186"/>
    <w:rsid w:val="00190463"/>
    <w:rsid w:val="00191AE0"/>
    <w:rsid w:val="00191F5C"/>
    <w:rsid w:val="0019293B"/>
    <w:rsid w:val="00192E97"/>
    <w:rsid w:val="0019426B"/>
    <w:rsid w:val="001A06AD"/>
    <w:rsid w:val="001A183C"/>
    <w:rsid w:val="001A2B09"/>
    <w:rsid w:val="001A5608"/>
    <w:rsid w:val="001A612A"/>
    <w:rsid w:val="001A6A4B"/>
    <w:rsid w:val="001B1E68"/>
    <w:rsid w:val="001B4103"/>
    <w:rsid w:val="001B55C5"/>
    <w:rsid w:val="001B5D92"/>
    <w:rsid w:val="001C0865"/>
    <w:rsid w:val="001C0AED"/>
    <w:rsid w:val="001C16D4"/>
    <w:rsid w:val="001C3ABA"/>
    <w:rsid w:val="001C5111"/>
    <w:rsid w:val="001C67F4"/>
    <w:rsid w:val="001C7B2A"/>
    <w:rsid w:val="001D03C7"/>
    <w:rsid w:val="001D33FC"/>
    <w:rsid w:val="001E0790"/>
    <w:rsid w:val="001E40A7"/>
    <w:rsid w:val="001E5DBD"/>
    <w:rsid w:val="001E7AAA"/>
    <w:rsid w:val="001E7BE8"/>
    <w:rsid w:val="001F0248"/>
    <w:rsid w:val="001F0A1D"/>
    <w:rsid w:val="001F0B86"/>
    <w:rsid w:val="001F1299"/>
    <w:rsid w:val="001F15CD"/>
    <w:rsid w:val="001F3EB3"/>
    <w:rsid w:val="001F4C7A"/>
    <w:rsid w:val="001F4F86"/>
    <w:rsid w:val="001F570E"/>
    <w:rsid w:val="001F62F9"/>
    <w:rsid w:val="001F651A"/>
    <w:rsid w:val="001F6B11"/>
    <w:rsid w:val="001F710F"/>
    <w:rsid w:val="001F7A09"/>
    <w:rsid w:val="00202C2C"/>
    <w:rsid w:val="00203050"/>
    <w:rsid w:val="002135AB"/>
    <w:rsid w:val="00213643"/>
    <w:rsid w:val="0021408C"/>
    <w:rsid w:val="002144BE"/>
    <w:rsid w:val="00215F7D"/>
    <w:rsid w:val="0021662B"/>
    <w:rsid w:val="00220046"/>
    <w:rsid w:val="00223314"/>
    <w:rsid w:val="002313FF"/>
    <w:rsid w:val="00233CCA"/>
    <w:rsid w:val="002402E7"/>
    <w:rsid w:val="00242279"/>
    <w:rsid w:val="00243997"/>
    <w:rsid w:val="0024516C"/>
    <w:rsid w:val="00245C82"/>
    <w:rsid w:val="00250B46"/>
    <w:rsid w:val="00256975"/>
    <w:rsid w:val="002615CA"/>
    <w:rsid w:val="00264983"/>
    <w:rsid w:val="002661A7"/>
    <w:rsid w:val="002661B8"/>
    <w:rsid w:val="0027038C"/>
    <w:rsid w:val="00272337"/>
    <w:rsid w:val="002724BA"/>
    <w:rsid w:val="00276402"/>
    <w:rsid w:val="00281344"/>
    <w:rsid w:val="002820DA"/>
    <w:rsid w:val="002854E0"/>
    <w:rsid w:val="002879E7"/>
    <w:rsid w:val="00291B40"/>
    <w:rsid w:val="00295EA8"/>
    <w:rsid w:val="00296FCA"/>
    <w:rsid w:val="002A636F"/>
    <w:rsid w:val="002B020D"/>
    <w:rsid w:val="002B137F"/>
    <w:rsid w:val="002B1569"/>
    <w:rsid w:val="002B4008"/>
    <w:rsid w:val="002B566E"/>
    <w:rsid w:val="002B7412"/>
    <w:rsid w:val="002B7949"/>
    <w:rsid w:val="002C262C"/>
    <w:rsid w:val="002C439F"/>
    <w:rsid w:val="002C5219"/>
    <w:rsid w:val="002D0C42"/>
    <w:rsid w:val="002D0E8E"/>
    <w:rsid w:val="002D1197"/>
    <w:rsid w:val="002D18CD"/>
    <w:rsid w:val="002D1928"/>
    <w:rsid w:val="002D2AC3"/>
    <w:rsid w:val="002D3C7F"/>
    <w:rsid w:val="002D3E2A"/>
    <w:rsid w:val="002D646C"/>
    <w:rsid w:val="002D6CBE"/>
    <w:rsid w:val="002E0FD8"/>
    <w:rsid w:val="002E6D44"/>
    <w:rsid w:val="002F14BE"/>
    <w:rsid w:val="002F5F7A"/>
    <w:rsid w:val="002F66EE"/>
    <w:rsid w:val="00300D08"/>
    <w:rsid w:val="00301189"/>
    <w:rsid w:val="00301E4A"/>
    <w:rsid w:val="0030461A"/>
    <w:rsid w:val="003071D5"/>
    <w:rsid w:val="003105E4"/>
    <w:rsid w:val="00314E3A"/>
    <w:rsid w:val="00315AB4"/>
    <w:rsid w:val="003168B8"/>
    <w:rsid w:val="00316E54"/>
    <w:rsid w:val="00316EF5"/>
    <w:rsid w:val="00321865"/>
    <w:rsid w:val="00322D64"/>
    <w:rsid w:val="00323363"/>
    <w:rsid w:val="00323E09"/>
    <w:rsid w:val="00326353"/>
    <w:rsid w:val="00326B85"/>
    <w:rsid w:val="00326F50"/>
    <w:rsid w:val="0033036A"/>
    <w:rsid w:val="00333932"/>
    <w:rsid w:val="00334406"/>
    <w:rsid w:val="003403DB"/>
    <w:rsid w:val="00341025"/>
    <w:rsid w:val="00342C31"/>
    <w:rsid w:val="003518AA"/>
    <w:rsid w:val="00352165"/>
    <w:rsid w:val="00353182"/>
    <w:rsid w:val="00355994"/>
    <w:rsid w:val="00355C6D"/>
    <w:rsid w:val="003565D9"/>
    <w:rsid w:val="0035762B"/>
    <w:rsid w:val="003602E1"/>
    <w:rsid w:val="00362FA3"/>
    <w:rsid w:val="00363691"/>
    <w:rsid w:val="0037026F"/>
    <w:rsid w:val="00371240"/>
    <w:rsid w:val="00371D45"/>
    <w:rsid w:val="00374731"/>
    <w:rsid w:val="00376E59"/>
    <w:rsid w:val="00377EC1"/>
    <w:rsid w:val="00380340"/>
    <w:rsid w:val="00382E53"/>
    <w:rsid w:val="00383FDC"/>
    <w:rsid w:val="00384682"/>
    <w:rsid w:val="003913E7"/>
    <w:rsid w:val="003919F9"/>
    <w:rsid w:val="003920CF"/>
    <w:rsid w:val="00392938"/>
    <w:rsid w:val="00397B60"/>
    <w:rsid w:val="003A373F"/>
    <w:rsid w:val="003A69FE"/>
    <w:rsid w:val="003B0682"/>
    <w:rsid w:val="003B197B"/>
    <w:rsid w:val="003B23C2"/>
    <w:rsid w:val="003B314E"/>
    <w:rsid w:val="003B40FB"/>
    <w:rsid w:val="003B6F77"/>
    <w:rsid w:val="003C1291"/>
    <w:rsid w:val="003C38B5"/>
    <w:rsid w:val="003C5D99"/>
    <w:rsid w:val="003C6006"/>
    <w:rsid w:val="003D1087"/>
    <w:rsid w:val="003D6C81"/>
    <w:rsid w:val="003E2CFE"/>
    <w:rsid w:val="003E2F59"/>
    <w:rsid w:val="003E3661"/>
    <w:rsid w:val="003E746B"/>
    <w:rsid w:val="003F0789"/>
    <w:rsid w:val="003F1012"/>
    <w:rsid w:val="003F23AF"/>
    <w:rsid w:val="003F2FF9"/>
    <w:rsid w:val="003F73FB"/>
    <w:rsid w:val="00400E7D"/>
    <w:rsid w:val="00401882"/>
    <w:rsid w:val="00401AB7"/>
    <w:rsid w:val="00401AD4"/>
    <w:rsid w:val="0040225C"/>
    <w:rsid w:val="004058F7"/>
    <w:rsid w:val="00405E6A"/>
    <w:rsid w:val="004100C8"/>
    <w:rsid w:val="00410135"/>
    <w:rsid w:val="00411DBD"/>
    <w:rsid w:val="00412ACE"/>
    <w:rsid w:val="004145D2"/>
    <w:rsid w:val="0041483E"/>
    <w:rsid w:val="004148FA"/>
    <w:rsid w:val="00420D3E"/>
    <w:rsid w:val="004221E1"/>
    <w:rsid w:val="0042232F"/>
    <w:rsid w:val="004259F7"/>
    <w:rsid w:val="00426CB4"/>
    <w:rsid w:val="00430712"/>
    <w:rsid w:val="00431249"/>
    <w:rsid w:val="00432966"/>
    <w:rsid w:val="004340EF"/>
    <w:rsid w:val="00434C19"/>
    <w:rsid w:val="004378F2"/>
    <w:rsid w:val="00442369"/>
    <w:rsid w:val="004471EA"/>
    <w:rsid w:val="00447F53"/>
    <w:rsid w:val="00450810"/>
    <w:rsid w:val="0045188F"/>
    <w:rsid w:val="0045466F"/>
    <w:rsid w:val="004555C9"/>
    <w:rsid w:val="0045563E"/>
    <w:rsid w:val="004568EB"/>
    <w:rsid w:val="00456F64"/>
    <w:rsid w:val="00461966"/>
    <w:rsid w:val="00461D5E"/>
    <w:rsid w:val="00462A4A"/>
    <w:rsid w:val="00462C59"/>
    <w:rsid w:val="004640F2"/>
    <w:rsid w:val="00466FBF"/>
    <w:rsid w:val="00470737"/>
    <w:rsid w:val="00473952"/>
    <w:rsid w:val="00477144"/>
    <w:rsid w:val="004778B4"/>
    <w:rsid w:val="00477EC8"/>
    <w:rsid w:val="004827C0"/>
    <w:rsid w:val="00482D00"/>
    <w:rsid w:val="00483484"/>
    <w:rsid w:val="00485876"/>
    <w:rsid w:val="004875C6"/>
    <w:rsid w:val="00491380"/>
    <w:rsid w:val="00491AE5"/>
    <w:rsid w:val="0049459F"/>
    <w:rsid w:val="00495719"/>
    <w:rsid w:val="004A1B92"/>
    <w:rsid w:val="004A2B3E"/>
    <w:rsid w:val="004A3509"/>
    <w:rsid w:val="004A38DD"/>
    <w:rsid w:val="004A4E3A"/>
    <w:rsid w:val="004B43AE"/>
    <w:rsid w:val="004B6508"/>
    <w:rsid w:val="004C0BA6"/>
    <w:rsid w:val="004C0E39"/>
    <w:rsid w:val="004C20CD"/>
    <w:rsid w:val="004C30ED"/>
    <w:rsid w:val="004D1BCC"/>
    <w:rsid w:val="004D2259"/>
    <w:rsid w:val="004D5675"/>
    <w:rsid w:val="004D7600"/>
    <w:rsid w:val="004E1E50"/>
    <w:rsid w:val="004E6899"/>
    <w:rsid w:val="004E7943"/>
    <w:rsid w:val="004E7DA8"/>
    <w:rsid w:val="004F403C"/>
    <w:rsid w:val="00503972"/>
    <w:rsid w:val="00506E40"/>
    <w:rsid w:val="00510FE1"/>
    <w:rsid w:val="00514A18"/>
    <w:rsid w:val="0051678C"/>
    <w:rsid w:val="00517795"/>
    <w:rsid w:val="00517B82"/>
    <w:rsid w:val="00521E7D"/>
    <w:rsid w:val="00523510"/>
    <w:rsid w:val="00523639"/>
    <w:rsid w:val="0052441E"/>
    <w:rsid w:val="005259F9"/>
    <w:rsid w:val="005310DF"/>
    <w:rsid w:val="00531FE5"/>
    <w:rsid w:val="00534EC7"/>
    <w:rsid w:val="005402FA"/>
    <w:rsid w:val="00540652"/>
    <w:rsid w:val="00542C48"/>
    <w:rsid w:val="005442DC"/>
    <w:rsid w:val="005462F6"/>
    <w:rsid w:val="005508F1"/>
    <w:rsid w:val="00555F17"/>
    <w:rsid w:val="005571BD"/>
    <w:rsid w:val="005607F1"/>
    <w:rsid w:val="0056233E"/>
    <w:rsid w:val="00563ADD"/>
    <w:rsid w:val="00567508"/>
    <w:rsid w:val="00567C9D"/>
    <w:rsid w:val="00570961"/>
    <w:rsid w:val="005729BD"/>
    <w:rsid w:val="00576D6F"/>
    <w:rsid w:val="00580154"/>
    <w:rsid w:val="0058070D"/>
    <w:rsid w:val="00583C39"/>
    <w:rsid w:val="00586A90"/>
    <w:rsid w:val="00587F28"/>
    <w:rsid w:val="005909CF"/>
    <w:rsid w:val="00591E71"/>
    <w:rsid w:val="00596D72"/>
    <w:rsid w:val="005A04CA"/>
    <w:rsid w:val="005A0D41"/>
    <w:rsid w:val="005A2B7E"/>
    <w:rsid w:val="005A3368"/>
    <w:rsid w:val="005A370D"/>
    <w:rsid w:val="005A6B03"/>
    <w:rsid w:val="005A7EBA"/>
    <w:rsid w:val="005B1800"/>
    <w:rsid w:val="005B250F"/>
    <w:rsid w:val="005B4F1D"/>
    <w:rsid w:val="005B6256"/>
    <w:rsid w:val="005C1E57"/>
    <w:rsid w:val="005C35E0"/>
    <w:rsid w:val="005D16C6"/>
    <w:rsid w:val="005D329F"/>
    <w:rsid w:val="005D4B01"/>
    <w:rsid w:val="005D6A79"/>
    <w:rsid w:val="005D77A0"/>
    <w:rsid w:val="005D7D06"/>
    <w:rsid w:val="005E1C62"/>
    <w:rsid w:val="005E2AC6"/>
    <w:rsid w:val="005E3DE4"/>
    <w:rsid w:val="005E582F"/>
    <w:rsid w:val="005F0365"/>
    <w:rsid w:val="005F48ED"/>
    <w:rsid w:val="005F6124"/>
    <w:rsid w:val="00601FFF"/>
    <w:rsid w:val="0060484F"/>
    <w:rsid w:val="00606E78"/>
    <w:rsid w:val="00607BF1"/>
    <w:rsid w:val="006142DF"/>
    <w:rsid w:val="00614FEB"/>
    <w:rsid w:val="00615FB0"/>
    <w:rsid w:val="00622F63"/>
    <w:rsid w:val="00624A7A"/>
    <w:rsid w:val="006302F3"/>
    <w:rsid w:val="00630D4D"/>
    <w:rsid w:val="00630DF2"/>
    <w:rsid w:val="00632A74"/>
    <w:rsid w:val="006361C3"/>
    <w:rsid w:val="0064331C"/>
    <w:rsid w:val="00643C2C"/>
    <w:rsid w:val="00645631"/>
    <w:rsid w:val="00650813"/>
    <w:rsid w:val="00650EA2"/>
    <w:rsid w:val="00652204"/>
    <w:rsid w:val="00654D42"/>
    <w:rsid w:val="00657782"/>
    <w:rsid w:val="00657D04"/>
    <w:rsid w:val="00662566"/>
    <w:rsid w:val="00662AC8"/>
    <w:rsid w:val="00666E02"/>
    <w:rsid w:val="006725D7"/>
    <w:rsid w:val="0067317F"/>
    <w:rsid w:val="00682BD3"/>
    <w:rsid w:val="006831D6"/>
    <w:rsid w:val="00683902"/>
    <w:rsid w:val="00683B9A"/>
    <w:rsid w:val="00685F2F"/>
    <w:rsid w:val="00686389"/>
    <w:rsid w:val="006869D0"/>
    <w:rsid w:val="006904F4"/>
    <w:rsid w:val="006920D6"/>
    <w:rsid w:val="006932B9"/>
    <w:rsid w:val="0069700F"/>
    <w:rsid w:val="006A4655"/>
    <w:rsid w:val="006A4B07"/>
    <w:rsid w:val="006A5509"/>
    <w:rsid w:val="006B079B"/>
    <w:rsid w:val="006B295C"/>
    <w:rsid w:val="006B2B3C"/>
    <w:rsid w:val="006B406F"/>
    <w:rsid w:val="006B583B"/>
    <w:rsid w:val="006C084A"/>
    <w:rsid w:val="006C1D81"/>
    <w:rsid w:val="006C2F1B"/>
    <w:rsid w:val="006C6777"/>
    <w:rsid w:val="006C7038"/>
    <w:rsid w:val="006D561F"/>
    <w:rsid w:val="006E1BA2"/>
    <w:rsid w:val="006E2DF8"/>
    <w:rsid w:val="006E305D"/>
    <w:rsid w:val="006E4D3E"/>
    <w:rsid w:val="006E5474"/>
    <w:rsid w:val="006E73EF"/>
    <w:rsid w:val="006F1AD8"/>
    <w:rsid w:val="0070094D"/>
    <w:rsid w:val="00702218"/>
    <w:rsid w:val="007031D8"/>
    <w:rsid w:val="007079C9"/>
    <w:rsid w:val="0071471B"/>
    <w:rsid w:val="00714D4D"/>
    <w:rsid w:val="00716D33"/>
    <w:rsid w:val="00717FFE"/>
    <w:rsid w:val="007266D3"/>
    <w:rsid w:val="0072697A"/>
    <w:rsid w:val="00732029"/>
    <w:rsid w:val="007348D5"/>
    <w:rsid w:val="00740B65"/>
    <w:rsid w:val="007546DA"/>
    <w:rsid w:val="0076028A"/>
    <w:rsid w:val="007604BB"/>
    <w:rsid w:val="007620A8"/>
    <w:rsid w:val="00762630"/>
    <w:rsid w:val="007637A1"/>
    <w:rsid w:val="00770AEB"/>
    <w:rsid w:val="00772733"/>
    <w:rsid w:val="00772909"/>
    <w:rsid w:val="00775D0D"/>
    <w:rsid w:val="00776F5B"/>
    <w:rsid w:val="00785232"/>
    <w:rsid w:val="00786BFA"/>
    <w:rsid w:val="00790086"/>
    <w:rsid w:val="00790D1E"/>
    <w:rsid w:val="00792A76"/>
    <w:rsid w:val="007934C5"/>
    <w:rsid w:val="0079701E"/>
    <w:rsid w:val="00797EE3"/>
    <w:rsid w:val="007A21EB"/>
    <w:rsid w:val="007A3E1D"/>
    <w:rsid w:val="007A4BBB"/>
    <w:rsid w:val="007B02E4"/>
    <w:rsid w:val="007B1443"/>
    <w:rsid w:val="007B1A93"/>
    <w:rsid w:val="007B59A9"/>
    <w:rsid w:val="007B791A"/>
    <w:rsid w:val="007C210C"/>
    <w:rsid w:val="007C36C9"/>
    <w:rsid w:val="007C3D42"/>
    <w:rsid w:val="007C64F5"/>
    <w:rsid w:val="007C74EA"/>
    <w:rsid w:val="007D1DE1"/>
    <w:rsid w:val="007D48A6"/>
    <w:rsid w:val="007D5DDB"/>
    <w:rsid w:val="007D6401"/>
    <w:rsid w:val="007D6FED"/>
    <w:rsid w:val="007E01E4"/>
    <w:rsid w:val="007E15BB"/>
    <w:rsid w:val="007E5909"/>
    <w:rsid w:val="007E77BD"/>
    <w:rsid w:val="007E7A12"/>
    <w:rsid w:val="007F140E"/>
    <w:rsid w:val="007F1C94"/>
    <w:rsid w:val="007F7107"/>
    <w:rsid w:val="00800D4C"/>
    <w:rsid w:val="00801117"/>
    <w:rsid w:val="00801872"/>
    <w:rsid w:val="008100B1"/>
    <w:rsid w:val="0081030F"/>
    <w:rsid w:val="00812F4A"/>
    <w:rsid w:val="00814DD7"/>
    <w:rsid w:val="0082087D"/>
    <w:rsid w:val="00821C7F"/>
    <w:rsid w:val="00830FDC"/>
    <w:rsid w:val="00833869"/>
    <w:rsid w:val="00834DC6"/>
    <w:rsid w:val="00835771"/>
    <w:rsid w:val="00842933"/>
    <w:rsid w:val="00844FE9"/>
    <w:rsid w:val="00847229"/>
    <w:rsid w:val="00850173"/>
    <w:rsid w:val="00851F9D"/>
    <w:rsid w:val="008532AF"/>
    <w:rsid w:val="0085704F"/>
    <w:rsid w:val="0086082C"/>
    <w:rsid w:val="008635B7"/>
    <w:rsid w:val="00863938"/>
    <w:rsid w:val="00864ADC"/>
    <w:rsid w:val="008657B6"/>
    <w:rsid w:val="00870690"/>
    <w:rsid w:val="008716F9"/>
    <w:rsid w:val="00877553"/>
    <w:rsid w:val="00880153"/>
    <w:rsid w:val="00880F97"/>
    <w:rsid w:val="0088133A"/>
    <w:rsid w:val="00881BDC"/>
    <w:rsid w:val="00883FF3"/>
    <w:rsid w:val="00885907"/>
    <w:rsid w:val="00886729"/>
    <w:rsid w:val="00886DCB"/>
    <w:rsid w:val="0089285E"/>
    <w:rsid w:val="0089436C"/>
    <w:rsid w:val="008A049A"/>
    <w:rsid w:val="008A44F9"/>
    <w:rsid w:val="008A4A03"/>
    <w:rsid w:val="008A71BA"/>
    <w:rsid w:val="008A76D8"/>
    <w:rsid w:val="008B1BD8"/>
    <w:rsid w:val="008B5989"/>
    <w:rsid w:val="008B7525"/>
    <w:rsid w:val="008C12F3"/>
    <w:rsid w:val="008C6467"/>
    <w:rsid w:val="008D0176"/>
    <w:rsid w:val="008D1A47"/>
    <w:rsid w:val="008D2A85"/>
    <w:rsid w:val="008D365C"/>
    <w:rsid w:val="008D54D8"/>
    <w:rsid w:val="008D7622"/>
    <w:rsid w:val="008E59DD"/>
    <w:rsid w:val="008E6CD5"/>
    <w:rsid w:val="008F0368"/>
    <w:rsid w:val="008F6AE8"/>
    <w:rsid w:val="009021A6"/>
    <w:rsid w:val="009030BF"/>
    <w:rsid w:val="00903B52"/>
    <w:rsid w:val="0091032F"/>
    <w:rsid w:val="0091054F"/>
    <w:rsid w:val="00914368"/>
    <w:rsid w:val="00914409"/>
    <w:rsid w:val="00917680"/>
    <w:rsid w:val="00926C36"/>
    <w:rsid w:val="00931076"/>
    <w:rsid w:val="0093151A"/>
    <w:rsid w:val="00932516"/>
    <w:rsid w:val="009345D9"/>
    <w:rsid w:val="00934AE9"/>
    <w:rsid w:val="00934B15"/>
    <w:rsid w:val="009401E8"/>
    <w:rsid w:val="00940C87"/>
    <w:rsid w:val="009417A3"/>
    <w:rsid w:val="00942B62"/>
    <w:rsid w:val="00945339"/>
    <w:rsid w:val="00946B44"/>
    <w:rsid w:val="00947664"/>
    <w:rsid w:val="00947E35"/>
    <w:rsid w:val="0095323B"/>
    <w:rsid w:val="00954625"/>
    <w:rsid w:val="00956A0C"/>
    <w:rsid w:val="00956BD9"/>
    <w:rsid w:val="009608B9"/>
    <w:rsid w:val="00962489"/>
    <w:rsid w:val="009639C5"/>
    <w:rsid w:val="00966797"/>
    <w:rsid w:val="009670BC"/>
    <w:rsid w:val="00967CD3"/>
    <w:rsid w:val="00971EC4"/>
    <w:rsid w:val="00977B25"/>
    <w:rsid w:val="00983325"/>
    <w:rsid w:val="00984458"/>
    <w:rsid w:val="00990003"/>
    <w:rsid w:val="00990C2C"/>
    <w:rsid w:val="00995412"/>
    <w:rsid w:val="009958A4"/>
    <w:rsid w:val="00997F35"/>
    <w:rsid w:val="009A07F5"/>
    <w:rsid w:val="009A4391"/>
    <w:rsid w:val="009A47B8"/>
    <w:rsid w:val="009A48EA"/>
    <w:rsid w:val="009A5171"/>
    <w:rsid w:val="009B34F8"/>
    <w:rsid w:val="009B350B"/>
    <w:rsid w:val="009C47BE"/>
    <w:rsid w:val="009C7ACB"/>
    <w:rsid w:val="009D37F0"/>
    <w:rsid w:val="009D72CE"/>
    <w:rsid w:val="009E1844"/>
    <w:rsid w:val="009F0935"/>
    <w:rsid w:val="009F0D1B"/>
    <w:rsid w:val="009F5BBD"/>
    <w:rsid w:val="009F696D"/>
    <w:rsid w:val="009F6BC6"/>
    <w:rsid w:val="009F74EF"/>
    <w:rsid w:val="00A00E0E"/>
    <w:rsid w:val="00A026B9"/>
    <w:rsid w:val="00A02826"/>
    <w:rsid w:val="00A04329"/>
    <w:rsid w:val="00A04FE4"/>
    <w:rsid w:val="00A10EDF"/>
    <w:rsid w:val="00A12A68"/>
    <w:rsid w:val="00A13DD7"/>
    <w:rsid w:val="00A146FB"/>
    <w:rsid w:val="00A15D5A"/>
    <w:rsid w:val="00A16108"/>
    <w:rsid w:val="00A16509"/>
    <w:rsid w:val="00A17328"/>
    <w:rsid w:val="00A23A20"/>
    <w:rsid w:val="00A24443"/>
    <w:rsid w:val="00A2558A"/>
    <w:rsid w:val="00A268B9"/>
    <w:rsid w:val="00A26D3B"/>
    <w:rsid w:val="00A2703A"/>
    <w:rsid w:val="00A301F4"/>
    <w:rsid w:val="00A33DFF"/>
    <w:rsid w:val="00A35115"/>
    <w:rsid w:val="00A3545A"/>
    <w:rsid w:val="00A36D9A"/>
    <w:rsid w:val="00A451DC"/>
    <w:rsid w:val="00A45F75"/>
    <w:rsid w:val="00A54FAE"/>
    <w:rsid w:val="00A554AB"/>
    <w:rsid w:val="00A56E11"/>
    <w:rsid w:val="00A57062"/>
    <w:rsid w:val="00A57BD8"/>
    <w:rsid w:val="00A633FF"/>
    <w:rsid w:val="00A66BEC"/>
    <w:rsid w:val="00A67781"/>
    <w:rsid w:val="00A70883"/>
    <w:rsid w:val="00A72C49"/>
    <w:rsid w:val="00A761F9"/>
    <w:rsid w:val="00A80750"/>
    <w:rsid w:val="00A842E2"/>
    <w:rsid w:val="00A844F0"/>
    <w:rsid w:val="00A86E7D"/>
    <w:rsid w:val="00A91213"/>
    <w:rsid w:val="00A91888"/>
    <w:rsid w:val="00A92881"/>
    <w:rsid w:val="00A92B53"/>
    <w:rsid w:val="00A94FA6"/>
    <w:rsid w:val="00AA125B"/>
    <w:rsid w:val="00AA16A5"/>
    <w:rsid w:val="00AA49A0"/>
    <w:rsid w:val="00AA6710"/>
    <w:rsid w:val="00AB0681"/>
    <w:rsid w:val="00AB6023"/>
    <w:rsid w:val="00AB6243"/>
    <w:rsid w:val="00AC3A15"/>
    <w:rsid w:val="00AC44D0"/>
    <w:rsid w:val="00AC54A7"/>
    <w:rsid w:val="00AD0A39"/>
    <w:rsid w:val="00AD520B"/>
    <w:rsid w:val="00AD5D3F"/>
    <w:rsid w:val="00AE0C1F"/>
    <w:rsid w:val="00AE3BCC"/>
    <w:rsid w:val="00AE5419"/>
    <w:rsid w:val="00AF19A5"/>
    <w:rsid w:val="00AF6F2F"/>
    <w:rsid w:val="00B02AB2"/>
    <w:rsid w:val="00B10D44"/>
    <w:rsid w:val="00B1151C"/>
    <w:rsid w:val="00B11C0C"/>
    <w:rsid w:val="00B14727"/>
    <w:rsid w:val="00B1498D"/>
    <w:rsid w:val="00B14D1A"/>
    <w:rsid w:val="00B236A1"/>
    <w:rsid w:val="00B23B41"/>
    <w:rsid w:val="00B24481"/>
    <w:rsid w:val="00B2521F"/>
    <w:rsid w:val="00B310ED"/>
    <w:rsid w:val="00B32958"/>
    <w:rsid w:val="00B40364"/>
    <w:rsid w:val="00B425C3"/>
    <w:rsid w:val="00B4369E"/>
    <w:rsid w:val="00B440AD"/>
    <w:rsid w:val="00B4476E"/>
    <w:rsid w:val="00B4490F"/>
    <w:rsid w:val="00B471C6"/>
    <w:rsid w:val="00B479BB"/>
    <w:rsid w:val="00B53E7E"/>
    <w:rsid w:val="00B55108"/>
    <w:rsid w:val="00B5529F"/>
    <w:rsid w:val="00B6256E"/>
    <w:rsid w:val="00B6342E"/>
    <w:rsid w:val="00B63916"/>
    <w:rsid w:val="00B66CE1"/>
    <w:rsid w:val="00B70BC5"/>
    <w:rsid w:val="00B7113F"/>
    <w:rsid w:val="00B730DD"/>
    <w:rsid w:val="00B76663"/>
    <w:rsid w:val="00B82336"/>
    <w:rsid w:val="00B84E26"/>
    <w:rsid w:val="00B86A69"/>
    <w:rsid w:val="00B93DF4"/>
    <w:rsid w:val="00B963AB"/>
    <w:rsid w:val="00B97795"/>
    <w:rsid w:val="00BA1F88"/>
    <w:rsid w:val="00BA25E0"/>
    <w:rsid w:val="00BA2BCF"/>
    <w:rsid w:val="00BA391E"/>
    <w:rsid w:val="00BA5B14"/>
    <w:rsid w:val="00BA6E5D"/>
    <w:rsid w:val="00BA70E1"/>
    <w:rsid w:val="00BA73B6"/>
    <w:rsid w:val="00BA7CA8"/>
    <w:rsid w:val="00BA7E27"/>
    <w:rsid w:val="00BB0D98"/>
    <w:rsid w:val="00BB2603"/>
    <w:rsid w:val="00BB457D"/>
    <w:rsid w:val="00BB4FCD"/>
    <w:rsid w:val="00BB79E4"/>
    <w:rsid w:val="00BC04E9"/>
    <w:rsid w:val="00BC1948"/>
    <w:rsid w:val="00BC31CC"/>
    <w:rsid w:val="00BC3CB4"/>
    <w:rsid w:val="00BD13EA"/>
    <w:rsid w:val="00BD3910"/>
    <w:rsid w:val="00BD4294"/>
    <w:rsid w:val="00BE36B1"/>
    <w:rsid w:val="00BE3808"/>
    <w:rsid w:val="00BF6D6C"/>
    <w:rsid w:val="00C0222B"/>
    <w:rsid w:val="00C0297A"/>
    <w:rsid w:val="00C03B88"/>
    <w:rsid w:val="00C043F5"/>
    <w:rsid w:val="00C062E9"/>
    <w:rsid w:val="00C0794E"/>
    <w:rsid w:val="00C07B64"/>
    <w:rsid w:val="00C103DE"/>
    <w:rsid w:val="00C13721"/>
    <w:rsid w:val="00C14FE4"/>
    <w:rsid w:val="00C15BC1"/>
    <w:rsid w:val="00C17EB4"/>
    <w:rsid w:val="00C2036D"/>
    <w:rsid w:val="00C2312F"/>
    <w:rsid w:val="00C3066D"/>
    <w:rsid w:val="00C4055F"/>
    <w:rsid w:val="00C46020"/>
    <w:rsid w:val="00C466B4"/>
    <w:rsid w:val="00C466D2"/>
    <w:rsid w:val="00C47CE5"/>
    <w:rsid w:val="00C506A9"/>
    <w:rsid w:val="00C512E3"/>
    <w:rsid w:val="00C52416"/>
    <w:rsid w:val="00C52878"/>
    <w:rsid w:val="00C543F4"/>
    <w:rsid w:val="00C549D2"/>
    <w:rsid w:val="00C562DD"/>
    <w:rsid w:val="00C617B9"/>
    <w:rsid w:val="00C6291C"/>
    <w:rsid w:val="00C633CB"/>
    <w:rsid w:val="00C664CD"/>
    <w:rsid w:val="00C70EA8"/>
    <w:rsid w:val="00C726BA"/>
    <w:rsid w:val="00C736B7"/>
    <w:rsid w:val="00C737F2"/>
    <w:rsid w:val="00C74C51"/>
    <w:rsid w:val="00C74D43"/>
    <w:rsid w:val="00C81A52"/>
    <w:rsid w:val="00C81D4A"/>
    <w:rsid w:val="00C822F1"/>
    <w:rsid w:val="00C83752"/>
    <w:rsid w:val="00C843CC"/>
    <w:rsid w:val="00C8762C"/>
    <w:rsid w:val="00C877DE"/>
    <w:rsid w:val="00C87851"/>
    <w:rsid w:val="00C9772F"/>
    <w:rsid w:val="00CA00F9"/>
    <w:rsid w:val="00CA227C"/>
    <w:rsid w:val="00CA2961"/>
    <w:rsid w:val="00CA2A8C"/>
    <w:rsid w:val="00CB2248"/>
    <w:rsid w:val="00CB42DE"/>
    <w:rsid w:val="00CB50D7"/>
    <w:rsid w:val="00CB5F62"/>
    <w:rsid w:val="00CB6279"/>
    <w:rsid w:val="00CB69D8"/>
    <w:rsid w:val="00CB7177"/>
    <w:rsid w:val="00CB7CED"/>
    <w:rsid w:val="00CC0681"/>
    <w:rsid w:val="00CC070F"/>
    <w:rsid w:val="00CC1549"/>
    <w:rsid w:val="00CC1998"/>
    <w:rsid w:val="00CC4946"/>
    <w:rsid w:val="00CC5EDA"/>
    <w:rsid w:val="00CC64A1"/>
    <w:rsid w:val="00CD5196"/>
    <w:rsid w:val="00CE00F1"/>
    <w:rsid w:val="00CE0802"/>
    <w:rsid w:val="00CE0E82"/>
    <w:rsid w:val="00CE582F"/>
    <w:rsid w:val="00CE69DA"/>
    <w:rsid w:val="00CF02E0"/>
    <w:rsid w:val="00CF1F8E"/>
    <w:rsid w:val="00CF3B11"/>
    <w:rsid w:val="00CF4567"/>
    <w:rsid w:val="00CF537A"/>
    <w:rsid w:val="00D0108C"/>
    <w:rsid w:val="00D01F56"/>
    <w:rsid w:val="00D06FC4"/>
    <w:rsid w:val="00D0731B"/>
    <w:rsid w:val="00D2120F"/>
    <w:rsid w:val="00D222E3"/>
    <w:rsid w:val="00D22628"/>
    <w:rsid w:val="00D270A4"/>
    <w:rsid w:val="00D27B06"/>
    <w:rsid w:val="00D3037A"/>
    <w:rsid w:val="00D31D4B"/>
    <w:rsid w:val="00D31FE9"/>
    <w:rsid w:val="00D34E1B"/>
    <w:rsid w:val="00D34E34"/>
    <w:rsid w:val="00D376BA"/>
    <w:rsid w:val="00D37C81"/>
    <w:rsid w:val="00D42E8A"/>
    <w:rsid w:val="00D434A0"/>
    <w:rsid w:val="00D45634"/>
    <w:rsid w:val="00D4666F"/>
    <w:rsid w:val="00D544AD"/>
    <w:rsid w:val="00D5568A"/>
    <w:rsid w:val="00D56180"/>
    <w:rsid w:val="00D63D73"/>
    <w:rsid w:val="00D643C5"/>
    <w:rsid w:val="00D64452"/>
    <w:rsid w:val="00D64EF7"/>
    <w:rsid w:val="00D66E1E"/>
    <w:rsid w:val="00D66F13"/>
    <w:rsid w:val="00D70696"/>
    <w:rsid w:val="00D727F3"/>
    <w:rsid w:val="00D7482C"/>
    <w:rsid w:val="00D75722"/>
    <w:rsid w:val="00D76666"/>
    <w:rsid w:val="00D77309"/>
    <w:rsid w:val="00D80CF5"/>
    <w:rsid w:val="00D84181"/>
    <w:rsid w:val="00D8741A"/>
    <w:rsid w:val="00D90755"/>
    <w:rsid w:val="00DA17B2"/>
    <w:rsid w:val="00DA5BBA"/>
    <w:rsid w:val="00DB26D2"/>
    <w:rsid w:val="00DB67C9"/>
    <w:rsid w:val="00DC0C95"/>
    <w:rsid w:val="00DC2998"/>
    <w:rsid w:val="00DC4582"/>
    <w:rsid w:val="00DC4F0B"/>
    <w:rsid w:val="00DD3F48"/>
    <w:rsid w:val="00DD6580"/>
    <w:rsid w:val="00DD682D"/>
    <w:rsid w:val="00DD795D"/>
    <w:rsid w:val="00DE5B7E"/>
    <w:rsid w:val="00DE6632"/>
    <w:rsid w:val="00DE74CF"/>
    <w:rsid w:val="00DE7E15"/>
    <w:rsid w:val="00DF0BD7"/>
    <w:rsid w:val="00DF2669"/>
    <w:rsid w:val="00DF520D"/>
    <w:rsid w:val="00DF799F"/>
    <w:rsid w:val="00E00D36"/>
    <w:rsid w:val="00E01D7F"/>
    <w:rsid w:val="00E05C03"/>
    <w:rsid w:val="00E11409"/>
    <w:rsid w:val="00E115EE"/>
    <w:rsid w:val="00E16744"/>
    <w:rsid w:val="00E17C72"/>
    <w:rsid w:val="00E21C08"/>
    <w:rsid w:val="00E21E08"/>
    <w:rsid w:val="00E21FC6"/>
    <w:rsid w:val="00E3301A"/>
    <w:rsid w:val="00E33962"/>
    <w:rsid w:val="00E3644D"/>
    <w:rsid w:val="00E40632"/>
    <w:rsid w:val="00E431A9"/>
    <w:rsid w:val="00E43622"/>
    <w:rsid w:val="00E541CE"/>
    <w:rsid w:val="00E54805"/>
    <w:rsid w:val="00E60841"/>
    <w:rsid w:val="00E616A3"/>
    <w:rsid w:val="00E63401"/>
    <w:rsid w:val="00E669E2"/>
    <w:rsid w:val="00E70927"/>
    <w:rsid w:val="00E738D3"/>
    <w:rsid w:val="00E74C9B"/>
    <w:rsid w:val="00E76135"/>
    <w:rsid w:val="00E82F4F"/>
    <w:rsid w:val="00E84018"/>
    <w:rsid w:val="00E84EFB"/>
    <w:rsid w:val="00E864DF"/>
    <w:rsid w:val="00E86F88"/>
    <w:rsid w:val="00E8703E"/>
    <w:rsid w:val="00E9217F"/>
    <w:rsid w:val="00E92CCF"/>
    <w:rsid w:val="00E931F5"/>
    <w:rsid w:val="00E932CB"/>
    <w:rsid w:val="00E9534C"/>
    <w:rsid w:val="00E97FC0"/>
    <w:rsid w:val="00EA0AF6"/>
    <w:rsid w:val="00EA356A"/>
    <w:rsid w:val="00EA4BDB"/>
    <w:rsid w:val="00EA5A0D"/>
    <w:rsid w:val="00EA6832"/>
    <w:rsid w:val="00EA6D95"/>
    <w:rsid w:val="00EB0CC9"/>
    <w:rsid w:val="00EB2C6D"/>
    <w:rsid w:val="00EB2CC3"/>
    <w:rsid w:val="00EC2844"/>
    <w:rsid w:val="00EC47B2"/>
    <w:rsid w:val="00EC5500"/>
    <w:rsid w:val="00ED18F8"/>
    <w:rsid w:val="00ED1A49"/>
    <w:rsid w:val="00EE107C"/>
    <w:rsid w:val="00EE16B4"/>
    <w:rsid w:val="00EE3D7F"/>
    <w:rsid w:val="00EE6EDA"/>
    <w:rsid w:val="00EE778E"/>
    <w:rsid w:val="00EF3C27"/>
    <w:rsid w:val="00EF5100"/>
    <w:rsid w:val="00EF5273"/>
    <w:rsid w:val="00EF6719"/>
    <w:rsid w:val="00EF6C6C"/>
    <w:rsid w:val="00EF7869"/>
    <w:rsid w:val="00F00035"/>
    <w:rsid w:val="00F00781"/>
    <w:rsid w:val="00F04F1D"/>
    <w:rsid w:val="00F056FC"/>
    <w:rsid w:val="00F0632F"/>
    <w:rsid w:val="00F069AE"/>
    <w:rsid w:val="00F0767A"/>
    <w:rsid w:val="00F10476"/>
    <w:rsid w:val="00F135D8"/>
    <w:rsid w:val="00F14DDF"/>
    <w:rsid w:val="00F17C9F"/>
    <w:rsid w:val="00F24CAB"/>
    <w:rsid w:val="00F25048"/>
    <w:rsid w:val="00F3067C"/>
    <w:rsid w:val="00F30B6F"/>
    <w:rsid w:val="00F31299"/>
    <w:rsid w:val="00F313A9"/>
    <w:rsid w:val="00F3253D"/>
    <w:rsid w:val="00F333EC"/>
    <w:rsid w:val="00F3534A"/>
    <w:rsid w:val="00F35BFB"/>
    <w:rsid w:val="00F36ACC"/>
    <w:rsid w:val="00F370DF"/>
    <w:rsid w:val="00F43207"/>
    <w:rsid w:val="00F43824"/>
    <w:rsid w:val="00F445B4"/>
    <w:rsid w:val="00F44E2C"/>
    <w:rsid w:val="00F4556A"/>
    <w:rsid w:val="00F50F33"/>
    <w:rsid w:val="00F51609"/>
    <w:rsid w:val="00F55465"/>
    <w:rsid w:val="00F55C25"/>
    <w:rsid w:val="00F57CB8"/>
    <w:rsid w:val="00F6064E"/>
    <w:rsid w:val="00F629E1"/>
    <w:rsid w:val="00F63CEC"/>
    <w:rsid w:val="00F651FB"/>
    <w:rsid w:val="00F65580"/>
    <w:rsid w:val="00F67ECF"/>
    <w:rsid w:val="00F73727"/>
    <w:rsid w:val="00F766A7"/>
    <w:rsid w:val="00F77BC5"/>
    <w:rsid w:val="00F81006"/>
    <w:rsid w:val="00F849FA"/>
    <w:rsid w:val="00F85325"/>
    <w:rsid w:val="00F86FA3"/>
    <w:rsid w:val="00F90A9B"/>
    <w:rsid w:val="00F91E0A"/>
    <w:rsid w:val="00F934BB"/>
    <w:rsid w:val="00F94055"/>
    <w:rsid w:val="00F94EFA"/>
    <w:rsid w:val="00F96C06"/>
    <w:rsid w:val="00F97137"/>
    <w:rsid w:val="00FA34C4"/>
    <w:rsid w:val="00FA5C21"/>
    <w:rsid w:val="00FA66B4"/>
    <w:rsid w:val="00FB234D"/>
    <w:rsid w:val="00FB3AE9"/>
    <w:rsid w:val="00FB445F"/>
    <w:rsid w:val="00FC27D8"/>
    <w:rsid w:val="00FC75CF"/>
    <w:rsid w:val="00FD0F9E"/>
    <w:rsid w:val="00FD223A"/>
    <w:rsid w:val="00FD22B1"/>
    <w:rsid w:val="00FD33F1"/>
    <w:rsid w:val="00FD3566"/>
    <w:rsid w:val="00FE125D"/>
    <w:rsid w:val="00FE5397"/>
    <w:rsid w:val="00FF062F"/>
    <w:rsid w:val="00FF3274"/>
    <w:rsid w:val="00FF3A99"/>
    <w:rsid w:val="00FF5D45"/>
    <w:rsid w:val="00FF6508"/>
    <w:rsid w:val="00FF78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1829AB2"/>
  <w15:docId w15:val="{5F1256A3-32F3-464D-BCEC-79B50594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7C9F"/>
    <w:rPr>
      <w:sz w:val="24"/>
      <w:szCs w:val="24"/>
    </w:rPr>
  </w:style>
  <w:style w:type="paragraph" w:styleId="Heading1">
    <w:name w:val="heading 1"/>
    <w:basedOn w:val="BodyText"/>
    <w:next w:val="BodyText"/>
    <w:rsid w:val="00F17C9F"/>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F17C9F"/>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F17C9F"/>
    <w:pPr>
      <w:spacing w:before="560" w:line="320" w:lineRule="exact"/>
      <w:ind w:left="0" w:firstLine="0"/>
      <w:outlineLvl w:val="2"/>
    </w:pPr>
    <w:rPr>
      <w:sz w:val="26"/>
    </w:rPr>
  </w:style>
  <w:style w:type="paragraph" w:styleId="Heading4">
    <w:name w:val="heading 4"/>
    <w:basedOn w:val="Heading3"/>
    <w:next w:val="BodyText"/>
    <w:qFormat/>
    <w:rsid w:val="00F17C9F"/>
    <w:pPr>
      <w:spacing w:before="480"/>
      <w:outlineLvl w:val="3"/>
    </w:pPr>
    <w:rPr>
      <w:b w:val="0"/>
      <w:sz w:val="24"/>
    </w:rPr>
  </w:style>
  <w:style w:type="paragraph" w:styleId="Heading5">
    <w:name w:val="heading 5"/>
    <w:basedOn w:val="Heading4"/>
    <w:next w:val="BodyText"/>
    <w:link w:val="Heading5Char"/>
    <w:qFormat/>
    <w:rsid w:val="00F17C9F"/>
    <w:pPr>
      <w:outlineLvl w:val="4"/>
    </w:pPr>
    <w:rPr>
      <w:i/>
      <w:sz w:val="22"/>
    </w:rPr>
  </w:style>
  <w:style w:type="paragraph" w:styleId="Heading6">
    <w:name w:val="heading 6"/>
    <w:basedOn w:val="BodyText"/>
    <w:next w:val="BodyText"/>
    <w:semiHidden/>
    <w:rsid w:val="00F17C9F"/>
    <w:pPr>
      <w:spacing w:after="60"/>
      <w:jc w:val="left"/>
      <w:outlineLvl w:val="5"/>
    </w:pPr>
    <w:rPr>
      <w:i/>
      <w:sz w:val="22"/>
    </w:rPr>
  </w:style>
  <w:style w:type="paragraph" w:styleId="Heading7">
    <w:name w:val="heading 7"/>
    <w:basedOn w:val="BodyText"/>
    <w:next w:val="BodyText"/>
    <w:semiHidden/>
    <w:rsid w:val="00F17C9F"/>
    <w:pPr>
      <w:spacing w:after="60" w:line="240" w:lineRule="auto"/>
      <w:jc w:val="left"/>
      <w:outlineLvl w:val="6"/>
    </w:pPr>
    <w:rPr>
      <w:rFonts w:ascii="Arial" w:hAnsi="Arial"/>
      <w:sz w:val="20"/>
    </w:rPr>
  </w:style>
  <w:style w:type="paragraph" w:styleId="Heading8">
    <w:name w:val="heading 8"/>
    <w:basedOn w:val="BodyText"/>
    <w:next w:val="BodyText"/>
    <w:semiHidden/>
    <w:rsid w:val="00F17C9F"/>
    <w:pPr>
      <w:spacing w:after="60" w:line="240" w:lineRule="auto"/>
      <w:jc w:val="left"/>
      <w:outlineLvl w:val="7"/>
    </w:pPr>
    <w:rPr>
      <w:rFonts w:ascii="Arial" w:hAnsi="Arial"/>
      <w:i/>
      <w:sz w:val="20"/>
    </w:rPr>
  </w:style>
  <w:style w:type="paragraph" w:styleId="Heading9">
    <w:name w:val="heading 9"/>
    <w:basedOn w:val="BodyText"/>
    <w:next w:val="BodyText"/>
    <w:semiHidden/>
    <w:rsid w:val="00F17C9F"/>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F17C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7C9F"/>
  </w:style>
  <w:style w:type="paragraph" w:styleId="BodyText">
    <w:name w:val="Body Text"/>
    <w:link w:val="BodyTextChar"/>
    <w:qFormat/>
    <w:rsid w:val="00F17C9F"/>
    <w:pPr>
      <w:spacing w:before="240" w:line="300" w:lineRule="atLeast"/>
      <w:jc w:val="both"/>
    </w:pPr>
    <w:rPr>
      <w:sz w:val="24"/>
    </w:rPr>
  </w:style>
  <w:style w:type="paragraph" w:styleId="Footer">
    <w:name w:val="footer"/>
    <w:basedOn w:val="BodyText"/>
    <w:link w:val="FooterChar"/>
    <w:semiHidden/>
    <w:rsid w:val="00F17C9F"/>
    <w:pPr>
      <w:spacing w:before="80" w:line="200" w:lineRule="exact"/>
      <w:ind w:right="6"/>
      <w:jc w:val="left"/>
    </w:pPr>
    <w:rPr>
      <w:rFonts w:ascii="Arial" w:hAnsi="Arial"/>
      <w:caps/>
      <w:spacing w:val="-4"/>
      <w:sz w:val="16"/>
    </w:rPr>
  </w:style>
  <w:style w:type="paragraph" w:customStyle="1" w:styleId="FooterEnd">
    <w:name w:val="Footer End"/>
    <w:basedOn w:val="Footer"/>
    <w:rsid w:val="00F17C9F"/>
    <w:pPr>
      <w:spacing w:before="0" w:line="20" w:lineRule="exact"/>
    </w:pPr>
  </w:style>
  <w:style w:type="paragraph" w:styleId="Header">
    <w:name w:val="header"/>
    <w:basedOn w:val="BodyText"/>
    <w:rsid w:val="00F17C9F"/>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F17C9F"/>
    <w:pPr>
      <w:spacing w:line="20" w:lineRule="exact"/>
    </w:pPr>
    <w:rPr>
      <w:sz w:val="16"/>
    </w:rPr>
  </w:style>
  <w:style w:type="paragraph" w:customStyle="1" w:styleId="HeaderEven">
    <w:name w:val="Header Even"/>
    <w:basedOn w:val="Header"/>
    <w:semiHidden/>
    <w:rsid w:val="00F17C9F"/>
  </w:style>
  <w:style w:type="paragraph" w:customStyle="1" w:styleId="HeaderOdd">
    <w:name w:val="Header Odd"/>
    <w:basedOn w:val="Header"/>
    <w:semiHidden/>
    <w:rsid w:val="00F17C9F"/>
  </w:style>
  <w:style w:type="character" w:styleId="PageNumber">
    <w:name w:val="page number"/>
    <w:basedOn w:val="DefaultParagraphFont"/>
    <w:rsid w:val="00F17C9F"/>
    <w:rPr>
      <w:rFonts w:ascii="Arial" w:hAnsi="Arial"/>
      <w:b/>
      <w:sz w:val="16"/>
    </w:rPr>
  </w:style>
  <w:style w:type="paragraph" w:customStyle="1" w:styleId="Abbreviation">
    <w:name w:val="Abbreviation"/>
    <w:basedOn w:val="BodyText"/>
    <w:rsid w:val="00F17C9F"/>
    <w:pPr>
      <w:spacing w:before="120"/>
      <w:ind w:left="2381" w:hanging="2381"/>
      <w:jc w:val="left"/>
    </w:pPr>
  </w:style>
  <w:style w:type="paragraph" w:customStyle="1" w:styleId="Box">
    <w:name w:val="Box"/>
    <w:basedOn w:val="BodyText"/>
    <w:qFormat/>
    <w:rsid w:val="00F17C9F"/>
    <w:pPr>
      <w:keepNext/>
      <w:spacing w:before="120" w:line="260" w:lineRule="atLeast"/>
    </w:pPr>
    <w:rPr>
      <w:rFonts w:ascii="Arial" w:hAnsi="Arial"/>
      <w:sz w:val="20"/>
    </w:rPr>
  </w:style>
  <w:style w:type="paragraph" w:customStyle="1" w:styleId="BoxContinued">
    <w:name w:val="Box Continued"/>
    <w:basedOn w:val="BodyText"/>
    <w:next w:val="BodyText"/>
    <w:semiHidden/>
    <w:rsid w:val="00F17C9F"/>
    <w:pPr>
      <w:spacing w:before="180" w:line="220" w:lineRule="exact"/>
      <w:jc w:val="right"/>
    </w:pPr>
    <w:rPr>
      <w:rFonts w:ascii="Arial" w:hAnsi="Arial"/>
      <w:sz w:val="18"/>
    </w:rPr>
  </w:style>
  <w:style w:type="paragraph" w:customStyle="1" w:styleId="BoxHeading1">
    <w:name w:val="Box Heading 1"/>
    <w:basedOn w:val="BodyText"/>
    <w:next w:val="Box"/>
    <w:rsid w:val="00F17C9F"/>
    <w:pPr>
      <w:keepNext/>
      <w:spacing w:before="200" w:line="280" w:lineRule="atLeast"/>
    </w:pPr>
    <w:rPr>
      <w:rFonts w:ascii="Arial" w:hAnsi="Arial"/>
      <w:b/>
      <w:sz w:val="22"/>
    </w:rPr>
  </w:style>
  <w:style w:type="paragraph" w:customStyle="1" w:styleId="BoxHeading2">
    <w:name w:val="Box Heading 2"/>
    <w:basedOn w:val="BoxHeading1"/>
    <w:next w:val="Box"/>
    <w:rsid w:val="00F17C9F"/>
    <w:rPr>
      <w:b w:val="0"/>
      <w:i/>
    </w:rPr>
  </w:style>
  <w:style w:type="paragraph" w:customStyle="1" w:styleId="BoxListBullet">
    <w:name w:val="Box List Bullet"/>
    <w:basedOn w:val="BodyText"/>
    <w:rsid w:val="00F17C9F"/>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F17C9F"/>
    <w:pPr>
      <w:numPr>
        <w:numId w:val="13"/>
      </w:numPr>
      <w:ind w:left="568" w:hanging="284"/>
    </w:pPr>
  </w:style>
  <w:style w:type="paragraph" w:customStyle="1" w:styleId="BoxListNumber">
    <w:name w:val="Box List Number"/>
    <w:basedOn w:val="BodyText"/>
    <w:rsid w:val="00F17C9F"/>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F17C9F"/>
    <w:pPr>
      <w:numPr>
        <w:ilvl w:val="1"/>
      </w:numPr>
      <w:ind w:left="681" w:hanging="397"/>
    </w:pPr>
  </w:style>
  <w:style w:type="paragraph" w:customStyle="1" w:styleId="BoxQuote">
    <w:name w:val="Box Quote"/>
    <w:basedOn w:val="BodyText"/>
    <w:next w:val="Box"/>
    <w:qFormat/>
    <w:rsid w:val="00F17C9F"/>
    <w:pPr>
      <w:keepNext/>
      <w:spacing w:before="60" w:line="240" w:lineRule="exact"/>
      <w:ind w:left="284"/>
    </w:pPr>
    <w:rPr>
      <w:rFonts w:ascii="Arial" w:hAnsi="Arial"/>
      <w:sz w:val="18"/>
    </w:rPr>
  </w:style>
  <w:style w:type="paragraph" w:customStyle="1" w:styleId="Note">
    <w:name w:val="Note"/>
    <w:basedOn w:val="BodyText"/>
    <w:next w:val="BodyText"/>
    <w:rsid w:val="00F17C9F"/>
    <w:pPr>
      <w:keepLines/>
      <w:spacing w:before="80" w:line="220" w:lineRule="exact"/>
    </w:pPr>
    <w:rPr>
      <w:rFonts w:ascii="Arial" w:hAnsi="Arial"/>
      <w:sz w:val="18"/>
    </w:rPr>
  </w:style>
  <w:style w:type="paragraph" w:customStyle="1" w:styleId="Source">
    <w:name w:val="Source"/>
    <w:basedOn w:val="Normal"/>
    <w:next w:val="BodyText"/>
    <w:rsid w:val="00F17C9F"/>
    <w:pPr>
      <w:keepLines/>
      <w:spacing w:before="80" w:line="220" w:lineRule="exact"/>
      <w:jc w:val="both"/>
    </w:pPr>
    <w:rPr>
      <w:rFonts w:ascii="Arial" w:hAnsi="Arial"/>
      <w:sz w:val="18"/>
      <w:szCs w:val="20"/>
    </w:rPr>
  </w:style>
  <w:style w:type="paragraph" w:customStyle="1" w:styleId="BoxSource">
    <w:name w:val="Box Source"/>
    <w:basedOn w:val="Source"/>
    <w:next w:val="BodyText"/>
    <w:rsid w:val="00F17C9F"/>
    <w:pPr>
      <w:spacing w:before="120"/>
    </w:pPr>
  </w:style>
  <w:style w:type="paragraph" w:customStyle="1" w:styleId="BoxSpaceAbove">
    <w:name w:val="Box Space Above"/>
    <w:basedOn w:val="BodyText"/>
    <w:rsid w:val="00F17C9F"/>
    <w:pPr>
      <w:keepNext/>
      <w:spacing w:before="360" w:line="80" w:lineRule="exact"/>
      <w:jc w:val="left"/>
    </w:pPr>
  </w:style>
  <w:style w:type="paragraph" w:styleId="Caption">
    <w:name w:val="caption"/>
    <w:basedOn w:val="Normal"/>
    <w:next w:val="BodyText"/>
    <w:rsid w:val="00F17C9F"/>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F17C9F"/>
    <w:pPr>
      <w:spacing w:before="120" w:after="0"/>
    </w:pPr>
  </w:style>
  <w:style w:type="paragraph" w:customStyle="1" w:styleId="BoxSubtitle">
    <w:name w:val="Box Subtitle"/>
    <w:basedOn w:val="BoxTitle"/>
    <w:next w:val="Normal"/>
    <w:rsid w:val="00F17C9F"/>
    <w:pPr>
      <w:spacing w:after="80" w:line="200" w:lineRule="exact"/>
      <w:ind w:firstLine="0"/>
    </w:pPr>
    <w:rPr>
      <w:b w:val="0"/>
      <w:sz w:val="20"/>
    </w:rPr>
  </w:style>
  <w:style w:type="paragraph" w:customStyle="1" w:styleId="Chapter">
    <w:name w:val="Chapter"/>
    <w:basedOn w:val="Heading1"/>
    <w:next w:val="BodyText"/>
    <w:semiHidden/>
    <w:rsid w:val="00F17C9F"/>
    <w:pPr>
      <w:ind w:left="0" w:firstLine="0"/>
      <w:outlineLvl w:val="9"/>
    </w:pPr>
  </w:style>
  <w:style w:type="paragraph" w:customStyle="1" w:styleId="ChapterSummary">
    <w:name w:val="Chapter Summary"/>
    <w:basedOn w:val="BodyText"/>
    <w:rsid w:val="00F17C9F"/>
    <w:pPr>
      <w:spacing w:line="280" w:lineRule="atLeast"/>
      <w:ind w:left="907"/>
    </w:pPr>
    <w:rPr>
      <w:rFonts w:ascii="Arial" w:hAnsi="Arial"/>
      <w:b/>
      <w:sz w:val="20"/>
    </w:rPr>
  </w:style>
  <w:style w:type="character" w:styleId="CommentReference">
    <w:name w:val="annotation reference"/>
    <w:basedOn w:val="DefaultParagraphFont"/>
    <w:semiHidden/>
    <w:rsid w:val="00F17C9F"/>
    <w:rPr>
      <w:b/>
      <w:vanish/>
      <w:color w:val="FF00FF"/>
      <w:sz w:val="20"/>
    </w:rPr>
  </w:style>
  <w:style w:type="paragraph" w:styleId="CommentText">
    <w:name w:val="annotation text"/>
    <w:basedOn w:val="Normal"/>
    <w:link w:val="CommentTextChar"/>
    <w:semiHidden/>
    <w:rsid w:val="00F17C9F"/>
    <w:pPr>
      <w:spacing w:before="120" w:line="240" w:lineRule="atLeast"/>
      <w:ind w:left="567" w:hanging="567"/>
    </w:pPr>
    <w:rPr>
      <w:sz w:val="20"/>
    </w:rPr>
  </w:style>
  <w:style w:type="paragraph" w:customStyle="1" w:styleId="Continued">
    <w:name w:val="Continued"/>
    <w:basedOn w:val="BoxContinued"/>
    <w:next w:val="BodyText"/>
    <w:rsid w:val="00F17C9F"/>
  </w:style>
  <w:style w:type="character" w:customStyle="1" w:styleId="DocumentInfo">
    <w:name w:val="Document Info"/>
    <w:basedOn w:val="DefaultParagraphFont"/>
    <w:semiHidden/>
    <w:rsid w:val="00F17C9F"/>
    <w:rPr>
      <w:rFonts w:ascii="Arial" w:hAnsi="Arial"/>
      <w:sz w:val="14"/>
    </w:rPr>
  </w:style>
  <w:style w:type="character" w:customStyle="1" w:styleId="DraftingNote">
    <w:name w:val="Drafting Note"/>
    <w:basedOn w:val="DefaultParagraphFont"/>
    <w:rsid w:val="00F17C9F"/>
    <w:rPr>
      <w:b/>
      <w:color w:val="FF0000"/>
      <w:sz w:val="24"/>
      <w:u w:val="dotted"/>
    </w:rPr>
  </w:style>
  <w:style w:type="paragraph" w:customStyle="1" w:styleId="Figure">
    <w:name w:val="Figure"/>
    <w:basedOn w:val="BodyText"/>
    <w:rsid w:val="00F17C9F"/>
    <w:pPr>
      <w:keepNext/>
      <w:spacing w:before="120" w:after="120" w:line="240" w:lineRule="atLeast"/>
      <w:jc w:val="center"/>
    </w:pPr>
  </w:style>
  <w:style w:type="paragraph" w:customStyle="1" w:styleId="FigureTitle">
    <w:name w:val="Figure Title"/>
    <w:basedOn w:val="Caption"/>
    <w:next w:val="Subtitle"/>
    <w:rsid w:val="00F17C9F"/>
    <w:pPr>
      <w:spacing w:before="120"/>
    </w:pPr>
  </w:style>
  <w:style w:type="paragraph" w:styleId="Subtitle">
    <w:name w:val="Subtitle"/>
    <w:basedOn w:val="Caption"/>
    <w:link w:val="SubtitleChar"/>
    <w:qFormat/>
    <w:rsid w:val="00F17C9F"/>
    <w:pPr>
      <w:spacing w:before="0" w:line="200" w:lineRule="exact"/>
      <w:ind w:firstLine="0"/>
    </w:pPr>
    <w:rPr>
      <w:b w:val="0"/>
      <w:sz w:val="20"/>
    </w:rPr>
  </w:style>
  <w:style w:type="paragraph" w:customStyle="1" w:styleId="Finding">
    <w:name w:val="Finding"/>
    <w:basedOn w:val="BodyText"/>
    <w:rsid w:val="00F17C9F"/>
    <w:pPr>
      <w:keepLines/>
      <w:spacing w:before="120" w:line="280" w:lineRule="atLeast"/>
    </w:pPr>
    <w:rPr>
      <w:rFonts w:ascii="Arial" w:hAnsi="Arial"/>
      <w:sz w:val="22"/>
    </w:rPr>
  </w:style>
  <w:style w:type="paragraph" w:customStyle="1" w:styleId="FindingBullet">
    <w:name w:val="Finding Bullet"/>
    <w:basedOn w:val="Finding"/>
    <w:rsid w:val="00F17C9F"/>
    <w:pPr>
      <w:numPr>
        <w:numId w:val="15"/>
      </w:numPr>
      <w:spacing w:before="80"/>
    </w:pPr>
  </w:style>
  <w:style w:type="paragraph" w:customStyle="1" w:styleId="FindingNoTitle">
    <w:name w:val="Finding NoTitle"/>
    <w:basedOn w:val="Finding"/>
    <w:semiHidden/>
    <w:rsid w:val="00F17C9F"/>
    <w:pPr>
      <w:spacing w:before="240"/>
    </w:pPr>
  </w:style>
  <w:style w:type="paragraph" w:customStyle="1" w:styleId="RecTitle">
    <w:name w:val="Rec Title"/>
    <w:basedOn w:val="BodyText"/>
    <w:next w:val="Rec"/>
    <w:qFormat/>
    <w:rsid w:val="00F17C9F"/>
    <w:pPr>
      <w:keepNext/>
      <w:keepLines/>
      <w:spacing w:line="280" w:lineRule="atLeast"/>
    </w:pPr>
    <w:rPr>
      <w:rFonts w:ascii="Arial" w:hAnsi="Arial"/>
      <w:caps/>
      <w:sz w:val="18"/>
    </w:rPr>
  </w:style>
  <w:style w:type="paragraph" w:customStyle="1" w:styleId="FindingTitle">
    <w:name w:val="Finding Title"/>
    <w:basedOn w:val="RecTitle"/>
    <w:next w:val="Finding"/>
    <w:rsid w:val="00F17C9F"/>
  </w:style>
  <w:style w:type="character" w:styleId="FootnoteReference">
    <w:name w:val="footnote reference"/>
    <w:basedOn w:val="DefaultParagraphFont"/>
    <w:semiHidden/>
    <w:rsid w:val="00F17C9F"/>
    <w:rPr>
      <w:rFonts w:ascii="Times New Roman" w:hAnsi="Times New Roman"/>
      <w:position w:val="6"/>
      <w:sz w:val="20"/>
      <w:vertAlign w:val="baseline"/>
    </w:rPr>
  </w:style>
  <w:style w:type="paragraph" w:styleId="FootnoteText">
    <w:name w:val="footnote text"/>
    <w:basedOn w:val="BodyText"/>
    <w:rsid w:val="00F17C9F"/>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F17C9F"/>
    <w:rPr>
      <w:i/>
    </w:rPr>
  </w:style>
  <w:style w:type="paragraph" w:customStyle="1" w:styleId="Jurisdictioncommentsbodytext">
    <w:name w:val="Jurisdiction comments body text"/>
    <w:rsid w:val="00F17C9F"/>
    <w:pPr>
      <w:spacing w:after="140"/>
      <w:jc w:val="both"/>
    </w:pPr>
    <w:rPr>
      <w:rFonts w:ascii="Arial" w:hAnsi="Arial"/>
      <w:sz w:val="24"/>
      <w:lang w:eastAsia="en-US"/>
    </w:rPr>
  </w:style>
  <w:style w:type="paragraph" w:customStyle="1" w:styleId="Jurisdictioncommentsheading">
    <w:name w:val="Jurisdiction comments heading"/>
    <w:rsid w:val="00F17C9F"/>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F17C9F"/>
    <w:pPr>
      <w:numPr>
        <w:numId w:val="2"/>
      </w:numPr>
      <w:spacing w:after="140"/>
      <w:jc w:val="both"/>
    </w:pPr>
    <w:rPr>
      <w:rFonts w:ascii="Arial" w:hAnsi="Arial"/>
      <w:sz w:val="24"/>
      <w:lang w:eastAsia="en-US"/>
    </w:rPr>
  </w:style>
  <w:style w:type="paragraph" w:styleId="ListBullet">
    <w:name w:val="List Bullet"/>
    <w:basedOn w:val="BodyText"/>
    <w:rsid w:val="00F17C9F"/>
    <w:pPr>
      <w:numPr>
        <w:numId w:val="3"/>
      </w:numPr>
      <w:spacing w:before="120"/>
    </w:pPr>
  </w:style>
  <w:style w:type="paragraph" w:styleId="ListBullet2">
    <w:name w:val="List Bullet 2"/>
    <w:basedOn w:val="BodyText"/>
    <w:rsid w:val="00F17C9F"/>
    <w:pPr>
      <w:numPr>
        <w:numId w:val="4"/>
      </w:numPr>
      <w:spacing w:before="120"/>
    </w:pPr>
  </w:style>
  <w:style w:type="paragraph" w:styleId="ListBullet3">
    <w:name w:val="List Bullet 3"/>
    <w:basedOn w:val="BodyText"/>
    <w:rsid w:val="00F17C9F"/>
    <w:pPr>
      <w:numPr>
        <w:numId w:val="5"/>
      </w:numPr>
      <w:spacing w:before="120"/>
      <w:ind w:left="1020" w:hanging="340"/>
    </w:pPr>
  </w:style>
  <w:style w:type="paragraph" w:styleId="ListNumber">
    <w:name w:val="List Number"/>
    <w:basedOn w:val="BodyText"/>
    <w:rsid w:val="00F17C9F"/>
    <w:pPr>
      <w:numPr>
        <w:numId w:val="9"/>
      </w:numPr>
      <w:spacing w:before="120"/>
    </w:pPr>
  </w:style>
  <w:style w:type="paragraph" w:styleId="ListNumber2">
    <w:name w:val="List Number 2"/>
    <w:basedOn w:val="ListNumber"/>
    <w:rsid w:val="00F17C9F"/>
    <w:pPr>
      <w:numPr>
        <w:ilvl w:val="1"/>
      </w:numPr>
    </w:pPr>
  </w:style>
  <w:style w:type="paragraph" w:styleId="ListNumber3">
    <w:name w:val="List Number 3"/>
    <w:basedOn w:val="ListNumber2"/>
    <w:rsid w:val="00F17C9F"/>
    <w:pPr>
      <w:numPr>
        <w:ilvl w:val="2"/>
      </w:numPr>
    </w:pPr>
  </w:style>
  <w:style w:type="character" w:customStyle="1" w:styleId="NoteLabel">
    <w:name w:val="Note Label"/>
    <w:basedOn w:val="DefaultParagraphFont"/>
    <w:rsid w:val="00F17C9F"/>
    <w:rPr>
      <w:rFonts w:ascii="Arial" w:hAnsi="Arial"/>
      <w:b/>
      <w:position w:val="6"/>
      <w:sz w:val="18"/>
    </w:rPr>
  </w:style>
  <w:style w:type="paragraph" w:customStyle="1" w:styleId="PartDivider">
    <w:name w:val="Part Divider"/>
    <w:basedOn w:val="BodyText"/>
    <w:next w:val="BodyText"/>
    <w:semiHidden/>
    <w:rsid w:val="00F17C9F"/>
    <w:pPr>
      <w:spacing w:before="0" w:line="40" w:lineRule="exact"/>
      <w:jc w:val="right"/>
    </w:pPr>
    <w:rPr>
      <w:smallCaps/>
      <w:sz w:val="16"/>
    </w:rPr>
  </w:style>
  <w:style w:type="paragraph" w:customStyle="1" w:styleId="PartNumber">
    <w:name w:val="Part Number"/>
    <w:basedOn w:val="BodyText"/>
    <w:next w:val="BodyText"/>
    <w:semiHidden/>
    <w:rsid w:val="00F17C9F"/>
    <w:pPr>
      <w:spacing w:before="4000" w:line="320" w:lineRule="exact"/>
      <w:ind w:left="6634"/>
      <w:jc w:val="right"/>
    </w:pPr>
    <w:rPr>
      <w:smallCaps/>
      <w:spacing w:val="60"/>
      <w:sz w:val="32"/>
    </w:rPr>
  </w:style>
  <w:style w:type="paragraph" w:customStyle="1" w:styleId="PartTitle">
    <w:name w:val="Part Title"/>
    <w:basedOn w:val="BodyText"/>
    <w:semiHidden/>
    <w:rsid w:val="00F17C9F"/>
    <w:pPr>
      <w:spacing w:before="160" w:after="1360" w:line="520" w:lineRule="exact"/>
      <w:ind w:right="2381"/>
      <w:jc w:val="right"/>
    </w:pPr>
    <w:rPr>
      <w:smallCaps/>
      <w:sz w:val="52"/>
    </w:rPr>
  </w:style>
  <w:style w:type="paragraph" w:styleId="Quote">
    <w:name w:val="Quote"/>
    <w:basedOn w:val="BodyText"/>
    <w:next w:val="BodyText"/>
    <w:qFormat/>
    <w:rsid w:val="00F17C9F"/>
    <w:pPr>
      <w:spacing w:before="120" w:line="280" w:lineRule="exact"/>
      <w:ind w:left="340"/>
    </w:pPr>
    <w:rPr>
      <w:sz w:val="22"/>
    </w:rPr>
  </w:style>
  <w:style w:type="paragraph" w:customStyle="1" w:styleId="QuoteBullet">
    <w:name w:val="Quote Bullet"/>
    <w:basedOn w:val="Quote"/>
    <w:rsid w:val="00F17C9F"/>
    <w:pPr>
      <w:numPr>
        <w:numId w:val="6"/>
      </w:numPr>
    </w:pPr>
  </w:style>
  <w:style w:type="paragraph" w:customStyle="1" w:styleId="Rec">
    <w:name w:val="Rec"/>
    <w:basedOn w:val="BodyText"/>
    <w:qFormat/>
    <w:rsid w:val="00F17C9F"/>
    <w:pPr>
      <w:keepLines/>
      <w:spacing w:before="120" w:line="280" w:lineRule="atLeast"/>
    </w:pPr>
    <w:rPr>
      <w:rFonts w:ascii="Arial" w:hAnsi="Arial"/>
      <w:sz w:val="22"/>
    </w:rPr>
  </w:style>
  <w:style w:type="paragraph" w:customStyle="1" w:styleId="RecBullet">
    <w:name w:val="Rec Bullet"/>
    <w:basedOn w:val="Rec"/>
    <w:rsid w:val="00F17C9F"/>
    <w:pPr>
      <w:numPr>
        <w:numId w:val="17"/>
      </w:numPr>
      <w:spacing w:before="80"/>
    </w:pPr>
  </w:style>
  <w:style w:type="paragraph" w:customStyle="1" w:styleId="RecB">
    <w:name w:val="RecB"/>
    <w:basedOn w:val="Normal"/>
    <w:semiHidden/>
    <w:rsid w:val="00F17C9F"/>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17C9F"/>
    <w:pPr>
      <w:numPr>
        <w:numId w:val="11"/>
      </w:numPr>
      <w:spacing w:before="80"/>
    </w:pPr>
  </w:style>
  <w:style w:type="paragraph" w:customStyle="1" w:styleId="RecBNoTitle">
    <w:name w:val="RecB NoTitle"/>
    <w:basedOn w:val="RecB"/>
    <w:semiHidden/>
    <w:rsid w:val="00F17C9F"/>
    <w:pPr>
      <w:spacing w:before="240"/>
    </w:pPr>
  </w:style>
  <w:style w:type="paragraph" w:customStyle="1" w:styleId="Reference">
    <w:name w:val="Reference"/>
    <w:basedOn w:val="BodyText"/>
    <w:rsid w:val="00F17C9F"/>
    <w:pPr>
      <w:spacing w:before="120"/>
      <w:ind w:left="340" w:hanging="340"/>
    </w:pPr>
  </w:style>
  <w:style w:type="paragraph" w:customStyle="1" w:styleId="SequenceInfo">
    <w:name w:val="Sequence Info"/>
    <w:basedOn w:val="BodyText"/>
    <w:semiHidden/>
    <w:rsid w:val="00F17C9F"/>
    <w:rPr>
      <w:vanish/>
      <w:sz w:val="16"/>
    </w:rPr>
  </w:style>
  <w:style w:type="paragraph" w:customStyle="1" w:styleId="SideNote">
    <w:name w:val="Side Note"/>
    <w:basedOn w:val="BodyText"/>
    <w:next w:val="BodyText"/>
    <w:semiHidden/>
    <w:rsid w:val="00F17C9F"/>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F17C9F"/>
    <w:pPr>
      <w:framePr w:wrap="around"/>
      <w:numPr>
        <w:numId w:val="7"/>
      </w:numPr>
      <w:tabs>
        <w:tab w:val="left" w:pos="227"/>
      </w:tabs>
    </w:pPr>
  </w:style>
  <w:style w:type="paragraph" w:customStyle="1" w:styleId="SideNoteGraphic">
    <w:name w:val="Side Note Graphic"/>
    <w:basedOn w:val="SideNote"/>
    <w:next w:val="BodyText"/>
    <w:semiHidden/>
    <w:rsid w:val="00F17C9F"/>
    <w:pPr>
      <w:framePr w:wrap="around"/>
    </w:pPr>
  </w:style>
  <w:style w:type="paragraph" w:customStyle="1" w:styleId="TableBodyText">
    <w:name w:val="Table Body Text"/>
    <w:basedOn w:val="BodyText"/>
    <w:rsid w:val="00F17C9F"/>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F17C9F"/>
    <w:pPr>
      <w:numPr>
        <w:numId w:val="8"/>
      </w:numPr>
      <w:jc w:val="left"/>
    </w:pPr>
  </w:style>
  <w:style w:type="paragraph" w:customStyle="1" w:styleId="TableColumnHeading">
    <w:name w:val="Table Column Heading"/>
    <w:basedOn w:val="TableBodyText"/>
    <w:rsid w:val="00F17C9F"/>
    <w:pPr>
      <w:spacing w:before="80" w:after="80"/>
    </w:pPr>
    <w:rPr>
      <w:i/>
    </w:rPr>
  </w:style>
  <w:style w:type="paragraph" w:styleId="TOC2">
    <w:name w:val="toc 2"/>
    <w:basedOn w:val="TOC1"/>
    <w:rsid w:val="00F17C9F"/>
    <w:pPr>
      <w:ind w:left="1134" w:hanging="624"/>
    </w:pPr>
    <w:rPr>
      <w:b w:val="0"/>
    </w:rPr>
  </w:style>
  <w:style w:type="paragraph" w:styleId="TOC3">
    <w:name w:val="toc 3"/>
    <w:basedOn w:val="TOC2"/>
    <w:rsid w:val="00F17C9F"/>
    <w:pPr>
      <w:spacing w:before="60"/>
      <w:ind w:left="1190" w:hanging="680"/>
    </w:pPr>
  </w:style>
  <w:style w:type="paragraph" w:styleId="TableofFigures">
    <w:name w:val="table of figures"/>
    <w:basedOn w:val="TOC3"/>
    <w:next w:val="BodyText"/>
    <w:semiHidden/>
    <w:rsid w:val="00F17C9F"/>
    <w:pPr>
      <w:ind w:left="737" w:hanging="737"/>
    </w:pPr>
  </w:style>
  <w:style w:type="paragraph" w:customStyle="1" w:styleId="TableTitle">
    <w:name w:val="Table Title"/>
    <w:basedOn w:val="Caption"/>
    <w:next w:val="Subtitle"/>
    <w:qFormat/>
    <w:rsid w:val="00F17C9F"/>
    <w:pPr>
      <w:spacing w:before="120"/>
    </w:pPr>
  </w:style>
  <w:style w:type="paragraph" w:customStyle="1" w:styleId="TableUnitsRow">
    <w:name w:val="Table Units Row"/>
    <w:basedOn w:val="TableBodyText"/>
    <w:rsid w:val="00F17C9F"/>
    <w:pPr>
      <w:spacing w:before="40"/>
    </w:pPr>
  </w:style>
  <w:style w:type="paragraph" w:styleId="TOC1">
    <w:name w:val="toc 1"/>
    <w:basedOn w:val="Normal"/>
    <w:next w:val="TOC2"/>
    <w:link w:val="TOC1Char"/>
    <w:rsid w:val="00F17C9F"/>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F17C9F"/>
    <w:pPr>
      <w:ind w:left="1191" w:firstLine="0"/>
    </w:pPr>
  </w:style>
  <w:style w:type="paragraph" w:customStyle="1" w:styleId="RecBBullet2">
    <w:name w:val="RecB Bullet 2"/>
    <w:basedOn w:val="ListBullet2"/>
    <w:semiHidden/>
    <w:rsid w:val="00F17C9F"/>
    <w:pPr>
      <w:pBdr>
        <w:left w:val="single" w:sz="24" w:space="29" w:color="C0C0C0"/>
      </w:pBdr>
    </w:pPr>
    <w:rPr>
      <w:b/>
      <w:i/>
    </w:rPr>
  </w:style>
  <w:style w:type="paragraph" w:styleId="BalloonText">
    <w:name w:val="Balloon Text"/>
    <w:basedOn w:val="Normal"/>
    <w:link w:val="BalloonTextChar"/>
    <w:rsid w:val="00F17C9F"/>
    <w:rPr>
      <w:rFonts w:ascii="Tahoma" w:hAnsi="Tahoma" w:cs="Tahoma"/>
      <w:sz w:val="16"/>
      <w:szCs w:val="16"/>
    </w:rPr>
  </w:style>
  <w:style w:type="character" w:customStyle="1" w:styleId="BalloonTextChar">
    <w:name w:val="Balloon Text Char"/>
    <w:basedOn w:val="DefaultParagraphFont"/>
    <w:link w:val="BalloonText"/>
    <w:rsid w:val="00F17C9F"/>
    <w:rPr>
      <w:rFonts w:ascii="Tahoma" w:hAnsi="Tahoma" w:cs="Tahoma"/>
      <w:sz w:val="16"/>
      <w:szCs w:val="16"/>
    </w:rPr>
  </w:style>
  <w:style w:type="character" w:customStyle="1" w:styleId="SubtitleChar">
    <w:name w:val="Subtitle Char"/>
    <w:basedOn w:val="DefaultParagraphFont"/>
    <w:link w:val="Subtitle"/>
    <w:rsid w:val="00F17C9F"/>
    <w:rPr>
      <w:rFonts w:ascii="Arial" w:hAnsi="Arial"/>
      <w:szCs w:val="24"/>
    </w:rPr>
  </w:style>
  <w:style w:type="paragraph" w:customStyle="1" w:styleId="BoxListBullet3">
    <w:name w:val="Box List Bullet 3"/>
    <w:basedOn w:val="ListBullet3"/>
    <w:rsid w:val="00F17C9F"/>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F17C9F"/>
    <w:rPr>
      <w:i/>
      <w:iCs/>
    </w:rPr>
  </w:style>
  <w:style w:type="paragraph" w:customStyle="1" w:styleId="BoxQuoteBullet">
    <w:name w:val="Box Quote Bullet"/>
    <w:basedOn w:val="BoxQuote"/>
    <w:next w:val="Box"/>
    <w:rsid w:val="00F17C9F"/>
    <w:pPr>
      <w:numPr>
        <w:numId w:val="12"/>
      </w:numPr>
      <w:ind w:left="568" w:hanging="284"/>
    </w:pPr>
  </w:style>
  <w:style w:type="paragraph" w:customStyle="1" w:styleId="InformationRequestBullet">
    <w:name w:val="Information Request Bullet"/>
    <w:basedOn w:val="ListBullet"/>
    <w:next w:val="BodyText"/>
    <w:rsid w:val="00F17C9F"/>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F17C9F"/>
    <w:pPr>
      <w:keepNext w:val="0"/>
      <w:spacing w:before="60" w:after="60" w:line="80" w:lineRule="exact"/>
    </w:pPr>
    <w:rPr>
      <w:sz w:val="14"/>
    </w:rPr>
  </w:style>
  <w:style w:type="paragraph" w:customStyle="1" w:styleId="KeyPointsListBullet">
    <w:name w:val="Key Points List Bullet"/>
    <w:basedOn w:val="Normal"/>
    <w:qFormat/>
    <w:rsid w:val="00F17C9F"/>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F17C9F"/>
    <w:pPr>
      <w:numPr>
        <w:numId w:val="21"/>
      </w:numPr>
      <w:ind w:left="568" w:hanging="284"/>
    </w:pPr>
  </w:style>
  <w:style w:type="paragraph" w:customStyle="1" w:styleId="InformationRequestTitle">
    <w:name w:val="Information Request Title"/>
    <w:basedOn w:val="FindingTitle"/>
    <w:next w:val="InformationRequest"/>
    <w:rsid w:val="00F17C9F"/>
    <w:rPr>
      <w:i/>
    </w:rPr>
  </w:style>
  <w:style w:type="paragraph" w:customStyle="1" w:styleId="Space">
    <w:name w:val="Space"/>
    <w:basedOn w:val="Normal"/>
    <w:rsid w:val="00F17C9F"/>
    <w:pPr>
      <w:keepNext/>
      <w:spacing w:line="120" w:lineRule="exact"/>
      <w:jc w:val="both"/>
    </w:pPr>
    <w:rPr>
      <w:rFonts w:ascii="Arial" w:hAnsi="Arial"/>
      <w:sz w:val="20"/>
      <w:szCs w:val="20"/>
    </w:rPr>
  </w:style>
  <w:style w:type="paragraph" w:customStyle="1" w:styleId="Heading1nochapterno">
    <w:name w:val="Heading 1 (no chapter no.)"/>
    <w:basedOn w:val="Heading1"/>
    <w:rsid w:val="00F17C9F"/>
    <w:pPr>
      <w:spacing w:before="0"/>
      <w:ind w:left="0" w:firstLine="0"/>
    </w:pPr>
  </w:style>
  <w:style w:type="paragraph" w:customStyle="1" w:styleId="Heading2nosectionno">
    <w:name w:val="Heading 2 (no section no.)"/>
    <w:basedOn w:val="Heading2"/>
    <w:rsid w:val="00F17C9F"/>
    <w:pPr>
      <w:ind w:left="0" w:firstLine="0"/>
    </w:pPr>
  </w:style>
  <w:style w:type="character" w:customStyle="1" w:styleId="Heading5Char">
    <w:name w:val="Heading 5 Char"/>
    <w:basedOn w:val="DefaultParagraphFont"/>
    <w:link w:val="Heading5"/>
    <w:rsid w:val="00F17C9F"/>
    <w:rPr>
      <w:rFonts w:ascii="Arial" w:hAnsi="Arial"/>
      <w:i/>
      <w:sz w:val="22"/>
    </w:rPr>
  </w:style>
  <w:style w:type="paragraph" w:customStyle="1" w:styleId="Figurespace">
    <w:name w:val="Figure space"/>
    <w:basedOn w:val="Box"/>
    <w:rsid w:val="00F17C9F"/>
    <w:pPr>
      <w:spacing w:before="0" w:line="120" w:lineRule="exact"/>
    </w:pPr>
  </w:style>
  <w:style w:type="paragraph" w:customStyle="1" w:styleId="FooterDraftReport">
    <w:name w:val="FooterDraftReport"/>
    <w:basedOn w:val="Footer"/>
    <w:link w:val="FooterDraftReportChar"/>
    <w:rsid w:val="00F17C9F"/>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F17C9F"/>
    <w:rPr>
      <w:sz w:val="24"/>
    </w:rPr>
  </w:style>
  <w:style w:type="character" w:customStyle="1" w:styleId="FooterChar">
    <w:name w:val="Footer Char"/>
    <w:basedOn w:val="BodyTextChar"/>
    <w:link w:val="Footer"/>
    <w:semiHidden/>
    <w:rsid w:val="00F17C9F"/>
    <w:rPr>
      <w:rFonts w:ascii="Arial" w:hAnsi="Arial"/>
      <w:caps/>
      <w:spacing w:val="-4"/>
      <w:sz w:val="16"/>
    </w:rPr>
  </w:style>
  <w:style w:type="character" w:customStyle="1" w:styleId="FooterDraftReportChar">
    <w:name w:val="FooterDraftReport Char"/>
    <w:basedOn w:val="FooterChar"/>
    <w:link w:val="FooterDraftReport"/>
    <w:rsid w:val="00F17C9F"/>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F17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17C9F"/>
    <w:rPr>
      <w:rFonts w:ascii="Arial" w:hAnsi="Arial"/>
      <w:b/>
      <w:sz w:val="26"/>
      <w:szCs w:val="26"/>
      <w:lang w:eastAsia="en-US"/>
    </w:rPr>
  </w:style>
  <w:style w:type="character" w:styleId="Hyperlink">
    <w:name w:val="Hyperlink"/>
    <w:basedOn w:val="DefaultParagraphFont"/>
    <w:rsid w:val="00192E97"/>
    <w:rPr>
      <w:color w:val="78A22F" w:themeColor="hyperlink"/>
      <w:u w:val="single"/>
    </w:rPr>
  </w:style>
  <w:style w:type="paragraph" w:styleId="Bibliography">
    <w:name w:val="Bibliography"/>
    <w:basedOn w:val="Normal"/>
    <w:next w:val="Normal"/>
    <w:uiPriority w:val="37"/>
    <w:unhideWhenUsed/>
    <w:rsid w:val="00213643"/>
    <w:pPr>
      <w:spacing w:after="240"/>
      <w:ind w:left="720" w:hanging="720"/>
    </w:pPr>
  </w:style>
  <w:style w:type="character" w:styleId="EndnoteReference">
    <w:name w:val="endnote reference"/>
    <w:basedOn w:val="DefaultParagraphFont"/>
    <w:rsid w:val="005E2AC6"/>
    <w:rPr>
      <w:vertAlign w:val="superscript"/>
    </w:rPr>
  </w:style>
  <w:style w:type="paragraph" w:styleId="CommentSubject">
    <w:name w:val="annotation subject"/>
    <w:basedOn w:val="CommentText"/>
    <w:next w:val="CommentText"/>
    <w:link w:val="CommentSubjectChar"/>
    <w:rsid w:val="001B5D92"/>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1B5D92"/>
    <w:rPr>
      <w:szCs w:val="24"/>
    </w:rPr>
  </w:style>
  <w:style w:type="character" w:customStyle="1" w:styleId="CommentSubjectChar">
    <w:name w:val="Comment Subject Char"/>
    <w:basedOn w:val="CommentTextChar"/>
    <w:link w:val="CommentSubject"/>
    <w:rsid w:val="001B5D92"/>
    <w:rPr>
      <w:b/>
      <w:bCs/>
      <w:szCs w:val="24"/>
    </w:rPr>
  </w:style>
  <w:style w:type="paragraph" w:styleId="Revision">
    <w:name w:val="Revision"/>
    <w:hidden/>
    <w:uiPriority w:val="99"/>
    <w:semiHidden/>
    <w:rsid w:val="00CF4567"/>
    <w:rPr>
      <w:sz w:val="24"/>
      <w:szCs w:val="24"/>
    </w:rPr>
  </w:style>
  <w:style w:type="paragraph" w:styleId="NormalWeb">
    <w:name w:val="Normal (Web)"/>
    <w:basedOn w:val="Normal"/>
    <w:uiPriority w:val="99"/>
    <w:unhideWhenUsed/>
    <w:rsid w:val="00326B85"/>
    <w:rPr>
      <w:rFonts w:eastAsiaTheme="minorHAnsi"/>
    </w:rPr>
  </w:style>
  <w:style w:type="character" w:customStyle="1" w:styleId="Continuedintitle">
    <w:name w:val="Continued (in title)"/>
    <w:basedOn w:val="DefaultParagraphFont"/>
    <w:rsid w:val="00F17C9F"/>
    <w:rPr>
      <w:rFonts w:ascii="Arial" w:hAnsi="Arial"/>
      <w:b/>
      <w:sz w:val="18"/>
    </w:rPr>
  </w:style>
  <w:style w:type="character" w:styleId="FollowedHyperlink">
    <w:name w:val="FollowedHyperlink"/>
    <w:basedOn w:val="DefaultParagraphFont"/>
    <w:semiHidden/>
    <w:unhideWhenUsed/>
    <w:rsid w:val="00C726BA"/>
    <w:rPr>
      <w:color w:val="387DD2" w:themeColor="followedHyperlink"/>
      <w:u w:val="single"/>
    </w:rPr>
  </w:style>
  <w:style w:type="paragraph" w:styleId="ListParagraph">
    <w:name w:val="List Paragraph"/>
    <w:basedOn w:val="Normal"/>
    <w:uiPriority w:val="34"/>
    <w:qFormat/>
    <w:rsid w:val="008657B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578204">
      <w:bodyDiv w:val="1"/>
      <w:marLeft w:val="0"/>
      <w:marRight w:val="0"/>
      <w:marTop w:val="0"/>
      <w:marBottom w:val="0"/>
      <w:divBdr>
        <w:top w:val="none" w:sz="0" w:space="0" w:color="auto"/>
        <w:left w:val="none" w:sz="0" w:space="0" w:color="auto"/>
        <w:bottom w:val="none" w:sz="0" w:space="0" w:color="auto"/>
        <w:right w:val="none" w:sz="0" w:space="0" w:color="auto"/>
      </w:divBdr>
    </w:div>
    <w:div w:id="1411348054">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0E03A-2385-4A0F-98AC-D7A0658C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134</TotalTime>
  <Pages>9</Pages>
  <Words>2766</Words>
  <Characters>15520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Overcoming Indigenous Disadvantage Report 2020</vt:lpstr>
    </vt:vector>
  </TitlesOfParts>
  <Company>Productivity Commission</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Overcoming Indigenous Disadvantage Report 2020</dc:title>
  <dc:subject/>
  <dc:creator>Steering Committee for the Review of Government Service Provision</dc:creator>
  <cp:keywords/>
  <dc:description/>
  <cp:lastModifiedBy>Frech, Tanya</cp:lastModifiedBy>
  <cp:revision>34</cp:revision>
  <cp:lastPrinted>2020-09-15T05:03:00Z</cp:lastPrinted>
  <dcterms:created xsi:type="dcterms:W3CDTF">2020-10-27T01:08:00Z</dcterms:created>
  <dcterms:modified xsi:type="dcterms:W3CDTF">2020-11-18T04:14:00Z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id="GTNkzjS0"/&gt;&lt;style id="http://www.zotero.org/styles/Productivity-Commission" hasBibliography="1" bibliographyStyleHasBeenSet="1"/&gt;&lt;prefs&gt;&lt;pref name="fieldType" value="Field"/&gt;&lt;pref name="storeRefe</vt:lpwstr>
  </property>
  <property fmtid="{D5CDD505-2E9C-101B-9397-08002B2CF9AE}" pid="3" name="ZOTERO_PREF_2">
    <vt:lpwstr>rences" value="true"/&gt;&lt;pref name="automaticJournalAbbreviations" value="true"/&gt;&lt;/prefs&gt;&lt;/data&gt;</vt:lpwstr>
  </property>
</Properties>
</file>