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A414B" w14:textId="77777777" w:rsidR="00817448" w:rsidRPr="00E95ADB" w:rsidRDefault="0005672A" w:rsidP="0005672A">
      <w:pPr>
        <w:pStyle w:val="Heading1"/>
      </w:pPr>
      <w:bookmarkStart w:id="0" w:name="ChapterNumber"/>
      <w:r>
        <w:rPr>
          <w:color w:val="000000" w:themeColor="text1"/>
        </w:rPr>
        <w:t>2</w:t>
      </w:r>
      <w:bookmarkEnd w:id="0"/>
      <w:r>
        <w:rPr>
          <w:color w:val="000000" w:themeColor="text1"/>
        </w:rPr>
        <w:tab/>
      </w:r>
      <w:bookmarkStart w:id="1" w:name="ChapterTitle"/>
      <w:r>
        <w:rPr>
          <w:color w:val="000000" w:themeColor="text1"/>
        </w:rPr>
        <w:t>The framework</w:t>
      </w:r>
      <w:bookmarkEnd w:id="1"/>
    </w:p>
    <w:p w14:paraId="45F79391" w14:textId="44174E4E" w:rsidR="001E7E0C" w:rsidRPr="00952BED" w:rsidRDefault="002D597A" w:rsidP="008931BC">
      <w:pPr>
        <w:pStyle w:val="BodyText"/>
      </w:pPr>
      <w:r w:rsidRPr="002D0922">
        <w:rPr>
          <w:color w:val="000000" w:themeColor="text1"/>
        </w:rPr>
        <w:t>This</w:t>
      </w:r>
      <w:r w:rsidR="0069161B" w:rsidRPr="002D0922">
        <w:rPr>
          <w:color w:val="000000" w:themeColor="text1"/>
        </w:rPr>
        <w:t xml:space="preserve"> chapter </w:t>
      </w:r>
      <w:r w:rsidRPr="002D0922">
        <w:rPr>
          <w:color w:val="000000" w:themeColor="text1"/>
        </w:rPr>
        <w:t xml:space="preserve">explains the </w:t>
      </w:r>
      <w:r w:rsidR="002B72C1" w:rsidRPr="0026135E">
        <w:rPr>
          <w:color w:val="000000" w:themeColor="text1"/>
        </w:rPr>
        <w:t>Overcoming Indigenous Disadvantage: Key Indicators</w:t>
      </w:r>
      <w:r w:rsidR="002B72C1" w:rsidRPr="002D0922">
        <w:rPr>
          <w:color w:val="000000" w:themeColor="text1"/>
        </w:rPr>
        <w:t xml:space="preserve"> report </w:t>
      </w:r>
      <w:r w:rsidR="0069161B" w:rsidRPr="002D0922">
        <w:rPr>
          <w:color w:val="000000" w:themeColor="text1"/>
        </w:rPr>
        <w:t>framework</w:t>
      </w:r>
      <w:r w:rsidR="00FF3A6F" w:rsidRPr="002D0922">
        <w:rPr>
          <w:color w:val="000000" w:themeColor="text1"/>
        </w:rPr>
        <w:t xml:space="preserve">. </w:t>
      </w:r>
      <w:r w:rsidR="0069161B" w:rsidRPr="00952BED">
        <w:t>Section</w:t>
      </w:r>
      <w:r w:rsidR="007541BA">
        <w:t> </w:t>
      </w:r>
      <w:r w:rsidR="0005672A">
        <w:t xml:space="preserve">2.1 </w:t>
      </w:r>
      <w:r w:rsidR="00A45D01" w:rsidRPr="00952BED">
        <w:t xml:space="preserve">describes how the key elements of the framework </w:t>
      </w:r>
      <w:r w:rsidR="00AE21E1" w:rsidRPr="00952BED">
        <w:t>fit together.</w:t>
      </w:r>
      <w:r w:rsidR="00C6576E" w:rsidRPr="00952BED">
        <w:t xml:space="preserve"> </w:t>
      </w:r>
      <w:r w:rsidR="00115E67" w:rsidRPr="00952BED">
        <w:t>Section </w:t>
      </w:r>
      <w:r w:rsidR="00115E67">
        <w:t xml:space="preserve">2.2 </w:t>
      </w:r>
      <w:r w:rsidR="00F33BE6">
        <w:t>discusses how the o</w:t>
      </w:r>
      <w:r w:rsidR="00F33BE6" w:rsidRPr="00F33BE6">
        <w:t>utcomes and strategic actions acros</w:t>
      </w:r>
      <w:r w:rsidR="00F760C1">
        <w:t>s the framework interrelate</w:t>
      </w:r>
      <w:r w:rsidR="00F33BE6" w:rsidRPr="00F33BE6">
        <w:t xml:space="preserve"> and interact</w:t>
      </w:r>
      <w:r w:rsidR="002848B5" w:rsidRPr="00952BED">
        <w:t xml:space="preserve">. </w:t>
      </w:r>
    </w:p>
    <w:p w14:paraId="45E4F9CB" w14:textId="245FB49D" w:rsidR="002613A4" w:rsidRPr="00621A13" w:rsidRDefault="0005672A" w:rsidP="009D2C4C">
      <w:pPr>
        <w:pStyle w:val="Heading2"/>
      </w:pPr>
      <w:bookmarkStart w:id="2" w:name="OLE_LINK4"/>
      <w:r>
        <w:t>2.</w:t>
      </w:r>
      <w:r w:rsidR="006B50E5">
        <w:rPr>
          <w:noProof/>
        </w:rPr>
        <w:t>1</w:t>
      </w:r>
      <w:bookmarkEnd w:id="2"/>
      <w:r w:rsidR="002613A4" w:rsidRPr="00621A13">
        <w:tab/>
      </w:r>
      <w:r w:rsidR="006147E8" w:rsidRPr="006147E8">
        <w:t xml:space="preserve">The </w:t>
      </w:r>
      <w:r w:rsidR="00856C0E">
        <w:t xml:space="preserve">focus of the </w:t>
      </w:r>
      <w:r w:rsidR="006147E8" w:rsidRPr="006147E8">
        <w:t xml:space="preserve">framework </w:t>
      </w:r>
      <w:r w:rsidR="00856C0E">
        <w:t>is on outcomes</w:t>
      </w:r>
    </w:p>
    <w:p w14:paraId="7C4FAB99" w14:textId="73143EC3" w:rsidR="00220C98" w:rsidRPr="00621A13" w:rsidRDefault="00541C2B" w:rsidP="00CB4742">
      <w:pPr>
        <w:pStyle w:val="BodyText"/>
        <w:rPr>
          <w:color w:val="000000" w:themeColor="text1"/>
        </w:rPr>
      </w:pPr>
      <w:r>
        <w:rPr>
          <w:color w:val="000000" w:themeColor="text1"/>
        </w:rPr>
        <w:t xml:space="preserve">The framework </w:t>
      </w:r>
      <w:r w:rsidR="00AC569C">
        <w:rPr>
          <w:color w:val="000000" w:themeColor="text1"/>
        </w:rPr>
        <w:t>in this</w:t>
      </w:r>
      <w:r>
        <w:rPr>
          <w:color w:val="000000" w:themeColor="text1"/>
        </w:rPr>
        <w:t xml:space="preserve"> </w:t>
      </w:r>
      <w:r w:rsidR="0026135E">
        <w:rPr>
          <w:color w:val="000000" w:themeColor="text1"/>
        </w:rPr>
        <w:t>R</w:t>
      </w:r>
      <w:r w:rsidRPr="00621A13">
        <w:rPr>
          <w:color w:val="000000" w:themeColor="text1"/>
        </w:rPr>
        <w:t>eport</w:t>
      </w:r>
      <w:r w:rsidR="004A4FBD">
        <w:rPr>
          <w:color w:val="000000" w:themeColor="text1"/>
        </w:rPr>
        <w:t xml:space="preserve"> focuses on</w:t>
      </w:r>
      <w:r>
        <w:rPr>
          <w:color w:val="000000" w:themeColor="text1"/>
        </w:rPr>
        <w:t xml:space="preserve"> </w:t>
      </w:r>
      <w:r w:rsidRPr="00621A13">
        <w:rPr>
          <w:color w:val="000000" w:themeColor="text1"/>
        </w:rPr>
        <w:t xml:space="preserve">outcomes — </w:t>
      </w:r>
      <w:r>
        <w:rPr>
          <w:color w:val="000000" w:themeColor="text1"/>
        </w:rPr>
        <w:t xml:space="preserve">that is, </w:t>
      </w:r>
      <w:r w:rsidRPr="00621A13">
        <w:rPr>
          <w:color w:val="000000" w:themeColor="text1"/>
        </w:rPr>
        <w:t xml:space="preserve">the actual lived experiences of Aboriginal and Torres Strait Islander </w:t>
      </w:r>
      <w:r>
        <w:rPr>
          <w:color w:val="000000" w:themeColor="text1"/>
        </w:rPr>
        <w:t xml:space="preserve">people. </w:t>
      </w:r>
      <w:r w:rsidR="0042528A" w:rsidRPr="00621A13">
        <w:rPr>
          <w:color w:val="000000" w:themeColor="text1"/>
        </w:rPr>
        <w:t xml:space="preserve">While there are </w:t>
      </w:r>
      <w:r w:rsidR="004D615F" w:rsidRPr="00621A13">
        <w:rPr>
          <w:color w:val="000000" w:themeColor="text1"/>
        </w:rPr>
        <w:t xml:space="preserve">many </w:t>
      </w:r>
      <w:r w:rsidR="0042528A" w:rsidRPr="00621A13">
        <w:rPr>
          <w:color w:val="000000" w:themeColor="text1"/>
        </w:rPr>
        <w:t xml:space="preserve">reports on </w:t>
      </w:r>
      <w:r w:rsidR="002848B5" w:rsidRPr="00621A13">
        <w:rPr>
          <w:color w:val="000000" w:themeColor="text1"/>
        </w:rPr>
        <w:t>Aboriginal and Torres Strait Islander</w:t>
      </w:r>
      <w:r w:rsidR="0065283D">
        <w:rPr>
          <w:color w:val="000000" w:themeColor="text1"/>
        </w:rPr>
        <w:t xml:space="preserve"> </w:t>
      </w:r>
      <w:r w:rsidR="004F0A67">
        <w:rPr>
          <w:color w:val="000000" w:themeColor="text1"/>
        </w:rPr>
        <w:t>people</w:t>
      </w:r>
      <w:r w:rsidR="0042528A" w:rsidRPr="00621A13">
        <w:rPr>
          <w:color w:val="000000" w:themeColor="text1"/>
        </w:rPr>
        <w:t>, r</w:t>
      </w:r>
      <w:r w:rsidR="0069161B" w:rsidRPr="00621A13">
        <w:rPr>
          <w:color w:val="000000" w:themeColor="text1"/>
        </w:rPr>
        <w:t xml:space="preserve">eports about the performance of governments </w:t>
      </w:r>
      <w:r w:rsidR="0042528A" w:rsidRPr="00621A13">
        <w:rPr>
          <w:color w:val="000000" w:themeColor="text1"/>
        </w:rPr>
        <w:t>often</w:t>
      </w:r>
      <w:r w:rsidR="0069161B" w:rsidRPr="00621A13">
        <w:rPr>
          <w:color w:val="000000" w:themeColor="text1"/>
        </w:rPr>
        <w:t xml:space="preserve"> focus on </w:t>
      </w:r>
      <w:r w:rsidR="00091A6C" w:rsidRPr="00621A13">
        <w:rPr>
          <w:color w:val="000000" w:themeColor="text1"/>
        </w:rPr>
        <w:t xml:space="preserve">specific </w:t>
      </w:r>
      <w:r w:rsidR="006B4D1F" w:rsidRPr="00621A13">
        <w:rPr>
          <w:color w:val="000000" w:themeColor="text1"/>
        </w:rPr>
        <w:t>programs or policies</w:t>
      </w:r>
      <w:r w:rsidR="004A4FBD">
        <w:rPr>
          <w:color w:val="000000" w:themeColor="text1"/>
        </w:rPr>
        <w:t>. They may</w:t>
      </w:r>
      <w:r w:rsidR="00283D19" w:rsidRPr="00621A13">
        <w:rPr>
          <w:color w:val="000000" w:themeColor="text1"/>
        </w:rPr>
        <w:t xml:space="preserve"> </w:t>
      </w:r>
      <w:r w:rsidR="00091A6C" w:rsidRPr="00621A13">
        <w:rPr>
          <w:color w:val="000000" w:themeColor="text1"/>
        </w:rPr>
        <w:t>take a ‘silo’ approach</w:t>
      </w:r>
      <w:r w:rsidR="0069161B" w:rsidRPr="00621A13">
        <w:rPr>
          <w:color w:val="000000" w:themeColor="text1"/>
        </w:rPr>
        <w:t xml:space="preserve"> </w:t>
      </w:r>
      <w:r w:rsidR="004A4FBD" w:rsidRPr="00621A13">
        <w:rPr>
          <w:color w:val="000000" w:themeColor="text1"/>
        </w:rPr>
        <w:t>—</w:t>
      </w:r>
      <w:r w:rsidR="004A4FBD">
        <w:rPr>
          <w:color w:val="000000" w:themeColor="text1"/>
        </w:rPr>
        <w:t xml:space="preserve"> with </w:t>
      </w:r>
      <w:r w:rsidR="0069161B" w:rsidRPr="00621A13">
        <w:rPr>
          <w:color w:val="000000" w:themeColor="text1"/>
        </w:rPr>
        <w:t xml:space="preserve">education reported by </w:t>
      </w:r>
      <w:r w:rsidR="004F0A67" w:rsidRPr="00621A13">
        <w:rPr>
          <w:color w:val="000000" w:themeColor="text1"/>
        </w:rPr>
        <w:t xml:space="preserve">education </w:t>
      </w:r>
      <w:r w:rsidR="0069161B" w:rsidRPr="00621A13">
        <w:rPr>
          <w:color w:val="000000" w:themeColor="text1"/>
        </w:rPr>
        <w:t>departments,</w:t>
      </w:r>
      <w:r w:rsidR="004A4FBD">
        <w:rPr>
          <w:color w:val="000000" w:themeColor="text1"/>
        </w:rPr>
        <w:t xml:space="preserve"> and</w:t>
      </w:r>
      <w:r w:rsidR="0069161B" w:rsidRPr="00621A13">
        <w:rPr>
          <w:color w:val="000000" w:themeColor="text1"/>
        </w:rPr>
        <w:t xml:space="preserve"> health by health departments — and </w:t>
      </w:r>
      <w:r>
        <w:rPr>
          <w:color w:val="000000" w:themeColor="text1"/>
        </w:rPr>
        <w:t xml:space="preserve">they </w:t>
      </w:r>
      <w:r w:rsidR="00091A6C" w:rsidRPr="00621A13">
        <w:rPr>
          <w:color w:val="000000" w:themeColor="text1"/>
        </w:rPr>
        <w:t>tend to focus on service inputs (how budgets are spent) and outputs (the actual services delivered)</w:t>
      </w:r>
      <w:r w:rsidR="004D615F" w:rsidRPr="00621A13">
        <w:rPr>
          <w:color w:val="000000" w:themeColor="text1"/>
        </w:rPr>
        <w:t>, rather than on the outcomes achieved</w:t>
      </w:r>
      <w:r w:rsidR="00091A6C" w:rsidRPr="00621A13">
        <w:rPr>
          <w:color w:val="000000" w:themeColor="text1"/>
        </w:rPr>
        <w:t>.</w:t>
      </w:r>
      <w:r w:rsidR="00F37445" w:rsidRPr="00621A13">
        <w:rPr>
          <w:color w:val="000000" w:themeColor="text1"/>
        </w:rPr>
        <w:t xml:space="preserve"> </w:t>
      </w:r>
      <w:r w:rsidR="0069161B" w:rsidRPr="00621A13">
        <w:rPr>
          <w:color w:val="000000" w:themeColor="text1"/>
        </w:rPr>
        <w:t xml:space="preserve">While information on </w:t>
      </w:r>
      <w:r w:rsidR="00283D19" w:rsidRPr="00621A13">
        <w:rPr>
          <w:color w:val="000000" w:themeColor="text1"/>
        </w:rPr>
        <w:t xml:space="preserve">inputs and </w:t>
      </w:r>
      <w:r w:rsidR="0069161B" w:rsidRPr="00621A13">
        <w:rPr>
          <w:color w:val="000000" w:themeColor="text1"/>
        </w:rPr>
        <w:t>outputs is valuable,</w:t>
      </w:r>
      <w:r w:rsidR="00F37445" w:rsidRPr="00621A13">
        <w:rPr>
          <w:color w:val="000000" w:themeColor="text1"/>
        </w:rPr>
        <w:t xml:space="preserve"> particularly when evaluating the efficiency of a specific program or service,</w:t>
      </w:r>
      <w:r>
        <w:rPr>
          <w:color w:val="000000" w:themeColor="text1"/>
        </w:rPr>
        <w:t xml:space="preserve"> i</w:t>
      </w:r>
      <w:r w:rsidR="00F37445" w:rsidRPr="00621A13">
        <w:rPr>
          <w:color w:val="000000" w:themeColor="text1"/>
        </w:rPr>
        <w:t xml:space="preserve">nformation on outcomes is crucial to measure whether progress is being made in </w:t>
      </w:r>
      <w:r w:rsidR="00482FD8">
        <w:rPr>
          <w:color w:val="000000" w:themeColor="text1"/>
        </w:rPr>
        <w:t xml:space="preserve">improving </w:t>
      </w:r>
      <w:r w:rsidR="0011477C">
        <w:rPr>
          <w:color w:val="000000" w:themeColor="text1"/>
        </w:rPr>
        <w:t xml:space="preserve">the wellbeing of Aboriginal and Torres Strait Islander people and </w:t>
      </w:r>
      <w:r w:rsidR="004A4FBD">
        <w:rPr>
          <w:color w:val="000000" w:themeColor="text1"/>
        </w:rPr>
        <w:t xml:space="preserve">whether </w:t>
      </w:r>
      <w:r w:rsidR="00006236">
        <w:rPr>
          <w:color w:val="000000" w:themeColor="text1"/>
        </w:rPr>
        <w:t>the C</w:t>
      </w:r>
      <w:r w:rsidR="0011477C">
        <w:rPr>
          <w:color w:val="000000" w:themeColor="text1"/>
        </w:rPr>
        <w:t xml:space="preserve">losing the </w:t>
      </w:r>
      <w:r w:rsidR="00006236">
        <w:rPr>
          <w:color w:val="000000" w:themeColor="text1"/>
        </w:rPr>
        <w:t>G</w:t>
      </w:r>
      <w:r w:rsidR="0011477C">
        <w:rPr>
          <w:color w:val="000000" w:themeColor="text1"/>
        </w:rPr>
        <w:t>ap</w:t>
      </w:r>
      <w:r w:rsidR="00006236">
        <w:rPr>
          <w:color w:val="000000" w:themeColor="text1"/>
        </w:rPr>
        <w:t xml:space="preserve"> policy objectives are being achieved</w:t>
      </w:r>
      <w:r w:rsidR="00F37445" w:rsidRPr="00621A13">
        <w:rPr>
          <w:color w:val="000000" w:themeColor="text1"/>
        </w:rPr>
        <w:t xml:space="preserve">. </w:t>
      </w:r>
    </w:p>
    <w:p w14:paraId="1776F808" w14:textId="77777777" w:rsidR="00856C0E" w:rsidRPr="00CA2600" w:rsidRDefault="008C063F" w:rsidP="007863E2">
      <w:pPr>
        <w:pStyle w:val="Heading3"/>
      </w:pPr>
      <w:r w:rsidRPr="00CA2600">
        <w:t>The framework has evolved over time with an increasing emphasis on the importance of governance, leadership and culture in improving wellbeing</w:t>
      </w:r>
    </w:p>
    <w:p w14:paraId="4A1610AA" w14:textId="481F0D70" w:rsidR="00006236" w:rsidRPr="00CA2600" w:rsidRDefault="0011477C" w:rsidP="00E019EA">
      <w:pPr>
        <w:pStyle w:val="BodyText"/>
      </w:pPr>
      <w:r w:rsidRPr="00CA2600">
        <w:t xml:space="preserve">At the time </w:t>
      </w:r>
      <w:r w:rsidR="004A4FBD">
        <w:t xml:space="preserve">when </w:t>
      </w:r>
      <w:r w:rsidRPr="00CA2600">
        <w:t>the framework was developed</w:t>
      </w:r>
      <w:r w:rsidR="001413AD" w:rsidRPr="00CA2600">
        <w:t xml:space="preserve">, and </w:t>
      </w:r>
      <w:r w:rsidR="0026135E">
        <w:t>in early editions of this R</w:t>
      </w:r>
      <w:r w:rsidR="004A4FBD">
        <w:t>eport</w:t>
      </w:r>
      <w:r w:rsidR="001413AD" w:rsidRPr="00CA2600">
        <w:t>,</w:t>
      </w:r>
      <w:r w:rsidRPr="00CA2600">
        <w:t xml:space="preserve"> </w:t>
      </w:r>
      <w:r w:rsidR="00006236" w:rsidRPr="00CA2600">
        <w:t>the focus</w:t>
      </w:r>
      <w:r w:rsidR="001413AD" w:rsidRPr="00CA2600">
        <w:t xml:space="preserve"> of the framework</w:t>
      </w:r>
      <w:r w:rsidR="00006236" w:rsidRPr="00CA2600">
        <w:t xml:space="preserve"> was on understanding the disadvantage experienced by Aboriginal and Torres Strait Islander people</w:t>
      </w:r>
      <w:r w:rsidR="00DD57F1" w:rsidRPr="00CA2600">
        <w:t xml:space="preserve">, </w:t>
      </w:r>
      <w:r w:rsidR="003937BF" w:rsidRPr="00CA2600">
        <w:t>with</w:t>
      </w:r>
      <w:r w:rsidR="00DD57F1" w:rsidRPr="00CA2600">
        <w:t xml:space="preserve"> </w:t>
      </w:r>
      <w:r w:rsidR="003937BF" w:rsidRPr="00CA2600">
        <w:t>an</w:t>
      </w:r>
      <w:r w:rsidR="00DD57F1" w:rsidRPr="00CA2600">
        <w:t xml:space="preserve"> </w:t>
      </w:r>
      <w:r w:rsidR="003937BF" w:rsidRPr="00CA2600">
        <w:t>emphasis</w:t>
      </w:r>
      <w:r w:rsidR="00DD57F1" w:rsidRPr="00CA2600">
        <w:t xml:space="preserve"> on the ‘gap’</w:t>
      </w:r>
      <w:r w:rsidR="003937BF" w:rsidRPr="00CA2600">
        <w:t xml:space="preserve"> </w:t>
      </w:r>
      <w:r w:rsidR="004A4FBD">
        <w:t>with</w:t>
      </w:r>
      <w:r w:rsidR="003937BF" w:rsidRPr="00CA2600">
        <w:t xml:space="preserve"> non</w:t>
      </w:r>
      <w:r w:rsidR="007767B3">
        <w:noBreakHyphen/>
      </w:r>
      <w:r w:rsidR="003937BF" w:rsidRPr="00CA2600">
        <w:t>Indigenous people</w:t>
      </w:r>
      <w:r w:rsidR="00DD57F1" w:rsidRPr="00CA2600">
        <w:t xml:space="preserve">. </w:t>
      </w:r>
      <w:r w:rsidR="00C62D6D">
        <w:t>T</w:t>
      </w:r>
      <w:r w:rsidR="00165FA3" w:rsidRPr="00CA2600">
        <w:t xml:space="preserve">he framework made use of the best available evidence about the </w:t>
      </w:r>
      <w:r w:rsidR="00C62D6D">
        <w:t>underlying reasons</w:t>
      </w:r>
      <w:r w:rsidR="00C62D6D">
        <w:rPr>
          <w:rStyle w:val="FootnoteReference"/>
        </w:rPr>
        <w:footnoteReference w:id="1"/>
      </w:r>
      <w:r w:rsidR="00C62D6D">
        <w:t xml:space="preserve"> </w:t>
      </w:r>
      <w:r w:rsidR="00165FA3" w:rsidRPr="00CA2600">
        <w:t xml:space="preserve">disadvantage </w:t>
      </w:r>
      <w:r w:rsidR="00C62D6D">
        <w:t xml:space="preserve">is </w:t>
      </w:r>
      <w:r w:rsidR="00165FA3" w:rsidRPr="00CA2600">
        <w:t xml:space="preserve">experienced so that policy attention </w:t>
      </w:r>
      <w:r w:rsidR="00DD57F1" w:rsidRPr="00CA2600">
        <w:t>could be</w:t>
      </w:r>
      <w:r w:rsidR="00165FA3" w:rsidRPr="00CA2600">
        <w:t xml:space="preserve"> directed to prevention, as well as responding to the existing disadvantage experienced. </w:t>
      </w:r>
      <w:r w:rsidR="00006236" w:rsidRPr="00CA2600">
        <w:t>Th</w:t>
      </w:r>
      <w:r w:rsidR="003937BF" w:rsidRPr="00CA2600">
        <w:t>is</w:t>
      </w:r>
      <w:r w:rsidR="00006236" w:rsidRPr="00CA2600">
        <w:t xml:space="preserve"> </w:t>
      </w:r>
      <w:r w:rsidR="00165FA3" w:rsidRPr="00CA2600">
        <w:t xml:space="preserve">focus on disadvantage was reflected in the </w:t>
      </w:r>
      <w:r w:rsidR="00006236" w:rsidRPr="00CA2600">
        <w:t>terms of reference</w:t>
      </w:r>
      <w:r w:rsidR="00831FEA" w:rsidRPr="00CA2600">
        <w:t xml:space="preserve"> </w:t>
      </w:r>
      <w:r w:rsidR="004A4FBD">
        <w:t xml:space="preserve">(as </w:t>
      </w:r>
      <w:r w:rsidR="00831FEA" w:rsidRPr="00CA2600">
        <w:t>updated in 2009</w:t>
      </w:r>
      <w:r w:rsidR="004A4FBD">
        <w:t>),</w:t>
      </w:r>
      <w:r w:rsidR="00006236" w:rsidRPr="00CA2600">
        <w:t xml:space="preserve"> </w:t>
      </w:r>
      <w:r w:rsidR="004A4FBD">
        <w:t>which noted</w:t>
      </w:r>
      <w:r w:rsidR="004A4FBD" w:rsidRPr="00CA2600">
        <w:t xml:space="preserve"> </w:t>
      </w:r>
      <w:r w:rsidR="00006236" w:rsidRPr="00CA2600">
        <w:t>the report’s significance as:</w:t>
      </w:r>
    </w:p>
    <w:p w14:paraId="4B8A27B8" w14:textId="77777777" w:rsidR="00006236" w:rsidRPr="00CA2600" w:rsidRDefault="00006236" w:rsidP="00006236">
      <w:pPr>
        <w:pStyle w:val="Quote"/>
      </w:pPr>
      <w:r w:rsidRPr="00CA2600">
        <w:lastRenderedPageBreak/>
        <w:t xml:space="preserve">… a source of high quality information on the progress being made in addressing Indigenous disadvantage across a range of key indicators. The OID report has been used by governments and the broader community to understand the nature of Indigenous disadvantage and, as a result, has helped inform the development of policies to address Indigenous disadvantage. </w:t>
      </w:r>
      <w:r w:rsidR="00363B61" w:rsidRPr="00CA2600">
        <w:t>(p. iv)</w:t>
      </w:r>
    </w:p>
    <w:p w14:paraId="0E228F25" w14:textId="6A53663D" w:rsidR="00DD57F1" w:rsidRPr="00CA2600" w:rsidRDefault="00856C0E" w:rsidP="00DD57F1">
      <w:pPr>
        <w:pStyle w:val="BodyText"/>
      </w:pPr>
      <w:r w:rsidRPr="00CA2600">
        <w:t>A</w:t>
      </w:r>
      <w:r w:rsidR="00831FEA" w:rsidRPr="00CA2600">
        <w:t xml:space="preserve">s the framework </w:t>
      </w:r>
      <w:r w:rsidR="004A4FBD">
        <w:t xml:space="preserve">has </w:t>
      </w:r>
      <w:r w:rsidR="00831FEA" w:rsidRPr="00CA2600">
        <w:t xml:space="preserve">evolved </w:t>
      </w:r>
      <w:r w:rsidR="004F6BF8" w:rsidRPr="00CA2600">
        <w:t xml:space="preserve">over </w:t>
      </w:r>
      <w:r w:rsidRPr="00CA2600">
        <w:t>time</w:t>
      </w:r>
      <w:r w:rsidR="004F6BF8" w:rsidRPr="00CA2600">
        <w:t xml:space="preserve">, </w:t>
      </w:r>
      <w:r w:rsidR="00831FEA" w:rsidRPr="00CA2600">
        <w:t xml:space="preserve">greater prominence </w:t>
      </w:r>
      <w:r w:rsidRPr="00CA2600">
        <w:t>has been</w:t>
      </w:r>
      <w:r w:rsidR="00831FEA" w:rsidRPr="00CA2600">
        <w:t xml:space="preserve"> given to governance</w:t>
      </w:r>
      <w:r w:rsidRPr="00CA2600">
        <w:t xml:space="preserve">, </w:t>
      </w:r>
      <w:r w:rsidR="00831FEA" w:rsidRPr="00CA2600">
        <w:t>leadership</w:t>
      </w:r>
      <w:r w:rsidRPr="00CA2600">
        <w:t xml:space="preserve"> and culture</w:t>
      </w:r>
      <w:r w:rsidR="00831FEA" w:rsidRPr="00CA2600">
        <w:t xml:space="preserve"> as key </w:t>
      </w:r>
      <w:r w:rsidR="00363B61" w:rsidRPr="00CA2600">
        <w:t xml:space="preserve">building blocks for improving </w:t>
      </w:r>
      <w:r w:rsidRPr="00CA2600">
        <w:t xml:space="preserve">the wellbeing of </w:t>
      </w:r>
      <w:r w:rsidR="00363B61" w:rsidRPr="00CA2600">
        <w:t xml:space="preserve">Aboriginal and Torres Strait Islander people. </w:t>
      </w:r>
      <w:r w:rsidR="004F6BF8" w:rsidRPr="00CA2600">
        <w:t xml:space="preserve">From the </w:t>
      </w:r>
      <w:r w:rsidR="00DD57F1" w:rsidRPr="00CA2600">
        <w:t>2014 edition, the framework was further enhanced by:</w:t>
      </w:r>
    </w:p>
    <w:p w14:paraId="5EDA34FD" w14:textId="3C4A3AF6" w:rsidR="00DD57F1" w:rsidRPr="00CA2600" w:rsidRDefault="00DD57F1" w:rsidP="007863E2">
      <w:pPr>
        <w:pStyle w:val="ListBullet"/>
      </w:pPr>
      <w:r w:rsidRPr="00CA2600">
        <w:t xml:space="preserve">renaming the ‘Governance and Leadership’ strategic area ‘Governance, leadership and culture’, in recognition that the most significant positive </w:t>
      </w:r>
      <w:r w:rsidR="00C168FD" w:rsidRPr="00CA2600">
        <w:t>influences on</w:t>
      </w:r>
      <w:r w:rsidRPr="00CA2600">
        <w:t xml:space="preserve"> </w:t>
      </w:r>
      <w:r w:rsidR="00CC0AF4" w:rsidRPr="00CA2600">
        <w:t xml:space="preserve">the wellbeing of </w:t>
      </w:r>
      <w:r w:rsidRPr="00CA2600">
        <w:t xml:space="preserve">Aboriginal and Torres Strait Islander people </w:t>
      </w:r>
      <w:r w:rsidR="004A4FBD">
        <w:t>are to do with</w:t>
      </w:r>
      <w:r w:rsidRPr="00CA2600">
        <w:t xml:space="preserve"> ‘culture’ </w:t>
      </w:r>
    </w:p>
    <w:p w14:paraId="742FB0BD" w14:textId="77777777" w:rsidR="00DD57F1" w:rsidRPr="00CA2600" w:rsidRDefault="00DD57F1" w:rsidP="007863E2">
      <w:pPr>
        <w:pStyle w:val="ListBullet"/>
      </w:pPr>
      <w:r w:rsidRPr="00CA2600">
        <w:t>grouping the ‘cultural’ indicators together under this strategic area, to increase their prominence and allow for a discussion about the connections between culture and other outcomes.</w:t>
      </w:r>
    </w:p>
    <w:p w14:paraId="649C32E7" w14:textId="0AA3AC24" w:rsidR="0011477C" w:rsidRPr="00621A13" w:rsidRDefault="001413AD">
      <w:pPr>
        <w:pStyle w:val="BodyText"/>
      </w:pPr>
      <w:r w:rsidRPr="00CA2600">
        <w:t xml:space="preserve">The key elements of the framework are shown in </w:t>
      </w:r>
      <w:r w:rsidRPr="00621A13">
        <w:t>a simplified form in figure 2.1.</w:t>
      </w:r>
      <w:r w:rsidRPr="00894056">
        <w:t xml:space="preserve"> </w:t>
      </w:r>
      <w:r w:rsidRPr="00621A13">
        <w:t>Each of the framework elements is discussed briefly below.</w:t>
      </w:r>
    </w:p>
    <w:p w14:paraId="5759A5A7" w14:textId="25084B00" w:rsidR="00DE7255" w:rsidRPr="006B775C" w:rsidRDefault="00DE7255" w:rsidP="00EE38B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4B2784" w:rsidRPr="004B2784" w14:paraId="77AC4A81" w14:textId="77777777" w:rsidTr="001140C5">
        <w:tc>
          <w:tcPr>
            <w:tcW w:w="5000" w:type="pct"/>
            <w:tcBorders>
              <w:top w:val="single" w:sz="6" w:space="0" w:color="78A22F"/>
              <w:left w:val="nil"/>
              <w:bottom w:val="nil"/>
              <w:right w:val="nil"/>
            </w:tcBorders>
            <w:shd w:val="clear" w:color="auto" w:fill="auto"/>
          </w:tcPr>
          <w:p w14:paraId="2534DA6D" w14:textId="6F369A7E" w:rsidR="00DE7255" w:rsidRPr="004B2784" w:rsidRDefault="00DE7255" w:rsidP="00DE7255">
            <w:pPr>
              <w:pStyle w:val="FigureTitle"/>
              <w:rPr>
                <w:color w:val="000000" w:themeColor="text1"/>
              </w:rPr>
            </w:pPr>
            <w:r w:rsidRPr="004B2784">
              <w:rPr>
                <w:b w:val="0"/>
                <w:color w:val="000000" w:themeColor="text1"/>
              </w:rPr>
              <w:t xml:space="preserve">Figure </w:t>
            </w:r>
            <w:r w:rsidR="0005672A">
              <w:rPr>
                <w:b w:val="0"/>
                <w:color w:val="000000" w:themeColor="text1"/>
              </w:rPr>
              <w:t>2.</w:t>
            </w:r>
            <w:r w:rsidR="006B50E5">
              <w:rPr>
                <w:b w:val="0"/>
                <w:noProof/>
                <w:color w:val="000000" w:themeColor="text1"/>
              </w:rPr>
              <w:t>1</w:t>
            </w:r>
            <w:r w:rsidRPr="004B2784">
              <w:rPr>
                <w:color w:val="000000" w:themeColor="text1"/>
              </w:rPr>
              <w:tab/>
              <w:t>Framework elements</w:t>
            </w:r>
          </w:p>
        </w:tc>
      </w:tr>
      <w:tr w:rsidR="004B2784" w:rsidRPr="004B2784" w14:paraId="29027C39" w14:textId="77777777" w:rsidTr="001140C5">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5"/>
            </w:tblGrid>
            <w:tr w:rsidR="004B2784" w:rsidRPr="004B2784" w14:paraId="22822B45" w14:textId="77777777" w:rsidTr="001140C5">
              <w:tc>
                <w:tcPr>
                  <w:tcW w:w="5000" w:type="pct"/>
                  <w:tcBorders>
                    <w:top w:val="nil"/>
                    <w:bottom w:val="nil"/>
                  </w:tcBorders>
                </w:tcPr>
                <w:p w14:paraId="27B33EEF" w14:textId="04F5C286" w:rsidR="00DE7255" w:rsidRPr="004B2784" w:rsidRDefault="004F09AE" w:rsidP="00EE38BD">
                  <w:pPr>
                    <w:pStyle w:val="Figure"/>
                    <w:spacing w:before="60" w:after="60"/>
                    <w:rPr>
                      <w:color w:val="000000" w:themeColor="text1"/>
                    </w:rPr>
                  </w:pPr>
                  <w:r w:rsidRPr="004F09AE">
                    <w:rPr>
                      <w:noProof/>
                      <w:color w:val="000000" w:themeColor="text1"/>
                    </w:rPr>
                    <w:drawing>
                      <wp:inline distT="0" distB="0" distL="0" distR="0" wp14:anchorId="14E840AF" wp14:editId="4E830033">
                        <wp:extent cx="5571490" cy="3689350"/>
                        <wp:effectExtent l="0" t="0" r="0" b="0"/>
                        <wp:docPr id="6" name="Picture 6" descr="Figure 2.1 Framework elements&#10;&#10;More details can be found within the text surrounding this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1490" cy="3689350"/>
                                </a:xfrm>
                                <a:prstGeom prst="rect">
                                  <a:avLst/>
                                </a:prstGeom>
                                <a:noFill/>
                                <a:ln>
                                  <a:noFill/>
                                </a:ln>
                              </pic:spPr>
                            </pic:pic>
                          </a:graphicData>
                        </a:graphic>
                      </wp:inline>
                    </w:drawing>
                  </w:r>
                </w:p>
              </w:tc>
            </w:tr>
          </w:tbl>
          <w:p w14:paraId="76C2C4BD" w14:textId="77777777" w:rsidR="00DE7255" w:rsidRPr="004B2784" w:rsidRDefault="00DE7255" w:rsidP="00EE38BD">
            <w:pPr>
              <w:pStyle w:val="Figure"/>
              <w:rPr>
                <w:color w:val="000000" w:themeColor="text1"/>
              </w:rPr>
            </w:pPr>
          </w:p>
        </w:tc>
      </w:tr>
      <w:tr w:rsidR="002D0922" w:rsidRPr="002D0922" w14:paraId="2B38BCCB" w14:textId="77777777" w:rsidTr="001140C5">
        <w:tc>
          <w:tcPr>
            <w:tcW w:w="5000" w:type="pct"/>
            <w:tcBorders>
              <w:top w:val="nil"/>
              <w:left w:val="nil"/>
              <w:bottom w:val="single" w:sz="6" w:space="0" w:color="78A22F"/>
              <w:right w:val="nil"/>
            </w:tcBorders>
            <w:shd w:val="clear" w:color="auto" w:fill="auto"/>
          </w:tcPr>
          <w:p w14:paraId="5F647065" w14:textId="77777777" w:rsidR="00DE7255" w:rsidRPr="002D0922" w:rsidRDefault="00DE7255" w:rsidP="00EE38BD">
            <w:pPr>
              <w:pStyle w:val="Figurespace"/>
              <w:rPr>
                <w:color w:val="00B050"/>
              </w:rPr>
            </w:pPr>
          </w:p>
        </w:tc>
      </w:tr>
      <w:tr w:rsidR="002D0922" w:rsidRPr="002D0922" w14:paraId="77DC2DED" w14:textId="77777777" w:rsidTr="001140C5">
        <w:tc>
          <w:tcPr>
            <w:tcW w:w="5000" w:type="pct"/>
            <w:tcBorders>
              <w:top w:val="single" w:sz="6" w:space="0" w:color="78A22F"/>
              <w:left w:val="nil"/>
              <w:bottom w:val="nil"/>
              <w:right w:val="nil"/>
            </w:tcBorders>
          </w:tcPr>
          <w:p w14:paraId="3AAF7304" w14:textId="77777777" w:rsidR="00DE7255" w:rsidRPr="002D0922" w:rsidRDefault="00DE7255" w:rsidP="00EE38BD">
            <w:pPr>
              <w:pStyle w:val="BoxSpaceBelow"/>
              <w:rPr>
                <w:color w:val="00B050"/>
              </w:rPr>
            </w:pPr>
          </w:p>
        </w:tc>
      </w:tr>
    </w:tbl>
    <w:p w14:paraId="54DAD641" w14:textId="77777777" w:rsidR="00BD3EC8" w:rsidRPr="00AC569C" w:rsidRDefault="00AC569C" w:rsidP="00AC569C">
      <w:pPr>
        <w:pStyle w:val="Heading3"/>
      </w:pPr>
      <w:r w:rsidRPr="00AC569C">
        <w:lastRenderedPageBreak/>
        <w:t xml:space="preserve">Three aspirational priority outcomes sit at the top of the framework </w:t>
      </w:r>
    </w:p>
    <w:p w14:paraId="6A5A70E0" w14:textId="06C4D5F3" w:rsidR="00FB2D58" w:rsidRPr="004B2784" w:rsidRDefault="00BD3EC8" w:rsidP="008931BC">
      <w:pPr>
        <w:pStyle w:val="BodyText"/>
        <w:rPr>
          <w:color w:val="000000" w:themeColor="text1"/>
        </w:rPr>
      </w:pPr>
      <w:r w:rsidRPr="004B2784">
        <w:rPr>
          <w:color w:val="000000" w:themeColor="text1"/>
        </w:rPr>
        <w:t xml:space="preserve">Three </w:t>
      </w:r>
      <w:r w:rsidR="00FB2D58" w:rsidRPr="004B2784">
        <w:rPr>
          <w:color w:val="000000" w:themeColor="text1"/>
        </w:rPr>
        <w:t xml:space="preserve">interlinked </w:t>
      </w:r>
      <w:r w:rsidRPr="004B2784">
        <w:rPr>
          <w:color w:val="000000" w:themeColor="text1"/>
        </w:rPr>
        <w:t xml:space="preserve">priority outcomes </w:t>
      </w:r>
      <w:r w:rsidR="00FB2D58" w:rsidRPr="004B2784">
        <w:rPr>
          <w:color w:val="000000" w:themeColor="text1"/>
        </w:rPr>
        <w:t>sit at the top of the framework</w:t>
      </w:r>
      <w:r w:rsidR="004A4FBD">
        <w:rPr>
          <w:color w:val="000000" w:themeColor="text1"/>
        </w:rPr>
        <w:t>;</w:t>
      </w:r>
      <w:r w:rsidR="00FB2D58" w:rsidRPr="004B2784">
        <w:rPr>
          <w:color w:val="000000" w:themeColor="text1"/>
        </w:rPr>
        <w:t xml:space="preserve"> no single aspect of the priority outcomes can be achieved in isolation</w:t>
      </w:r>
      <w:r w:rsidR="004A4FBD">
        <w:rPr>
          <w:color w:val="000000" w:themeColor="text1"/>
        </w:rPr>
        <w:t>. The priority outcomes are</w:t>
      </w:r>
      <w:r w:rsidR="00FB2D58" w:rsidRPr="004B2784">
        <w:rPr>
          <w:color w:val="000000" w:themeColor="text1"/>
        </w:rPr>
        <w:t>:</w:t>
      </w:r>
    </w:p>
    <w:p w14:paraId="2AA9257B" w14:textId="77777777" w:rsidR="00FB2D58" w:rsidRPr="004B2784" w:rsidRDefault="0021154A" w:rsidP="00FB2D58">
      <w:pPr>
        <w:pStyle w:val="ListBullet"/>
        <w:rPr>
          <w:color w:val="000000" w:themeColor="text1"/>
        </w:rPr>
      </w:pPr>
      <w:r w:rsidRPr="004B2784">
        <w:rPr>
          <w:color w:val="000000" w:themeColor="text1"/>
        </w:rPr>
        <w:t>s</w:t>
      </w:r>
      <w:r w:rsidR="00FB2D58" w:rsidRPr="004B2784">
        <w:rPr>
          <w:color w:val="000000" w:themeColor="text1"/>
        </w:rPr>
        <w:t>afe</w:t>
      </w:r>
      <w:r w:rsidR="00D5794D" w:rsidRPr="004B2784">
        <w:rPr>
          <w:color w:val="000000" w:themeColor="text1"/>
        </w:rPr>
        <w:t>,</w:t>
      </w:r>
      <w:r w:rsidR="00FB2D58" w:rsidRPr="004B2784">
        <w:rPr>
          <w:color w:val="000000" w:themeColor="text1"/>
        </w:rPr>
        <w:t xml:space="preserve"> healthy and supportive family environments with strong communities and cultural identity</w:t>
      </w:r>
    </w:p>
    <w:p w14:paraId="360FACF0" w14:textId="54EC60FB" w:rsidR="00FB2D58" w:rsidRPr="004B2784" w:rsidRDefault="00FB2D58" w:rsidP="00FB2D58">
      <w:pPr>
        <w:pStyle w:val="ListBullet"/>
        <w:rPr>
          <w:color w:val="000000" w:themeColor="text1"/>
        </w:rPr>
      </w:pPr>
      <w:r w:rsidRPr="004B2784">
        <w:rPr>
          <w:color w:val="000000" w:themeColor="text1"/>
        </w:rPr>
        <w:t>positive child development and prevention of violence, crime and self</w:t>
      </w:r>
      <w:r w:rsidR="007767B3">
        <w:rPr>
          <w:color w:val="000000" w:themeColor="text1"/>
        </w:rPr>
        <w:noBreakHyphen/>
      </w:r>
      <w:r w:rsidRPr="004B2784">
        <w:rPr>
          <w:color w:val="000000" w:themeColor="text1"/>
        </w:rPr>
        <w:t>harm</w:t>
      </w:r>
    </w:p>
    <w:p w14:paraId="126A3115" w14:textId="77777777" w:rsidR="00FB2D58" w:rsidRPr="004B2784" w:rsidRDefault="00FB2D58" w:rsidP="00FB2D58">
      <w:pPr>
        <w:pStyle w:val="ListBullet"/>
        <w:rPr>
          <w:color w:val="000000" w:themeColor="text1"/>
        </w:rPr>
      </w:pPr>
      <w:r w:rsidRPr="004B2784">
        <w:rPr>
          <w:color w:val="000000" w:themeColor="text1"/>
        </w:rPr>
        <w:t>improved wealth creation and economic sustainability for individuals, families and communities.</w:t>
      </w:r>
    </w:p>
    <w:p w14:paraId="0EE9A775" w14:textId="77777777" w:rsidR="008C063F" w:rsidRDefault="008C063F" w:rsidP="00B672D2">
      <w:pPr>
        <w:pStyle w:val="BodyText"/>
        <w:rPr>
          <w:color w:val="000000" w:themeColor="text1"/>
        </w:rPr>
      </w:pPr>
      <w:r w:rsidRPr="004B2784">
        <w:rPr>
          <w:color w:val="000000" w:themeColor="text1"/>
        </w:rPr>
        <w:t xml:space="preserve">These outcomes reflect </w:t>
      </w:r>
      <w:r>
        <w:rPr>
          <w:color w:val="000000" w:themeColor="text1"/>
        </w:rPr>
        <w:t>the</w:t>
      </w:r>
      <w:r w:rsidRPr="004B2784">
        <w:rPr>
          <w:color w:val="000000" w:themeColor="text1"/>
        </w:rPr>
        <w:t xml:space="preserve"> vision for Aboriginal and Torres Strait Islander </w:t>
      </w:r>
      <w:r>
        <w:rPr>
          <w:color w:val="000000" w:themeColor="text1"/>
        </w:rPr>
        <w:t xml:space="preserve">people </w:t>
      </w:r>
      <w:r w:rsidRPr="004B2784">
        <w:rPr>
          <w:color w:val="000000" w:themeColor="text1"/>
        </w:rPr>
        <w:t>to have the same life opportunities as other Australians</w:t>
      </w:r>
      <w:r w:rsidRPr="00B56621">
        <w:rPr>
          <w:color w:val="000000" w:themeColor="text1"/>
        </w:rPr>
        <w:t>.</w:t>
      </w:r>
    </w:p>
    <w:p w14:paraId="34C9E927" w14:textId="77777777" w:rsidR="00BD3EC8" w:rsidRPr="004B2784" w:rsidRDefault="00220C98" w:rsidP="00B672D2">
      <w:pPr>
        <w:pStyle w:val="BodyText"/>
        <w:rPr>
          <w:color w:val="000000" w:themeColor="text1"/>
        </w:rPr>
      </w:pPr>
      <w:r w:rsidRPr="004B2784">
        <w:rPr>
          <w:color w:val="000000" w:themeColor="text1"/>
        </w:rPr>
        <w:t>I</w:t>
      </w:r>
      <w:r w:rsidR="00BD3EC8" w:rsidRPr="004B2784">
        <w:rPr>
          <w:color w:val="000000" w:themeColor="text1"/>
        </w:rPr>
        <w:t xml:space="preserve">t is extremely difficult to measure progress in achieving </w:t>
      </w:r>
      <w:r w:rsidR="00F50B1B" w:rsidRPr="004B2784">
        <w:rPr>
          <w:color w:val="000000" w:themeColor="text1"/>
        </w:rPr>
        <w:t xml:space="preserve">such broadly stated, aspirational outcomes, and to hold governments and service providers accountable. </w:t>
      </w:r>
      <w:r w:rsidR="00BD3EC8" w:rsidRPr="004B2784">
        <w:rPr>
          <w:color w:val="000000" w:themeColor="text1"/>
        </w:rPr>
        <w:t xml:space="preserve">Therefore, the framework </w:t>
      </w:r>
      <w:r w:rsidR="004A289F" w:rsidRPr="004B2784">
        <w:rPr>
          <w:color w:val="000000" w:themeColor="text1"/>
        </w:rPr>
        <w:t>includes</w:t>
      </w:r>
      <w:r w:rsidR="00BD3EC8" w:rsidRPr="004B2784">
        <w:rPr>
          <w:color w:val="000000" w:themeColor="text1"/>
        </w:rPr>
        <w:t xml:space="preserve"> two </w:t>
      </w:r>
      <w:r w:rsidR="00F50B1B" w:rsidRPr="004B2784">
        <w:rPr>
          <w:color w:val="000000" w:themeColor="text1"/>
        </w:rPr>
        <w:t>layers</w:t>
      </w:r>
      <w:r w:rsidR="00BD3EC8" w:rsidRPr="004B2784">
        <w:rPr>
          <w:color w:val="000000" w:themeColor="text1"/>
        </w:rPr>
        <w:t xml:space="preserve"> </w:t>
      </w:r>
      <w:r w:rsidR="00F50B1B" w:rsidRPr="004B2784">
        <w:rPr>
          <w:color w:val="000000" w:themeColor="text1"/>
        </w:rPr>
        <w:t>of</w:t>
      </w:r>
      <w:r w:rsidR="00BD3EC8" w:rsidRPr="004B2784">
        <w:rPr>
          <w:color w:val="000000" w:themeColor="text1"/>
        </w:rPr>
        <w:t xml:space="preserve"> </w:t>
      </w:r>
      <w:r w:rsidR="004A289F" w:rsidRPr="004B2784">
        <w:rPr>
          <w:color w:val="000000" w:themeColor="text1"/>
        </w:rPr>
        <w:t>quantifiable</w:t>
      </w:r>
      <w:r w:rsidR="00BD3EC8" w:rsidRPr="004B2784">
        <w:rPr>
          <w:color w:val="000000" w:themeColor="text1"/>
        </w:rPr>
        <w:t xml:space="preserve"> indicators. The </w:t>
      </w:r>
      <w:r w:rsidR="00F50B1B" w:rsidRPr="004B2784">
        <w:rPr>
          <w:color w:val="000000" w:themeColor="text1"/>
        </w:rPr>
        <w:t>logic of the framework is that, over time, measurable improvement</w:t>
      </w:r>
      <w:r w:rsidR="00BD3EC8" w:rsidRPr="004B2784">
        <w:rPr>
          <w:color w:val="000000" w:themeColor="text1"/>
        </w:rPr>
        <w:t xml:space="preserve"> in these </w:t>
      </w:r>
      <w:r w:rsidR="00F50B1B" w:rsidRPr="004B2784">
        <w:rPr>
          <w:color w:val="000000" w:themeColor="text1"/>
        </w:rPr>
        <w:t xml:space="preserve">indicators will </w:t>
      </w:r>
      <w:r w:rsidR="00F760C1">
        <w:rPr>
          <w:color w:val="000000" w:themeColor="text1"/>
        </w:rPr>
        <w:t>mean</w:t>
      </w:r>
      <w:r w:rsidR="00F760C1" w:rsidRPr="004B2784">
        <w:rPr>
          <w:color w:val="000000" w:themeColor="text1"/>
        </w:rPr>
        <w:t xml:space="preserve"> </w:t>
      </w:r>
      <w:r w:rsidR="00F50B1B" w:rsidRPr="004B2784">
        <w:rPr>
          <w:color w:val="000000" w:themeColor="text1"/>
        </w:rPr>
        <w:t xml:space="preserve">progress toward </w:t>
      </w:r>
      <w:r w:rsidR="008C33B1" w:rsidRPr="00B672D2">
        <w:rPr>
          <w:color w:val="000000" w:themeColor="text1"/>
        </w:rPr>
        <w:t>achieving</w:t>
      </w:r>
      <w:r w:rsidR="008C33B1">
        <w:rPr>
          <w:color w:val="000000" w:themeColor="text1"/>
        </w:rPr>
        <w:t xml:space="preserve"> </w:t>
      </w:r>
      <w:r w:rsidR="00F50B1B" w:rsidRPr="004B2784">
        <w:rPr>
          <w:color w:val="000000" w:themeColor="text1"/>
        </w:rPr>
        <w:t xml:space="preserve">the priority outcomes. </w:t>
      </w:r>
    </w:p>
    <w:p w14:paraId="4102591B" w14:textId="77777777" w:rsidR="00F50B1B" w:rsidRPr="00621A13" w:rsidRDefault="00894056" w:rsidP="00F50B1B">
      <w:pPr>
        <w:pStyle w:val="Heading3"/>
        <w:rPr>
          <w:color w:val="000000" w:themeColor="text1"/>
        </w:rPr>
      </w:pPr>
      <w:r>
        <w:rPr>
          <w:color w:val="000000" w:themeColor="text1"/>
        </w:rPr>
        <w:t xml:space="preserve">The first </w:t>
      </w:r>
      <w:r w:rsidR="00AC569C">
        <w:rPr>
          <w:color w:val="000000" w:themeColor="text1"/>
        </w:rPr>
        <w:t xml:space="preserve">layer of the framework contains the </w:t>
      </w:r>
      <w:r w:rsidR="00F50B1B" w:rsidRPr="00621A13">
        <w:rPr>
          <w:color w:val="000000" w:themeColor="text1"/>
        </w:rPr>
        <w:t>COAG targets and headline indicators</w:t>
      </w:r>
    </w:p>
    <w:p w14:paraId="122135C8" w14:textId="29900236" w:rsidR="009E0067" w:rsidRPr="00621A13" w:rsidRDefault="00BD3EC8" w:rsidP="00F50B1B">
      <w:pPr>
        <w:pStyle w:val="BodyText"/>
        <w:rPr>
          <w:color w:val="000000" w:themeColor="text1"/>
        </w:rPr>
      </w:pPr>
      <w:r w:rsidRPr="00621A13">
        <w:rPr>
          <w:color w:val="000000" w:themeColor="text1"/>
        </w:rPr>
        <w:t xml:space="preserve">The first </w:t>
      </w:r>
      <w:r w:rsidR="009E0067" w:rsidRPr="00621A13">
        <w:rPr>
          <w:color w:val="000000" w:themeColor="text1"/>
        </w:rPr>
        <w:t>layer of indicators is made up of targets</w:t>
      </w:r>
      <w:r w:rsidR="0077056A">
        <w:rPr>
          <w:color w:val="000000" w:themeColor="text1"/>
        </w:rPr>
        <w:t xml:space="preserve"> set by</w:t>
      </w:r>
      <w:r w:rsidR="009E0067" w:rsidRPr="00621A13">
        <w:rPr>
          <w:color w:val="000000" w:themeColor="text1"/>
        </w:rPr>
        <w:t xml:space="preserve"> COAG for </w:t>
      </w:r>
      <w:r w:rsidR="00AC569C">
        <w:rPr>
          <w:color w:val="000000" w:themeColor="text1"/>
        </w:rPr>
        <w:t>‘</w:t>
      </w:r>
      <w:r w:rsidR="00F57B6A">
        <w:rPr>
          <w:color w:val="000000" w:themeColor="text1"/>
        </w:rPr>
        <w:t>C</w:t>
      </w:r>
      <w:r w:rsidR="009E0067" w:rsidRPr="00621A13">
        <w:rPr>
          <w:color w:val="000000" w:themeColor="text1"/>
        </w:rPr>
        <w:t xml:space="preserve">losing the </w:t>
      </w:r>
      <w:r w:rsidR="00F57B6A">
        <w:rPr>
          <w:color w:val="000000" w:themeColor="text1"/>
        </w:rPr>
        <w:t>G</w:t>
      </w:r>
      <w:r w:rsidR="009E0067" w:rsidRPr="00621A13">
        <w:rPr>
          <w:color w:val="000000" w:themeColor="text1"/>
        </w:rPr>
        <w:t>ap</w:t>
      </w:r>
      <w:r w:rsidR="00AC569C">
        <w:rPr>
          <w:color w:val="000000" w:themeColor="text1"/>
        </w:rPr>
        <w:t>’</w:t>
      </w:r>
      <w:r w:rsidR="009E0067" w:rsidRPr="00621A13">
        <w:rPr>
          <w:color w:val="000000" w:themeColor="text1"/>
        </w:rPr>
        <w:t xml:space="preserve"> </w:t>
      </w:r>
      <w:r w:rsidR="00C130F4" w:rsidRPr="00621A13">
        <w:rPr>
          <w:color w:val="000000" w:themeColor="text1"/>
        </w:rPr>
        <w:t xml:space="preserve">between </w:t>
      </w:r>
      <w:r w:rsidR="009E0067" w:rsidRPr="00621A13">
        <w:rPr>
          <w:color w:val="000000" w:themeColor="text1"/>
        </w:rPr>
        <w:t xml:space="preserve">outcomes for </w:t>
      </w:r>
      <w:r w:rsidR="00C130F4" w:rsidRPr="00621A13">
        <w:rPr>
          <w:color w:val="000000" w:themeColor="text1"/>
        </w:rPr>
        <w:t xml:space="preserve">Aboriginal and Torres Strait Islander </w:t>
      </w:r>
      <w:r w:rsidR="00F0511A">
        <w:rPr>
          <w:color w:val="000000" w:themeColor="text1"/>
        </w:rPr>
        <w:t>people</w:t>
      </w:r>
      <w:r w:rsidR="00F0511A" w:rsidRPr="00621A13">
        <w:rPr>
          <w:color w:val="000000" w:themeColor="text1"/>
        </w:rPr>
        <w:t xml:space="preserve"> </w:t>
      </w:r>
      <w:r w:rsidR="00C130F4" w:rsidRPr="00621A13">
        <w:rPr>
          <w:color w:val="000000" w:themeColor="text1"/>
        </w:rPr>
        <w:t>and non</w:t>
      </w:r>
      <w:r w:rsidR="007767B3">
        <w:rPr>
          <w:color w:val="000000" w:themeColor="text1"/>
        </w:rPr>
        <w:noBreakHyphen/>
      </w:r>
      <w:r w:rsidR="009E0067" w:rsidRPr="00621A13">
        <w:rPr>
          <w:color w:val="000000" w:themeColor="text1"/>
        </w:rPr>
        <w:t xml:space="preserve">Indigenous </w:t>
      </w:r>
      <w:r w:rsidR="00F0511A">
        <w:rPr>
          <w:color w:val="000000" w:themeColor="text1"/>
        </w:rPr>
        <w:t>people</w:t>
      </w:r>
      <w:r w:rsidR="009E0067" w:rsidRPr="00621A13">
        <w:rPr>
          <w:color w:val="000000" w:themeColor="text1"/>
        </w:rPr>
        <w:t>,</w:t>
      </w:r>
      <w:r w:rsidR="004A4FBD">
        <w:rPr>
          <w:color w:val="000000" w:themeColor="text1"/>
        </w:rPr>
        <w:t xml:space="preserve"> along with</w:t>
      </w:r>
      <w:r w:rsidR="009E0067" w:rsidRPr="00621A13">
        <w:rPr>
          <w:color w:val="000000" w:themeColor="text1"/>
        </w:rPr>
        <w:t xml:space="preserve"> a further six </w:t>
      </w:r>
      <w:r w:rsidRPr="00621A13">
        <w:rPr>
          <w:color w:val="000000" w:themeColor="text1"/>
        </w:rPr>
        <w:t>headline indicators</w:t>
      </w:r>
      <w:r w:rsidR="009E0067" w:rsidRPr="00621A13">
        <w:rPr>
          <w:color w:val="000000" w:themeColor="text1"/>
        </w:rPr>
        <w:t xml:space="preserve"> </w:t>
      </w:r>
      <w:r w:rsidR="009461AA" w:rsidRPr="00621A13">
        <w:rPr>
          <w:color w:val="000000" w:themeColor="text1"/>
        </w:rPr>
        <w:t xml:space="preserve">selected by the Steering Committee to represent </w:t>
      </w:r>
      <w:r w:rsidR="009E0067" w:rsidRPr="00621A13">
        <w:rPr>
          <w:color w:val="000000" w:themeColor="text1"/>
        </w:rPr>
        <w:t>significant, high</w:t>
      </w:r>
      <w:r w:rsidR="007767B3">
        <w:rPr>
          <w:color w:val="000000" w:themeColor="text1"/>
        </w:rPr>
        <w:noBreakHyphen/>
      </w:r>
      <w:r w:rsidR="009E0067" w:rsidRPr="00621A13">
        <w:rPr>
          <w:color w:val="000000" w:themeColor="text1"/>
        </w:rPr>
        <w:t>level outcomes.</w:t>
      </w:r>
      <w:r w:rsidR="00D04F31">
        <w:rPr>
          <w:rStyle w:val="FootnoteReference"/>
          <w:color w:val="000000" w:themeColor="text1"/>
        </w:rPr>
        <w:footnoteReference w:id="2"/>
      </w:r>
    </w:p>
    <w:p w14:paraId="1F18EC63" w14:textId="3FD1E6F1" w:rsidR="0077056A" w:rsidRPr="00E36248" w:rsidRDefault="0077056A" w:rsidP="00C53BD8">
      <w:pPr>
        <w:pStyle w:val="BodyText"/>
        <w:rPr>
          <w:color w:val="000000" w:themeColor="text1"/>
        </w:rPr>
      </w:pPr>
      <w:r>
        <w:t>At the time of preparing this report the COAG targets were those that were part of the National Indigenous Reform Agreement</w:t>
      </w:r>
      <w:r w:rsidR="001715C3">
        <w:t xml:space="preserve"> (NIRA)</w:t>
      </w:r>
      <w:r>
        <w:t xml:space="preserve">. </w:t>
      </w:r>
      <w:r w:rsidR="002D4611" w:rsidRPr="00C53BD8">
        <w:t>The NIRA has now been replaced by a new National Agreement on Closing the Gap (the Agreement) that came into effect from 27</w:t>
      </w:r>
      <w:r w:rsidR="00F469F6">
        <w:t> </w:t>
      </w:r>
      <w:r w:rsidR="002D4611" w:rsidRPr="00C53BD8">
        <w:t>July</w:t>
      </w:r>
      <w:r w:rsidR="00F469F6">
        <w:t> </w:t>
      </w:r>
      <w:r w:rsidR="002D4611" w:rsidRPr="00C53BD8">
        <w:t>2020. The Agreement was developed in partnership between Australian governments, the Coalition of Aboriginal and Torres Strait Islander Peak Organisations and</w:t>
      </w:r>
      <w:r w:rsidR="00C816C1" w:rsidRPr="00C53BD8">
        <w:t xml:space="preserve"> the</w:t>
      </w:r>
      <w:r w:rsidR="002D4611" w:rsidRPr="00C53BD8">
        <w:t xml:space="preserve"> Australian Local Government Authority.</w:t>
      </w:r>
      <w:r w:rsidR="002D4611" w:rsidRPr="002D4611">
        <w:t xml:space="preserve"> </w:t>
      </w:r>
      <w:r w:rsidR="001715C3">
        <w:t xml:space="preserve">A number of targets from the NIRA have been retained in the Agreement, while others </w:t>
      </w:r>
      <w:r w:rsidR="004A4FBD">
        <w:t xml:space="preserve">have been </w:t>
      </w:r>
      <w:r w:rsidR="001715C3">
        <w:t>retained as indicators supporting targets</w:t>
      </w:r>
      <w:r w:rsidR="00643610">
        <w:t>.</w:t>
      </w:r>
      <w:r w:rsidR="001715C3">
        <w:t xml:space="preserve"> </w:t>
      </w:r>
    </w:p>
    <w:p w14:paraId="1A314452" w14:textId="7CA734B8" w:rsidR="009E0067" w:rsidRPr="00621A13" w:rsidRDefault="0077056A" w:rsidP="00F50B1B">
      <w:pPr>
        <w:pStyle w:val="BodyText"/>
        <w:rPr>
          <w:color w:val="000000" w:themeColor="text1"/>
        </w:rPr>
      </w:pPr>
      <w:r>
        <w:rPr>
          <w:color w:val="000000" w:themeColor="text1"/>
        </w:rPr>
        <w:t xml:space="preserve">The </w:t>
      </w:r>
      <w:r w:rsidR="00F760C1" w:rsidRPr="00621A13">
        <w:rPr>
          <w:color w:val="000000" w:themeColor="text1"/>
        </w:rPr>
        <w:t>COAG</w:t>
      </w:r>
      <w:r w:rsidR="007767B3">
        <w:rPr>
          <w:color w:val="000000" w:themeColor="text1"/>
        </w:rPr>
        <w:noBreakHyphen/>
      </w:r>
      <w:r w:rsidR="00F760C1" w:rsidRPr="00621A13">
        <w:rPr>
          <w:color w:val="000000" w:themeColor="text1"/>
        </w:rPr>
        <w:t xml:space="preserve">agreed </w:t>
      </w:r>
      <w:r w:rsidR="004A4FBD">
        <w:rPr>
          <w:color w:val="000000" w:themeColor="text1"/>
        </w:rPr>
        <w:t>C</w:t>
      </w:r>
      <w:r w:rsidR="009E0067" w:rsidRPr="00621A13">
        <w:rPr>
          <w:color w:val="000000" w:themeColor="text1"/>
        </w:rPr>
        <w:t xml:space="preserve">losing the </w:t>
      </w:r>
      <w:r w:rsidR="004A4FBD">
        <w:rPr>
          <w:color w:val="000000" w:themeColor="text1"/>
        </w:rPr>
        <w:t>G</w:t>
      </w:r>
      <w:r w:rsidR="009E0067" w:rsidRPr="00621A13">
        <w:rPr>
          <w:color w:val="000000" w:themeColor="text1"/>
        </w:rPr>
        <w:t>ap targets</w:t>
      </w:r>
      <w:r>
        <w:rPr>
          <w:color w:val="000000" w:themeColor="text1"/>
        </w:rPr>
        <w:t xml:space="preserve"> forming part of the NIRA are listed below, with details in square brackets if they continue to be a target under the </w:t>
      </w:r>
      <w:r w:rsidR="00035C64">
        <w:rPr>
          <w:color w:val="000000" w:themeColor="text1"/>
        </w:rPr>
        <w:t>Agreement</w:t>
      </w:r>
      <w:r w:rsidR="00777143">
        <w:rPr>
          <w:color w:val="000000" w:themeColor="text1"/>
        </w:rPr>
        <w:t>:</w:t>
      </w:r>
    </w:p>
    <w:p w14:paraId="6F16B3A9" w14:textId="6451F7E4" w:rsidR="009E0067" w:rsidRPr="00513F55" w:rsidRDefault="001A4828" w:rsidP="00F1520E">
      <w:pPr>
        <w:pStyle w:val="ListBullet"/>
      </w:pPr>
      <w:r w:rsidRPr="00513F55">
        <w:rPr>
          <w:i/>
        </w:rPr>
        <w:t>life expectancy</w:t>
      </w:r>
      <w:r w:rsidRPr="00513F55">
        <w:t xml:space="preserve"> — </w:t>
      </w:r>
      <w:r w:rsidR="009E0067" w:rsidRPr="00513F55">
        <w:t>close the life expectancy gap within a generation</w:t>
      </w:r>
      <w:r w:rsidR="0077056A" w:rsidRPr="00513F55">
        <w:t xml:space="preserve">, </w:t>
      </w:r>
      <w:r w:rsidR="00F37445" w:rsidRPr="00513F55">
        <w:t>by 2031</w:t>
      </w:r>
      <w:r w:rsidR="0077056A" w:rsidRPr="00513F55">
        <w:t xml:space="preserve"> [</w:t>
      </w:r>
      <w:r w:rsidR="00D977C9" w:rsidRPr="00513F55">
        <w:t>this target has been retained</w:t>
      </w:r>
      <w:r w:rsidR="00F37445" w:rsidRPr="00513F55">
        <w:t xml:space="preserve">] </w:t>
      </w:r>
    </w:p>
    <w:p w14:paraId="54F74B3C" w14:textId="649248FF" w:rsidR="009E0067" w:rsidRPr="00513F55" w:rsidRDefault="00554466" w:rsidP="00F1520E">
      <w:pPr>
        <w:pStyle w:val="ListBullet"/>
      </w:pPr>
      <w:r w:rsidRPr="00513F55">
        <w:rPr>
          <w:i/>
        </w:rPr>
        <w:lastRenderedPageBreak/>
        <w:t>young</w:t>
      </w:r>
      <w:r w:rsidR="001A4828" w:rsidRPr="00513F55">
        <w:rPr>
          <w:i/>
        </w:rPr>
        <w:t xml:space="preserve"> child mortality</w:t>
      </w:r>
      <w:r w:rsidR="001A4828" w:rsidRPr="00513F55">
        <w:t xml:space="preserve"> — </w:t>
      </w:r>
      <w:r w:rsidR="009E0067" w:rsidRPr="00513F55">
        <w:t xml:space="preserve">halve the gap in mortality rates for </w:t>
      </w:r>
      <w:r w:rsidR="009C7384" w:rsidRPr="00513F55">
        <w:t xml:space="preserve">Indigenous </w:t>
      </w:r>
      <w:r w:rsidR="009E0067" w:rsidRPr="00513F55">
        <w:t>children under five within a decade</w:t>
      </w:r>
      <w:r w:rsidR="0077056A" w:rsidRPr="00513F55">
        <w:t>, by 2018</w:t>
      </w:r>
      <w:r w:rsidR="009E0067" w:rsidRPr="00513F55">
        <w:t xml:space="preserve"> </w:t>
      </w:r>
      <w:r w:rsidR="00F37445" w:rsidRPr="00513F55">
        <w:t>[</w:t>
      </w:r>
      <w:r w:rsidR="00D977C9" w:rsidRPr="00513F55">
        <w:t>this target</w:t>
      </w:r>
      <w:r w:rsidR="00F57B6A" w:rsidRPr="00513F55">
        <w:t xml:space="preserve"> </w:t>
      </w:r>
      <w:r w:rsidR="00EE3EBA" w:rsidRPr="00513F55">
        <w:t>has not been</w:t>
      </w:r>
      <w:r w:rsidR="00D977C9" w:rsidRPr="00513F55">
        <w:t xml:space="preserve"> retained</w:t>
      </w:r>
      <w:r w:rsidR="00F37445" w:rsidRPr="00513F55">
        <w:t xml:space="preserve">] </w:t>
      </w:r>
    </w:p>
    <w:p w14:paraId="2E0E2BEB" w14:textId="0131F141" w:rsidR="0011115C" w:rsidRPr="007F41D6" w:rsidRDefault="0011115C" w:rsidP="00F1520E">
      <w:pPr>
        <w:pStyle w:val="ListBullet"/>
      </w:pPr>
      <w:r w:rsidRPr="007F41D6">
        <w:rPr>
          <w:i/>
        </w:rPr>
        <w:t>early childhood education</w:t>
      </w:r>
      <w:r w:rsidRPr="007F41D6">
        <w:t xml:space="preserve"> —</w:t>
      </w:r>
      <w:r w:rsidR="00EE3EBA" w:rsidRPr="007F41D6">
        <w:t xml:space="preserve"> </w:t>
      </w:r>
      <w:r w:rsidR="00B672D2" w:rsidRPr="007F41D6">
        <w:t>95 per cent of</w:t>
      </w:r>
      <w:r w:rsidR="007950D7" w:rsidRPr="007F41D6">
        <w:t xml:space="preserve"> all Indigenous four</w:t>
      </w:r>
      <w:r w:rsidR="007767B3">
        <w:noBreakHyphen/>
      </w:r>
      <w:r w:rsidR="007950D7" w:rsidRPr="007F41D6">
        <w:t>year</w:t>
      </w:r>
      <w:r w:rsidR="007767B3">
        <w:noBreakHyphen/>
      </w:r>
      <w:r w:rsidR="007950D7" w:rsidRPr="007F41D6">
        <w:t>olds enrolled in early childhood education</w:t>
      </w:r>
      <w:r w:rsidR="0077056A" w:rsidRPr="007F41D6">
        <w:t>, by 2025</w:t>
      </w:r>
      <w:r w:rsidR="007950D7" w:rsidRPr="007F41D6">
        <w:t xml:space="preserve"> </w:t>
      </w:r>
      <w:r w:rsidR="005104D3" w:rsidRPr="007F41D6">
        <w:t>[</w:t>
      </w:r>
      <w:r w:rsidR="00D977C9" w:rsidRPr="007F41D6">
        <w:t xml:space="preserve">this target has been </w:t>
      </w:r>
      <w:r w:rsidR="00EE3EBA" w:rsidRPr="007F41D6">
        <w:t>retained</w:t>
      </w:r>
      <w:r w:rsidR="005104D3" w:rsidRPr="007F41D6">
        <w:t>]</w:t>
      </w:r>
    </w:p>
    <w:p w14:paraId="70B79828" w14:textId="3C86CB78" w:rsidR="009E0067" w:rsidRPr="007F41D6" w:rsidRDefault="001A4828" w:rsidP="00F1520E">
      <w:pPr>
        <w:pStyle w:val="ListBullet"/>
      </w:pPr>
      <w:r w:rsidRPr="007F41D6">
        <w:rPr>
          <w:i/>
        </w:rPr>
        <w:t>reading, writing and numeracy</w:t>
      </w:r>
      <w:r w:rsidRPr="007F41D6">
        <w:t xml:space="preserve"> — </w:t>
      </w:r>
      <w:r w:rsidR="009E0067" w:rsidRPr="007F41D6">
        <w:t>halve the gap for Indigenous students in reading, writing and numeracy within a decade</w:t>
      </w:r>
      <w:r w:rsidR="0077056A" w:rsidRPr="007F41D6">
        <w:t>, by 2018</w:t>
      </w:r>
      <w:r w:rsidR="00F37445" w:rsidRPr="007F41D6">
        <w:t xml:space="preserve"> [</w:t>
      </w:r>
      <w:r w:rsidR="00EE3EBA" w:rsidRPr="007F41D6">
        <w:t>this target</w:t>
      </w:r>
      <w:r w:rsidR="00F57B6A" w:rsidRPr="007F41D6">
        <w:t xml:space="preserve"> </w:t>
      </w:r>
      <w:r w:rsidR="00EE3EBA" w:rsidRPr="007F41D6">
        <w:t>has not been retained</w:t>
      </w:r>
      <w:r w:rsidR="00F37445" w:rsidRPr="007F41D6">
        <w:t xml:space="preserve">] </w:t>
      </w:r>
    </w:p>
    <w:p w14:paraId="4E5522CD" w14:textId="6EA3AE0E" w:rsidR="003F2F7E" w:rsidRPr="007F41D6" w:rsidRDefault="00643610" w:rsidP="00F1520E">
      <w:pPr>
        <w:pStyle w:val="ListBullet"/>
        <w:rPr>
          <w:i/>
        </w:rPr>
      </w:pPr>
      <w:r>
        <w:rPr>
          <w:i/>
        </w:rPr>
        <w:t>Y</w:t>
      </w:r>
      <w:r w:rsidR="003F2F7E" w:rsidRPr="007F41D6">
        <w:rPr>
          <w:i/>
        </w:rPr>
        <w:t>ear 1 to 10 attendance</w:t>
      </w:r>
      <w:r w:rsidR="005104D3" w:rsidRPr="007F41D6">
        <w:t xml:space="preserve"> — clos</w:t>
      </w:r>
      <w:r w:rsidR="005A57D8" w:rsidRPr="007F41D6">
        <w:t>e</w:t>
      </w:r>
      <w:r w:rsidR="005104D3" w:rsidRPr="007F41D6">
        <w:t xml:space="preserve"> the gap between Indigenous and non</w:t>
      </w:r>
      <w:r w:rsidR="007767B3">
        <w:noBreakHyphen/>
      </w:r>
      <w:r w:rsidR="005104D3" w:rsidRPr="007F41D6">
        <w:t>Indigenous school attendance within five years</w:t>
      </w:r>
      <w:r w:rsidR="0077056A" w:rsidRPr="007F41D6">
        <w:t>, by 2018</w:t>
      </w:r>
      <w:r w:rsidR="005104D3" w:rsidRPr="007F41D6">
        <w:t xml:space="preserve"> [</w:t>
      </w:r>
      <w:r w:rsidR="008278A6" w:rsidRPr="007F41D6">
        <w:t>this target</w:t>
      </w:r>
      <w:r w:rsidR="00F57B6A" w:rsidRPr="007F41D6">
        <w:t xml:space="preserve"> </w:t>
      </w:r>
      <w:r w:rsidR="00EE3EBA" w:rsidRPr="007F41D6">
        <w:t>has</w:t>
      </w:r>
      <w:r w:rsidR="008278A6" w:rsidRPr="007F41D6">
        <w:t xml:space="preserve"> not </w:t>
      </w:r>
      <w:r w:rsidR="00EE3EBA" w:rsidRPr="007F41D6">
        <w:t xml:space="preserve">been </w:t>
      </w:r>
      <w:r w:rsidR="008278A6" w:rsidRPr="007F41D6">
        <w:t>retained</w:t>
      </w:r>
      <w:r w:rsidR="005104D3" w:rsidRPr="007F41D6">
        <w:t>]</w:t>
      </w:r>
    </w:p>
    <w:p w14:paraId="3324FE72" w14:textId="4B9CD96B" w:rsidR="0011115C" w:rsidRPr="007F41D6" w:rsidRDefault="00643610" w:rsidP="00F1520E">
      <w:pPr>
        <w:pStyle w:val="ListBullet"/>
      </w:pPr>
      <w:r>
        <w:rPr>
          <w:i/>
        </w:rPr>
        <w:t>Y</w:t>
      </w:r>
      <w:r w:rsidR="001A4828" w:rsidRPr="007F41D6">
        <w:rPr>
          <w:i/>
        </w:rPr>
        <w:t>ear 12 attainment</w:t>
      </w:r>
      <w:r w:rsidR="001A4828" w:rsidRPr="007F41D6">
        <w:t xml:space="preserve"> — </w:t>
      </w:r>
      <w:r w:rsidR="002249CA" w:rsidRPr="007F41D6">
        <w:t xml:space="preserve">halve the gap for Indigenous </w:t>
      </w:r>
      <w:r w:rsidR="001C68FF" w:rsidRPr="007F41D6">
        <w:t>20–</w:t>
      </w:r>
      <w:r w:rsidR="009C7384" w:rsidRPr="007F41D6">
        <w:t>24 year olds</w:t>
      </w:r>
      <w:r w:rsidR="002249CA" w:rsidRPr="007F41D6">
        <w:t xml:space="preserve"> in </w:t>
      </w:r>
      <w:r>
        <w:t>Y</w:t>
      </w:r>
      <w:r w:rsidR="003B2FD8" w:rsidRPr="007F41D6">
        <w:t>ear 12 or equivalent attainment rates</w:t>
      </w:r>
      <w:r w:rsidR="0077056A" w:rsidRPr="007F41D6">
        <w:t>, by 2020</w:t>
      </w:r>
      <w:r w:rsidR="003B2FD8" w:rsidRPr="007F41D6">
        <w:t xml:space="preserve"> </w:t>
      </w:r>
      <w:r w:rsidR="001C68FF" w:rsidRPr="007F41D6">
        <w:t>[</w:t>
      </w:r>
      <w:r w:rsidR="00F57B6A" w:rsidRPr="007F41D6">
        <w:t xml:space="preserve">a modified version of </w:t>
      </w:r>
      <w:r w:rsidR="008278A6" w:rsidRPr="007F41D6">
        <w:t xml:space="preserve">this target </w:t>
      </w:r>
      <w:r w:rsidR="00EE3EBA" w:rsidRPr="007F41D6">
        <w:t>has been retained</w:t>
      </w:r>
      <w:r w:rsidR="001C68FF" w:rsidRPr="007F41D6">
        <w:t>]</w:t>
      </w:r>
      <w:r w:rsidR="002249CA" w:rsidRPr="007F41D6">
        <w:t xml:space="preserve"> </w:t>
      </w:r>
    </w:p>
    <w:p w14:paraId="2D422B70" w14:textId="754FEF7E" w:rsidR="0011115C" w:rsidRPr="007F41D6" w:rsidRDefault="0011115C" w:rsidP="00F1520E">
      <w:pPr>
        <w:pStyle w:val="ListBullet"/>
      </w:pPr>
      <w:r w:rsidRPr="007F41D6">
        <w:rPr>
          <w:i/>
        </w:rPr>
        <w:t xml:space="preserve">employment </w:t>
      </w:r>
      <w:r w:rsidRPr="007F41D6">
        <w:t>— halve the gap in employment outc</w:t>
      </w:r>
      <w:r w:rsidR="001C68FF" w:rsidRPr="007F41D6">
        <w:t>omes between Indigenous and non</w:t>
      </w:r>
      <w:r w:rsidR="007767B3">
        <w:noBreakHyphen/>
      </w:r>
      <w:r w:rsidRPr="007F41D6">
        <w:t>Indigenous Australians within a decade</w:t>
      </w:r>
      <w:r w:rsidR="0077056A" w:rsidRPr="007F41D6">
        <w:t>, by 2018</w:t>
      </w:r>
      <w:r w:rsidR="0010394A" w:rsidRPr="007F41D6">
        <w:t xml:space="preserve"> [</w:t>
      </w:r>
      <w:r w:rsidR="00F57B6A" w:rsidRPr="007F41D6">
        <w:t xml:space="preserve">a modified version of </w:t>
      </w:r>
      <w:r w:rsidR="00EE3EBA" w:rsidRPr="007F41D6">
        <w:t>this target has been retained</w:t>
      </w:r>
      <w:r w:rsidR="0010394A" w:rsidRPr="007F41D6">
        <w:t>].</w:t>
      </w:r>
    </w:p>
    <w:p w14:paraId="5E89413A" w14:textId="188AF2F4" w:rsidR="002E01DA" w:rsidRPr="00621A13" w:rsidRDefault="002E01DA" w:rsidP="00F50B1B">
      <w:pPr>
        <w:pStyle w:val="BodyText"/>
        <w:rPr>
          <w:color w:val="000000" w:themeColor="text1"/>
        </w:rPr>
      </w:pPr>
      <w:r w:rsidRPr="00621A13">
        <w:rPr>
          <w:color w:val="000000" w:themeColor="text1"/>
        </w:rPr>
        <w:t xml:space="preserve">These targets </w:t>
      </w:r>
      <w:r w:rsidR="003B7199" w:rsidRPr="00621A13">
        <w:rPr>
          <w:color w:val="000000" w:themeColor="text1"/>
        </w:rPr>
        <w:t>highlight specific outcomes in areas that are either significant in their own right (life expectancy and early childhood mortality) or important preconditions or preventative factors for addressing long term disadvantage (access to preschool, learning outcomes</w:t>
      </w:r>
      <w:r w:rsidR="00621A13" w:rsidRPr="00621A13">
        <w:rPr>
          <w:color w:val="000000" w:themeColor="text1"/>
        </w:rPr>
        <w:t xml:space="preserve">, </w:t>
      </w:r>
      <w:r w:rsidR="003B7199" w:rsidRPr="00621A13">
        <w:rPr>
          <w:color w:val="000000" w:themeColor="text1"/>
        </w:rPr>
        <w:t>school attainment</w:t>
      </w:r>
      <w:r w:rsidR="00621A13" w:rsidRPr="00621A13">
        <w:rPr>
          <w:color w:val="000000" w:themeColor="text1"/>
        </w:rPr>
        <w:t xml:space="preserve"> and attendance</w:t>
      </w:r>
      <w:r w:rsidR="003B7199" w:rsidRPr="00621A13">
        <w:rPr>
          <w:color w:val="000000" w:themeColor="text1"/>
        </w:rPr>
        <w:t>, and employment).</w:t>
      </w:r>
      <w:r w:rsidR="00FA2A44" w:rsidRPr="00621A13">
        <w:rPr>
          <w:color w:val="000000" w:themeColor="text1"/>
        </w:rPr>
        <w:t xml:space="preserve"> </w:t>
      </w:r>
    </w:p>
    <w:p w14:paraId="52982A3B" w14:textId="1F531038" w:rsidR="00AD266D" w:rsidRPr="00621A13" w:rsidRDefault="003B7199" w:rsidP="0032221F">
      <w:pPr>
        <w:pStyle w:val="BodyText"/>
        <w:rPr>
          <w:color w:val="000000" w:themeColor="text1"/>
        </w:rPr>
      </w:pPr>
      <w:r w:rsidRPr="00621A13">
        <w:rPr>
          <w:color w:val="000000" w:themeColor="text1"/>
        </w:rPr>
        <w:t xml:space="preserve">The Steering Committee has </w:t>
      </w:r>
      <w:r w:rsidR="00652BFB" w:rsidRPr="00621A13">
        <w:rPr>
          <w:color w:val="000000" w:themeColor="text1"/>
        </w:rPr>
        <w:t>selected</w:t>
      </w:r>
      <w:r w:rsidR="003760E2" w:rsidRPr="00621A13">
        <w:rPr>
          <w:color w:val="000000" w:themeColor="text1"/>
        </w:rPr>
        <w:t xml:space="preserve"> six </w:t>
      </w:r>
      <w:r w:rsidRPr="00621A13">
        <w:rPr>
          <w:color w:val="000000" w:themeColor="text1"/>
        </w:rPr>
        <w:t xml:space="preserve">headline indicators </w:t>
      </w:r>
      <w:r w:rsidR="00E91B79" w:rsidRPr="00621A13">
        <w:rPr>
          <w:color w:val="000000" w:themeColor="text1"/>
        </w:rPr>
        <w:t>that sit alongside</w:t>
      </w:r>
      <w:r w:rsidRPr="00621A13">
        <w:rPr>
          <w:color w:val="000000" w:themeColor="text1"/>
        </w:rPr>
        <w:t xml:space="preserve"> the COAG targets in the first </w:t>
      </w:r>
      <w:r w:rsidR="00157471" w:rsidRPr="00621A13">
        <w:rPr>
          <w:color w:val="000000" w:themeColor="text1"/>
        </w:rPr>
        <w:t>layer of indicators. </w:t>
      </w:r>
      <w:r w:rsidRPr="00621A13">
        <w:rPr>
          <w:color w:val="000000" w:themeColor="text1"/>
        </w:rPr>
        <w:t>The</w:t>
      </w:r>
      <w:r w:rsidR="00E91B79" w:rsidRPr="00621A13">
        <w:rPr>
          <w:color w:val="000000" w:themeColor="text1"/>
        </w:rPr>
        <w:t>se</w:t>
      </w:r>
      <w:r w:rsidRPr="00621A13">
        <w:rPr>
          <w:color w:val="000000" w:themeColor="text1"/>
        </w:rPr>
        <w:t xml:space="preserve"> headline indicators are all </w:t>
      </w:r>
      <w:r w:rsidR="00AD266D" w:rsidRPr="00621A13">
        <w:rPr>
          <w:color w:val="000000" w:themeColor="text1"/>
        </w:rPr>
        <w:t>important</w:t>
      </w:r>
      <w:r w:rsidRPr="00621A13">
        <w:rPr>
          <w:color w:val="000000" w:themeColor="text1"/>
        </w:rPr>
        <w:t xml:space="preserve"> outcomes </w:t>
      </w:r>
      <w:r w:rsidR="00AD266D" w:rsidRPr="00621A13">
        <w:rPr>
          <w:color w:val="000000" w:themeColor="text1"/>
        </w:rPr>
        <w:t xml:space="preserve">in their own right, </w:t>
      </w:r>
      <w:r w:rsidR="0021154A" w:rsidRPr="00621A13">
        <w:rPr>
          <w:color w:val="000000" w:themeColor="text1"/>
        </w:rPr>
        <w:t>and</w:t>
      </w:r>
      <w:r w:rsidRPr="00621A13">
        <w:rPr>
          <w:color w:val="000000" w:themeColor="text1"/>
        </w:rPr>
        <w:t xml:space="preserve"> </w:t>
      </w:r>
      <w:r w:rsidR="009E0067" w:rsidRPr="00621A13">
        <w:rPr>
          <w:color w:val="000000" w:themeColor="text1"/>
        </w:rPr>
        <w:t>require whole</w:t>
      </w:r>
      <w:r w:rsidR="007767B3">
        <w:rPr>
          <w:color w:val="000000" w:themeColor="text1"/>
        </w:rPr>
        <w:noBreakHyphen/>
      </w:r>
      <w:r w:rsidR="009E0067" w:rsidRPr="00621A13">
        <w:rPr>
          <w:color w:val="000000" w:themeColor="text1"/>
        </w:rPr>
        <w:t>of</w:t>
      </w:r>
      <w:r w:rsidR="007767B3">
        <w:rPr>
          <w:color w:val="000000" w:themeColor="text1"/>
        </w:rPr>
        <w:noBreakHyphen/>
      </w:r>
      <w:r w:rsidR="009E0067" w:rsidRPr="00621A13">
        <w:rPr>
          <w:color w:val="000000" w:themeColor="text1"/>
        </w:rPr>
        <w:t xml:space="preserve">government action </w:t>
      </w:r>
      <w:r w:rsidRPr="00621A13">
        <w:rPr>
          <w:color w:val="000000" w:themeColor="text1"/>
        </w:rPr>
        <w:t xml:space="preserve">over the long term </w:t>
      </w:r>
      <w:r w:rsidR="00AD266D" w:rsidRPr="00621A13">
        <w:rPr>
          <w:color w:val="000000" w:themeColor="text1"/>
        </w:rPr>
        <w:t>before signif</w:t>
      </w:r>
      <w:r w:rsidR="00157471" w:rsidRPr="00621A13">
        <w:rPr>
          <w:color w:val="000000" w:themeColor="text1"/>
        </w:rPr>
        <w:t xml:space="preserve">icant progress </w:t>
      </w:r>
      <w:r w:rsidR="005A57D8">
        <w:rPr>
          <w:color w:val="000000" w:themeColor="text1"/>
        </w:rPr>
        <w:t>will</w:t>
      </w:r>
      <w:r w:rsidR="005A57D8" w:rsidRPr="00621A13">
        <w:rPr>
          <w:color w:val="000000" w:themeColor="text1"/>
        </w:rPr>
        <w:t xml:space="preserve"> </w:t>
      </w:r>
      <w:r w:rsidR="00157471" w:rsidRPr="00621A13">
        <w:rPr>
          <w:color w:val="000000" w:themeColor="text1"/>
        </w:rPr>
        <w:t xml:space="preserve">be </w:t>
      </w:r>
      <w:r w:rsidR="000E0745" w:rsidRPr="00621A13">
        <w:rPr>
          <w:color w:val="000000" w:themeColor="text1"/>
        </w:rPr>
        <w:t>seen</w:t>
      </w:r>
      <w:r w:rsidR="001715C3">
        <w:rPr>
          <w:color w:val="000000" w:themeColor="text1"/>
        </w:rPr>
        <w:t>. Under the new Agreement, a number of these (or similar) indicators now have targets. The headline indicators, with details in square brackets if they are related to a</w:t>
      </w:r>
      <w:r w:rsidR="001E675D">
        <w:rPr>
          <w:color w:val="000000" w:themeColor="text1"/>
        </w:rPr>
        <w:t xml:space="preserve"> </w:t>
      </w:r>
      <w:r w:rsidR="001715C3">
        <w:rPr>
          <w:color w:val="000000" w:themeColor="text1"/>
        </w:rPr>
        <w:t>target in the new Agreement, are</w:t>
      </w:r>
      <w:r w:rsidR="00157471" w:rsidRPr="00621A13">
        <w:rPr>
          <w:color w:val="000000" w:themeColor="text1"/>
        </w:rPr>
        <w:t>:</w:t>
      </w:r>
    </w:p>
    <w:p w14:paraId="3299034F" w14:textId="7CCB31F8" w:rsidR="003760E2" w:rsidRPr="007F41D6" w:rsidRDefault="00205B93" w:rsidP="00F1520E">
      <w:pPr>
        <w:pStyle w:val="ListBullet"/>
      </w:pPr>
      <w:r w:rsidRPr="00621A13">
        <w:rPr>
          <w:color w:val="000000" w:themeColor="text1"/>
        </w:rPr>
        <w:t>post</w:t>
      </w:r>
      <w:r w:rsidR="007767B3">
        <w:rPr>
          <w:color w:val="000000" w:themeColor="text1"/>
        </w:rPr>
        <w:noBreakHyphen/>
      </w:r>
      <w:r w:rsidR="003760E2" w:rsidRPr="007F41D6">
        <w:rPr>
          <w:color w:val="000000" w:themeColor="text1"/>
        </w:rPr>
        <w:t>secondary education</w:t>
      </w:r>
      <w:r w:rsidR="001715C3" w:rsidRPr="007F41D6">
        <w:t xml:space="preserve"> [</w:t>
      </w:r>
      <w:r w:rsidR="00812A36" w:rsidRPr="007F41D6">
        <w:t xml:space="preserve">this indicator </w:t>
      </w:r>
      <w:r w:rsidR="00EE3EBA" w:rsidRPr="007F41D6">
        <w:t>is related to a target</w:t>
      </w:r>
      <w:r w:rsidR="001715C3" w:rsidRPr="007F41D6">
        <w:t>]</w:t>
      </w:r>
    </w:p>
    <w:p w14:paraId="3320BA6D" w14:textId="5AD1353F" w:rsidR="003760E2" w:rsidRPr="007F41D6" w:rsidRDefault="003760E2" w:rsidP="00F1520E">
      <w:pPr>
        <w:pStyle w:val="ListBullet"/>
      </w:pPr>
      <w:r w:rsidRPr="007F41D6">
        <w:t>disability and chronic disease</w:t>
      </w:r>
      <w:r w:rsidR="001715C3" w:rsidRPr="007F41D6">
        <w:t xml:space="preserve"> [</w:t>
      </w:r>
      <w:r w:rsidR="00812A36" w:rsidRPr="007F41D6">
        <w:t xml:space="preserve">this indicator is not </w:t>
      </w:r>
      <w:r w:rsidR="00EE3EBA" w:rsidRPr="007F41D6">
        <w:t>related to a</w:t>
      </w:r>
      <w:r w:rsidR="00812A36" w:rsidRPr="007F41D6">
        <w:t xml:space="preserve"> target</w:t>
      </w:r>
      <w:r w:rsidR="001715C3" w:rsidRPr="007F41D6">
        <w:t>]</w:t>
      </w:r>
    </w:p>
    <w:p w14:paraId="099CC171" w14:textId="23E2FF02" w:rsidR="003760E2" w:rsidRPr="007F41D6" w:rsidRDefault="003760E2" w:rsidP="00F1520E">
      <w:pPr>
        <w:pStyle w:val="ListBullet"/>
      </w:pPr>
      <w:r w:rsidRPr="007F41D6">
        <w:t>household and individual income</w:t>
      </w:r>
      <w:r w:rsidR="001715C3" w:rsidRPr="007F41D6">
        <w:t xml:space="preserve"> [</w:t>
      </w:r>
      <w:r w:rsidR="00EE3EBA" w:rsidRPr="007F41D6">
        <w:t>this indicator is not related to a target</w:t>
      </w:r>
      <w:r w:rsidR="001715C3" w:rsidRPr="007F41D6">
        <w:t>]</w:t>
      </w:r>
    </w:p>
    <w:p w14:paraId="5DB5B75C" w14:textId="0300EBCC" w:rsidR="003760E2" w:rsidRPr="007F41D6" w:rsidRDefault="003760E2" w:rsidP="00F1520E">
      <w:pPr>
        <w:pStyle w:val="ListBullet"/>
      </w:pPr>
      <w:r w:rsidRPr="007F41D6">
        <w:t>substantiated child abuse and neglect</w:t>
      </w:r>
      <w:r w:rsidR="001715C3" w:rsidRPr="007F41D6">
        <w:t xml:space="preserve"> [</w:t>
      </w:r>
      <w:r w:rsidR="00812A36" w:rsidRPr="007F41D6">
        <w:t>this indic</w:t>
      </w:r>
      <w:r w:rsidR="00EE3EBA" w:rsidRPr="007F41D6">
        <w:t>a</w:t>
      </w:r>
      <w:r w:rsidR="00812A36" w:rsidRPr="007F41D6">
        <w:t xml:space="preserve">tor is </w:t>
      </w:r>
      <w:r w:rsidR="00EE3EBA" w:rsidRPr="007F41D6">
        <w:t xml:space="preserve">related to </w:t>
      </w:r>
      <w:r w:rsidR="00812A36" w:rsidRPr="007F41D6">
        <w:t>a target</w:t>
      </w:r>
      <w:r w:rsidR="001715C3" w:rsidRPr="007F41D6">
        <w:t>]</w:t>
      </w:r>
    </w:p>
    <w:p w14:paraId="1F481DD0" w14:textId="54213B12" w:rsidR="003760E2" w:rsidRPr="007F41D6" w:rsidRDefault="003760E2" w:rsidP="00F1520E">
      <w:pPr>
        <w:pStyle w:val="ListBullet"/>
      </w:pPr>
      <w:r w:rsidRPr="007F41D6">
        <w:t>family and community violence</w:t>
      </w:r>
      <w:r w:rsidR="001715C3" w:rsidRPr="007F41D6">
        <w:t xml:space="preserve"> [</w:t>
      </w:r>
      <w:r w:rsidR="00EE3EBA" w:rsidRPr="007F41D6">
        <w:t>this indicator is related to a target</w:t>
      </w:r>
      <w:r w:rsidR="001715C3" w:rsidRPr="007F41D6">
        <w:t>]</w:t>
      </w:r>
    </w:p>
    <w:p w14:paraId="2CAC82CA" w14:textId="7C4C33DB" w:rsidR="001A4828" w:rsidRPr="007F41D6" w:rsidRDefault="003760E2" w:rsidP="00F1520E">
      <w:pPr>
        <w:pStyle w:val="ListBullet"/>
        <w:rPr>
          <w:color w:val="000000" w:themeColor="text1"/>
        </w:rPr>
      </w:pPr>
      <w:r w:rsidRPr="007F41D6">
        <w:t xml:space="preserve">imprisonment and </w:t>
      </w:r>
      <w:r w:rsidR="00215754" w:rsidRPr="007F41D6">
        <w:t xml:space="preserve">youth </w:t>
      </w:r>
      <w:r w:rsidRPr="007F41D6">
        <w:t>detention</w:t>
      </w:r>
      <w:r w:rsidR="001715C3" w:rsidRPr="007F41D6">
        <w:t xml:space="preserve"> [</w:t>
      </w:r>
      <w:r w:rsidR="00EE3EBA" w:rsidRPr="007F41D6">
        <w:t>this indicator is related to a target</w:t>
      </w:r>
      <w:r w:rsidR="00033230" w:rsidRPr="007F41D6">
        <w:t>]</w:t>
      </w:r>
      <w:r w:rsidRPr="007F41D6">
        <w:t>.</w:t>
      </w:r>
    </w:p>
    <w:p w14:paraId="71224B22" w14:textId="77777777" w:rsidR="00156039" w:rsidRPr="00621A13" w:rsidRDefault="00AD266D" w:rsidP="00F50B1B">
      <w:pPr>
        <w:pStyle w:val="BodyText"/>
        <w:rPr>
          <w:color w:val="000000" w:themeColor="text1"/>
        </w:rPr>
      </w:pPr>
      <w:r w:rsidRPr="00621A13">
        <w:rPr>
          <w:color w:val="000000" w:themeColor="text1"/>
        </w:rPr>
        <w:t xml:space="preserve">Together, the COAG targets and headline indicators </w:t>
      </w:r>
      <w:r w:rsidR="00BD3EC8" w:rsidRPr="00621A13">
        <w:rPr>
          <w:color w:val="000000" w:themeColor="text1"/>
        </w:rPr>
        <w:t xml:space="preserve">provide an overview of </w:t>
      </w:r>
      <w:r w:rsidR="0010394A" w:rsidRPr="00621A13">
        <w:rPr>
          <w:color w:val="000000" w:themeColor="text1"/>
        </w:rPr>
        <w:t xml:space="preserve">progress in overcoming the disadvantage experienced by many Aboriginal and Torres Strait Islander </w:t>
      </w:r>
      <w:r w:rsidR="00D904BA">
        <w:rPr>
          <w:color w:val="000000" w:themeColor="text1"/>
        </w:rPr>
        <w:t>people</w:t>
      </w:r>
      <w:r w:rsidR="0010394A" w:rsidRPr="00621A13">
        <w:rPr>
          <w:color w:val="000000" w:themeColor="text1"/>
        </w:rPr>
        <w:t xml:space="preserve">, </w:t>
      </w:r>
      <w:r w:rsidR="00BD3EC8" w:rsidRPr="00621A13">
        <w:rPr>
          <w:color w:val="000000" w:themeColor="text1"/>
        </w:rPr>
        <w:t xml:space="preserve">and </w:t>
      </w:r>
      <w:r w:rsidR="00D77961" w:rsidRPr="00621A13">
        <w:rPr>
          <w:color w:val="000000" w:themeColor="text1"/>
        </w:rPr>
        <w:t>act</w:t>
      </w:r>
      <w:r w:rsidRPr="00621A13">
        <w:rPr>
          <w:color w:val="000000" w:themeColor="text1"/>
        </w:rPr>
        <w:t xml:space="preserve"> as</w:t>
      </w:r>
      <w:r w:rsidR="00BD3EC8" w:rsidRPr="00621A13">
        <w:rPr>
          <w:color w:val="000000" w:themeColor="text1"/>
        </w:rPr>
        <w:t xml:space="preserve"> proxy measures for the priority outcomes.</w:t>
      </w:r>
      <w:r w:rsidR="003760E2" w:rsidRPr="00621A13">
        <w:rPr>
          <w:color w:val="000000" w:themeColor="text1"/>
        </w:rPr>
        <w:t xml:space="preserve"> </w:t>
      </w:r>
    </w:p>
    <w:p w14:paraId="4BA949B1" w14:textId="77777777" w:rsidR="00F40617" w:rsidRPr="00621A13" w:rsidRDefault="003760E2" w:rsidP="00F50B1B">
      <w:pPr>
        <w:pStyle w:val="BodyText"/>
        <w:rPr>
          <w:color w:val="000000" w:themeColor="text1"/>
        </w:rPr>
      </w:pPr>
      <w:r w:rsidRPr="00621A13">
        <w:rPr>
          <w:color w:val="000000" w:themeColor="text1"/>
        </w:rPr>
        <w:t xml:space="preserve">Chapter 4 includes </w:t>
      </w:r>
      <w:r w:rsidR="00F46090">
        <w:rPr>
          <w:color w:val="000000" w:themeColor="text1"/>
        </w:rPr>
        <w:t>information on</w:t>
      </w:r>
      <w:r w:rsidRPr="00621A13">
        <w:rPr>
          <w:color w:val="000000" w:themeColor="text1"/>
        </w:rPr>
        <w:t xml:space="preserve"> the evidence base supporting the selection of indicator</w:t>
      </w:r>
      <w:r w:rsidR="00F46090">
        <w:rPr>
          <w:color w:val="000000" w:themeColor="text1"/>
        </w:rPr>
        <w:t>s</w:t>
      </w:r>
      <w:r w:rsidRPr="00621A13">
        <w:rPr>
          <w:color w:val="000000" w:themeColor="text1"/>
        </w:rPr>
        <w:t xml:space="preserve">, the definitions of the specific measures used to report against </w:t>
      </w:r>
      <w:r w:rsidR="001E0B73">
        <w:rPr>
          <w:color w:val="000000" w:themeColor="text1"/>
        </w:rPr>
        <w:t>them</w:t>
      </w:r>
      <w:r w:rsidR="00156039" w:rsidRPr="00621A13">
        <w:rPr>
          <w:color w:val="000000" w:themeColor="text1"/>
        </w:rPr>
        <w:t>, and available data</w:t>
      </w:r>
      <w:r w:rsidR="0010394A" w:rsidRPr="00621A13">
        <w:rPr>
          <w:color w:val="000000" w:themeColor="text1"/>
        </w:rPr>
        <w:t xml:space="preserve">. </w:t>
      </w:r>
    </w:p>
    <w:p w14:paraId="387CEC55" w14:textId="77777777" w:rsidR="00D739B9" w:rsidRPr="000306DD" w:rsidRDefault="00894056" w:rsidP="00D739B9">
      <w:pPr>
        <w:pStyle w:val="Heading3"/>
        <w:rPr>
          <w:color w:val="000000" w:themeColor="text1"/>
        </w:rPr>
      </w:pPr>
      <w:r>
        <w:rPr>
          <w:color w:val="000000" w:themeColor="text1"/>
        </w:rPr>
        <w:lastRenderedPageBreak/>
        <w:t xml:space="preserve">The </w:t>
      </w:r>
      <w:r w:rsidRPr="00894056">
        <w:rPr>
          <w:color w:val="000000" w:themeColor="text1"/>
        </w:rPr>
        <w:t xml:space="preserve">second layer of the framework </w:t>
      </w:r>
      <w:r>
        <w:rPr>
          <w:color w:val="000000" w:themeColor="text1"/>
        </w:rPr>
        <w:t>identifies</w:t>
      </w:r>
      <w:r w:rsidRPr="00894056">
        <w:rPr>
          <w:color w:val="000000" w:themeColor="text1"/>
        </w:rPr>
        <w:t xml:space="preserve"> ‘strategic areas for action’ </w:t>
      </w:r>
      <w:r>
        <w:rPr>
          <w:color w:val="000000" w:themeColor="text1"/>
        </w:rPr>
        <w:t xml:space="preserve">and related </w:t>
      </w:r>
      <w:r w:rsidR="0043521D">
        <w:rPr>
          <w:color w:val="000000" w:themeColor="text1"/>
        </w:rPr>
        <w:t>‘</w:t>
      </w:r>
      <w:r w:rsidRPr="000306DD">
        <w:rPr>
          <w:color w:val="000000" w:themeColor="text1"/>
        </w:rPr>
        <w:t>strategic change indicators</w:t>
      </w:r>
      <w:r w:rsidR="0043521D">
        <w:rPr>
          <w:color w:val="000000" w:themeColor="text1"/>
        </w:rPr>
        <w:t>’</w:t>
      </w:r>
      <w:r>
        <w:rPr>
          <w:color w:val="000000" w:themeColor="text1"/>
        </w:rPr>
        <w:t xml:space="preserve"> </w:t>
      </w:r>
    </w:p>
    <w:p w14:paraId="2B835B56" w14:textId="633B0F0B" w:rsidR="00D739B9" w:rsidRPr="000306DD" w:rsidRDefault="00D739B9" w:rsidP="0032221F">
      <w:pPr>
        <w:pStyle w:val="BodyText"/>
        <w:rPr>
          <w:color w:val="000000" w:themeColor="text1"/>
        </w:rPr>
      </w:pPr>
      <w:r w:rsidRPr="000306DD">
        <w:rPr>
          <w:color w:val="000000" w:themeColor="text1"/>
        </w:rPr>
        <w:t>The COAG targets and headline indicators, by their very nature, are extremely important</w:t>
      </w:r>
      <w:r w:rsidR="005A57D8">
        <w:rPr>
          <w:color w:val="000000" w:themeColor="text1"/>
        </w:rPr>
        <w:t xml:space="preserve"> —</w:t>
      </w:r>
      <w:r w:rsidR="005A57D8" w:rsidRPr="000306DD">
        <w:rPr>
          <w:color w:val="000000" w:themeColor="text1"/>
        </w:rPr>
        <w:t xml:space="preserve"> </w:t>
      </w:r>
      <w:r w:rsidRPr="000306DD">
        <w:rPr>
          <w:color w:val="000000" w:themeColor="text1"/>
        </w:rPr>
        <w:t>but their whole</w:t>
      </w:r>
      <w:r w:rsidR="007767B3">
        <w:rPr>
          <w:color w:val="000000" w:themeColor="text1"/>
        </w:rPr>
        <w:noBreakHyphen/>
      </w:r>
      <w:r w:rsidRPr="000306DD">
        <w:rPr>
          <w:color w:val="000000" w:themeColor="text1"/>
        </w:rPr>
        <w:t>of</w:t>
      </w:r>
      <w:r w:rsidR="007767B3">
        <w:rPr>
          <w:color w:val="000000" w:themeColor="text1"/>
        </w:rPr>
        <w:noBreakHyphen/>
      </w:r>
      <w:r w:rsidR="000B6EC3">
        <w:rPr>
          <w:color w:val="000000" w:themeColor="text1"/>
        </w:rPr>
        <w:t>government, long-</w:t>
      </w:r>
      <w:r w:rsidRPr="000306DD">
        <w:rPr>
          <w:color w:val="000000" w:themeColor="text1"/>
        </w:rPr>
        <w:t xml:space="preserve">term nature can make it difficult to hold specific governments or agencies accountable for </w:t>
      </w:r>
      <w:r w:rsidR="00156039" w:rsidRPr="000306DD">
        <w:rPr>
          <w:color w:val="000000" w:themeColor="text1"/>
        </w:rPr>
        <w:t>short</w:t>
      </w:r>
      <w:r w:rsidR="000B6EC3">
        <w:rPr>
          <w:color w:val="000000" w:themeColor="text1"/>
        </w:rPr>
        <w:t>- to medium-</w:t>
      </w:r>
      <w:r w:rsidR="00156039" w:rsidRPr="000306DD">
        <w:rPr>
          <w:color w:val="000000" w:themeColor="text1"/>
        </w:rPr>
        <w:t xml:space="preserve">term </w:t>
      </w:r>
      <w:r w:rsidRPr="000306DD">
        <w:rPr>
          <w:color w:val="000000" w:themeColor="text1"/>
        </w:rPr>
        <w:t>outcomes. The second layer of the framework seeks to overcome this limitation by identifying ‘strategic areas for action’</w:t>
      </w:r>
      <w:r w:rsidR="005A57D8">
        <w:rPr>
          <w:color w:val="000000" w:themeColor="text1"/>
        </w:rPr>
        <w:t>:</w:t>
      </w:r>
      <w:r w:rsidRPr="000306DD">
        <w:rPr>
          <w:color w:val="000000" w:themeColor="text1"/>
        </w:rPr>
        <w:t xml:space="preserve"> specific areas of policy where immediate action is needed </w:t>
      </w:r>
      <w:r w:rsidR="0010394A" w:rsidRPr="000306DD">
        <w:rPr>
          <w:color w:val="000000" w:themeColor="text1"/>
        </w:rPr>
        <w:t>to drive improvement in the</w:t>
      </w:r>
      <w:r w:rsidR="001E0B73">
        <w:rPr>
          <w:color w:val="000000" w:themeColor="text1"/>
        </w:rPr>
        <w:t>se</w:t>
      </w:r>
      <w:r w:rsidRPr="000306DD">
        <w:rPr>
          <w:color w:val="000000" w:themeColor="text1"/>
        </w:rPr>
        <w:t xml:space="preserve"> targets and headline indicator</w:t>
      </w:r>
      <w:r w:rsidR="0010394A" w:rsidRPr="000306DD">
        <w:rPr>
          <w:color w:val="000000" w:themeColor="text1"/>
        </w:rPr>
        <w:t>s</w:t>
      </w:r>
      <w:r w:rsidRPr="000306DD">
        <w:rPr>
          <w:color w:val="000000" w:themeColor="text1"/>
        </w:rPr>
        <w:t>. Each strategic area for action has a small number of ‘strategic change</w:t>
      </w:r>
      <w:r w:rsidR="000B6EC3">
        <w:rPr>
          <w:color w:val="000000" w:themeColor="text1"/>
        </w:rPr>
        <w:t xml:space="preserve"> indicators’ that measure short-</w:t>
      </w:r>
      <w:r w:rsidRPr="000306DD">
        <w:rPr>
          <w:color w:val="000000" w:themeColor="text1"/>
        </w:rPr>
        <w:t>term progress.</w:t>
      </w:r>
      <w:r w:rsidR="00894056" w:rsidRPr="00894056">
        <w:rPr>
          <w:color w:val="000000" w:themeColor="text1"/>
        </w:rPr>
        <w:t xml:space="preserve"> </w:t>
      </w:r>
      <w:r w:rsidR="00894056" w:rsidRPr="000306DD">
        <w:rPr>
          <w:color w:val="000000" w:themeColor="text1"/>
        </w:rPr>
        <w:t xml:space="preserve">The full framework is </w:t>
      </w:r>
      <w:r w:rsidR="005A57D8">
        <w:rPr>
          <w:color w:val="000000" w:themeColor="text1"/>
        </w:rPr>
        <w:t xml:space="preserve">shown </w:t>
      </w:r>
      <w:r w:rsidR="001E0B73">
        <w:rPr>
          <w:color w:val="000000" w:themeColor="text1"/>
        </w:rPr>
        <w:t>in</w:t>
      </w:r>
      <w:r w:rsidR="00894056" w:rsidRPr="000306DD">
        <w:rPr>
          <w:color w:val="000000" w:themeColor="text1"/>
        </w:rPr>
        <w:t xml:space="preserve"> figure</w:t>
      </w:r>
      <w:r w:rsidR="005A57D8">
        <w:rPr>
          <w:color w:val="000000" w:themeColor="text1"/>
        </w:rPr>
        <w:t> </w:t>
      </w:r>
      <w:r w:rsidR="00023388">
        <w:rPr>
          <w:color w:val="000000" w:themeColor="text1"/>
        </w:rPr>
        <w:t>2.</w:t>
      </w:r>
      <w:r w:rsidR="00894056" w:rsidRPr="000306DD">
        <w:rPr>
          <w:color w:val="000000" w:themeColor="text1"/>
        </w:rPr>
        <w:t>2.</w:t>
      </w:r>
    </w:p>
    <w:p w14:paraId="6953BFA4" w14:textId="77777777" w:rsidR="00D739B9" w:rsidRDefault="00156039" w:rsidP="0032221F">
      <w:pPr>
        <w:pStyle w:val="BodyText"/>
        <w:rPr>
          <w:color w:val="000000" w:themeColor="text1"/>
        </w:rPr>
      </w:pPr>
      <w:r w:rsidRPr="000306DD">
        <w:rPr>
          <w:color w:val="000000" w:themeColor="text1"/>
        </w:rPr>
        <w:t xml:space="preserve">Chapters 5 to 11 include the evidence base supporting the selection of </w:t>
      </w:r>
      <w:r w:rsidR="00D739B9" w:rsidRPr="000306DD">
        <w:rPr>
          <w:color w:val="000000" w:themeColor="text1"/>
        </w:rPr>
        <w:t>each strategic area for action</w:t>
      </w:r>
      <w:r w:rsidR="0021154A" w:rsidRPr="000306DD">
        <w:rPr>
          <w:color w:val="000000" w:themeColor="text1"/>
        </w:rPr>
        <w:t xml:space="preserve"> and its associated indicators</w:t>
      </w:r>
      <w:r w:rsidR="00D739B9" w:rsidRPr="000306DD">
        <w:rPr>
          <w:color w:val="000000" w:themeColor="text1"/>
        </w:rPr>
        <w:t xml:space="preserve">, </w:t>
      </w:r>
      <w:r w:rsidR="0021154A" w:rsidRPr="000306DD">
        <w:rPr>
          <w:color w:val="000000" w:themeColor="text1"/>
        </w:rPr>
        <w:t>the definitions of the specific measures used to report against each ind</w:t>
      </w:r>
      <w:r w:rsidRPr="000306DD">
        <w:rPr>
          <w:color w:val="000000" w:themeColor="text1"/>
        </w:rPr>
        <w:t>icator, and the available data.</w:t>
      </w:r>
    </w:p>
    <w:p w14:paraId="2178C318" w14:textId="77777777" w:rsidR="00F54999" w:rsidRPr="007863E2" w:rsidRDefault="00F54999" w:rsidP="00F54999">
      <w:pPr>
        <w:pStyle w:val="Heading3"/>
        <w:rPr>
          <w:color w:val="000000" w:themeColor="text1"/>
        </w:rPr>
      </w:pPr>
      <w:r w:rsidRPr="007863E2">
        <w:rPr>
          <w:color w:val="000000" w:themeColor="text1"/>
        </w:rPr>
        <w:t xml:space="preserve">The strategic areas for action have the potential to drive improvement in the headline indicators and progress toward the COAG targets </w:t>
      </w:r>
    </w:p>
    <w:p w14:paraId="30E1327B" w14:textId="77777777" w:rsidR="00F54999" w:rsidRPr="00570FBC" w:rsidRDefault="00F54999" w:rsidP="00F54999">
      <w:pPr>
        <w:pStyle w:val="BodyText"/>
        <w:rPr>
          <w:color w:val="000000" w:themeColor="text1"/>
        </w:rPr>
      </w:pPr>
      <w:r w:rsidRPr="00570FBC">
        <w:rPr>
          <w:color w:val="000000" w:themeColor="text1"/>
        </w:rPr>
        <w:t>The seven strategic areas for action were chosen for their potential to have a significant and lasting impact</w:t>
      </w:r>
      <w:r>
        <w:rPr>
          <w:color w:val="000000" w:themeColor="text1"/>
        </w:rPr>
        <w:t xml:space="preserve"> on</w:t>
      </w:r>
      <w:r w:rsidRPr="00570FBC">
        <w:rPr>
          <w:color w:val="000000" w:themeColor="text1"/>
        </w:rPr>
        <w:t xml:space="preserve"> improving </w:t>
      </w:r>
      <w:r>
        <w:rPr>
          <w:color w:val="000000" w:themeColor="text1"/>
        </w:rPr>
        <w:t xml:space="preserve">the wellbeing of </w:t>
      </w:r>
      <w:r w:rsidRPr="0054549B">
        <w:rPr>
          <w:color w:val="000000" w:themeColor="text1"/>
        </w:rPr>
        <w:t>Aboriginal an</w:t>
      </w:r>
      <w:r>
        <w:rPr>
          <w:color w:val="000000" w:themeColor="text1"/>
        </w:rPr>
        <w:t>d Torres Strait Islander people</w:t>
      </w:r>
      <w:r w:rsidRPr="00570FBC">
        <w:rPr>
          <w:color w:val="000000" w:themeColor="text1"/>
        </w:rPr>
        <w:t xml:space="preserve"> </w:t>
      </w:r>
      <w:r>
        <w:rPr>
          <w:color w:val="000000" w:themeColor="text1"/>
        </w:rPr>
        <w:t xml:space="preserve">and </w:t>
      </w:r>
      <w:r w:rsidRPr="00570FBC">
        <w:rPr>
          <w:color w:val="000000" w:themeColor="text1"/>
        </w:rPr>
        <w:t xml:space="preserve">in reducing </w:t>
      </w:r>
      <w:r>
        <w:rPr>
          <w:color w:val="000000" w:themeColor="text1"/>
        </w:rPr>
        <w:t xml:space="preserve">the experience of </w:t>
      </w:r>
      <w:r w:rsidRPr="00570FBC">
        <w:rPr>
          <w:color w:val="000000" w:themeColor="text1"/>
        </w:rPr>
        <w:t xml:space="preserve">disadvantage. Each strategic area represents a set of related activities that evidence suggests have the potential to drive improvement in the headline indicators and progress toward the COAG targets. </w:t>
      </w:r>
    </w:p>
    <w:p w14:paraId="0D2A0E71" w14:textId="36D6687E" w:rsidR="00F54999" w:rsidRDefault="00F54999" w:rsidP="0032221F">
      <w:pPr>
        <w:pStyle w:val="BodyText"/>
        <w:rPr>
          <w:color w:val="000000" w:themeColor="text1"/>
        </w:rPr>
      </w:pPr>
      <w:r w:rsidRPr="00570FBC">
        <w:rPr>
          <w:color w:val="000000" w:themeColor="text1"/>
        </w:rPr>
        <w:t xml:space="preserve">The strategic areas do not </w:t>
      </w:r>
      <w:r>
        <w:rPr>
          <w:color w:val="000000" w:themeColor="text1"/>
        </w:rPr>
        <w:t>match</w:t>
      </w:r>
      <w:r w:rsidRPr="00570FBC">
        <w:rPr>
          <w:color w:val="000000" w:themeColor="text1"/>
        </w:rPr>
        <w:t xml:space="preserve"> typical government service silos. </w:t>
      </w:r>
      <w:r>
        <w:rPr>
          <w:color w:val="000000" w:themeColor="text1"/>
        </w:rPr>
        <w:t>I</w:t>
      </w:r>
      <w:r w:rsidRPr="0054549B">
        <w:rPr>
          <w:color w:val="000000" w:themeColor="text1"/>
        </w:rPr>
        <w:t xml:space="preserve">mproving </w:t>
      </w:r>
      <w:r>
        <w:rPr>
          <w:color w:val="000000" w:themeColor="text1"/>
        </w:rPr>
        <w:t xml:space="preserve">the wellbeing of </w:t>
      </w:r>
      <w:r w:rsidRPr="0054549B">
        <w:rPr>
          <w:color w:val="000000" w:themeColor="text1"/>
        </w:rPr>
        <w:t xml:space="preserve">Aboriginal and Torres Strait Islander people </w:t>
      </w:r>
      <w:r w:rsidRPr="00570FBC">
        <w:rPr>
          <w:color w:val="000000" w:themeColor="text1"/>
        </w:rPr>
        <w:t xml:space="preserve">will require the combined efforts of governments, </w:t>
      </w:r>
      <w:r w:rsidRPr="00B672D2">
        <w:rPr>
          <w:color w:val="000000" w:themeColor="text1"/>
        </w:rPr>
        <w:t xml:space="preserve">Aboriginal and Torres Strait Islander </w:t>
      </w:r>
      <w:r>
        <w:rPr>
          <w:color w:val="000000" w:themeColor="text1"/>
        </w:rPr>
        <w:t>people</w:t>
      </w:r>
      <w:r w:rsidRPr="00B672D2">
        <w:rPr>
          <w:color w:val="000000" w:themeColor="text1"/>
        </w:rPr>
        <w:t xml:space="preserve"> and the broader community</w:t>
      </w:r>
      <w:r w:rsidRPr="00570FBC">
        <w:rPr>
          <w:color w:val="000000" w:themeColor="text1"/>
        </w:rPr>
        <w:t>. In some cases, a specific service area will play a major role</w:t>
      </w:r>
      <w:r>
        <w:rPr>
          <w:color w:val="000000" w:themeColor="text1"/>
        </w:rPr>
        <w:t xml:space="preserve"> —</w:t>
      </w:r>
      <w:r w:rsidRPr="00570FBC">
        <w:rPr>
          <w:color w:val="000000" w:themeColor="text1"/>
        </w:rPr>
        <w:t xml:space="preserve"> but in all strategic areas, more than one government agency will have to take action in order to achieve better outcome</w:t>
      </w:r>
      <w:r w:rsidR="000B6EC3">
        <w:rPr>
          <w:color w:val="000000" w:themeColor="text1"/>
        </w:rPr>
        <w:t xml:space="preserve">s. For example, in the area of </w:t>
      </w:r>
      <w:r w:rsidRPr="00570FBC">
        <w:rPr>
          <w:color w:val="000000" w:themeColor="text1"/>
        </w:rPr>
        <w:t xml:space="preserve">education </w:t>
      </w:r>
      <w:r w:rsidR="000B6EC3">
        <w:rPr>
          <w:color w:val="000000" w:themeColor="text1"/>
        </w:rPr>
        <w:t>and training</w:t>
      </w:r>
      <w:r w:rsidRPr="00570FBC">
        <w:rPr>
          <w:color w:val="000000" w:themeColor="text1"/>
        </w:rPr>
        <w:t>, the school system has an important role to play, but so do agencies dealing with housing and health</w:t>
      </w:r>
      <w:r>
        <w:rPr>
          <w:color w:val="000000" w:themeColor="text1"/>
        </w:rPr>
        <w:t xml:space="preserve"> (other strategic areas within the framework)</w:t>
      </w:r>
      <w:r w:rsidRPr="00570FBC">
        <w:rPr>
          <w:color w:val="000000" w:themeColor="text1"/>
        </w:rPr>
        <w:t xml:space="preserve">. </w:t>
      </w:r>
      <w:r>
        <w:rPr>
          <w:color w:val="000000" w:themeColor="text1"/>
        </w:rPr>
        <w:t>Section</w:t>
      </w:r>
      <w:r w:rsidR="007541BA">
        <w:rPr>
          <w:color w:val="000000" w:themeColor="text1"/>
        </w:rPr>
        <w:t> </w:t>
      </w:r>
      <w:r>
        <w:rPr>
          <w:color w:val="000000" w:themeColor="text1"/>
        </w:rPr>
        <w:t>2.2 provides further detail on these interactions.</w:t>
      </w:r>
    </w:p>
    <w:p w14:paraId="4CEBE8C5" w14:textId="0FCF76AC" w:rsidR="00C9605D" w:rsidRPr="002D0922" w:rsidRDefault="00C9605D" w:rsidP="00C9605D">
      <w:pPr>
        <w:pStyle w:val="BoxSpaceAbove"/>
        <w:rPr>
          <w:color w:val="00B05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9605D" w:rsidRPr="00570FBC" w14:paraId="6A139E59" w14:textId="77777777" w:rsidTr="001140C5">
        <w:tc>
          <w:tcPr>
            <w:tcW w:w="5000" w:type="pct"/>
            <w:tcBorders>
              <w:top w:val="single" w:sz="6" w:space="0" w:color="78A22F"/>
              <w:left w:val="nil"/>
              <w:bottom w:val="nil"/>
              <w:right w:val="nil"/>
            </w:tcBorders>
            <w:shd w:val="clear" w:color="auto" w:fill="auto"/>
          </w:tcPr>
          <w:p w14:paraId="114DA084" w14:textId="54714062" w:rsidR="00C9605D" w:rsidRPr="00570FBC" w:rsidRDefault="00C9605D" w:rsidP="00023388">
            <w:pPr>
              <w:pStyle w:val="FigureTitle"/>
              <w:rPr>
                <w:color w:val="000000" w:themeColor="text1"/>
              </w:rPr>
            </w:pPr>
            <w:r w:rsidRPr="00570FBC">
              <w:rPr>
                <w:b w:val="0"/>
                <w:color w:val="000000" w:themeColor="text1"/>
              </w:rPr>
              <w:t xml:space="preserve">Figure </w:t>
            </w:r>
            <w:r w:rsidR="00023388">
              <w:rPr>
                <w:b w:val="0"/>
                <w:color w:val="000000" w:themeColor="text1"/>
              </w:rPr>
              <w:t>2.</w:t>
            </w:r>
            <w:r w:rsidR="006B50E5">
              <w:rPr>
                <w:b w:val="0"/>
                <w:noProof/>
                <w:color w:val="000000" w:themeColor="text1"/>
              </w:rPr>
              <w:t>2</w:t>
            </w:r>
            <w:r w:rsidRPr="00570FBC">
              <w:rPr>
                <w:color w:val="000000" w:themeColor="text1"/>
              </w:rPr>
              <w:tab/>
              <w:t>Multi</w:t>
            </w:r>
            <w:r w:rsidR="007767B3">
              <w:rPr>
                <w:color w:val="000000" w:themeColor="text1"/>
              </w:rPr>
              <w:noBreakHyphen/>
            </w:r>
            <w:r w:rsidRPr="00570FBC">
              <w:rPr>
                <w:color w:val="000000" w:themeColor="text1"/>
              </w:rPr>
              <w:t>level indicator framework</w:t>
            </w:r>
          </w:p>
        </w:tc>
      </w:tr>
      <w:tr w:rsidR="00C9605D" w:rsidRPr="00570FBC" w14:paraId="6968B89E" w14:textId="77777777" w:rsidTr="001140C5">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5"/>
            </w:tblGrid>
            <w:tr w:rsidR="00C9605D" w:rsidRPr="00570FBC" w14:paraId="53C39C43" w14:textId="77777777" w:rsidTr="005A57D8">
              <w:tc>
                <w:tcPr>
                  <w:tcW w:w="5000" w:type="pct"/>
                  <w:tcBorders>
                    <w:top w:val="nil"/>
                    <w:bottom w:val="nil"/>
                  </w:tcBorders>
                </w:tcPr>
                <w:p w14:paraId="0DAEB798" w14:textId="77777777" w:rsidR="00C9605D" w:rsidRPr="00AC1327" w:rsidRDefault="00C9605D" w:rsidP="005A57D8">
                  <w:pPr>
                    <w:pStyle w:val="Figure"/>
                    <w:spacing w:before="60" w:after="60"/>
                    <w:jc w:val="left"/>
                    <w:rPr>
                      <w:rFonts w:ascii="Arial" w:hAnsi="Arial" w:cs="Arial"/>
                      <w:b/>
                      <w:color w:val="000000" w:themeColor="text1"/>
                      <w:sz w:val="20"/>
                    </w:rPr>
                  </w:pPr>
                  <w:r w:rsidRPr="00AC1327">
                    <w:rPr>
                      <w:rFonts w:ascii="Arial" w:hAnsi="Arial" w:cs="Arial"/>
                      <w:b/>
                      <w:color w:val="000000" w:themeColor="text1"/>
                      <w:sz w:val="20"/>
                    </w:rPr>
                    <w:t>Priority outcomes</w:t>
                  </w:r>
                </w:p>
                <w:p w14:paraId="02C5EDFB" w14:textId="16C22533" w:rsidR="00C9605D" w:rsidRPr="00570FBC" w:rsidRDefault="00AA44E2" w:rsidP="005A57D8">
                  <w:pPr>
                    <w:pStyle w:val="Figure"/>
                    <w:spacing w:before="60" w:after="60"/>
                    <w:rPr>
                      <w:color w:val="000000" w:themeColor="text1"/>
                    </w:rPr>
                  </w:pPr>
                  <w:bookmarkStart w:id="3" w:name="_GoBack"/>
                  <w:r w:rsidRPr="00AA44E2">
                    <w:rPr>
                      <w:noProof/>
                      <w:color w:val="000000" w:themeColor="text1"/>
                    </w:rPr>
                    <w:drawing>
                      <wp:inline distT="0" distB="0" distL="0" distR="0" wp14:anchorId="00E3303B" wp14:editId="1C708409">
                        <wp:extent cx="5348177" cy="1967230"/>
                        <wp:effectExtent l="0" t="0" r="0" b="0"/>
                        <wp:docPr id="7" name="Picture 7" descr="Figure 2.2 Multi-level indicator framework&#10;&#10;Priority outcomes&#10;&#10;More details can be found within the text surrounding this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1513" cy="1968457"/>
                                </a:xfrm>
                                <a:prstGeom prst="rect">
                                  <a:avLst/>
                                </a:prstGeom>
                                <a:noFill/>
                                <a:ln>
                                  <a:noFill/>
                                </a:ln>
                              </pic:spPr>
                            </pic:pic>
                          </a:graphicData>
                        </a:graphic>
                      </wp:inline>
                    </w:drawing>
                  </w:r>
                  <w:bookmarkEnd w:id="3"/>
                </w:p>
                <w:p w14:paraId="7E476CA7" w14:textId="77777777" w:rsidR="00C9605D" w:rsidRPr="00AC1327" w:rsidRDefault="00C9605D" w:rsidP="005A57D8">
                  <w:pPr>
                    <w:pStyle w:val="BodyText"/>
                    <w:tabs>
                      <w:tab w:val="left" w:pos="2977"/>
                    </w:tabs>
                    <w:spacing w:before="120"/>
                    <w:rPr>
                      <w:rFonts w:ascii="Arial" w:hAnsi="Arial" w:cs="Arial"/>
                      <w:b/>
                      <w:color w:val="000000" w:themeColor="text1"/>
                      <w:sz w:val="20"/>
                    </w:rPr>
                  </w:pPr>
                  <w:r w:rsidRPr="00AC1327">
                    <w:rPr>
                      <w:rFonts w:ascii="Arial" w:hAnsi="Arial" w:cs="Arial"/>
                      <w:b/>
                      <w:color w:val="000000" w:themeColor="text1"/>
                      <w:sz w:val="20"/>
                    </w:rPr>
                    <w:t>COAG targets and headline indicators</w:t>
                  </w:r>
                </w:p>
                <w:tbl>
                  <w:tblPr>
                    <w:tblW w:w="8480"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ook w:val="01E0" w:firstRow="1" w:lastRow="1" w:firstColumn="1" w:lastColumn="1" w:noHBand="0" w:noVBand="0"/>
                  </w:tblPr>
                  <w:tblGrid>
                    <w:gridCol w:w="3234"/>
                    <w:gridCol w:w="5246"/>
                  </w:tblGrid>
                  <w:tr w:rsidR="00C9605D" w:rsidRPr="00570FBC" w14:paraId="21CB342E" w14:textId="77777777" w:rsidTr="005A57D8">
                    <w:tc>
                      <w:tcPr>
                        <w:tcW w:w="1907" w:type="pct"/>
                        <w:shd w:val="clear" w:color="auto" w:fill="auto"/>
                      </w:tcPr>
                      <w:p w14:paraId="152044E6" w14:textId="77777777" w:rsidR="00C9605D" w:rsidRPr="00570FBC" w:rsidRDefault="00C9605D" w:rsidP="005A57D8">
                        <w:pPr>
                          <w:tabs>
                            <w:tab w:val="left" w:pos="1021"/>
                          </w:tabs>
                          <w:spacing w:before="60" w:after="60"/>
                          <w:ind w:left="57"/>
                          <w:rPr>
                            <w:rFonts w:ascii="Arial" w:hAnsi="Arial" w:cs="Arial"/>
                            <w:b/>
                            <w:color w:val="000000" w:themeColor="text1"/>
                            <w:sz w:val="18"/>
                            <w:szCs w:val="18"/>
                          </w:rPr>
                        </w:pPr>
                        <w:r w:rsidRPr="00570FBC">
                          <w:rPr>
                            <w:rFonts w:ascii="Arial" w:hAnsi="Arial" w:cs="Arial"/>
                            <w:b/>
                            <w:color w:val="000000" w:themeColor="text1"/>
                            <w:sz w:val="18"/>
                            <w:szCs w:val="18"/>
                          </w:rPr>
                          <w:t>COAG targets</w:t>
                        </w:r>
                      </w:p>
                    </w:tc>
                    <w:tc>
                      <w:tcPr>
                        <w:tcW w:w="3093" w:type="pct"/>
                        <w:shd w:val="clear" w:color="auto" w:fill="auto"/>
                      </w:tcPr>
                      <w:p w14:paraId="11FFEA46" w14:textId="77777777" w:rsidR="00C9605D" w:rsidRPr="00570FBC" w:rsidRDefault="00C9605D" w:rsidP="005A57D8">
                        <w:pPr>
                          <w:spacing w:before="60" w:after="60"/>
                          <w:ind w:left="57"/>
                          <w:rPr>
                            <w:rFonts w:ascii="Arial" w:hAnsi="Arial" w:cs="Arial"/>
                            <w:b/>
                            <w:color w:val="000000" w:themeColor="text1"/>
                            <w:sz w:val="18"/>
                            <w:szCs w:val="18"/>
                          </w:rPr>
                        </w:pPr>
                        <w:r w:rsidRPr="00570FBC">
                          <w:rPr>
                            <w:rFonts w:ascii="Arial" w:hAnsi="Arial" w:cs="Arial"/>
                            <w:b/>
                            <w:color w:val="000000" w:themeColor="text1"/>
                            <w:sz w:val="18"/>
                            <w:szCs w:val="18"/>
                          </w:rPr>
                          <w:t>Headline indicators</w:t>
                        </w:r>
                      </w:p>
                    </w:tc>
                  </w:tr>
                  <w:tr w:rsidR="00C9605D" w:rsidRPr="00570FBC" w14:paraId="4C33CD94" w14:textId="77777777" w:rsidTr="005A57D8">
                    <w:tc>
                      <w:tcPr>
                        <w:tcW w:w="1907" w:type="pct"/>
                        <w:shd w:val="clear" w:color="auto" w:fill="auto"/>
                      </w:tcPr>
                      <w:p w14:paraId="0B9D9DC2"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4.1</w:t>
                        </w:r>
                        <w:r w:rsidRPr="00570FBC">
                          <w:rPr>
                            <w:rFonts w:ascii="Arial" w:hAnsi="Arial" w:cs="Arial"/>
                            <w:color w:val="000000" w:themeColor="text1"/>
                            <w:sz w:val="18"/>
                            <w:szCs w:val="18"/>
                          </w:rPr>
                          <w:tab/>
                          <w:t xml:space="preserve">Life expectancy </w:t>
                        </w:r>
                      </w:p>
                    </w:tc>
                    <w:tc>
                      <w:tcPr>
                        <w:tcW w:w="3093" w:type="pct"/>
                        <w:shd w:val="clear" w:color="auto" w:fill="auto"/>
                      </w:tcPr>
                      <w:p w14:paraId="38B9D52C" w14:textId="35A28BEB" w:rsidR="00C9605D" w:rsidRPr="00570FBC" w:rsidRDefault="00C9605D" w:rsidP="005A57D8">
                        <w:pPr>
                          <w:tabs>
                            <w:tab w:val="left" w:pos="541"/>
                          </w:tabs>
                          <w:spacing w:before="60" w:after="60"/>
                          <w:ind w:left="57" w:right="-108"/>
                          <w:rPr>
                            <w:rFonts w:ascii="Arial" w:hAnsi="Arial" w:cs="Arial"/>
                            <w:i/>
                            <w:color w:val="000000" w:themeColor="text1"/>
                            <w:sz w:val="18"/>
                            <w:szCs w:val="18"/>
                          </w:rPr>
                        </w:pPr>
                        <w:r w:rsidRPr="00570FBC">
                          <w:rPr>
                            <w:rFonts w:ascii="Arial" w:hAnsi="Arial" w:cs="Arial"/>
                            <w:color w:val="000000" w:themeColor="text1"/>
                            <w:sz w:val="18"/>
                            <w:szCs w:val="18"/>
                          </w:rPr>
                          <w:t>4.8</w:t>
                        </w:r>
                        <w:r w:rsidRPr="00570FBC">
                          <w:rPr>
                            <w:rFonts w:ascii="Arial" w:hAnsi="Arial" w:cs="Arial"/>
                            <w:color w:val="000000" w:themeColor="text1"/>
                            <w:sz w:val="18"/>
                            <w:szCs w:val="18"/>
                          </w:rPr>
                          <w:tab/>
                          <w:t>Post</w:t>
                        </w:r>
                        <w:r w:rsidR="007767B3">
                          <w:rPr>
                            <w:rFonts w:ascii="Arial" w:hAnsi="Arial" w:cs="Arial"/>
                            <w:color w:val="000000" w:themeColor="text1"/>
                            <w:sz w:val="18"/>
                            <w:szCs w:val="18"/>
                          </w:rPr>
                          <w:noBreakHyphen/>
                        </w:r>
                        <w:r w:rsidRPr="00570FBC">
                          <w:rPr>
                            <w:rFonts w:ascii="Arial" w:hAnsi="Arial" w:cs="Arial"/>
                            <w:color w:val="000000" w:themeColor="text1"/>
                            <w:sz w:val="18"/>
                            <w:szCs w:val="18"/>
                          </w:rPr>
                          <w:t xml:space="preserve">secondary education — participation and attainment </w:t>
                        </w:r>
                      </w:p>
                    </w:tc>
                  </w:tr>
                  <w:tr w:rsidR="00C9605D" w:rsidRPr="00570FBC" w14:paraId="10F0439B" w14:textId="77777777" w:rsidTr="005A57D8">
                    <w:tc>
                      <w:tcPr>
                        <w:tcW w:w="1907" w:type="pct"/>
                        <w:shd w:val="clear" w:color="auto" w:fill="auto"/>
                      </w:tcPr>
                      <w:p w14:paraId="7A628360"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4.2</w:t>
                        </w:r>
                        <w:r w:rsidRPr="00570FBC">
                          <w:rPr>
                            <w:rFonts w:ascii="Arial" w:hAnsi="Arial" w:cs="Arial"/>
                            <w:color w:val="000000" w:themeColor="text1"/>
                            <w:sz w:val="18"/>
                            <w:szCs w:val="18"/>
                          </w:rPr>
                          <w:tab/>
                          <w:t xml:space="preserve">Young child mortality </w:t>
                        </w:r>
                      </w:p>
                    </w:tc>
                    <w:tc>
                      <w:tcPr>
                        <w:tcW w:w="3093" w:type="pct"/>
                        <w:shd w:val="clear" w:color="auto" w:fill="auto"/>
                      </w:tcPr>
                      <w:p w14:paraId="3056E732"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4.9</w:t>
                        </w:r>
                        <w:r w:rsidRPr="00570FBC">
                          <w:rPr>
                            <w:rFonts w:ascii="Arial" w:hAnsi="Arial" w:cs="Arial"/>
                            <w:color w:val="000000" w:themeColor="text1"/>
                            <w:sz w:val="18"/>
                            <w:szCs w:val="18"/>
                          </w:rPr>
                          <w:tab/>
                          <w:t xml:space="preserve">Disability and chronic disease </w:t>
                        </w:r>
                      </w:p>
                    </w:tc>
                  </w:tr>
                  <w:tr w:rsidR="00C9605D" w:rsidRPr="00570FBC" w14:paraId="3F6CD451" w14:textId="77777777" w:rsidTr="005A57D8">
                    <w:tc>
                      <w:tcPr>
                        <w:tcW w:w="1907" w:type="pct"/>
                        <w:shd w:val="clear" w:color="auto" w:fill="auto"/>
                      </w:tcPr>
                      <w:p w14:paraId="6C5E4E00"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 xml:space="preserve">4.3 </w:t>
                        </w:r>
                        <w:r w:rsidRPr="00570FBC">
                          <w:rPr>
                            <w:rFonts w:ascii="Arial" w:hAnsi="Arial" w:cs="Arial"/>
                            <w:color w:val="000000" w:themeColor="text1"/>
                            <w:sz w:val="18"/>
                            <w:szCs w:val="18"/>
                          </w:rPr>
                          <w:tab/>
                          <w:t xml:space="preserve">Early childhood education </w:t>
                        </w:r>
                      </w:p>
                    </w:tc>
                    <w:tc>
                      <w:tcPr>
                        <w:tcW w:w="3093" w:type="pct"/>
                        <w:shd w:val="clear" w:color="auto" w:fill="auto"/>
                      </w:tcPr>
                      <w:p w14:paraId="78E334C8"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4.10</w:t>
                        </w:r>
                        <w:r w:rsidRPr="00570FBC">
                          <w:rPr>
                            <w:rFonts w:ascii="Arial" w:hAnsi="Arial" w:cs="Arial"/>
                            <w:color w:val="000000" w:themeColor="text1"/>
                            <w:sz w:val="18"/>
                            <w:szCs w:val="18"/>
                          </w:rPr>
                          <w:tab/>
                          <w:t xml:space="preserve">Household and individual income </w:t>
                        </w:r>
                      </w:p>
                    </w:tc>
                  </w:tr>
                  <w:tr w:rsidR="00C9605D" w:rsidRPr="00570FBC" w14:paraId="6F781EAB" w14:textId="77777777" w:rsidTr="005A57D8">
                    <w:tc>
                      <w:tcPr>
                        <w:tcW w:w="1907" w:type="pct"/>
                        <w:shd w:val="clear" w:color="auto" w:fill="auto"/>
                      </w:tcPr>
                      <w:p w14:paraId="4D1A0469"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 xml:space="preserve">4.4 </w:t>
                        </w:r>
                        <w:r w:rsidRPr="00570FBC">
                          <w:rPr>
                            <w:rFonts w:ascii="Arial" w:hAnsi="Arial" w:cs="Arial"/>
                            <w:color w:val="000000" w:themeColor="text1"/>
                            <w:sz w:val="18"/>
                            <w:szCs w:val="18"/>
                          </w:rPr>
                          <w:tab/>
                          <w:t>Reading, writing and numeracy</w:t>
                        </w:r>
                      </w:p>
                    </w:tc>
                    <w:tc>
                      <w:tcPr>
                        <w:tcW w:w="3093" w:type="pct"/>
                        <w:shd w:val="clear" w:color="auto" w:fill="auto"/>
                      </w:tcPr>
                      <w:p w14:paraId="7A2819F1"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4.11</w:t>
                        </w:r>
                        <w:r w:rsidRPr="00570FBC">
                          <w:rPr>
                            <w:rFonts w:ascii="Arial" w:hAnsi="Arial" w:cs="Arial"/>
                            <w:color w:val="000000" w:themeColor="text1"/>
                            <w:sz w:val="18"/>
                            <w:szCs w:val="18"/>
                          </w:rPr>
                          <w:tab/>
                          <w:t xml:space="preserve">Substantiated child abuse and neglect </w:t>
                        </w:r>
                      </w:p>
                    </w:tc>
                  </w:tr>
                  <w:tr w:rsidR="00C9605D" w:rsidRPr="00570FBC" w14:paraId="46A554DD" w14:textId="77777777" w:rsidTr="005A57D8">
                    <w:tc>
                      <w:tcPr>
                        <w:tcW w:w="1907" w:type="pct"/>
                        <w:shd w:val="clear" w:color="auto" w:fill="auto"/>
                      </w:tcPr>
                      <w:p w14:paraId="6E3D8A84"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w:t>
                        </w:r>
                        <w:r w:rsidRPr="00B56621">
                          <w:rPr>
                            <w:rFonts w:ascii="Arial" w:hAnsi="Arial" w:cs="Arial"/>
                            <w:color w:val="000000" w:themeColor="text1"/>
                            <w:sz w:val="18"/>
                            <w:szCs w:val="18"/>
                          </w:rPr>
                          <w:t xml:space="preserve">5 </w:t>
                        </w:r>
                        <w:r w:rsidRPr="00B56621">
                          <w:rPr>
                            <w:rFonts w:ascii="Arial" w:hAnsi="Arial" w:cs="Arial"/>
                            <w:color w:val="000000" w:themeColor="text1"/>
                            <w:sz w:val="18"/>
                            <w:szCs w:val="18"/>
                          </w:rPr>
                          <w:tab/>
                          <w:t>Year 1 to 10</w:t>
                        </w:r>
                        <w:r>
                          <w:rPr>
                            <w:rFonts w:ascii="Arial" w:hAnsi="Arial" w:cs="Arial"/>
                            <w:color w:val="000000" w:themeColor="text1"/>
                            <w:sz w:val="18"/>
                            <w:szCs w:val="18"/>
                          </w:rPr>
                          <w:t xml:space="preserve"> </w:t>
                        </w:r>
                        <w:r w:rsidRPr="00570FBC">
                          <w:rPr>
                            <w:rFonts w:ascii="Arial" w:hAnsi="Arial" w:cs="Arial"/>
                            <w:color w:val="000000" w:themeColor="text1"/>
                            <w:sz w:val="18"/>
                            <w:szCs w:val="18"/>
                          </w:rPr>
                          <w:t xml:space="preserve">attendance </w:t>
                        </w:r>
                      </w:p>
                    </w:tc>
                    <w:tc>
                      <w:tcPr>
                        <w:tcW w:w="3093" w:type="pct"/>
                        <w:shd w:val="clear" w:color="auto" w:fill="auto"/>
                      </w:tcPr>
                      <w:p w14:paraId="49F7E8A8"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4.12</w:t>
                        </w:r>
                        <w:r w:rsidRPr="00570FBC">
                          <w:rPr>
                            <w:rFonts w:ascii="Arial" w:hAnsi="Arial" w:cs="Arial"/>
                            <w:color w:val="000000" w:themeColor="text1"/>
                            <w:sz w:val="18"/>
                            <w:szCs w:val="18"/>
                          </w:rPr>
                          <w:tab/>
                          <w:t xml:space="preserve">Family and community violence </w:t>
                        </w:r>
                      </w:p>
                    </w:tc>
                  </w:tr>
                  <w:tr w:rsidR="00C9605D" w:rsidRPr="00570FBC" w14:paraId="5AAC0E2D" w14:textId="77777777" w:rsidTr="005A57D8">
                    <w:tc>
                      <w:tcPr>
                        <w:tcW w:w="1907" w:type="pct"/>
                        <w:shd w:val="clear" w:color="auto" w:fill="auto"/>
                      </w:tcPr>
                      <w:p w14:paraId="4FB58856"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 xml:space="preserve">4.6 </w:t>
                        </w:r>
                        <w:r w:rsidRPr="00570FBC">
                          <w:rPr>
                            <w:rFonts w:ascii="Arial" w:hAnsi="Arial" w:cs="Arial"/>
                            <w:color w:val="000000" w:themeColor="text1"/>
                            <w:sz w:val="18"/>
                            <w:szCs w:val="18"/>
                          </w:rPr>
                          <w:tab/>
                          <w:t>Year 12 attainment</w:t>
                        </w:r>
                      </w:p>
                    </w:tc>
                    <w:tc>
                      <w:tcPr>
                        <w:tcW w:w="3093" w:type="pct"/>
                        <w:shd w:val="clear" w:color="auto" w:fill="auto"/>
                      </w:tcPr>
                      <w:p w14:paraId="023C3439" w14:textId="77777777" w:rsidR="00C9605D" w:rsidRPr="00570FBC" w:rsidRDefault="00C9605D" w:rsidP="00215754">
                        <w:pPr>
                          <w:tabs>
                            <w:tab w:val="left" w:pos="541"/>
                          </w:tabs>
                          <w:spacing w:before="60" w:after="60"/>
                          <w:ind w:left="57" w:right="-108"/>
                          <w:rPr>
                            <w:rFonts w:ascii="Arial" w:hAnsi="Arial" w:cs="Arial"/>
                            <w:i/>
                            <w:color w:val="000000" w:themeColor="text1"/>
                            <w:sz w:val="18"/>
                            <w:szCs w:val="18"/>
                          </w:rPr>
                        </w:pPr>
                        <w:r w:rsidRPr="00570FBC">
                          <w:rPr>
                            <w:rFonts w:ascii="Arial" w:hAnsi="Arial" w:cs="Arial"/>
                            <w:color w:val="000000" w:themeColor="text1"/>
                            <w:sz w:val="18"/>
                            <w:szCs w:val="18"/>
                          </w:rPr>
                          <w:t xml:space="preserve">4.13 </w:t>
                        </w:r>
                        <w:r w:rsidRPr="00570FBC">
                          <w:rPr>
                            <w:rFonts w:ascii="Arial" w:hAnsi="Arial" w:cs="Arial"/>
                            <w:color w:val="000000" w:themeColor="text1"/>
                            <w:sz w:val="18"/>
                            <w:szCs w:val="18"/>
                          </w:rPr>
                          <w:tab/>
                          <w:t xml:space="preserve">Imprisonment and </w:t>
                        </w:r>
                        <w:r w:rsidR="00215754">
                          <w:rPr>
                            <w:rFonts w:ascii="Arial" w:hAnsi="Arial" w:cs="Arial"/>
                            <w:color w:val="000000" w:themeColor="text1"/>
                            <w:sz w:val="18"/>
                            <w:szCs w:val="18"/>
                          </w:rPr>
                          <w:t>youth</w:t>
                        </w:r>
                        <w:r w:rsidR="00215754" w:rsidRPr="00570FBC">
                          <w:rPr>
                            <w:rFonts w:ascii="Arial" w:hAnsi="Arial" w:cs="Arial"/>
                            <w:color w:val="000000" w:themeColor="text1"/>
                            <w:sz w:val="18"/>
                            <w:szCs w:val="18"/>
                          </w:rPr>
                          <w:t xml:space="preserve"> </w:t>
                        </w:r>
                        <w:r w:rsidRPr="00570FBC">
                          <w:rPr>
                            <w:rFonts w:ascii="Arial" w:hAnsi="Arial" w:cs="Arial"/>
                            <w:color w:val="000000" w:themeColor="text1"/>
                            <w:sz w:val="18"/>
                            <w:szCs w:val="18"/>
                          </w:rPr>
                          <w:t xml:space="preserve">detention </w:t>
                        </w:r>
                      </w:p>
                    </w:tc>
                  </w:tr>
                  <w:tr w:rsidR="00C9605D" w:rsidRPr="00570FBC" w14:paraId="09D670AE" w14:textId="77777777" w:rsidTr="005A57D8">
                    <w:tc>
                      <w:tcPr>
                        <w:tcW w:w="1907" w:type="pct"/>
                        <w:shd w:val="clear" w:color="auto" w:fill="auto"/>
                      </w:tcPr>
                      <w:p w14:paraId="15A8B948"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r w:rsidRPr="00570FBC">
                          <w:rPr>
                            <w:rFonts w:ascii="Arial" w:hAnsi="Arial" w:cs="Arial"/>
                            <w:color w:val="000000" w:themeColor="text1"/>
                            <w:sz w:val="18"/>
                            <w:szCs w:val="18"/>
                          </w:rPr>
                          <w:t>4.7</w:t>
                        </w:r>
                        <w:r w:rsidRPr="00570FBC">
                          <w:rPr>
                            <w:rFonts w:ascii="Arial" w:hAnsi="Arial" w:cs="Arial"/>
                            <w:color w:val="000000" w:themeColor="text1"/>
                            <w:sz w:val="18"/>
                            <w:szCs w:val="18"/>
                          </w:rPr>
                          <w:tab/>
                          <w:t>Employment</w:t>
                        </w:r>
                      </w:p>
                    </w:tc>
                    <w:tc>
                      <w:tcPr>
                        <w:tcW w:w="3093" w:type="pct"/>
                        <w:shd w:val="clear" w:color="auto" w:fill="auto"/>
                      </w:tcPr>
                      <w:p w14:paraId="04D8BCFA" w14:textId="77777777" w:rsidR="00C9605D" w:rsidRPr="00570FBC" w:rsidRDefault="00C9605D" w:rsidP="005A57D8">
                        <w:pPr>
                          <w:tabs>
                            <w:tab w:val="left" w:pos="541"/>
                          </w:tabs>
                          <w:spacing w:before="60" w:after="60"/>
                          <w:ind w:left="57" w:right="-108"/>
                          <w:rPr>
                            <w:rFonts w:ascii="Arial" w:hAnsi="Arial" w:cs="Arial"/>
                            <w:color w:val="000000" w:themeColor="text1"/>
                            <w:sz w:val="18"/>
                            <w:szCs w:val="18"/>
                          </w:rPr>
                        </w:pPr>
                      </w:p>
                    </w:tc>
                  </w:tr>
                </w:tbl>
                <w:p w14:paraId="02AD7CFC" w14:textId="77777777" w:rsidR="00C9605D" w:rsidRPr="00AC1327" w:rsidRDefault="00C9605D" w:rsidP="005A57D8">
                  <w:pPr>
                    <w:pStyle w:val="BodyText"/>
                    <w:spacing w:before="80" w:after="40"/>
                    <w:rPr>
                      <w:rFonts w:ascii="Arial" w:hAnsi="Arial" w:cs="Arial"/>
                      <w:b/>
                      <w:color w:val="000000" w:themeColor="text1"/>
                      <w:sz w:val="20"/>
                    </w:rPr>
                  </w:pPr>
                  <w:r w:rsidRPr="00AC1327">
                    <w:rPr>
                      <w:rFonts w:ascii="Arial" w:hAnsi="Arial" w:cs="Arial"/>
                      <w:b/>
                      <w:color w:val="000000" w:themeColor="text1"/>
                      <w:sz w:val="20"/>
                    </w:rPr>
                    <w:t>Strategic areas for action</w:t>
                  </w:r>
                </w:p>
                <w:tbl>
                  <w:tblPr>
                    <w:tblW w:w="8493" w:type="dxa"/>
                    <w:tblCellMar>
                      <w:left w:w="28" w:type="dxa"/>
                      <w:right w:w="57" w:type="dxa"/>
                    </w:tblCellMar>
                    <w:tblLook w:val="01E0" w:firstRow="1" w:lastRow="1" w:firstColumn="1" w:lastColumn="1" w:noHBand="0" w:noVBand="0"/>
                  </w:tblPr>
                  <w:tblGrid>
                    <w:gridCol w:w="660"/>
                    <w:gridCol w:w="305"/>
                    <w:gridCol w:w="91"/>
                    <w:gridCol w:w="231"/>
                    <w:gridCol w:w="92"/>
                    <w:gridCol w:w="569"/>
                    <w:gridCol w:w="229"/>
                    <w:gridCol w:w="92"/>
                    <w:gridCol w:w="263"/>
                    <w:gridCol w:w="92"/>
                    <w:gridCol w:w="443"/>
                    <w:gridCol w:w="105"/>
                    <w:gridCol w:w="92"/>
                    <w:gridCol w:w="333"/>
                    <w:gridCol w:w="92"/>
                    <w:gridCol w:w="578"/>
                    <w:gridCol w:w="146"/>
                    <w:gridCol w:w="92"/>
                    <w:gridCol w:w="341"/>
                    <w:gridCol w:w="92"/>
                    <w:gridCol w:w="426"/>
                    <w:gridCol w:w="73"/>
                    <w:gridCol w:w="59"/>
                    <w:gridCol w:w="92"/>
                    <w:gridCol w:w="352"/>
                    <w:gridCol w:w="92"/>
                    <w:gridCol w:w="606"/>
                    <w:gridCol w:w="566"/>
                    <w:gridCol w:w="160"/>
                    <w:gridCol w:w="12"/>
                    <w:gridCol w:w="82"/>
                    <w:gridCol w:w="476"/>
                    <w:gridCol w:w="10"/>
                    <w:gridCol w:w="549"/>
                  </w:tblGrid>
                  <w:tr w:rsidR="00C9605D" w:rsidRPr="00570FBC" w14:paraId="30A20F20" w14:textId="77777777" w:rsidTr="005A57D8">
                    <w:trPr>
                      <w:trHeight w:hRule="exact" w:val="170"/>
                    </w:trPr>
                    <w:tc>
                      <w:tcPr>
                        <w:tcW w:w="389" w:type="pct"/>
                        <w:tcBorders>
                          <w:bottom w:val="single" w:sz="2" w:space="0" w:color="auto"/>
                          <w:right w:val="single" w:sz="2" w:space="0" w:color="auto"/>
                        </w:tcBorders>
                        <w:shd w:val="clear" w:color="auto" w:fill="auto"/>
                      </w:tcPr>
                      <w:p w14:paraId="54A084BF"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180" w:type="pct"/>
                        <w:tcBorders>
                          <w:top w:val="single" w:sz="2" w:space="0" w:color="auto"/>
                          <w:left w:val="single" w:sz="2" w:space="0" w:color="auto"/>
                          <w:bottom w:val="single" w:sz="2" w:space="0" w:color="auto"/>
                        </w:tcBorders>
                        <w:shd w:val="clear" w:color="auto" w:fill="auto"/>
                      </w:tcPr>
                      <w:p w14:paraId="2D116BE1"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4" w:type="pct"/>
                        <w:tcBorders>
                          <w:top w:val="single" w:sz="2" w:space="0" w:color="auto"/>
                          <w:left w:val="nil"/>
                        </w:tcBorders>
                        <w:shd w:val="clear" w:color="auto" w:fill="auto"/>
                      </w:tcPr>
                      <w:p w14:paraId="10647514"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25" w:type="pct"/>
                        <w:gridSpan w:val="3"/>
                        <w:tcBorders>
                          <w:top w:val="single" w:sz="2" w:space="0" w:color="auto"/>
                          <w:bottom w:val="single" w:sz="2" w:space="0" w:color="auto"/>
                          <w:right w:val="single" w:sz="2" w:space="0" w:color="auto"/>
                        </w:tcBorders>
                        <w:shd w:val="clear" w:color="auto" w:fill="auto"/>
                      </w:tcPr>
                      <w:p w14:paraId="78EC27AD"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135" w:type="pct"/>
                        <w:tcBorders>
                          <w:top w:val="single" w:sz="2" w:space="0" w:color="auto"/>
                          <w:left w:val="single" w:sz="2" w:space="0" w:color="auto"/>
                          <w:bottom w:val="single" w:sz="2" w:space="0" w:color="auto"/>
                        </w:tcBorders>
                        <w:shd w:val="clear" w:color="auto" w:fill="auto"/>
                      </w:tcPr>
                      <w:p w14:paraId="16BB0685"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4" w:type="pct"/>
                        <w:tcBorders>
                          <w:top w:val="single" w:sz="2" w:space="0" w:color="auto"/>
                          <w:left w:val="nil"/>
                        </w:tcBorders>
                        <w:shd w:val="clear" w:color="auto" w:fill="auto"/>
                      </w:tcPr>
                      <w:p w14:paraId="1FF5DABC"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470" w:type="pct"/>
                        <w:gridSpan w:val="3"/>
                        <w:tcBorders>
                          <w:top w:val="single" w:sz="2" w:space="0" w:color="auto"/>
                          <w:bottom w:val="single" w:sz="2" w:space="0" w:color="auto"/>
                          <w:right w:val="single" w:sz="2" w:space="0" w:color="auto"/>
                        </w:tcBorders>
                        <w:shd w:val="clear" w:color="auto" w:fill="auto"/>
                      </w:tcPr>
                      <w:p w14:paraId="35D51D8A"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62" w:type="pct"/>
                        <w:tcBorders>
                          <w:top w:val="single" w:sz="2" w:space="0" w:color="auto"/>
                          <w:left w:val="single" w:sz="2" w:space="0" w:color="auto"/>
                          <w:bottom w:val="single" w:sz="2" w:space="0" w:color="auto"/>
                        </w:tcBorders>
                        <w:shd w:val="clear" w:color="auto" w:fill="auto"/>
                      </w:tcPr>
                      <w:p w14:paraId="4BDAF64C"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4" w:type="pct"/>
                        <w:tcBorders>
                          <w:top w:val="single" w:sz="2" w:space="0" w:color="auto"/>
                          <w:left w:val="nil"/>
                        </w:tcBorders>
                        <w:shd w:val="clear" w:color="auto" w:fill="auto"/>
                      </w:tcPr>
                      <w:p w14:paraId="2A27A02C"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90" w:type="pct"/>
                        <w:gridSpan w:val="3"/>
                        <w:tcBorders>
                          <w:top w:val="single" w:sz="2" w:space="0" w:color="auto"/>
                          <w:bottom w:val="single" w:sz="2" w:space="0" w:color="auto"/>
                          <w:right w:val="single" w:sz="2" w:space="0" w:color="auto"/>
                        </w:tcBorders>
                        <w:shd w:val="clear" w:color="auto" w:fill="auto"/>
                      </w:tcPr>
                      <w:p w14:paraId="4D38744D"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86" w:type="pct"/>
                        <w:tcBorders>
                          <w:top w:val="single" w:sz="2" w:space="0" w:color="auto"/>
                          <w:left w:val="single" w:sz="2" w:space="0" w:color="auto"/>
                          <w:bottom w:val="single" w:sz="2" w:space="0" w:color="auto"/>
                        </w:tcBorders>
                        <w:shd w:val="clear" w:color="auto" w:fill="auto"/>
                      </w:tcPr>
                      <w:p w14:paraId="09D29048"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4" w:type="pct"/>
                        <w:tcBorders>
                          <w:top w:val="single" w:sz="2" w:space="0" w:color="auto"/>
                          <w:left w:val="nil"/>
                        </w:tcBorders>
                        <w:shd w:val="clear" w:color="auto" w:fill="auto"/>
                      </w:tcPr>
                      <w:p w14:paraId="6DF5D99E"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06" w:type="pct"/>
                        <w:gridSpan w:val="3"/>
                        <w:tcBorders>
                          <w:top w:val="single" w:sz="2" w:space="0" w:color="auto"/>
                          <w:bottom w:val="single" w:sz="2" w:space="0" w:color="auto"/>
                          <w:right w:val="single" w:sz="2" w:space="0" w:color="auto"/>
                        </w:tcBorders>
                        <w:shd w:val="clear" w:color="auto" w:fill="auto"/>
                      </w:tcPr>
                      <w:p w14:paraId="0BAA7CD6"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78" w:type="pct"/>
                        <w:gridSpan w:val="2"/>
                        <w:tcBorders>
                          <w:top w:val="single" w:sz="2" w:space="0" w:color="auto"/>
                          <w:left w:val="single" w:sz="2" w:space="0" w:color="auto"/>
                          <w:bottom w:val="single" w:sz="2" w:space="0" w:color="auto"/>
                        </w:tcBorders>
                        <w:shd w:val="clear" w:color="auto" w:fill="auto"/>
                      </w:tcPr>
                      <w:p w14:paraId="2683C9BA"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54" w:type="pct"/>
                        <w:tcBorders>
                          <w:top w:val="single" w:sz="2" w:space="0" w:color="auto"/>
                          <w:left w:val="nil"/>
                        </w:tcBorders>
                        <w:shd w:val="clear" w:color="auto" w:fill="auto"/>
                      </w:tcPr>
                      <w:p w14:paraId="28DEAFF3"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618" w:type="pct"/>
                        <w:gridSpan w:val="3"/>
                        <w:tcBorders>
                          <w:top w:val="single" w:sz="2" w:space="0" w:color="auto"/>
                          <w:bottom w:val="single" w:sz="2" w:space="0" w:color="auto"/>
                          <w:right w:val="single" w:sz="2" w:space="0" w:color="auto"/>
                        </w:tcBorders>
                        <w:shd w:val="clear" w:color="auto" w:fill="auto"/>
                      </w:tcPr>
                      <w:p w14:paraId="0210CCC8"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333" w:type="pct"/>
                        <w:tcBorders>
                          <w:top w:val="single" w:sz="2" w:space="0" w:color="auto"/>
                          <w:left w:val="single" w:sz="2" w:space="0" w:color="auto"/>
                          <w:bottom w:val="single" w:sz="2" w:space="0" w:color="auto"/>
                        </w:tcBorders>
                        <w:shd w:val="clear" w:color="auto" w:fill="auto"/>
                      </w:tcPr>
                      <w:p w14:paraId="598CBD6A"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101" w:type="pct"/>
                        <w:gridSpan w:val="2"/>
                        <w:tcBorders>
                          <w:top w:val="single" w:sz="2" w:space="0" w:color="auto"/>
                          <w:left w:val="nil"/>
                        </w:tcBorders>
                        <w:shd w:val="clear" w:color="auto" w:fill="auto"/>
                      </w:tcPr>
                      <w:p w14:paraId="074B8486" w14:textId="77777777" w:rsidR="00C9605D" w:rsidRPr="00570FBC" w:rsidRDefault="00C9605D" w:rsidP="005A57D8">
                        <w:pPr>
                          <w:spacing w:before="120" w:after="120"/>
                          <w:ind w:left="57"/>
                          <w:jc w:val="center"/>
                          <w:rPr>
                            <w:rFonts w:ascii="Arial" w:hAnsi="Arial" w:cs="Arial"/>
                            <w:b/>
                            <w:color w:val="000000" w:themeColor="text1"/>
                            <w:sz w:val="22"/>
                            <w:szCs w:val="22"/>
                          </w:rPr>
                        </w:pPr>
                      </w:p>
                    </w:tc>
                    <w:tc>
                      <w:tcPr>
                        <w:tcW w:w="334" w:type="pct"/>
                        <w:gridSpan w:val="3"/>
                        <w:tcBorders>
                          <w:top w:val="single" w:sz="2" w:space="0" w:color="auto"/>
                          <w:bottom w:val="single" w:sz="2" w:space="0" w:color="auto"/>
                          <w:right w:val="single" w:sz="2" w:space="0" w:color="auto"/>
                        </w:tcBorders>
                        <w:shd w:val="clear" w:color="auto" w:fill="auto"/>
                      </w:tcPr>
                      <w:p w14:paraId="7727BA34"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324" w:type="pct"/>
                        <w:tcBorders>
                          <w:left w:val="single" w:sz="2" w:space="0" w:color="auto"/>
                          <w:bottom w:val="single" w:sz="2" w:space="0" w:color="auto"/>
                        </w:tcBorders>
                        <w:shd w:val="clear" w:color="auto" w:fill="auto"/>
                      </w:tcPr>
                      <w:p w14:paraId="4A1F5F91" w14:textId="77777777" w:rsidR="00C9605D" w:rsidRPr="00570FBC" w:rsidRDefault="00C9605D" w:rsidP="005A57D8">
                        <w:pPr>
                          <w:spacing w:before="120" w:after="120"/>
                          <w:jc w:val="center"/>
                          <w:rPr>
                            <w:rFonts w:ascii="Arial" w:hAnsi="Arial" w:cs="Arial"/>
                            <w:b/>
                            <w:color w:val="000000" w:themeColor="text1"/>
                            <w:sz w:val="22"/>
                            <w:szCs w:val="22"/>
                          </w:rPr>
                        </w:pPr>
                      </w:p>
                    </w:tc>
                  </w:tr>
                  <w:tr w:rsidR="00C9605D" w:rsidRPr="00570FBC" w14:paraId="53200B00" w14:textId="77777777" w:rsidTr="005A57D8">
                    <w:tc>
                      <w:tcPr>
                        <w:tcW w:w="759" w:type="pct"/>
                        <w:gridSpan w:val="4"/>
                        <w:tcBorders>
                          <w:top w:val="single" w:sz="2" w:space="0" w:color="auto"/>
                          <w:left w:val="single" w:sz="2" w:space="0" w:color="auto"/>
                          <w:bottom w:val="single" w:sz="2" w:space="0" w:color="auto"/>
                          <w:right w:val="single" w:sz="2" w:space="0" w:color="auto"/>
                        </w:tcBorders>
                        <w:shd w:val="clear" w:color="auto" w:fill="auto"/>
                      </w:tcPr>
                      <w:p w14:paraId="542B031C" w14:textId="77777777" w:rsidR="00C9605D" w:rsidRPr="00570FBC" w:rsidRDefault="00C9605D" w:rsidP="005A57D8">
                        <w:pPr>
                          <w:spacing w:before="120" w:after="120"/>
                          <w:jc w:val="center"/>
                          <w:rPr>
                            <w:rFonts w:ascii="Arial" w:hAnsi="Arial" w:cs="Arial"/>
                            <w:b/>
                            <w:color w:val="000000" w:themeColor="text1"/>
                            <w:sz w:val="16"/>
                            <w:szCs w:val="16"/>
                          </w:rPr>
                        </w:pPr>
                        <w:r w:rsidRPr="00570FBC">
                          <w:rPr>
                            <w:rFonts w:ascii="Arial" w:hAnsi="Arial" w:cs="Arial"/>
                            <w:b/>
                            <w:color w:val="000000" w:themeColor="text1"/>
                            <w:sz w:val="16"/>
                            <w:szCs w:val="16"/>
                          </w:rPr>
                          <w:t>Gov</w:t>
                        </w:r>
                        <w:r w:rsidRPr="00570FBC">
                          <w:rPr>
                            <w:rFonts w:ascii="Arial" w:hAnsi="Arial" w:cs="Arial"/>
                            <w:b/>
                            <w:color w:val="000000" w:themeColor="text1"/>
                            <w:spacing w:val="-4"/>
                            <w:sz w:val="16"/>
                            <w:szCs w:val="16"/>
                          </w:rPr>
                          <w:t>ernance, leadership and cu</w:t>
                        </w:r>
                        <w:r w:rsidRPr="00570FBC">
                          <w:rPr>
                            <w:rFonts w:ascii="Arial" w:hAnsi="Arial" w:cs="Arial"/>
                            <w:b/>
                            <w:color w:val="000000" w:themeColor="text1"/>
                            <w:sz w:val="16"/>
                            <w:szCs w:val="16"/>
                          </w:rPr>
                          <w:t>lture</w:t>
                        </w:r>
                      </w:p>
                    </w:tc>
                    <w:tc>
                      <w:tcPr>
                        <w:tcW w:w="54" w:type="pct"/>
                        <w:tcBorders>
                          <w:left w:val="single" w:sz="2" w:space="0" w:color="auto"/>
                          <w:right w:val="single" w:sz="2" w:space="0" w:color="auto"/>
                        </w:tcBorders>
                        <w:shd w:val="clear" w:color="auto" w:fill="auto"/>
                      </w:tcPr>
                      <w:p w14:paraId="112323C3" w14:textId="77777777" w:rsidR="00C9605D" w:rsidRPr="00570FBC" w:rsidRDefault="00C9605D" w:rsidP="005A57D8">
                        <w:pPr>
                          <w:spacing w:before="120" w:after="120"/>
                          <w:jc w:val="center"/>
                          <w:rPr>
                            <w:rFonts w:ascii="Arial" w:hAnsi="Arial" w:cs="Arial"/>
                            <w:b/>
                            <w:color w:val="000000" w:themeColor="text1"/>
                            <w:sz w:val="16"/>
                            <w:szCs w:val="16"/>
                          </w:rPr>
                        </w:pPr>
                      </w:p>
                    </w:tc>
                    <w:tc>
                      <w:tcPr>
                        <w:tcW w:w="678" w:type="pct"/>
                        <w:gridSpan w:val="4"/>
                        <w:tcBorders>
                          <w:top w:val="single" w:sz="2" w:space="0" w:color="auto"/>
                          <w:left w:val="single" w:sz="2" w:space="0" w:color="auto"/>
                          <w:bottom w:val="single" w:sz="2" w:space="0" w:color="auto"/>
                          <w:right w:val="single" w:sz="2" w:space="0" w:color="auto"/>
                        </w:tcBorders>
                        <w:shd w:val="clear" w:color="auto" w:fill="auto"/>
                      </w:tcPr>
                      <w:p w14:paraId="0C1FBA79" w14:textId="77777777" w:rsidR="00C9605D" w:rsidRPr="00570FBC" w:rsidRDefault="00C9605D" w:rsidP="005A57D8">
                        <w:pPr>
                          <w:spacing w:before="120" w:after="120"/>
                          <w:jc w:val="center"/>
                          <w:rPr>
                            <w:rFonts w:ascii="Arial" w:hAnsi="Arial" w:cs="Arial"/>
                            <w:b/>
                            <w:color w:val="000000" w:themeColor="text1"/>
                            <w:sz w:val="16"/>
                            <w:szCs w:val="16"/>
                          </w:rPr>
                        </w:pPr>
                        <w:r w:rsidRPr="00570FBC">
                          <w:rPr>
                            <w:rFonts w:ascii="Arial" w:hAnsi="Arial" w:cs="Arial"/>
                            <w:b/>
                            <w:color w:val="000000" w:themeColor="text1"/>
                            <w:sz w:val="16"/>
                            <w:szCs w:val="16"/>
                          </w:rPr>
                          <w:t>Early child development</w:t>
                        </w:r>
                      </w:p>
                    </w:tc>
                    <w:tc>
                      <w:tcPr>
                        <w:tcW w:w="54" w:type="pct"/>
                        <w:tcBorders>
                          <w:left w:val="single" w:sz="2" w:space="0" w:color="auto"/>
                          <w:right w:val="single" w:sz="2" w:space="0" w:color="auto"/>
                        </w:tcBorders>
                        <w:shd w:val="clear" w:color="auto" w:fill="auto"/>
                      </w:tcPr>
                      <w:p w14:paraId="38416423" w14:textId="77777777" w:rsidR="00C9605D" w:rsidRPr="00570FBC" w:rsidRDefault="00C9605D" w:rsidP="005A57D8">
                        <w:pPr>
                          <w:spacing w:before="120" w:after="120"/>
                          <w:jc w:val="center"/>
                          <w:rPr>
                            <w:rFonts w:ascii="Arial" w:hAnsi="Arial" w:cs="Arial"/>
                            <w:b/>
                            <w:color w:val="000000" w:themeColor="text1"/>
                            <w:sz w:val="16"/>
                            <w:szCs w:val="16"/>
                          </w:rPr>
                        </w:pPr>
                      </w:p>
                    </w:tc>
                    <w:tc>
                      <w:tcPr>
                        <w:tcW w:w="573" w:type="pct"/>
                        <w:gridSpan w:val="4"/>
                        <w:tcBorders>
                          <w:top w:val="single" w:sz="2" w:space="0" w:color="auto"/>
                          <w:left w:val="single" w:sz="2" w:space="0" w:color="auto"/>
                          <w:bottom w:val="single" w:sz="2" w:space="0" w:color="auto"/>
                          <w:right w:val="single" w:sz="2" w:space="0" w:color="auto"/>
                        </w:tcBorders>
                        <w:shd w:val="clear" w:color="auto" w:fill="auto"/>
                      </w:tcPr>
                      <w:p w14:paraId="3FAB64B0" w14:textId="77777777" w:rsidR="00C9605D" w:rsidRPr="00570FBC" w:rsidRDefault="00C9605D" w:rsidP="005A57D8">
                        <w:pPr>
                          <w:spacing w:before="120" w:after="120"/>
                          <w:jc w:val="center"/>
                          <w:rPr>
                            <w:rFonts w:ascii="Arial" w:hAnsi="Arial" w:cs="Arial"/>
                            <w:b/>
                            <w:color w:val="000000" w:themeColor="text1"/>
                            <w:sz w:val="16"/>
                            <w:szCs w:val="16"/>
                          </w:rPr>
                        </w:pPr>
                        <w:r w:rsidRPr="00570FBC">
                          <w:rPr>
                            <w:rFonts w:ascii="Arial" w:hAnsi="Arial" w:cs="Arial"/>
                            <w:b/>
                            <w:color w:val="000000" w:themeColor="text1"/>
                            <w:sz w:val="16"/>
                            <w:szCs w:val="16"/>
                          </w:rPr>
                          <w:t>Education and training</w:t>
                        </w:r>
                      </w:p>
                    </w:tc>
                    <w:tc>
                      <w:tcPr>
                        <w:tcW w:w="54" w:type="pct"/>
                        <w:tcBorders>
                          <w:left w:val="single" w:sz="2" w:space="0" w:color="auto"/>
                          <w:right w:val="single" w:sz="2" w:space="0" w:color="auto"/>
                        </w:tcBorders>
                        <w:shd w:val="clear" w:color="auto" w:fill="auto"/>
                      </w:tcPr>
                      <w:p w14:paraId="2D4282D7" w14:textId="77777777" w:rsidR="00C9605D" w:rsidRPr="00570FBC" w:rsidRDefault="00C9605D" w:rsidP="005A57D8">
                        <w:pPr>
                          <w:spacing w:before="120" w:after="120"/>
                          <w:jc w:val="center"/>
                          <w:rPr>
                            <w:rFonts w:ascii="Arial" w:hAnsi="Arial" w:cs="Arial"/>
                            <w:b/>
                            <w:color w:val="000000" w:themeColor="text1"/>
                            <w:sz w:val="16"/>
                            <w:szCs w:val="16"/>
                          </w:rPr>
                        </w:pPr>
                      </w:p>
                    </w:tc>
                    <w:tc>
                      <w:tcPr>
                        <w:tcW w:w="681" w:type="pct"/>
                        <w:gridSpan w:val="4"/>
                        <w:tcBorders>
                          <w:top w:val="single" w:sz="2" w:space="0" w:color="auto"/>
                          <w:left w:val="single" w:sz="2" w:space="0" w:color="auto"/>
                          <w:bottom w:val="single" w:sz="2" w:space="0" w:color="auto"/>
                          <w:right w:val="single" w:sz="2" w:space="0" w:color="auto"/>
                        </w:tcBorders>
                        <w:shd w:val="clear" w:color="auto" w:fill="auto"/>
                      </w:tcPr>
                      <w:p w14:paraId="6BA22FD8" w14:textId="77777777" w:rsidR="00C9605D" w:rsidRPr="00570FBC" w:rsidRDefault="00C9605D" w:rsidP="005A57D8">
                        <w:pPr>
                          <w:spacing w:before="120" w:after="120"/>
                          <w:jc w:val="center"/>
                          <w:rPr>
                            <w:rFonts w:ascii="Arial" w:hAnsi="Arial" w:cs="Arial"/>
                            <w:b/>
                            <w:color w:val="000000" w:themeColor="text1"/>
                            <w:sz w:val="16"/>
                            <w:szCs w:val="16"/>
                          </w:rPr>
                        </w:pPr>
                        <w:r w:rsidRPr="00570FBC">
                          <w:rPr>
                            <w:rFonts w:ascii="Arial" w:hAnsi="Arial" w:cs="Arial"/>
                            <w:b/>
                            <w:color w:val="000000" w:themeColor="text1"/>
                            <w:sz w:val="16"/>
                            <w:szCs w:val="16"/>
                          </w:rPr>
                          <w:t>Healthy lives</w:t>
                        </w:r>
                      </w:p>
                    </w:tc>
                    <w:tc>
                      <w:tcPr>
                        <w:tcW w:w="54" w:type="pct"/>
                        <w:tcBorders>
                          <w:left w:val="single" w:sz="2" w:space="0" w:color="auto"/>
                          <w:right w:val="single" w:sz="2" w:space="0" w:color="auto"/>
                        </w:tcBorders>
                        <w:shd w:val="clear" w:color="auto" w:fill="auto"/>
                      </w:tcPr>
                      <w:p w14:paraId="48126515" w14:textId="77777777" w:rsidR="00C9605D" w:rsidRPr="00570FBC" w:rsidRDefault="00C9605D" w:rsidP="005A57D8">
                        <w:pPr>
                          <w:spacing w:before="120" w:after="120"/>
                          <w:jc w:val="center"/>
                          <w:rPr>
                            <w:rFonts w:ascii="Arial" w:hAnsi="Arial" w:cs="Arial"/>
                            <w:b/>
                            <w:color w:val="000000" w:themeColor="text1"/>
                            <w:sz w:val="16"/>
                            <w:szCs w:val="16"/>
                          </w:rPr>
                        </w:pPr>
                      </w:p>
                    </w:tc>
                    <w:tc>
                      <w:tcPr>
                        <w:tcW w:w="590" w:type="pct"/>
                        <w:gridSpan w:val="5"/>
                        <w:tcBorders>
                          <w:top w:val="single" w:sz="2" w:space="0" w:color="auto"/>
                          <w:left w:val="single" w:sz="2" w:space="0" w:color="auto"/>
                          <w:bottom w:val="single" w:sz="2" w:space="0" w:color="auto"/>
                          <w:right w:val="single" w:sz="2" w:space="0" w:color="auto"/>
                        </w:tcBorders>
                        <w:shd w:val="clear" w:color="auto" w:fill="auto"/>
                      </w:tcPr>
                      <w:p w14:paraId="04BCBAF6" w14:textId="77777777" w:rsidR="00C9605D" w:rsidRPr="00570FBC" w:rsidRDefault="00C9605D" w:rsidP="005A57D8">
                        <w:pPr>
                          <w:spacing w:before="120" w:after="120"/>
                          <w:jc w:val="center"/>
                          <w:rPr>
                            <w:rFonts w:ascii="Arial" w:hAnsi="Arial" w:cs="Arial"/>
                            <w:b/>
                            <w:color w:val="000000" w:themeColor="text1"/>
                            <w:spacing w:val="-4"/>
                            <w:sz w:val="16"/>
                            <w:szCs w:val="16"/>
                          </w:rPr>
                        </w:pPr>
                        <w:r w:rsidRPr="00570FBC">
                          <w:rPr>
                            <w:rFonts w:ascii="Arial" w:hAnsi="Arial" w:cs="Arial"/>
                            <w:b/>
                            <w:color w:val="000000" w:themeColor="text1"/>
                            <w:spacing w:val="-4"/>
                            <w:sz w:val="16"/>
                            <w:szCs w:val="16"/>
                          </w:rPr>
                          <w:t>Economic participation</w:t>
                        </w:r>
                      </w:p>
                    </w:tc>
                    <w:tc>
                      <w:tcPr>
                        <w:tcW w:w="54" w:type="pct"/>
                        <w:tcBorders>
                          <w:left w:val="single" w:sz="2" w:space="0" w:color="auto"/>
                          <w:right w:val="single" w:sz="2" w:space="0" w:color="auto"/>
                        </w:tcBorders>
                        <w:shd w:val="clear" w:color="auto" w:fill="auto"/>
                      </w:tcPr>
                      <w:p w14:paraId="575D2B29" w14:textId="77777777" w:rsidR="00C9605D" w:rsidRPr="00570FBC" w:rsidRDefault="00C9605D" w:rsidP="005A57D8">
                        <w:pPr>
                          <w:spacing w:before="120" w:after="120"/>
                          <w:jc w:val="center"/>
                          <w:rPr>
                            <w:rFonts w:ascii="Arial" w:hAnsi="Arial" w:cs="Arial"/>
                            <w:b/>
                            <w:color w:val="000000" w:themeColor="text1"/>
                            <w:sz w:val="16"/>
                            <w:szCs w:val="16"/>
                          </w:rPr>
                        </w:pPr>
                      </w:p>
                    </w:tc>
                    <w:tc>
                      <w:tcPr>
                        <w:tcW w:w="784" w:type="pct"/>
                        <w:gridSpan w:val="3"/>
                        <w:tcBorders>
                          <w:top w:val="single" w:sz="2" w:space="0" w:color="auto"/>
                          <w:left w:val="single" w:sz="2" w:space="0" w:color="auto"/>
                          <w:bottom w:val="single" w:sz="2" w:space="0" w:color="auto"/>
                          <w:right w:val="single" w:sz="2" w:space="0" w:color="auto"/>
                        </w:tcBorders>
                        <w:shd w:val="clear" w:color="auto" w:fill="auto"/>
                      </w:tcPr>
                      <w:p w14:paraId="2C4D9BC9" w14:textId="77777777" w:rsidR="00C9605D" w:rsidRPr="00570FBC" w:rsidRDefault="00C9605D" w:rsidP="005A57D8">
                        <w:pPr>
                          <w:spacing w:before="120" w:after="120"/>
                          <w:ind w:left="13"/>
                          <w:jc w:val="center"/>
                          <w:rPr>
                            <w:rFonts w:ascii="Arial" w:hAnsi="Arial" w:cs="Arial"/>
                            <w:b/>
                            <w:color w:val="000000" w:themeColor="text1"/>
                            <w:sz w:val="16"/>
                            <w:szCs w:val="16"/>
                          </w:rPr>
                        </w:pPr>
                        <w:r w:rsidRPr="00570FBC">
                          <w:rPr>
                            <w:rFonts w:ascii="Arial" w:hAnsi="Arial" w:cs="Arial"/>
                            <w:b/>
                            <w:color w:val="000000" w:themeColor="text1"/>
                            <w:sz w:val="16"/>
                            <w:szCs w:val="16"/>
                          </w:rPr>
                          <w:t>Home environment</w:t>
                        </w:r>
                      </w:p>
                    </w:tc>
                    <w:tc>
                      <w:tcPr>
                        <w:tcW w:w="55" w:type="pct"/>
                        <w:gridSpan w:val="2"/>
                        <w:tcBorders>
                          <w:left w:val="single" w:sz="2" w:space="0" w:color="auto"/>
                          <w:right w:val="single" w:sz="2" w:space="0" w:color="auto"/>
                        </w:tcBorders>
                        <w:shd w:val="clear" w:color="auto" w:fill="auto"/>
                      </w:tcPr>
                      <w:p w14:paraId="385E4A55" w14:textId="77777777" w:rsidR="00C9605D" w:rsidRPr="00570FBC" w:rsidRDefault="00C9605D" w:rsidP="005A57D8">
                        <w:pPr>
                          <w:spacing w:before="120" w:after="120"/>
                          <w:ind w:left="57"/>
                          <w:jc w:val="center"/>
                          <w:rPr>
                            <w:rFonts w:ascii="Arial" w:hAnsi="Arial" w:cs="Arial"/>
                            <w:b/>
                            <w:color w:val="000000" w:themeColor="text1"/>
                            <w:sz w:val="16"/>
                            <w:szCs w:val="16"/>
                          </w:rPr>
                        </w:pPr>
                      </w:p>
                    </w:tc>
                    <w:tc>
                      <w:tcPr>
                        <w:tcW w:w="610" w:type="pct"/>
                        <w:gridSpan w:val="3"/>
                        <w:tcBorders>
                          <w:top w:val="single" w:sz="2" w:space="0" w:color="auto"/>
                          <w:left w:val="single" w:sz="2" w:space="0" w:color="auto"/>
                          <w:bottom w:val="single" w:sz="2" w:space="0" w:color="auto"/>
                          <w:right w:val="single" w:sz="4" w:space="0" w:color="auto"/>
                        </w:tcBorders>
                        <w:shd w:val="clear" w:color="auto" w:fill="auto"/>
                      </w:tcPr>
                      <w:p w14:paraId="14567054" w14:textId="77777777" w:rsidR="00C9605D" w:rsidRPr="00570FBC" w:rsidRDefault="00C9605D" w:rsidP="005A57D8">
                        <w:pPr>
                          <w:spacing w:before="120" w:after="120"/>
                          <w:jc w:val="center"/>
                          <w:rPr>
                            <w:rFonts w:ascii="Arial" w:hAnsi="Arial" w:cs="Arial"/>
                            <w:b/>
                            <w:color w:val="000000" w:themeColor="text1"/>
                            <w:sz w:val="16"/>
                            <w:szCs w:val="16"/>
                          </w:rPr>
                        </w:pPr>
                        <w:r w:rsidRPr="00570FBC">
                          <w:rPr>
                            <w:rFonts w:ascii="Arial" w:hAnsi="Arial" w:cs="Arial"/>
                            <w:b/>
                            <w:color w:val="000000" w:themeColor="text1"/>
                            <w:sz w:val="16"/>
                            <w:szCs w:val="16"/>
                          </w:rPr>
                          <w:t>S</w:t>
                        </w:r>
                        <w:r w:rsidRPr="00570FBC">
                          <w:rPr>
                            <w:rFonts w:ascii="Arial" w:hAnsi="Arial" w:cs="Arial"/>
                            <w:b/>
                            <w:color w:val="000000" w:themeColor="text1"/>
                            <w:spacing w:val="-4"/>
                            <w:sz w:val="16"/>
                            <w:szCs w:val="16"/>
                          </w:rPr>
                          <w:t xml:space="preserve">afe and supportive communities </w:t>
                        </w:r>
                      </w:p>
                    </w:tc>
                  </w:tr>
                  <w:tr w:rsidR="00C9605D" w:rsidRPr="00570FBC" w14:paraId="4409573B" w14:textId="77777777" w:rsidTr="005A57D8">
                    <w:trPr>
                      <w:trHeight w:hRule="exact" w:val="170"/>
                    </w:trPr>
                    <w:tc>
                      <w:tcPr>
                        <w:tcW w:w="389" w:type="pct"/>
                        <w:tcBorders>
                          <w:top w:val="single" w:sz="2" w:space="0" w:color="auto"/>
                          <w:bottom w:val="single" w:sz="2" w:space="0" w:color="auto"/>
                          <w:right w:val="single" w:sz="2" w:space="0" w:color="auto"/>
                        </w:tcBorders>
                        <w:shd w:val="clear" w:color="auto" w:fill="auto"/>
                      </w:tcPr>
                      <w:p w14:paraId="0F52D997" w14:textId="77777777" w:rsidR="00C9605D" w:rsidRPr="00570FBC" w:rsidRDefault="00C9605D" w:rsidP="005A57D8">
                        <w:pPr>
                          <w:spacing w:before="120" w:after="120"/>
                          <w:rPr>
                            <w:rFonts w:ascii="Arial" w:hAnsi="Arial" w:cs="Arial"/>
                            <w:color w:val="000000" w:themeColor="text1"/>
                            <w:sz w:val="22"/>
                            <w:szCs w:val="22"/>
                          </w:rPr>
                        </w:pPr>
                      </w:p>
                    </w:tc>
                    <w:tc>
                      <w:tcPr>
                        <w:tcW w:w="370" w:type="pct"/>
                        <w:gridSpan w:val="3"/>
                        <w:tcBorders>
                          <w:top w:val="single" w:sz="2" w:space="0" w:color="auto"/>
                          <w:left w:val="single" w:sz="2" w:space="0" w:color="auto"/>
                          <w:bottom w:val="single" w:sz="2" w:space="0" w:color="auto"/>
                        </w:tcBorders>
                        <w:shd w:val="clear" w:color="auto" w:fill="auto"/>
                      </w:tcPr>
                      <w:p w14:paraId="7872407B" w14:textId="77777777" w:rsidR="00C9605D" w:rsidRPr="00570FBC" w:rsidRDefault="00C9605D" w:rsidP="005A57D8">
                        <w:pPr>
                          <w:spacing w:before="120" w:after="120"/>
                          <w:rPr>
                            <w:rFonts w:ascii="Arial" w:hAnsi="Arial" w:cs="Arial"/>
                            <w:color w:val="000000" w:themeColor="text1"/>
                            <w:sz w:val="22"/>
                            <w:szCs w:val="22"/>
                          </w:rPr>
                        </w:pPr>
                      </w:p>
                    </w:tc>
                    <w:tc>
                      <w:tcPr>
                        <w:tcW w:w="54" w:type="pct"/>
                        <w:shd w:val="clear" w:color="auto" w:fill="auto"/>
                      </w:tcPr>
                      <w:p w14:paraId="5220AB97" w14:textId="77777777" w:rsidR="00C9605D" w:rsidRPr="00570FBC" w:rsidRDefault="00C9605D" w:rsidP="005A57D8">
                        <w:pPr>
                          <w:spacing w:before="120" w:after="120"/>
                          <w:rPr>
                            <w:rFonts w:ascii="Arial" w:hAnsi="Arial" w:cs="Arial"/>
                            <w:color w:val="000000" w:themeColor="text1"/>
                            <w:sz w:val="22"/>
                            <w:szCs w:val="22"/>
                          </w:rPr>
                        </w:pPr>
                      </w:p>
                    </w:tc>
                    <w:tc>
                      <w:tcPr>
                        <w:tcW w:w="334" w:type="pct"/>
                        <w:tcBorders>
                          <w:top w:val="single" w:sz="2" w:space="0" w:color="auto"/>
                          <w:bottom w:val="single" w:sz="2" w:space="0" w:color="auto"/>
                          <w:right w:val="single" w:sz="2" w:space="0" w:color="auto"/>
                        </w:tcBorders>
                        <w:shd w:val="clear" w:color="auto" w:fill="auto"/>
                      </w:tcPr>
                      <w:p w14:paraId="4A6391E7" w14:textId="77777777" w:rsidR="00C9605D" w:rsidRPr="00570FBC" w:rsidRDefault="00C9605D" w:rsidP="005A57D8">
                        <w:pPr>
                          <w:spacing w:before="120" w:after="120"/>
                          <w:rPr>
                            <w:rFonts w:ascii="Arial" w:hAnsi="Arial" w:cs="Arial"/>
                            <w:color w:val="000000" w:themeColor="text1"/>
                            <w:sz w:val="22"/>
                            <w:szCs w:val="22"/>
                          </w:rPr>
                        </w:pPr>
                      </w:p>
                    </w:tc>
                    <w:tc>
                      <w:tcPr>
                        <w:tcW w:w="344" w:type="pct"/>
                        <w:gridSpan w:val="3"/>
                        <w:tcBorders>
                          <w:top w:val="single" w:sz="2" w:space="0" w:color="auto"/>
                          <w:left w:val="single" w:sz="2" w:space="0" w:color="auto"/>
                          <w:bottom w:val="single" w:sz="2" w:space="0" w:color="auto"/>
                        </w:tcBorders>
                        <w:shd w:val="clear" w:color="auto" w:fill="auto"/>
                      </w:tcPr>
                      <w:p w14:paraId="68E120C9" w14:textId="77777777" w:rsidR="00C9605D" w:rsidRPr="00570FBC" w:rsidRDefault="00C9605D" w:rsidP="005A57D8">
                        <w:pPr>
                          <w:spacing w:before="120" w:after="120"/>
                          <w:rPr>
                            <w:rFonts w:ascii="Arial" w:hAnsi="Arial" w:cs="Arial"/>
                            <w:color w:val="000000" w:themeColor="text1"/>
                            <w:sz w:val="22"/>
                            <w:szCs w:val="22"/>
                          </w:rPr>
                        </w:pPr>
                      </w:p>
                    </w:tc>
                    <w:tc>
                      <w:tcPr>
                        <w:tcW w:w="54" w:type="pct"/>
                        <w:shd w:val="clear" w:color="auto" w:fill="auto"/>
                      </w:tcPr>
                      <w:p w14:paraId="1FB39F01" w14:textId="77777777" w:rsidR="00C9605D" w:rsidRPr="00570FBC" w:rsidRDefault="00C9605D" w:rsidP="005A57D8">
                        <w:pPr>
                          <w:spacing w:before="120" w:after="120"/>
                          <w:rPr>
                            <w:rFonts w:ascii="Arial" w:hAnsi="Arial" w:cs="Arial"/>
                            <w:color w:val="000000" w:themeColor="text1"/>
                            <w:sz w:val="22"/>
                            <w:szCs w:val="22"/>
                          </w:rPr>
                        </w:pPr>
                      </w:p>
                    </w:tc>
                    <w:tc>
                      <w:tcPr>
                        <w:tcW w:w="261" w:type="pct"/>
                        <w:tcBorders>
                          <w:top w:val="single" w:sz="2" w:space="0" w:color="auto"/>
                          <w:bottom w:val="single" w:sz="2" w:space="0" w:color="auto"/>
                          <w:right w:val="single" w:sz="2" w:space="0" w:color="auto"/>
                        </w:tcBorders>
                        <w:shd w:val="clear" w:color="auto" w:fill="auto"/>
                      </w:tcPr>
                      <w:p w14:paraId="48E7B6FD" w14:textId="77777777" w:rsidR="00C9605D" w:rsidRPr="00570FBC" w:rsidRDefault="00C9605D" w:rsidP="005A57D8">
                        <w:pPr>
                          <w:spacing w:before="120" w:after="120"/>
                          <w:rPr>
                            <w:rFonts w:ascii="Arial" w:hAnsi="Arial" w:cs="Arial"/>
                            <w:color w:val="000000" w:themeColor="text1"/>
                            <w:sz w:val="22"/>
                            <w:szCs w:val="22"/>
                          </w:rPr>
                        </w:pPr>
                      </w:p>
                    </w:tc>
                    <w:tc>
                      <w:tcPr>
                        <w:tcW w:w="312" w:type="pct"/>
                        <w:gridSpan w:val="3"/>
                        <w:tcBorders>
                          <w:top w:val="single" w:sz="2" w:space="0" w:color="auto"/>
                          <w:left w:val="single" w:sz="2" w:space="0" w:color="auto"/>
                          <w:bottom w:val="single" w:sz="2" w:space="0" w:color="auto"/>
                        </w:tcBorders>
                        <w:shd w:val="clear" w:color="auto" w:fill="auto"/>
                      </w:tcPr>
                      <w:p w14:paraId="7C63E8A4" w14:textId="77777777" w:rsidR="00C9605D" w:rsidRPr="00570FBC" w:rsidRDefault="00C9605D" w:rsidP="005A57D8">
                        <w:pPr>
                          <w:spacing w:before="120" w:after="120"/>
                          <w:rPr>
                            <w:rFonts w:ascii="Arial" w:hAnsi="Arial" w:cs="Arial"/>
                            <w:color w:val="000000" w:themeColor="text1"/>
                            <w:sz w:val="22"/>
                            <w:szCs w:val="22"/>
                          </w:rPr>
                        </w:pPr>
                      </w:p>
                    </w:tc>
                    <w:tc>
                      <w:tcPr>
                        <w:tcW w:w="54" w:type="pct"/>
                        <w:shd w:val="clear" w:color="auto" w:fill="auto"/>
                      </w:tcPr>
                      <w:p w14:paraId="1FE0C887" w14:textId="77777777" w:rsidR="00C9605D" w:rsidRPr="00570FBC" w:rsidRDefault="00C9605D" w:rsidP="005A57D8">
                        <w:pPr>
                          <w:spacing w:before="120" w:after="120"/>
                          <w:rPr>
                            <w:rFonts w:ascii="Arial" w:hAnsi="Arial" w:cs="Arial"/>
                            <w:color w:val="000000" w:themeColor="text1"/>
                            <w:sz w:val="22"/>
                            <w:szCs w:val="22"/>
                          </w:rPr>
                        </w:pPr>
                      </w:p>
                    </w:tc>
                    <w:tc>
                      <w:tcPr>
                        <w:tcW w:w="340" w:type="pct"/>
                        <w:tcBorders>
                          <w:top w:val="single" w:sz="2" w:space="0" w:color="auto"/>
                          <w:bottom w:val="single" w:sz="2" w:space="0" w:color="auto"/>
                          <w:right w:val="single" w:sz="2" w:space="0" w:color="auto"/>
                        </w:tcBorders>
                        <w:shd w:val="clear" w:color="auto" w:fill="auto"/>
                      </w:tcPr>
                      <w:p w14:paraId="0D799AB8" w14:textId="77777777" w:rsidR="00C9605D" w:rsidRPr="00570FBC" w:rsidRDefault="00C9605D" w:rsidP="005A57D8">
                        <w:pPr>
                          <w:spacing w:before="120" w:after="120"/>
                          <w:rPr>
                            <w:rFonts w:ascii="Arial" w:hAnsi="Arial" w:cs="Arial"/>
                            <w:color w:val="000000" w:themeColor="text1"/>
                            <w:sz w:val="22"/>
                            <w:szCs w:val="22"/>
                          </w:rPr>
                        </w:pPr>
                      </w:p>
                    </w:tc>
                    <w:tc>
                      <w:tcPr>
                        <w:tcW w:w="341" w:type="pct"/>
                        <w:gridSpan w:val="3"/>
                        <w:tcBorders>
                          <w:top w:val="single" w:sz="2" w:space="0" w:color="auto"/>
                          <w:left w:val="single" w:sz="2" w:space="0" w:color="auto"/>
                          <w:bottom w:val="single" w:sz="2" w:space="0" w:color="auto"/>
                        </w:tcBorders>
                        <w:shd w:val="clear" w:color="auto" w:fill="auto"/>
                      </w:tcPr>
                      <w:p w14:paraId="0D3136C0" w14:textId="77777777" w:rsidR="00C9605D" w:rsidRPr="00570FBC" w:rsidRDefault="00C9605D" w:rsidP="005A57D8">
                        <w:pPr>
                          <w:spacing w:before="120" w:after="120"/>
                          <w:rPr>
                            <w:rFonts w:ascii="Arial" w:hAnsi="Arial" w:cs="Arial"/>
                            <w:color w:val="000000" w:themeColor="text1"/>
                            <w:sz w:val="22"/>
                            <w:szCs w:val="22"/>
                          </w:rPr>
                        </w:pPr>
                      </w:p>
                    </w:tc>
                    <w:tc>
                      <w:tcPr>
                        <w:tcW w:w="54" w:type="pct"/>
                        <w:shd w:val="clear" w:color="auto" w:fill="auto"/>
                      </w:tcPr>
                      <w:p w14:paraId="340E162E"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294" w:type="pct"/>
                        <w:gridSpan w:val="2"/>
                        <w:tcBorders>
                          <w:top w:val="single" w:sz="2" w:space="0" w:color="auto"/>
                          <w:bottom w:val="single" w:sz="2" w:space="0" w:color="auto"/>
                          <w:right w:val="single" w:sz="2" w:space="0" w:color="auto"/>
                        </w:tcBorders>
                        <w:shd w:val="clear" w:color="auto" w:fill="auto"/>
                      </w:tcPr>
                      <w:p w14:paraId="1B759F8E" w14:textId="77777777" w:rsidR="00C9605D" w:rsidRPr="00570FBC" w:rsidRDefault="00C9605D" w:rsidP="005A57D8">
                        <w:pPr>
                          <w:spacing w:before="120" w:after="120"/>
                          <w:rPr>
                            <w:rFonts w:ascii="Arial" w:hAnsi="Arial" w:cs="Arial"/>
                            <w:color w:val="000000" w:themeColor="text1"/>
                            <w:sz w:val="22"/>
                            <w:szCs w:val="22"/>
                          </w:rPr>
                        </w:pPr>
                      </w:p>
                    </w:tc>
                    <w:tc>
                      <w:tcPr>
                        <w:tcW w:w="296" w:type="pct"/>
                        <w:gridSpan w:val="3"/>
                        <w:tcBorders>
                          <w:top w:val="single" w:sz="2" w:space="0" w:color="auto"/>
                          <w:left w:val="single" w:sz="2" w:space="0" w:color="auto"/>
                          <w:bottom w:val="single" w:sz="2" w:space="0" w:color="auto"/>
                        </w:tcBorders>
                        <w:shd w:val="clear" w:color="auto" w:fill="auto"/>
                      </w:tcPr>
                      <w:p w14:paraId="0A76D0F2" w14:textId="77777777" w:rsidR="00C9605D" w:rsidRPr="00570FBC" w:rsidRDefault="00C9605D" w:rsidP="005A57D8">
                        <w:pPr>
                          <w:spacing w:before="120" w:after="120"/>
                          <w:rPr>
                            <w:rFonts w:ascii="Arial" w:hAnsi="Arial" w:cs="Arial"/>
                            <w:color w:val="000000" w:themeColor="text1"/>
                            <w:sz w:val="22"/>
                            <w:szCs w:val="22"/>
                          </w:rPr>
                        </w:pPr>
                      </w:p>
                    </w:tc>
                    <w:tc>
                      <w:tcPr>
                        <w:tcW w:w="54" w:type="pct"/>
                        <w:shd w:val="clear" w:color="auto" w:fill="auto"/>
                      </w:tcPr>
                      <w:p w14:paraId="0B3A9CE6" w14:textId="77777777" w:rsidR="00C9605D" w:rsidRPr="00570FBC" w:rsidRDefault="00C9605D" w:rsidP="005A57D8">
                        <w:pPr>
                          <w:spacing w:before="120" w:after="120"/>
                          <w:jc w:val="center"/>
                          <w:rPr>
                            <w:rFonts w:ascii="Arial" w:hAnsi="Arial" w:cs="Arial"/>
                            <w:b/>
                            <w:color w:val="000000" w:themeColor="text1"/>
                            <w:sz w:val="22"/>
                            <w:szCs w:val="22"/>
                          </w:rPr>
                        </w:pPr>
                      </w:p>
                    </w:tc>
                    <w:tc>
                      <w:tcPr>
                        <w:tcW w:w="356" w:type="pct"/>
                        <w:tcBorders>
                          <w:top w:val="single" w:sz="2" w:space="0" w:color="auto"/>
                          <w:bottom w:val="single" w:sz="2" w:space="0" w:color="auto"/>
                          <w:right w:val="single" w:sz="2" w:space="0" w:color="auto"/>
                        </w:tcBorders>
                        <w:shd w:val="clear" w:color="auto" w:fill="auto"/>
                      </w:tcPr>
                      <w:p w14:paraId="62A1D3E2" w14:textId="77777777" w:rsidR="00C9605D" w:rsidRPr="00570FBC" w:rsidRDefault="00C9605D" w:rsidP="005A57D8">
                        <w:pPr>
                          <w:spacing w:before="120" w:after="120"/>
                          <w:rPr>
                            <w:rFonts w:ascii="Arial" w:hAnsi="Arial" w:cs="Arial"/>
                            <w:color w:val="000000" w:themeColor="text1"/>
                            <w:sz w:val="22"/>
                            <w:szCs w:val="22"/>
                          </w:rPr>
                        </w:pPr>
                      </w:p>
                    </w:tc>
                    <w:tc>
                      <w:tcPr>
                        <w:tcW w:w="427" w:type="pct"/>
                        <w:gridSpan w:val="2"/>
                        <w:tcBorders>
                          <w:top w:val="single" w:sz="2" w:space="0" w:color="auto"/>
                          <w:left w:val="single" w:sz="2" w:space="0" w:color="auto"/>
                          <w:bottom w:val="single" w:sz="2" w:space="0" w:color="auto"/>
                        </w:tcBorders>
                        <w:shd w:val="clear" w:color="auto" w:fill="auto"/>
                      </w:tcPr>
                      <w:p w14:paraId="754A6502" w14:textId="77777777" w:rsidR="00C9605D" w:rsidRPr="00570FBC" w:rsidRDefault="00C9605D" w:rsidP="005A57D8">
                        <w:pPr>
                          <w:spacing w:before="120" w:after="120"/>
                          <w:rPr>
                            <w:rFonts w:ascii="Arial" w:hAnsi="Arial" w:cs="Arial"/>
                            <w:color w:val="000000" w:themeColor="text1"/>
                            <w:sz w:val="22"/>
                            <w:szCs w:val="22"/>
                          </w:rPr>
                        </w:pPr>
                      </w:p>
                    </w:tc>
                    <w:tc>
                      <w:tcPr>
                        <w:tcW w:w="55" w:type="pct"/>
                        <w:gridSpan w:val="2"/>
                        <w:shd w:val="clear" w:color="auto" w:fill="auto"/>
                      </w:tcPr>
                      <w:p w14:paraId="4211EABF" w14:textId="77777777" w:rsidR="00C9605D" w:rsidRPr="00570FBC" w:rsidRDefault="00C9605D" w:rsidP="005A57D8">
                        <w:pPr>
                          <w:spacing w:before="120" w:after="120"/>
                          <w:ind w:left="57"/>
                          <w:jc w:val="center"/>
                          <w:rPr>
                            <w:rFonts w:ascii="Arial" w:hAnsi="Arial" w:cs="Arial"/>
                            <w:b/>
                            <w:color w:val="000000" w:themeColor="text1"/>
                            <w:sz w:val="22"/>
                            <w:szCs w:val="22"/>
                          </w:rPr>
                        </w:pPr>
                      </w:p>
                    </w:tc>
                    <w:tc>
                      <w:tcPr>
                        <w:tcW w:w="280" w:type="pct"/>
                        <w:tcBorders>
                          <w:top w:val="single" w:sz="2" w:space="0" w:color="auto"/>
                          <w:bottom w:val="single" w:sz="2" w:space="0" w:color="auto"/>
                          <w:right w:val="single" w:sz="2" w:space="0" w:color="auto"/>
                        </w:tcBorders>
                        <w:shd w:val="clear" w:color="auto" w:fill="auto"/>
                      </w:tcPr>
                      <w:p w14:paraId="44678651" w14:textId="77777777" w:rsidR="00C9605D" w:rsidRPr="00570FBC" w:rsidRDefault="00C9605D" w:rsidP="005A57D8">
                        <w:pPr>
                          <w:spacing w:before="120" w:after="120"/>
                          <w:rPr>
                            <w:rFonts w:ascii="Arial" w:hAnsi="Arial" w:cs="Arial"/>
                            <w:color w:val="000000" w:themeColor="text1"/>
                            <w:sz w:val="22"/>
                            <w:szCs w:val="22"/>
                          </w:rPr>
                        </w:pPr>
                      </w:p>
                    </w:tc>
                    <w:tc>
                      <w:tcPr>
                        <w:tcW w:w="330" w:type="pct"/>
                        <w:gridSpan w:val="2"/>
                        <w:tcBorders>
                          <w:top w:val="single" w:sz="2" w:space="0" w:color="auto"/>
                          <w:left w:val="single" w:sz="2" w:space="0" w:color="auto"/>
                          <w:bottom w:val="single" w:sz="2" w:space="0" w:color="auto"/>
                          <w:right w:val="single" w:sz="4" w:space="0" w:color="auto"/>
                        </w:tcBorders>
                        <w:shd w:val="clear" w:color="auto" w:fill="auto"/>
                      </w:tcPr>
                      <w:p w14:paraId="52989E9A" w14:textId="77777777" w:rsidR="00C9605D" w:rsidRPr="00570FBC" w:rsidRDefault="00C9605D" w:rsidP="005A57D8">
                        <w:pPr>
                          <w:spacing w:before="120" w:after="120"/>
                          <w:rPr>
                            <w:rFonts w:ascii="Arial" w:hAnsi="Arial" w:cs="Arial"/>
                            <w:color w:val="000000" w:themeColor="text1"/>
                            <w:sz w:val="22"/>
                            <w:szCs w:val="22"/>
                          </w:rPr>
                        </w:pPr>
                      </w:p>
                    </w:tc>
                  </w:tr>
                  <w:tr w:rsidR="00C9605D" w:rsidRPr="00570FBC" w14:paraId="42AD4642" w14:textId="77777777" w:rsidTr="005A57D8">
                    <w:trPr>
                      <w:trHeight w:val="95"/>
                    </w:trPr>
                    <w:tc>
                      <w:tcPr>
                        <w:tcW w:w="759" w:type="pct"/>
                        <w:gridSpan w:val="4"/>
                        <w:tcBorders>
                          <w:top w:val="single" w:sz="2" w:space="0" w:color="auto"/>
                          <w:left w:val="single" w:sz="2" w:space="0" w:color="auto"/>
                          <w:bottom w:val="single" w:sz="4" w:space="0" w:color="auto"/>
                          <w:right w:val="single" w:sz="2" w:space="0" w:color="auto"/>
                        </w:tcBorders>
                        <w:shd w:val="clear" w:color="auto" w:fill="auto"/>
                        <w:tcMar>
                          <w:left w:w="17" w:type="dxa"/>
                          <w:right w:w="17" w:type="dxa"/>
                        </w:tcMar>
                      </w:tcPr>
                      <w:p w14:paraId="356451BE"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5.1 Valuing </w:t>
                        </w:r>
                        <w:r>
                          <w:rPr>
                            <w:rFonts w:ascii="Arial" w:hAnsi="Arial" w:cs="Arial"/>
                            <w:color w:val="000000" w:themeColor="text1"/>
                            <w:sz w:val="14"/>
                            <w:szCs w:val="14"/>
                          </w:rPr>
                          <w:t xml:space="preserve">Aboriginal and Torres Strait Islander people </w:t>
                        </w:r>
                        <w:r w:rsidRPr="00570FBC">
                          <w:rPr>
                            <w:rFonts w:ascii="Arial" w:hAnsi="Arial" w:cs="Arial"/>
                            <w:color w:val="000000" w:themeColor="text1"/>
                            <w:sz w:val="14"/>
                            <w:szCs w:val="14"/>
                          </w:rPr>
                          <w:t>and their cultures</w:t>
                        </w:r>
                      </w:p>
                      <w:p w14:paraId="64A0C1A9" w14:textId="77777777" w:rsidR="00C9605D" w:rsidRPr="00570FBC" w:rsidRDefault="00C9605D" w:rsidP="005A57D8">
                        <w:pPr>
                          <w:spacing w:before="40" w:after="40"/>
                          <w:ind w:left="57" w:right="-248"/>
                          <w:rPr>
                            <w:rFonts w:ascii="Arial" w:hAnsi="Arial" w:cs="Arial"/>
                            <w:color w:val="000000" w:themeColor="text1"/>
                            <w:sz w:val="14"/>
                            <w:szCs w:val="14"/>
                          </w:rPr>
                        </w:pPr>
                        <w:r w:rsidRPr="00570FBC">
                          <w:rPr>
                            <w:rFonts w:ascii="Arial" w:hAnsi="Arial" w:cs="Arial"/>
                            <w:color w:val="000000" w:themeColor="text1"/>
                            <w:sz w:val="14"/>
                            <w:szCs w:val="14"/>
                          </w:rPr>
                          <w:t>5.2 Participation in decision making</w:t>
                        </w:r>
                      </w:p>
                      <w:p w14:paraId="06324FDB"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5.3 Engagement </w:t>
                        </w:r>
                        <w:r>
                          <w:rPr>
                            <w:rFonts w:ascii="Arial" w:hAnsi="Arial" w:cs="Arial"/>
                            <w:color w:val="000000" w:themeColor="text1"/>
                            <w:sz w:val="14"/>
                            <w:szCs w:val="14"/>
                          </w:rPr>
                          <w:t>of</w:t>
                        </w:r>
                        <w:r w:rsidRPr="00570FBC">
                          <w:rPr>
                            <w:rFonts w:ascii="Arial" w:hAnsi="Arial" w:cs="Arial"/>
                            <w:color w:val="000000" w:themeColor="text1"/>
                            <w:sz w:val="14"/>
                            <w:szCs w:val="14"/>
                          </w:rPr>
                          <w:t xml:space="preserve"> services</w:t>
                        </w:r>
                      </w:p>
                      <w:p w14:paraId="532E47C5"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5.4 Case studies in governance </w:t>
                        </w:r>
                      </w:p>
                      <w:p w14:paraId="318427C9"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5.5 Indigenous language revitalisation and maintenance</w:t>
                        </w:r>
                      </w:p>
                      <w:p w14:paraId="35F70DFB"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5.6 Indigenous cultural studies</w:t>
                        </w:r>
                      </w:p>
                      <w:p w14:paraId="61E0265B"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5.7 Participation in community activities</w:t>
                        </w:r>
                      </w:p>
                      <w:p w14:paraId="6F2C5888"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5.8 Access to traditional lands and waters</w:t>
                        </w:r>
                      </w:p>
                    </w:tc>
                    <w:tc>
                      <w:tcPr>
                        <w:tcW w:w="54" w:type="pct"/>
                        <w:tcBorders>
                          <w:left w:val="single" w:sz="2" w:space="0" w:color="auto"/>
                          <w:right w:val="single" w:sz="2" w:space="0" w:color="auto"/>
                        </w:tcBorders>
                        <w:shd w:val="clear" w:color="auto" w:fill="auto"/>
                      </w:tcPr>
                      <w:p w14:paraId="134D53B1" w14:textId="77777777" w:rsidR="00C9605D" w:rsidRPr="00570FBC" w:rsidRDefault="00C9605D" w:rsidP="005A57D8">
                        <w:pPr>
                          <w:spacing w:before="40" w:after="40"/>
                          <w:ind w:left="57"/>
                          <w:rPr>
                            <w:rFonts w:ascii="Arial" w:hAnsi="Arial" w:cs="Arial"/>
                            <w:color w:val="000000" w:themeColor="text1"/>
                            <w:sz w:val="14"/>
                            <w:szCs w:val="14"/>
                          </w:rPr>
                        </w:pPr>
                      </w:p>
                    </w:tc>
                    <w:tc>
                      <w:tcPr>
                        <w:tcW w:w="678" w:type="pct"/>
                        <w:gridSpan w:val="4"/>
                        <w:tcBorders>
                          <w:top w:val="single" w:sz="2" w:space="0" w:color="auto"/>
                          <w:left w:val="single" w:sz="2" w:space="0" w:color="auto"/>
                          <w:bottom w:val="single" w:sz="4" w:space="0" w:color="auto"/>
                          <w:right w:val="single" w:sz="2" w:space="0" w:color="auto"/>
                        </w:tcBorders>
                        <w:shd w:val="clear" w:color="auto" w:fill="auto"/>
                      </w:tcPr>
                      <w:p w14:paraId="18907190"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6.1 Antenatal care</w:t>
                        </w:r>
                      </w:p>
                      <w:p w14:paraId="786166FE"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6.2 Health behaviours during pregnancy</w:t>
                        </w:r>
                      </w:p>
                      <w:p w14:paraId="4BB91BA1"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6.3 Teenage birth rate </w:t>
                        </w:r>
                      </w:p>
                      <w:p w14:paraId="1765C4FC"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6.4 Birthweight </w:t>
                        </w:r>
                      </w:p>
                      <w:p w14:paraId="3642B4B0"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6.5 Early childhood hospitalisations </w:t>
                        </w:r>
                      </w:p>
                      <w:p w14:paraId="381AA62B" w14:textId="77777777" w:rsidR="00C9605D" w:rsidRPr="00570FBC" w:rsidRDefault="00C9605D" w:rsidP="005A57D8">
                        <w:pPr>
                          <w:spacing w:before="40" w:after="40"/>
                          <w:ind w:left="57"/>
                          <w:rPr>
                            <w:rFonts w:ascii="Arial" w:hAnsi="Arial" w:cs="Arial"/>
                            <w:b/>
                            <w:color w:val="000000" w:themeColor="text1"/>
                            <w:sz w:val="14"/>
                            <w:szCs w:val="14"/>
                          </w:rPr>
                        </w:pPr>
                        <w:r w:rsidRPr="00570FBC">
                          <w:rPr>
                            <w:rFonts w:ascii="Arial" w:hAnsi="Arial" w:cs="Arial"/>
                            <w:color w:val="000000" w:themeColor="text1"/>
                            <w:sz w:val="14"/>
                            <w:szCs w:val="14"/>
                          </w:rPr>
                          <w:t xml:space="preserve">6.6 Injury and preventable disease </w:t>
                        </w:r>
                      </w:p>
                      <w:p w14:paraId="71659E7A"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6.7 Ear health</w:t>
                        </w:r>
                      </w:p>
                      <w:p w14:paraId="627DACDF"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6.8 Basic skills for life and learning </w:t>
                        </w:r>
                      </w:p>
                      <w:p w14:paraId="0A5DDF46" w14:textId="77777777" w:rsidR="00C9605D" w:rsidRPr="00570FBC" w:rsidRDefault="00C9605D" w:rsidP="005A57D8">
                        <w:pPr>
                          <w:spacing w:before="40" w:after="40"/>
                          <w:ind w:left="57"/>
                          <w:rPr>
                            <w:rFonts w:ascii="Arial" w:hAnsi="Arial" w:cs="Arial"/>
                            <w:color w:val="000000" w:themeColor="text1"/>
                            <w:sz w:val="14"/>
                            <w:szCs w:val="14"/>
                          </w:rPr>
                        </w:pPr>
                      </w:p>
                    </w:tc>
                    <w:tc>
                      <w:tcPr>
                        <w:tcW w:w="54" w:type="pct"/>
                        <w:tcBorders>
                          <w:left w:val="single" w:sz="2" w:space="0" w:color="auto"/>
                          <w:right w:val="single" w:sz="2" w:space="0" w:color="auto"/>
                        </w:tcBorders>
                        <w:shd w:val="clear" w:color="auto" w:fill="auto"/>
                      </w:tcPr>
                      <w:p w14:paraId="4E4B485C" w14:textId="77777777" w:rsidR="00C9605D" w:rsidRPr="00570FBC" w:rsidRDefault="00C9605D" w:rsidP="005A57D8">
                        <w:pPr>
                          <w:spacing w:before="40" w:after="40"/>
                          <w:ind w:left="57"/>
                          <w:rPr>
                            <w:rFonts w:ascii="Arial" w:hAnsi="Arial" w:cs="Arial"/>
                            <w:color w:val="000000" w:themeColor="text1"/>
                            <w:sz w:val="14"/>
                            <w:szCs w:val="14"/>
                          </w:rPr>
                        </w:pPr>
                      </w:p>
                    </w:tc>
                    <w:tc>
                      <w:tcPr>
                        <w:tcW w:w="573" w:type="pct"/>
                        <w:gridSpan w:val="4"/>
                        <w:tcBorders>
                          <w:top w:val="single" w:sz="2" w:space="0" w:color="auto"/>
                          <w:left w:val="single" w:sz="2" w:space="0" w:color="auto"/>
                          <w:bottom w:val="single" w:sz="4" w:space="0" w:color="auto"/>
                          <w:right w:val="single" w:sz="2" w:space="0" w:color="auto"/>
                        </w:tcBorders>
                        <w:shd w:val="clear" w:color="auto" w:fill="auto"/>
                        <w:tcMar>
                          <w:left w:w="11" w:type="dxa"/>
                          <w:right w:w="11" w:type="dxa"/>
                        </w:tcMar>
                      </w:tcPr>
                      <w:p w14:paraId="3923D9A6"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7.</w:t>
                        </w:r>
                        <w:r>
                          <w:rPr>
                            <w:rFonts w:ascii="Arial" w:hAnsi="Arial" w:cs="Arial"/>
                            <w:color w:val="000000" w:themeColor="text1"/>
                            <w:sz w:val="14"/>
                            <w:szCs w:val="14"/>
                          </w:rPr>
                          <w:t>1</w:t>
                        </w:r>
                        <w:r w:rsidRPr="00570FBC">
                          <w:rPr>
                            <w:rFonts w:ascii="Arial" w:hAnsi="Arial" w:cs="Arial"/>
                            <w:color w:val="000000" w:themeColor="text1"/>
                            <w:sz w:val="14"/>
                            <w:szCs w:val="14"/>
                          </w:rPr>
                          <w:t xml:space="preserve"> Teacher quality </w:t>
                        </w:r>
                      </w:p>
                      <w:p w14:paraId="2F61822F"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7.</w:t>
                        </w:r>
                        <w:r>
                          <w:rPr>
                            <w:rFonts w:ascii="Arial" w:hAnsi="Arial" w:cs="Arial"/>
                            <w:color w:val="000000" w:themeColor="text1"/>
                            <w:sz w:val="14"/>
                            <w:szCs w:val="14"/>
                          </w:rPr>
                          <w:t>2</w:t>
                        </w:r>
                        <w:r w:rsidRPr="00570FBC">
                          <w:rPr>
                            <w:rFonts w:ascii="Arial" w:hAnsi="Arial" w:cs="Arial"/>
                            <w:color w:val="000000" w:themeColor="text1"/>
                            <w:sz w:val="14"/>
                            <w:szCs w:val="14"/>
                          </w:rPr>
                          <w:t xml:space="preserve"> School engagement </w:t>
                        </w:r>
                      </w:p>
                      <w:p w14:paraId="4ACC067C"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7.</w:t>
                        </w:r>
                        <w:r>
                          <w:rPr>
                            <w:rFonts w:ascii="Arial" w:hAnsi="Arial" w:cs="Arial"/>
                            <w:color w:val="000000" w:themeColor="text1"/>
                            <w:sz w:val="14"/>
                            <w:szCs w:val="14"/>
                          </w:rPr>
                          <w:t>3</w:t>
                        </w:r>
                        <w:r w:rsidRPr="00570FBC">
                          <w:rPr>
                            <w:rFonts w:ascii="Arial" w:hAnsi="Arial" w:cs="Arial"/>
                            <w:color w:val="000000" w:themeColor="text1"/>
                            <w:sz w:val="14"/>
                            <w:szCs w:val="14"/>
                          </w:rPr>
                          <w:t xml:space="preserve"> Transition from school to work </w:t>
                        </w:r>
                      </w:p>
                    </w:tc>
                    <w:tc>
                      <w:tcPr>
                        <w:tcW w:w="54" w:type="pct"/>
                        <w:tcBorders>
                          <w:left w:val="single" w:sz="2" w:space="0" w:color="auto"/>
                          <w:right w:val="single" w:sz="2" w:space="0" w:color="auto"/>
                        </w:tcBorders>
                        <w:shd w:val="clear" w:color="auto" w:fill="auto"/>
                      </w:tcPr>
                      <w:p w14:paraId="1021B2D8" w14:textId="77777777" w:rsidR="00C9605D" w:rsidRPr="00570FBC" w:rsidRDefault="00C9605D" w:rsidP="005A57D8">
                        <w:pPr>
                          <w:spacing w:before="40" w:after="40"/>
                          <w:ind w:left="57"/>
                          <w:rPr>
                            <w:rFonts w:ascii="Arial" w:hAnsi="Arial" w:cs="Arial"/>
                            <w:color w:val="000000" w:themeColor="text1"/>
                            <w:sz w:val="14"/>
                            <w:szCs w:val="14"/>
                          </w:rPr>
                        </w:pPr>
                      </w:p>
                    </w:tc>
                    <w:tc>
                      <w:tcPr>
                        <w:tcW w:w="681" w:type="pct"/>
                        <w:gridSpan w:val="4"/>
                        <w:tcBorders>
                          <w:top w:val="single" w:sz="2" w:space="0" w:color="auto"/>
                          <w:left w:val="single" w:sz="2" w:space="0" w:color="auto"/>
                          <w:bottom w:val="single" w:sz="4" w:space="0" w:color="auto"/>
                          <w:right w:val="single" w:sz="2" w:space="0" w:color="auto"/>
                        </w:tcBorders>
                        <w:shd w:val="clear" w:color="auto" w:fill="auto"/>
                      </w:tcPr>
                      <w:p w14:paraId="77D6BC3E" w14:textId="77777777" w:rsidR="00C9605D" w:rsidRPr="00570FBC" w:rsidRDefault="00C9605D" w:rsidP="005A57D8">
                        <w:pPr>
                          <w:spacing w:before="40" w:after="40"/>
                          <w:ind w:left="57"/>
                          <w:rPr>
                            <w:color w:val="000000" w:themeColor="text1"/>
                            <w:sz w:val="14"/>
                            <w:szCs w:val="14"/>
                          </w:rPr>
                        </w:pPr>
                        <w:r w:rsidRPr="00570FBC">
                          <w:rPr>
                            <w:rFonts w:ascii="Arial" w:hAnsi="Arial" w:cs="Arial"/>
                            <w:color w:val="000000" w:themeColor="text1"/>
                            <w:sz w:val="14"/>
                            <w:szCs w:val="14"/>
                          </w:rPr>
                          <w:t>8.1 Access to primary health care</w:t>
                        </w:r>
                      </w:p>
                      <w:p w14:paraId="04008413"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8.2 Potentially preventable hospitalisations </w:t>
                        </w:r>
                      </w:p>
                      <w:p w14:paraId="22D76F99"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8.3 Potentially avoidable deaths </w:t>
                        </w:r>
                      </w:p>
                      <w:p w14:paraId="3DE0F7E1"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8.4 Tobacco consumption and harm </w:t>
                        </w:r>
                      </w:p>
                      <w:p w14:paraId="7A924E86"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8.5 Obesity and nutrition </w:t>
                        </w:r>
                      </w:p>
                      <w:p w14:paraId="59DB5813"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8.6 Oral health</w:t>
                        </w:r>
                      </w:p>
                      <w:p w14:paraId="4ECEB23C"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8.7 Mental health </w:t>
                        </w:r>
                      </w:p>
                      <w:p w14:paraId="6A987FC3" w14:textId="6F77A2FC"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8.8 Suicide and self</w:t>
                        </w:r>
                        <w:r w:rsidR="007767B3">
                          <w:rPr>
                            <w:rFonts w:ascii="Arial" w:hAnsi="Arial" w:cs="Arial"/>
                            <w:color w:val="000000" w:themeColor="text1"/>
                            <w:sz w:val="14"/>
                            <w:szCs w:val="14"/>
                          </w:rPr>
                          <w:noBreakHyphen/>
                        </w:r>
                        <w:r w:rsidRPr="00570FBC">
                          <w:rPr>
                            <w:rFonts w:ascii="Arial" w:hAnsi="Arial" w:cs="Arial"/>
                            <w:color w:val="000000" w:themeColor="text1"/>
                            <w:sz w:val="14"/>
                            <w:szCs w:val="14"/>
                          </w:rPr>
                          <w:t>harm</w:t>
                        </w:r>
                      </w:p>
                    </w:tc>
                    <w:tc>
                      <w:tcPr>
                        <w:tcW w:w="54" w:type="pct"/>
                        <w:tcBorders>
                          <w:left w:val="single" w:sz="2" w:space="0" w:color="auto"/>
                          <w:right w:val="single" w:sz="2" w:space="0" w:color="auto"/>
                        </w:tcBorders>
                        <w:shd w:val="clear" w:color="auto" w:fill="auto"/>
                      </w:tcPr>
                      <w:p w14:paraId="776A3F1E" w14:textId="77777777" w:rsidR="00C9605D" w:rsidRPr="00570FBC" w:rsidRDefault="00C9605D" w:rsidP="005A57D8">
                        <w:pPr>
                          <w:spacing w:before="120" w:after="120"/>
                          <w:ind w:left="57"/>
                          <w:jc w:val="center"/>
                          <w:rPr>
                            <w:rFonts w:ascii="Arial" w:hAnsi="Arial" w:cs="Arial"/>
                            <w:b/>
                            <w:color w:val="000000" w:themeColor="text1"/>
                            <w:sz w:val="14"/>
                            <w:szCs w:val="14"/>
                          </w:rPr>
                        </w:pPr>
                      </w:p>
                    </w:tc>
                    <w:tc>
                      <w:tcPr>
                        <w:tcW w:w="590" w:type="pct"/>
                        <w:gridSpan w:val="5"/>
                        <w:tcBorders>
                          <w:top w:val="single" w:sz="2" w:space="0" w:color="auto"/>
                          <w:left w:val="single" w:sz="2" w:space="0" w:color="auto"/>
                          <w:bottom w:val="single" w:sz="4" w:space="0" w:color="auto"/>
                          <w:right w:val="single" w:sz="2" w:space="0" w:color="auto"/>
                        </w:tcBorders>
                        <w:shd w:val="clear" w:color="auto" w:fill="auto"/>
                      </w:tcPr>
                      <w:p w14:paraId="42045597" w14:textId="77777777" w:rsidR="00C9605D" w:rsidRPr="00570FBC" w:rsidRDefault="00C9605D" w:rsidP="005A57D8">
                        <w:pPr>
                          <w:spacing w:before="40" w:after="40"/>
                          <w:ind w:left="57"/>
                          <w:rPr>
                            <w:color w:val="000000" w:themeColor="text1"/>
                            <w:sz w:val="14"/>
                            <w:szCs w:val="14"/>
                          </w:rPr>
                        </w:pPr>
                        <w:r w:rsidRPr="00570FBC">
                          <w:rPr>
                            <w:rFonts w:ascii="Arial" w:hAnsi="Arial" w:cs="Arial"/>
                            <w:color w:val="000000" w:themeColor="text1"/>
                            <w:sz w:val="14"/>
                            <w:szCs w:val="14"/>
                          </w:rPr>
                          <w:t>9.1 Employment by full time/part time status, sector and occupation</w:t>
                        </w:r>
                      </w:p>
                      <w:p w14:paraId="3B5446B7" w14:textId="77777777" w:rsidR="00C9605D" w:rsidRPr="00570FBC" w:rsidRDefault="00C9605D" w:rsidP="005A57D8">
                        <w:pPr>
                          <w:spacing w:before="40" w:after="40"/>
                          <w:ind w:left="57"/>
                          <w:rPr>
                            <w:rFonts w:ascii="Arial" w:hAnsi="Arial" w:cs="Arial"/>
                            <w:i/>
                            <w:color w:val="000000" w:themeColor="text1"/>
                            <w:sz w:val="14"/>
                            <w:szCs w:val="14"/>
                          </w:rPr>
                        </w:pPr>
                        <w:r w:rsidRPr="00570FBC">
                          <w:rPr>
                            <w:rFonts w:ascii="Arial" w:hAnsi="Arial" w:cs="Arial"/>
                            <w:color w:val="000000" w:themeColor="text1"/>
                            <w:sz w:val="14"/>
                            <w:szCs w:val="14"/>
                          </w:rPr>
                          <w:t xml:space="preserve">9.2 Indigenous owned or controlled land and business </w:t>
                        </w:r>
                      </w:p>
                      <w:p w14:paraId="2B29B18C"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9.3 Home ownership </w:t>
                        </w:r>
                      </w:p>
                      <w:p w14:paraId="798D243E"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9.4 Income support</w:t>
                        </w:r>
                      </w:p>
                    </w:tc>
                    <w:tc>
                      <w:tcPr>
                        <w:tcW w:w="54" w:type="pct"/>
                        <w:tcBorders>
                          <w:left w:val="single" w:sz="2" w:space="0" w:color="auto"/>
                          <w:right w:val="single" w:sz="2" w:space="0" w:color="auto"/>
                        </w:tcBorders>
                        <w:shd w:val="clear" w:color="auto" w:fill="auto"/>
                      </w:tcPr>
                      <w:p w14:paraId="36B45D4E" w14:textId="77777777" w:rsidR="00C9605D" w:rsidRPr="00570FBC" w:rsidRDefault="00C9605D" w:rsidP="005A57D8">
                        <w:pPr>
                          <w:spacing w:before="120" w:after="120"/>
                          <w:jc w:val="center"/>
                          <w:rPr>
                            <w:rFonts w:ascii="Arial" w:hAnsi="Arial" w:cs="Arial"/>
                            <w:b/>
                            <w:color w:val="000000" w:themeColor="text1"/>
                            <w:sz w:val="14"/>
                            <w:szCs w:val="14"/>
                          </w:rPr>
                        </w:pPr>
                      </w:p>
                    </w:tc>
                    <w:tc>
                      <w:tcPr>
                        <w:tcW w:w="784" w:type="pct"/>
                        <w:gridSpan w:val="3"/>
                        <w:tcBorders>
                          <w:top w:val="single" w:sz="2" w:space="0" w:color="auto"/>
                          <w:left w:val="single" w:sz="2" w:space="0" w:color="auto"/>
                          <w:bottom w:val="single" w:sz="4" w:space="0" w:color="auto"/>
                          <w:right w:val="single" w:sz="2" w:space="0" w:color="auto"/>
                        </w:tcBorders>
                        <w:shd w:val="clear" w:color="auto" w:fill="auto"/>
                      </w:tcPr>
                      <w:p w14:paraId="406C39B3"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10.1 Overcrowding in housing </w:t>
                        </w:r>
                      </w:p>
                      <w:p w14:paraId="12EE62FE"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10.2 Rates of disease associated with poor environmental health </w:t>
                        </w:r>
                      </w:p>
                      <w:p w14:paraId="5E587161"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10.3 Access to clean water and functional sewerage and electricity services</w:t>
                        </w:r>
                      </w:p>
                    </w:tc>
                    <w:tc>
                      <w:tcPr>
                        <w:tcW w:w="55" w:type="pct"/>
                        <w:gridSpan w:val="2"/>
                        <w:tcBorders>
                          <w:left w:val="single" w:sz="2" w:space="0" w:color="auto"/>
                          <w:right w:val="single" w:sz="2" w:space="0" w:color="auto"/>
                        </w:tcBorders>
                        <w:shd w:val="clear" w:color="auto" w:fill="auto"/>
                      </w:tcPr>
                      <w:p w14:paraId="02027E8B" w14:textId="77777777" w:rsidR="00C9605D" w:rsidRPr="00570FBC" w:rsidRDefault="00C9605D" w:rsidP="005A57D8">
                        <w:pPr>
                          <w:spacing w:before="120" w:after="120"/>
                          <w:ind w:left="57"/>
                          <w:jc w:val="center"/>
                          <w:rPr>
                            <w:rFonts w:ascii="Arial" w:hAnsi="Arial" w:cs="Arial"/>
                            <w:b/>
                            <w:color w:val="000000" w:themeColor="text1"/>
                            <w:sz w:val="14"/>
                            <w:szCs w:val="14"/>
                          </w:rPr>
                        </w:pPr>
                      </w:p>
                    </w:tc>
                    <w:tc>
                      <w:tcPr>
                        <w:tcW w:w="610" w:type="pct"/>
                        <w:gridSpan w:val="3"/>
                        <w:tcBorders>
                          <w:top w:val="single" w:sz="2" w:space="0" w:color="auto"/>
                          <w:left w:val="single" w:sz="2" w:space="0" w:color="auto"/>
                          <w:bottom w:val="single" w:sz="4" w:space="0" w:color="auto"/>
                          <w:right w:val="single" w:sz="4" w:space="0" w:color="auto"/>
                        </w:tcBorders>
                        <w:shd w:val="clear" w:color="auto" w:fill="auto"/>
                      </w:tcPr>
                      <w:p w14:paraId="34BD47FB"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11.1 Alcohol consumption and harm </w:t>
                        </w:r>
                      </w:p>
                      <w:p w14:paraId="5C7F257A"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11.2 Drug and other substance use and harm</w:t>
                        </w:r>
                      </w:p>
                      <w:p w14:paraId="14CD9A21" w14:textId="78EA7D24"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 xml:space="preserve">11.3 </w:t>
                        </w:r>
                        <w:r w:rsidR="00215754">
                          <w:rPr>
                            <w:rFonts w:ascii="Arial" w:hAnsi="Arial" w:cs="Arial"/>
                            <w:color w:val="000000" w:themeColor="text1"/>
                            <w:sz w:val="14"/>
                            <w:szCs w:val="14"/>
                          </w:rPr>
                          <w:t xml:space="preserve">Youth </w:t>
                        </w:r>
                        <w:r w:rsidRPr="00570FBC">
                          <w:rPr>
                            <w:rFonts w:ascii="Arial" w:hAnsi="Arial" w:cs="Arial"/>
                            <w:color w:val="000000" w:themeColor="text1"/>
                            <w:sz w:val="14"/>
                            <w:szCs w:val="14"/>
                          </w:rPr>
                          <w:t xml:space="preserve">diversions </w:t>
                        </w:r>
                      </w:p>
                      <w:p w14:paraId="2E9EB18A"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11.4 Repeat offending</w:t>
                        </w:r>
                      </w:p>
                      <w:p w14:paraId="190DD4E6" w14:textId="77777777" w:rsidR="00C9605D" w:rsidRPr="00570FBC" w:rsidRDefault="00C9605D" w:rsidP="005A57D8">
                        <w:pPr>
                          <w:spacing w:before="40" w:after="40"/>
                          <w:ind w:left="57"/>
                          <w:rPr>
                            <w:rFonts w:ascii="Arial" w:hAnsi="Arial" w:cs="Arial"/>
                            <w:color w:val="000000" w:themeColor="text1"/>
                            <w:sz w:val="14"/>
                            <w:szCs w:val="14"/>
                          </w:rPr>
                        </w:pPr>
                        <w:r w:rsidRPr="00570FBC">
                          <w:rPr>
                            <w:rFonts w:ascii="Arial" w:hAnsi="Arial" w:cs="Arial"/>
                            <w:color w:val="000000" w:themeColor="text1"/>
                            <w:sz w:val="14"/>
                            <w:szCs w:val="14"/>
                          </w:rPr>
                          <w:t>11.5 Community functioning</w:t>
                        </w:r>
                      </w:p>
                    </w:tc>
                  </w:tr>
                </w:tbl>
                <w:p w14:paraId="0C6D2F7E" w14:textId="77777777" w:rsidR="00C9605D" w:rsidRPr="00570FBC" w:rsidRDefault="00C9605D" w:rsidP="005A57D8">
                  <w:pPr>
                    <w:pStyle w:val="Figure"/>
                    <w:spacing w:before="60" w:after="60"/>
                    <w:rPr>
                      <w:color w:val="000000" w:themeColor="text1"/>
                    </w:rPr>
                  </w:pPr>
                </w:p>
              </w:tc>
            </w:tr>
          </w:tbl>
          <w:p w14:paraId="124E859E" w14:textId="77777777" w:rsidR="00C9605D" w:rsidRPr="00570FBC" w:rsidRDefault="00C9605D" w:rsidP="005A57D8">
            <w:pPr>
              <w:pStyle w:val="Figure"/>
              <w:rPr>
                <w:color w:val="000000" w:themeColor="text1"/>
              </w:rPr>
            </w:pPr>
          </w:p>
        </w:tc>
      </w:tr>
      <w:tr w:rsidR="00C9605D" w:rsidRPr="00570FBC" w14:paraId="3F3BCFE9" w14:textId="77777777" w:rsidTr="001140C5">
        <w:tc>
          <w:tcPr>
            <w:tcW w:w="5000" w:type="pct"/>
            <w:tcBorders>
              <w:top w:val="nil"/>
              <w:left w:val="nil"/>
              <w:bottom w:val="nil"/>
              <w:right w:val="nil"/>
            </w:tcBorders>
            <w:shd w:val="clear" w:color="auto" w:fill="auto"/>
          </w:tcPr>
          <w:p w14:paraId="717F6468" w14:textId="18A49CB7" w:rsidR="00C9605D" w:rsidRPr="00570FBC" w:rsidRDefault="00C9605D" w:rsidP="005A57D8">
            <w:pPr>
              <w:pStyle w:val="Note"/>
              <w:rPr>
                <w:color w:val="000000" w:themeColor="text1"/>
              </w:rPr>
            </w:pPr>
            <w:r w:rsidRPr="00570FBC">
              <w:rPr>
                <w:b/>
                <w:color w:val="000000" w:themeColor="text1"/>
              </w:rPr>
              <w:t>Note</w:t>
            </w:r>
            <w:r w:rsidRPr="00570FBC">
              <w:rPr>
                <w:color w:val="000000" w:themeColor="text1"/>
              </w:rPr>
              <w:t xml:space="preserve">: </w:t>
            </w:r>
            <w:r w:rsidRPr="00570FBC">
              <w:rPr>
                <w:rFonts w:cs="Arial"/>
                <w:color w:val="000000" w:themeColor="text1"/>
                <w:sz w:val="16"/>
                <w:szCs w:val="16"/>
              </w:rPr>
              <w:t>Numbers beside indicator names refer to</w:t>
            </w:r>
            <w:r w:rsidR="000B6EC3">
              <w:rPr>
                <w:rFonts w:cs="Arial"/>
                <w:color w:val="000000" w:themeColor="text1"/>
                <w:sz w:val="16"/>
                <w:szCs w:val="16"/>
              </w:rPr>
              <w:t xml:space="preserve"> section numbers in the R</w:t>
            </w:r>
            <w:r w:rsidRPr="00570FBC">
              <w:rPr>
                <w:rFonts w:cs="Arial"/>
                <w:color w:val="000000" w:themeColor="text1"/>
                <w:sz w:val="16"/>
                <w:szCs w:val="16"/>
              </w:rPr>
              <w:t>eport.</w:t>
            </w:r>
          </w:p>
        </w:tc>
      </w:tr>
      <w:tr w:rsidR="00C9605D" w:rsidRPr="002D0922" w14:paraId="4EED3DA7" w14:textId="77777777" w:rsidTr="001140C5">
        <w:tc>
          <w:tcPr>
            <w:tcW w:w="5000" w:type="pct"/>
            <w:tcBorders>
              <w:top w:val="nil"/>
              <w:left w:val="nil"/>
              <w:bottom w:val="single" w:sz="6" w:space="0" w:color="78A22F"/>
              <w:right w:val="nil"/>
            </w:tcBorders>
            <w:shd w:val="clear" w:color="auto" w:fill="auto"/>
          </w:tcPr>
          <w:p w14:paraId="74A3E74C" w14:textId="77777777" w:rsidR="00C9605D" w:rsidRPr="002D0922" w:rsidRDefault="00C9605D" w:rsidP="005A57D8">
            <w:pPr>
              <w:pStyle w:val="Figurespace"/>
              <w:rPr>
                <w:color w:val="00B050"/>
              </w:rPr>
            </w:pPr>
          </w:p>
        </w:tc>
      </w:tr>
      <w:tr w:rsidR="00C9605D" w:rsidRPr="002D0922" w14:paraId="399004F7" w14:textId="77777777" w:rsidTr="001140C5">
        <w:tc>
          <w:tcPr>
            <w:tcW w:w="5000" w:type="pct"/>
            <w:tcBorders>
              <w:top w:val="single" w:sz="6" w:space="0" w:color="78A22F"/>
              <w:left w:val="nil"/>
              <w:bottom w:val="nil"/>
              <w:right w:val="nil"/>
            </w:tcBorders>
          </w:tcPr>
          <w:p w14:paraId="7E6310FF" w14:textId="77777777" w:rsidR="00C9605D" w:rsidRPr="002D0922" w:rsidRDefault="00C9605D" w:rsidP="005A57D8">
            <w:pPr>
              <w:pStyle w:val="BoxSpaceBelow"/>
              <w:rPr>
                <w:color w:val="00B050"/>
              </w:rPr>
            </w:pPr>
          </w:p>
        </w:tc>
      </w:tr>
    </w:tbl>
    <w:p w14:paraId="60EDFD67" w14:textId="2E067396" w:rsidR="00DE5FDB" w:rsidRPr="007863E2" w:rsidRDefault="0043521D" w:rsidP="007863E2">
      <w:pPr>
        <w:pStyle w:val="Heading3"/>
        <w:rPr>
          <w:color w:val="000000" w:themeColor="text1"/>
        </w:rPr>
      </w:pPr>
      <w:r>
        <w:rPr>
          <w:color w:val="000000" w:themeColor="text1"/>
        </w:rPr>
        <w:lastRenderedPageBreak/>
        <w:t xml:space="preserve">The </w:t>
      </w:r>
      <w:r w:rsidRPr="007863E2">
        <w:rPr>
          <w:color w:val="000000" w:themeColor="text1"/>
        </w:rPr>
        <w:t>s</w:t>
      </w:r>
      <w:r w:rsidR="00DE5FDB" w:rsidRPr="007863E2">
        <w:rPr>
          <w:color w:val="000000" w:themeColor="text1"/>
        </w:rPr>
        <w:t>trategic change indicators</w:t>
      </w:r>
      <w:r w:rsidRPr="007863E2">
        <w:rPr>
          <w:color w:val="000000" w:themeColor="text1"/>
        </w:rPr>
        <w:t xml:space="preserve"> measure progress </w:t>
      </w:r>
      <w:r w:rsidR="005A57D8">
        <w:rPr>
          <w:color w:val="000000" w:themeColor="text1"/>
        </w:rPr>
        <w:t>in</w:t>
      </w:r>
      <w:r w:rsidR="005A57D8" w:rsidRPr="007863E2">
        <w:rPr>
          <w:color w:val="000000" w:themeColor="text1"/>
        </w:rPr>
        <w:t xml:space="preserve"> </w:t>
      </w:r>
      <w:r w:rsidRPr="007863E2">
        <w:rPr>
          <w:color w:val="000000" w:themeColor="text1"/>
        </w:rPr>
        <w:t>each strategic area for action</w:t>
      </w:r>
    </w:p>
    <w:p w14:paraId="251F5420" w14:textId="32D88059" w:rsidR="00DE5FDB" w:rsidRDefault="00AC7C6C" w:rsidP="004869F9">
      <w:pPr>
        <w:pStyle w:val="BodyText"/>
      </w:pPr>
      <w:r w:rsidRPr="00FE0A9A">
        <w:t xml:space="preserve">A small number of targeted, shorter term </w:t>
      </w:r>
      <w:r w:rsidR="00DE5FDB" w:rsidRPr="00FE0A9A">
        <w:t>‘</w:t>
      </w:r>
      <w:r w:rsidRPr="00FE0A9A">
        <w:t>strategic change indicators</w:t>
      </w:r>
      <w:r w:rsidR="00DE5FDB" w:rsidRPr="00FE0A9A">
        <w:t>’</w:t>
      </w:r>
      <w:r w:rsidRPr="00FE0A9A">
        <w:t xml:space="preserve"> measure progress </w:t>
      </w:r>
      <w:r w:rsidR="005A57D8">
        <w:t>in</w:t>
      </w:r>
      <w:r w:rsidR="005A57D8" w:rsidRPr="00FE0A9A">
        <w:t xml:space="preserve"> </w:t>
      </w:r>
      <w:r w:rsidRPr="00FE0A9A">
        <w:t>each strategic area for action.</w:t>
      </w:r>
      <w:r w:rsidR="000E6158" w:rsidRPr="00FE0A9A">
        <w:t xml:space="preserve"> These indicator</w:t>
      </w:r>
      <w:r w:rsidR="002C1146">
        <w:t>s make it easier to track short-</w:t>
      </w:r>
      <w:r w:rsidR="000E6158" w:rsidRPr="00FE0A9A">
        <w:t>term progress, and improve accountability for outcomes. (The term ‘indicator’ ha</w:t>
      </w:r>
      <w:r w:rsidR="002C1146">
        <w:t>s a particular meaning in this R</w:t>
      </w:r>
      <w:r w:rsidR="000E6158" w:rsidRPr="00FE0A9A">
        <w:t>eport, and is distinguished from the term ‘measure</w:t>
      </w:r>
      <w:r w:rsidR="00A47528">
        <w:t>’</w:t>
      </w:r>
      <w:r w:rsidR="000E6158" w:rsidRPr="00FE0A9A">
        <w:t xml:space="preserve"> — see bo</w:t>
      </w:r>
      <w:r w:rsidR="007541BA">
        <w:t>x </w:t>
      </w:r>
      <w:r w:rsidR="000E6158" w:rsidRPr="00FE0A9A">
        <w:t xml:space="preserve">2.1). </w:t>
      </w:r>
      <w:r w:rsidRPr="00FE0A9A">
        <w:t xml:space="preserve"> </w:t>
      </w:r>
    </w:p>
    <w:p w14:paraId="0DD91C6F" w14:textId="77777777" w:rsidR="00D91F47" w:rsidRDefault="00D91F47">
      <w:pPr>
        <w:pStyle w:val="BoxSpaceAbove"/>
      </w:pPr>
      <w:r>
        <w:rPr>
          <w:b/>
          <w:vanish/>
          <w:color w:val="FF00FF"/>
          <w:sz w:val="14"/>
        </w:rPr>
        <w:t>Do not delete this RETURN as it gives space between the box and what precedes it.</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1F47" w14:paraId="60125EEC" w14:textId="77777777" w:rsidTr="00750BE2">
        <w:trPr>
          <w:tblHeader/>
        </w:trPr>
        <w:tc>
          <w:tcPr>
            <w:tcW w:w="5000" w:type="pct"/>
            <w:tcBorders>
              <w:top w:val="single" w:sz="6" w:space="0" w:color="78A22F"/>
              <w:left w:val="nil"/>
              <w:bottom w:val="nil"/>
              <w:right w:val="nil"/>
            </w:tcBorders>
            <w:shd w:val="clear" w:color="auto" w:fill="F2F2F2"/>
          </w:tcPr>
          <w:p w14:paraId="5D24991A" w14:textId="12F38CE9" w:rsidR="00D91F47" w:rsidRDefault="00D91F47">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t>2.1</w:t>
            </w:r>
            <w:r>
              <w:tab/>
              <w:t>I</w:t>
            </w:r>
            <w:r w:rsidRPr="00FE0A9A">
              <w:t>ndicators and measures</w:t>
            </w:r>
          </w:p>
        </w:tc>
      </w:tr>
      <w:tr w:rsidR="00D91F47" w14:paraId="46F85BAA" w14:textId="77777777" w:rsidTr="00CF4D72">
        <w:tc>
          <w:tcPr>
            <w:tcW w:w="5000" w:type="pct"/>
            <w:tcBorders>
              <w:top w:val="nil"/>
              <w:left w:val="nil"/>
              <w:bottom w:val="nil"/>
              <w:right w:val="nil"/>
            </w:tcBorders>
            <w:shd w:val="clear" w:color="auto" w:fill="F2F2F2"/>
          </w:tcPr>
          <w:p w14:paraId="6E4917D8" w14:textId="77777777" w:rsidR="00D91F47" w:rsidRPr="00FE0A9A" w:rsidRDefault="00D91F47" w:rsidP="00D91F47">
            <w:pPr>
              <w:pStyle w:val="Box"/>
            </w:pPr>
            <w:r>
              <w:t>In this R</w:t>
            </w:r>
            <w:r w:rsidRPr="00FE0A9A">
              <w:t xml:space="preserve">eport, the term ‘indicator’ refers to a broad statement of </w:t>
            </w:r>
            <w:r>
              <w:t>the concept</w:t>
            </w:r>
            <w:r w:rsidRPr="00FE0A9A">
              <w:t xml:space="preserve"> to be measured. Indicators are usually described in general terms, to allow for developments in the evidence base and chang</w:t>
            </w:r>
            <w:r>
              <w:t>es in</w:t>
            </w:r>
            <w:r w:rsidRPr="00FE0A9A">
              <w:t xml:space="preserve"> data sets over time. </w:t>
            </w:r>
          </w:p>
          <w:p w14:paraId="3BD073D4" w14:textId="0524AC30" w:rsidR="00D91F47" w:rsidRDefault="00D91F47" w:rsidP="00D91F47">
            <w:pPr>
              <w:pStyle w:val="Box"/>
            </w:pPr>
            <w:r>
              <w:t>In this R</w:t>
            </w:r>
            <w:r w:rsidRPr="00FE0A9A">
              <w:t>eport, the term ‘measure’ refers to how an indicator will be measured. Data limitations mean that, sometimes, proxy measures must be used to report against indicators, and multiple measures may be required to illustrate a single indicator. Information on the measures reported for each indicator is provided at the beginning of each indicator section.</w:t>
            </w:r>
          </w:p>
        </w:tc>
      </w:tr>
      <w:tr w:rsidR="00D91F47" w14:paraId="2D88294F" w14:textId="77777777" w:rsidTr="00CF4D72">
        <w:tc>
          <w:tcPr>
            <w:tcW w:w="5000" w:type="pct"/>
            <w:tcBorders>
              <w:top w:val="nil"/>
              <w:left w:val="nil"/>
              <w:bottom w:val="single" w:sz="6" w:space="0" w:color="78A22F"/>
              <w:right w:val="nil"/>
            </w:tcBorders>
            <w:shd w:val="clear" w:color="auto" w:fill="F2F2F2"/>
          </w:tcPr>
          <w:p w14:paraId="3F90B54D" w14:textId="77777777" w:rsidR="00D91F47" w:rsidRDefault="00D91F47">
            <w:pPr>
              <w:pStyle w:val="Box"/>
              <w:spacing w:before="0" w:line="120" w:lineRule="exact"/>
            </w:pPr>
          </w:p>
        </w:tc>
      </w:tr>
      <w:tr w:rsidR="00D91F47" w:rsidRPr="000863A5" w14:paraId="7897D59F" w14:textId="77777777" w:rsidTr="00CF4D72">
        <w:trPr>
          <w:hidden/>
        </w:trPr>
        <w:tc>
          <w:tcPr>
            <w:tcW w:w="5000" w:type="pct"/>
            <w:tcBorders>
              <w:top w:val="single" w:sz="6" w:space="0" w:color="78A22F"/>
              <w:left w:val="nil"/>
              <w:bottom w:val="nil"/>
              <w:right w:val="nil"/>
            </w:tcBorders>
          </w:tcPr>
          <w:p w14:paraId="5BA58979" w14:textId="77777777" w:rsidR="00D91F47" w:rsidRPr="00626D32" w:rsidRDefault="00D91F47" w:rsidP="00537BB4">
            <w:pPr>
              <w:pStyle w:val="BoxSpaceBelow"/>
            </w:pPr>
            <w:r w:rsidRPr="00626D32">
              <w:rPr>
                <w:rFonts w:ascii="Times New Roman" w:hAnsi="Times New Roman"/>
                <w:b/>
                <w:vanish/>
                <w:color w:val="FF00FF"/>
              </w:rPr>
              <w:t>Do not delete this ROW as it gives space between the box and what follows it.</w:t>
            </w:r>
          </w:p>
        </w:tc>
      </w:tr>
    </w:tbl>
    <w:p w14:paraId="7F1347EC" w14:textId="3B56BD99" w:rsidR="00DA3DD5" w:rsidRPr="00FE0A9A" w:rsidRDefault="00DA3DD5" w:rsidP="004869F9">
      <w:pPr>
        <w:pStyle w:val="BodyText"/>
      </w:pPr>
      <w:r w:rsidRPr="00FE0A9A">
        <w:t xml:space="preserve">Linkages across the framework mean that some indicators </w:t>
      </w:r>
      <w:r w:rsidR="005A57D8" w:rsidRPr="00FE0A9A">
        <w:t xml:space="preserve">could </w:t>
      </w:r>
      <w:r w:rsidRPr="00FE0A9A">
        <w:t xml:space="preserve">potentially be placed in more than one strategic area for action. Indicators have been placed in the strategic area where the evidence base suggests they will have greatest effect, but their potential to influence other outcomes is </w:t>
      </w:r>
      <w:r w:rsidR="00BD1275" w:rsidRPr="00FE0A9A">
        <w:t>acknowledged by cross</w:t>
      </w:r>
      <w:r w:rsidR="007767B3">
        <w:noBreakHyphen/>
      </w:r>
      <w:r w:rsidR="00BD1275" w:rsidRPr="00FE0A9A">
        <w:t xml:space="preserve">references </w:t>
      </w:r>
      <w:r w:rsidRPr="00FE0A9A">
        <w:t>in the text.</w:t>
      </w:r>
    </w:p>
    <w:p w14:paraId="21BB34B4" w14:textId="2CDC05F4" w:rsidR="00482FD8" w:rsidRPr="00FE0A9A" w:rsidRDefault="00DE5FDB" w:rsidP="00482FD8">
      <w:pPr>
        <w:pStyle w:val="BodyText"/>
      </w:pPr>
      <w:r w:rsidRPr="00FE0A9A">
        <w:t xml:space="preserve">Many </w:t>
      </w:r>
      <w:r w:rsidR="0054549B">
        <w:t xml:space="preserve">other </w:t>
      </w:r>
      <w:r w:rsidRPr="00FE0A9A">
        <w:t xml:space="preserve">indicators could have been included in this </w:t>
      </w:r>
      <w:r w:rsidR="002C1146">
        <w:t>R</w:t>
      </w:r>
      <w:r w:rsidR="002B72C1" w:rsidRPr="00FE0A9A">
        <w:t>eport</w:t>
      </w:r>
      <w:r w:rsidRPr="00FE0A9A">
        <w:t xml:space="preserve">. Potential </w:t>
      </w:r>
      <w:r w:rsidR="00BD1275" w:rsidRPr="00FE0A9A">
        <w:t xml:space="preserve">strategic change </w:t>
      </w:r>
      <w:r w:rsidRPr="00FE0A9A">
        <w:t>indicators were assessed against the criteria listed in box</w:t>
      </w:r>
      <w:r w:rsidR="006B775C">
        <w:t> </w:t>
      </w:r>
      <w:r w:rsidR="00023388">
        <w:t>2.</w:t>
      </w:r>
      <w:r w:rsidR="00BD522C" w:rsidRPr="00FE0A9A">
        <w:t>2</w:t>
      </w:r>
      <w:r w:rsidR="006321F0" w:rsidRPr="00FE0A9A">
        <w:t xml:space="preserve"> before they were added to the framework.</w:t>
      </w:r>
      <w:r w:rsidRPr="00FE0A9A">
        <w:t xml:space="preserve"> </w:t>
      </w:r>
      <w:r w:rsidR="006321F0" w:rsidRPr="00FE0A9A">
        <w:t xml:space="preserve">Most of the indicators in the </w:t>
      </w:r>
      <w:r w:rsidR="002C1146">
        <w:t>R</w:t>
      </w:r>
      <w:r w:rsidR="002B72C1" w:rsidRPr="00FE0A9A">
        <w:t>eport</w:t>
      </w:r>
      <w:r w:rsidR="006321F0" w:rsidRPr="00FE0A9A">
        <w:t xml:space="preserve"> me</w:t>
      </w:r>
      <w:r w:rsidR="000F01A5" w:rsidRPr="00FE0A9A">
        <w:t>e</w:t>
      </w:r>
      <w:r w:rsidR="006321F0" w:rsidRPr="00FE0A9A">
        <w:t xml:space="preserve">t </w:t>
      </w:r>
      <w:r w:rsidR="00BD1275" w:rsidRPr="00FE0A9A">
        <w:t xml:space="preserve">all </w:t>
      </w:r>
      <w:r w:rsidR="006321F0" w:rsidRPr="00FE0A9A">
        <w:t>the cr</w:t>
      </w:r>
      <w:r w:rsidR="000F01A5" w:rsidRPr="00FE0A9A">
        <w:t>iteria — but a few indicators a</w:t>
      </w:r>
      <w:r w:rsidR="006321F0" w:rsidRPr="00FE0A9A">
        <w:t>re regar</w:t>
      </w:r>
      <w:r w:rsidR="000F01A5" w:rsidRPr="00FE0A9A">
        <w:t>ded as so important that they a</w:t>
      </w:r>
      <w:r w:rsidR="006321F0" w:rsidRPr="00FE0A9A">
        <w:t>re included even though they d</w:t>
      </w:r>
      <w:r w:rsidR="000F01A5" w:rsidRPr="00FE0A9A">
        <w:t>o</w:t>
      </w:r>
      <w:r w:rsidR="006321F0" w:rsidRPr="00FE0A9A">
        <w:t xml:space="preserve"> not meet some criteria. </w:t>
      </w:r>
    </w:p>
    <w:p w14:paraId="25E19C8F" w14:textId="77777777" w:rsidR="001C1CC7" w:rsidRPr="00FE0A9A" w:rsidRDefault="001C1CC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E0A9A" w:rsidRPr="00FE0A9A" w14:paraId="3A6DB81F" w14:textId="77777777" w:rsidTr="001140C5">
        <w:tc>
          <w:tcPr>
            <w:tcW w:w="5000" w:type="pct"/>
            <w:tcBorders>
              <w:top w:val="single" w:sz="6" w:space="0" w:color="78A22F"/>
              <w:left w:val="nil"/>
              <w:bottom w:val="nil"/>
              <w:right w:val="nil"/>
            </w:tcBorders>
            <w:shd w:val="clear" w:color="auto" w:fill="F2F2F2" w:themeFill="background1" w:themeFillShade="F2"/>
          </w:tcPr>
          <w:p w14:paraId="5B3FD225" w14:textId="2C68964D" w:rsidR="001C1CC7" w:rsidRPr="00FE0A9A" w:rsidRDefault="001C1CC7" w:rsidP="009102E4">
            <w:pPr>
              <w:pStyle w:val="BoxTitle"/>
            </w:pPr>
            <w:r w:rsidRPr="00FE0A9A">
              <w:rPr>
                <w:b w:val="0"/>
              </w:rPr>
              <w:t xml:space="preserve">Box </w:t>
            </w:r>
            <w:r w:rsidR="0005672A">
              <w:rPr>
                <w:b w:val="0"/>
              </w:rPr>
              <w:t>2.</w:t>
            </w:r>
            <w:r w:rsidR="006B50E5">
              <w:rPr>
                <w:b w:val="0"/>
                <w:noProof/>
              </w:rPr>
              <w:t>2</w:t>
            </w:r>
            <w:r w:rsidR="009102E4">
              <w:rPr>
                <w:b w:val="0"/>
              </w:rPr>
              <w:t xml:space="preserve"> </w:t>
            </w:r>
            <w:r w:rsidRPr="00FE0A9A">
              <w:t>Criteria used to select strategic change indicators</w:t>
            </w:r>
          </w:p>
        </w:tc>
      </w:tr>
      <w:tr w:rsidR="00FE0A9A" w:rsidRPr="00FE0A9A" w14:paraId="0D6C8E19" w14:textId="77777777" w:rsidTr="001140C5">
        <w:trPr>
          <w:cantSplit/>
        </w:trPr>
        <w:tc>
          <w:tcPr>
            <w:tcW w:w="5000" w:type="pct"/>
            <w:tcBorders>
              <w:top w:val="nil"/>
              <w:left w:val="nil"/>
              <w:bottom w:val="nil"/>
              <w:right w:val="nil"/>
            </w:tcBorders>
            <w:shd w:val="clear" w:color="auto" w:fill="F2F2F2" w:themeFill="background1" w:themeFillShade="F2"/>
          </w:tcPr>
          <w:p w14:paraId="1E3D5F92" w14:textId="52D6013A" w:rsidR="001C1CC7" w:rsidRPr="00FE0A9A" w:rsidRDefault="001C1CC7" w:rsidP="001C1CC7">
            <w:pPr>
              <w:pStyle w:val="BoxListNumber"/>
              <w:numPr>
                <w:ilvl w:val="0"/>
                <w:numId w:val="13"/>
              </w:numPr>
            </w:pPr>
            <w:r w:rsidRPr="00FE0A9A">
              <w:t xml:space="preserve">Required by alignment with </w:t>
            </w:r>
            <w:r w:rsidR="008C063F">
              <w:t>NIRA</w:t>
            </w:r>
            <w:r w:rsidRPr="00FE0A9A">
              <w:t xml:space="preserve"> indicators</w:t>
            </w:r>
            <w:r w:rsidR="008C063F">
              <w:t xml:space="preserve"> (</w:t>
            </w:r>
            <w:r w:rsidR="005A57D8">
              <w:t>a</w:t>
            </w:r>
            <w:r w:rsidR="008C063F">
              <w:t>s the NIRA was</w:t>
            </w:r>
            <w:r w:rsidR="00350537">
              <w:t xml:space="preserve"> still</w:t>
            </w:r>
            <w:r w:rsidR="008C063F">
              <w:t xml:space="preserve"> in effect at the time of preparing this report).</w:t>
            </w:r>
            <w:r w:rsidR="00482FD8">
              <w:t xml:space="preserve"> </w:t>
            </w:r>
          </w:p>
          <w:p w14:paraId="33882381" w14:textId="77777777" w:rsidR="001C1CC7" w:rsidRPr="00CA2600" w:rsidRDefault="001C1CC7" w:rsidP="003D1D4D">
            <w:pPr>
              <w:pStyle w:val="BoxListNumber"/>
              <w:numPr>
                <w:ilvl w:val="0"/>
                <w:numId w:val="13"/>
              </w:numPr>
            </w:pPr>
            <w:r w:rsidRPr="00CA2600">
              <w:t>Measures an outcome (rather than an input or output) or a close proxy for an outcome</w:t>
            </w:r>
            <w:r w:rsidR="00482FD8" w:rsidRPr="00CA2600">
              <w:t xml:space="preserve"> </w:t>
            </w:r>
            <w:r w:rsidR="00482FD8" w:rsidRPr="00CA2600">
              <w:rPr>
                <w:rFonts w:cs="Arial"/>
              </w:rPr>
              <w:t>— the focus is on</w:t>
            </w:r>
            <w:r w:rsidR="002A430A" w:rsidRPr="00CA2600">
              <w:rPr>
                <w:rFonts w:cs="Arial"/>
              </w:rPr>
              <w:t xml:space="preserve"> </w:t>
            </w:r>
            <w:r w:rsidR="00482FD8" w:rsidRPr="00CA2600">
              <w:t>measurable impacts on individuals or communities rather than resources spent or services provided</w:t>
            </w:r>
            <w:r w:rsidR="00350537" w:rsidRPr="00CA2600">
              <w:t>. W</w:t>
            </w:r>
            <w:r w:rsidR="00482FD8" w:rsidRPr="00CA2600">
              <w:t xml:space="preserve">here outcomes </w:t>
            </w:r>
            <w:r w:rsidR="00350537" w:rsidRPr="00CA2600">
              <w:t xml:space="preserve">are </w:t>
            </w:r>
            <w:r w:rsidR="00482FD8" w:rsidRPr="00CA2600">
              <w:t>not a</w:t>
            </w:r>
            <w:r w:rsidR="003D1D4D" w:rsidRPr="00CA2600">
              <w:t>vailabl</w:t>
            </w:r>
            <w:r w:rsidR="00482FD8" w:rsidRPr="00CA2600">
              <w:t>e and there is strong evidence that certain inputs or outputs are closely linked to an outcome, these may be included as proxy indicators</w:t>
            </w:r>
            <w:r w:rsidR="0042563C" w:rsidRPr="00CA2600">
              <w:t>.</w:t>
            </w:r>
            <w:r w:rsidR="00482FD8" w:rsidRPr="00CA2600">
              <w:t xml:space="preserve"> </w:t>
            </w:r>
          </w:p>
          <w:p w14:paraId="08C6DFF0" w14:textId="77777777" w:rsidR="001C1CC7" w:rsidRPr="00CA2600" w:rsidRDefault="001C1CC7" w:rsidP="00482FD8">
            <w:pPr>
              <w:pStyle w:val="BoxListNumber"/>
              <w:numPr>
                <w:ilvl w:val="0"/>
                <w:numId w:val="13"/>
              </w:numPr>
            </w:pPr>
            <w:r w:rsidRPr="00CA2600">
              <w:t>Relevance to priority outcomes</w:t>
            </w:r>
            <w:r w:rsidR="00482FD8" w:rsidRPr="00CA2600">
              <w:t xml:space="preserve"> </w:t>
            </w:r>
            <w:r w:rsidR="00B61326" w:rsidRPr="00CA2600">
              <w:rPr>
                <w:rFonts w:cs="Arial"/>
              </w:rPr>
              <w:t>—</w:t>
            </w:r>
            <w:r w:rsidR="00482FD8" w:rsidRPr="00CA2600">
              <w:t xml:space="preserve"> the whole framework is geared toward measuring progress toward the priority outcomes. </w:t>
            </w:r>
          </w:p>
          <w:p w14:paraId="5089A605" w14:textId="77777777" w:rsidR="001C1CC7" w:rsidRPr="00CA2600" w:rsidRDefault="001C1CC7" w:rsidP="001C1CC7">
            <w:pPr>
              <w:pStyle w:val="BoxListNumber"/>
              <w:numPr>
                <w:ilvl w:val="0"/>
                <w:numId w:val="13"/>
              </w:numPr>
            </w:pPr>
            <w:r w:rsidRPr="00FE0A9A">
              <w:t>Improvement in the strategic change indicator result</w:t>
            </w:r>
            <w:r w:rsidR="003426B6">
              <w:t>s</w:t>
            </w:r>
            <w:r w:rsidRPr="00FE0A9A">
              <w:t xml:space="preserve"> in improvement over time in the COAG targets and headline indicators</w:t>
            </w:r>
            <w:r w:rsidR="00482FD8" w:rsidRPr="00482FD8">
              <w:t xml:space="preserve"> </w:t>
            </w:r>
            <w:r w:rsidR="00B61326">
              <w:rPr>
                <w:rFonts w:cs="Arial"/>
              </w:rPr>
              <w:t>—</w:t>
            </w:r>
            <w:r w:rsidR="00B61326">
              <w:t xml:space="preserve"> </w:t>
            </w:r>
            <w:r w:rsidR="00B61326" w:rsidRPr="00CA2600">
              <w:t>t</w:t>
            </w:r>
            <w:r w:rsidR="00482FD8" w:rsidRPr="00CA2600">
              <w:t xml:space="preserve">he report draws its strength from the evidence base or underlying theory of causality that links improvement in a strategic change indicator to improvement in the COAG targets and headline indicators, and therefore </w:t>
            </w:r>
            <w:r w:rsidR="005A57D8">
              <w:t xml:space="preserve">to </w:t>
            </w:r>
            <w:r w:rsidR="00482FD8" w:rsidRPr="00CA2600">
              <w:t>progress toward the priority outcomes.</w:t>
            </w:r>
          </w:p>
          <w:p w14:paraId="4BB2F19F" w14:textId="5F6260E3" w:rsidR="001C1CC7" w:rsidRPr="00CA2600" w:rsidRDefault="001C1CC7" w:rsidP="001C1CC7">
            <w:pPr>
              <w:pStyle w:val="BoxListNumber"/>
              <w:numPr>
                <w:ilvl w:val="0"/>
                <w:numId w:val="13"/>
              </w:numPr>
            </w:pPr>
            <w:r w:rsidRPr="00FE0A9A">
              <w:t>Supported by logic or empirical evidence</w:t>
            </w:r>
            <w:r w:rsidR="00482FD8" w:rsidRPr="00482FD8">
              <w:t xml:space="preserve"> </w:t>
            </w:r>
            <w:r w:rsidR="00B61326">
              <w:rPr>
                <w:rFonts w:cs="Arial"/>
              </w:rPr>
              <w:t>—</w:t>
            </w:r>
            <w:r w:rsidR="00350537">
              <w:rPr>
                <w:rFonts w:cs="Arial"/>
              </w:rPr>
              <w:t xml:space="preserve"> </w:t>
            </w:r>
            <w:r w:rsidR="00B61326" w:rsidRPr="00CA2600">
              <w:t>f</w:t>
            </w:r>
            <w:r w:rsidR="00482FD8" w:rsidRPr="00CA2600">
              <w:t xml:space="preserve">or most indicators, empirical evidence provides the causal link. For some indicators, </w:t>
            </w:r>
            <w:r w:rsidR="00FC18DC" w:rsidRPr="00CA2600">
              <w:t>where there is</w:t>
            </w:r>
            <w:r w:rsidR="00482FD8" w:rsidRPr="00CA2600">
              <w:t xml:space="preserve"> limited empirical evidence, </w:t>
            </w:r>
            <w:r w:rsidR="00FC18DC" w:rsidRPr="00CA2600">
              <w:t xml:space="preserve">other supporting information </w:t>
            </w:r>
            <w:r w:rsidR="00CA2600">
              <w:t xml:space="preserve">or </w:t>
            </w:r>
            <w:r w:rsidR="00B10D2E">
              <w:t>logic</w:t>
            </w:r>
            <w:r w:rsidR="00CA2600">
              <w:t xml:space="preserve"> </w:t>
            </w:r>
            <w:r w:rsidR="005A57D8">
              <w:t xml:space="preserve">may provide </w:t>
            </w:r>
            <w:r w:rsidR="00482FD8" w:rsidRPr="00CA2600">
              <w:t>the link.</w:t>
            </w:r>
          </w:p>
          <w:p w14:paraId="2AEC3881" w14:textId="31547C7E" w:rsidR="001C1CC7" w:rsidRPr="00CA2600" w:rsidRDefault="001C1CC7" w:rsidP="00B61326">
            <w:pPr>
              <w:pStyle w:val="BoxListNumber"/>
              <w:numPr>
                <w:ilvl w:val="0"/>
                <w:numId w:val="13"/>
              </w:numPr>
            </w:pPr>
            <w:r w:rsidRPr="00CA2600">
              <w:t>Sensitive to policy interventions and changes in policy settings</w:t>
            </w:r>
            <w:r w:rsidR="00B61326" w:rsidRPr="00CA2600">
              <w:t xml:space="preserve"> </w:t>
            </w:r>
            <w:r w:rsidR="002A430A" w:rsidRPr="00CA2600">
              <w:rPr>
                <w:rFonts w:cs="Arial"/>
              </w:rPr>
              <w:t>—</w:t>
            </w:r>
            <w:r w:rsidR="005A57D8">
              <w:rPr>
                <w:rFonts w:cs="Arial"/>
              </w:rPr>
              <w:t xml:space="preserve"> the</w:t>
            </w:r>
            <w:r w:rsidR="002A430A" w:rsidRPr="00CA2600">
              <w:rPr>
                <w:rFonts w:cs="Arial"/>
              </w:rPr>
              <w:t xml:space="preserve"> </w:t>
            </w:r>
            <w:r w:rsidR="002A430A" w:rsidRPr="00CA2600">
              <w:t xml:space="preserve">terms of reference for the </w:t>
            </w:r>
            <w:r w:rsidR="002C1146">
              <w:t>R</w:t>
            </w:r>
            <w:r w:rsidR="002A430A" w:rsidRPr="00CA2600">
              <w:t>eport require it to inform Australian governments about the impact of polic</w:t>
            </w:r>
            <w:r w:rsidR="00350537" w:rsidRPr="00CA2600">
              <w:t>ies and</w:t>
            </w:r>
            <w:r w:rsidR="002A430A" w:rsidRPr="00CA2600">
              <w:t xml:space="preserve"> programs</w:t>
            </w:r>
            <w:r w:rsidR="00350537" w:rsidRPr="00CA2600">
              <w:t>.</w:t>
            </w:r>
            <w:r w:rsidR="002A430A" w:rsidRPr="00CA2600">
              <w:t xml:space="preserve"> </w:t>
            </w:r>
            <w:r w:rsidR="00350537" w:rsidRPr="00CA2600">
              <w:t>T</w:t>
            </w:r>
            <w:r w:rsidR="002A430A" w:rsidRPr="00CA2600">
              <w:t>herefore</w:t>
            </w:r>
            <w:r w:rsidR="00350537" w:rsidRPr="00CA2600">
              <w:t>,</w:t>
            </w:r>
            <w:r w:rsidR="002A430A" w:rsidRPr="00CA2600">
              <w:t xml:space="preserve"> the indicators need to be sensitive to policy interventions and settings.</w:t>
            </w:r>
          </w:p>
          <w:p w14:paraId="43407B3D" w14:textId="427ABF56" w:rsidR="001C1CC7" w:rsidRPr="00CA2600" w:rsidRDefault="001C1CC7" w:rsidP="00305ACC">
            <w:pPr>
              <w:pStyle w:val="BoxListNumber"/>
              <w:numPr>
                <w:ilvl w:val="0"/>
                <w:numId w:val="13"/>
              </w:numPr>
            </w:pPr>
            <w:r w:rsidRPr="00CA2600">
              <w:t xml:space="preserve">Meaningful to stakeholders </w:t>
            </w:r>
            <w:r w:rsidR="00350537" w:rsidRPr="00CA2600">
              <w:t>—</w:t>
            </w:r>
            <w:r w:rsidR="00305ACC" w:rsidRPr="00CA2600">
              <w:t xml:space="preserve"> furthermore</w:t>
            </w:r>
            <w:r w:rsidR="00CC0AF4" w:rsidRPr="00CA2600">
              <w:t xml:space="preserve">, </w:t>
            </w:r>
            <w:r w:rsidR="00350537" w:rsidRPr="00CA2600">
              <w:t>the</w:t>
            </w:r>
            <w:r w:rsidR="002C1146">
              <w:t xml:space="preserve"> terms of reference for the R</w:t>
            </w:r>
            <w:r w:rsidR="00305ACC" w:rsidRPr="00CA2600">
              <w:t xml:space="preserve">eport require it to be meaningful to Aboriginal and Torres Strait Islander people </w:t>
            </w:r>
            <w:r w:rsidR="00350537" w:rsidRPr="00CA2600">
              <w:t>and governments</w:t>
            </w:r>
            <w:r w:rsidR="002C1146">
              <w:t>.</w:t>
            </w:r>
          </w:p>
          <w:p w14:paraId="1BC4ACDA" w14:textId="185ED15B" w:rsidR="001C1CC7" w:rsidRPr="00CA2600" w:rsidRDefault="001C1CC7" w:rsidP="002A430A">
            <w:pPr>
              <w:pStyle w:val="BoxListNumber"/>
              <w:numPr>
                <w:ilvl w:val="0"/>
                <w:numId w:val="13"/>
              </w:numPr>
            </w:pPr>
            <w:r w:rsidRPr="00CA2600">
              <w:t>Unambiguous and clear in meaning and interpretation</w:t>
            </w:r>
            <w:r w:rsidR="002A430A" w:rsidRPr="00CA2600">
              <w:t xml:space="preserve"> </w:t>
            </w:r>
            <w:r w:rsidR="002A430A" w:rsidRPr="00CA2600">
              <w:rPr>
                <w:rFonts w:cs="Arial"/>
              </w:rPr>
              <w:t>—</w:t>
            </w:r>
            <w:r w:rsidR="002A430A" w:rsidRPr="00CA2600">
              <w:t xml:space="preserve"> </w:t>
            </w:r>
            <w:r w:rsidR="002A430A" w:rsidRPr="00CA2600">
              <w:rPr>
                <w:rFonts w:cs="Arial"/>
              </w:rPr>
              <w:t>an indicator should be clear</w:t>
            </w:r>
            <w:r w:rsidR="005A57D8">
              <w:rPr>
                <w:rFonts w:cs="Arial"/>
              </w:rPr>
              <w:t>,</w:t>
            </w:r>
            <w:r w:rsidR="002A430A" w:rsidRPr="00CA2600">
              <w:rPr>
                <w:rFonts w:cs="Arial"/>
              </w:rPr>
              <w:t xml:space="preserve"> unambiguous</w:t>
            </w:r>
            <w:r w:rsidR="005A57D8">
              <w:rPr>
                <w:rFonts w:cs="Arial"/>
              </w:rPr>
              <w:t xml:space="preserve"> and</w:t>
            </w:r>
            <w:r w:rsidR="002A430A" w:rsidRPr="00CA2600">
              <w:rPr>
                <w:rFonts w:cs="Arial"/>
              </w:rPr>
              <w:t xml:space="preserve"> easy to understand, and </w:t>
            </w:r>
            <w:r w:rsidR="005A57D8">
              <w:rPr>
                <w:rFonts w:cs="Arial"/>
              </w:rPr>
              <w:t>should make it obvious</w:t>
            </w:r>
            <w:r w:rsidR="00305ACC" w:rsidRPr="00CA2600">
              <w:rPr>
                <w:rFonts w:cs="Arial"/>
              </w:rPr>
              <w:t xml:space="preserve"> </w:t>
            </w:r>
            <w:r w:rsidR="002A430A" w:rsidRPr="00CA2600">
              <w:rPr>
                <w:rFonts w:cs="Arial"/>
              </w:rPr>
              <w:t xml:space="preserve">whether </w:t>
            </w:r>
            <w:r w:rsidR="00305ACC" w:rsidRPr="00CA2600">
              <w:rPr>
                <w:rFonts w:cs="Arial"/>
              </w:rPr>
              <w:t xml:space="preserve">or not </w:t>
            </w:r>
            <w:r w:rsidR="002A430A" w:rsidRPr="00CA2600">
              <w:rPr>
                <w:rFonts w:cs="Arial"/>
              </w:rPr>
              <w:t xml:space="preserve">progress is being made. </w:t>
            </w:r>
            <w:r w:rsidR="00350537" w:rsidRPr="00CA2600">
              <w:rPr>
                <w:rFonts w:cs="Arial"/>
              </w:rPr>
              <w:t>W</w:t>
            </w:r>
            <w:r w:rsidR="00305ACC" w:rsidRPr="00CA2600">
              <w:rPr>
                <w:rFonts w:cs="Arial"/>
              </w:rPr>
              <w:t xml:space="preserve">here </w:t>
            </w:r>
            <w:r w:rsidR="00350537" w:rsidRPr="00CA2600">
              <w:rPr>
                <w:rFonts w:cs="Arial"/>
              </w:rPr>
              <w:t>resu</w:t>
            </w:r>
            <w:r w:rsidR="00C85FF6" w:rsidRPr="00CA2600">
              <w:rPr>
                <w:rFonts w:cs="Arial"/>
              </w:rPr>
              <w:t>lts</w:t>
            </w:r>
            <w:r w:rsidR="00350537" w:rsidRPr="00CA2600">
              <w:rPr>
                <w:rFonts w:cs="Arial"/>
              </w:rPr>
              <w:t xml:space="preserve"> may be ambiguous</w:t>
            </w:r>
            <w:r w:rsidR="00C85FF6" w:rsidRPr="00CA2600">
              <w:rPr>
                <w:rFonts w:cs="Arial"/>
              </w:rPr>
              <w:t xml:space="preserve"> </w:t>
            </w:r>
            <w:r w:rsidR="002C1146">
              <w:rPr>
                <w:rFonts w:cs="Arial"/>
              </w:rPr>
              <w:t>the R</w:t>
            </w:r>
            <w:r w:rsidR="002A430A" w:rsidRPr="00CA2600">
              <w:rPr>
                <w:rFonts w:cs="Arial"/>
              </w:rPr>
              <w:t>eport includes explanatory text to assist interpretation.</w:t>
            </w:r>
          </w:p>
          <w:p w14:paraId="6327EAEE" w14:textId="4C72AA57" w:rsidR="001C1CC7" w:rsidRPr="00FE0A9A" w:rsidRDefault="001C1CC7">
            <w:pPr>
              <w:pStyle w:val="BoxListNumber"/>
              <w:numPr>
                <w:ilvl w:val="0"/>
                <w:numId w:val="13"/>
              </w:numPr>
            </w:pPr>
            <w:r w:rsidRPr="00CA2600">
              <w:t>The existence, or ease, of developing supporting data sets</w:t>
            </w:r>
            <w:r w:rsidR="00C85FF6" w:rsidRPr="00CA2600">
              <w:t xml:space="preserve"> </w:t>
            </w:r>
            <w:r w:rsidR="00C85FF6" w:rsidRPr="00CA2600">
              <w:rPr>
                <w:rFonts w:cs="Arial"/>
              </w:rPr>
              <w:t xml:space="preserve">— there is a practical need for data to report against an indicator. In some cases, proxy measures are reported </w:t>
            </w:r>
            <w:r w:rsidR="005A57D8">
              <w:rPr>
                <w:rFonts w:cs="Arial"/>
              </w:rPr>
              <w:t>—</w:t>
            </w:r>
            <w:r w:rsidR="005A57D8" w:rsidRPr="00CA2600">
              <w:rPr>
                <w:rFonts w:cs="Arial"/>
              </w:rPr>
              <w:t xml:space="preserve"> </w:t>
            </w:r>
            <w:r w:rsidR="00C85FF6" w:rsidRPr="00CA2600">
              <w:rPr>
                <w:rFonts w:cs="Arial"/>
              </w:rPr>
              <w:t>and in a few cases, important indicators are included even though data are substantially qualified, not available for all jurisdictions or not available at all (and other information is reported instead). Some of these indicators (for example, ‘teacher quality’ and ‘school engagement’)</w:t>
            </w:r>
            <w:r w:rsidR="005A57D8">
              <w:rPr>
                <w:rFonts w:cs="Arial"/>
              </w:rPr>
              <w:t xml:space="preserve"> </w:t>
            </w:r>
            <w:r w:rsidR="005A57D8" w:rsidRPr="00CA2600">
              <w:rPr>
                <w:rFonts w:cs="Arial"/>
              </w:rPr>
              <w:t>do not have data but are considered as high priorities</w:t>
            </w:r>
            <w:r w:rsidR="00C85FF6" w:rsidRPr="00CA2600">
              <w:rPr>
                <w:rFonts w:cs="Arial"/>
              </w:rPr>
              <w:t>.</w:t>
            </w:r>
          </w:p>
        </w:tc>
      </w:tr>
      <w:tr w:rsidR="00FE0A9A" w:rsidRPr="00FE0A9A" w14:paraId="003EDCF7" w14:textId="77777777" w:rsidTr="001140C5">
        <w:trPr>
          <w:cantSplit/>
        </w:trPr>
        <w:tc>
          <w:tcPr>
            <w:tcW w:w="5000" w:type="pct"/>
            <w:tcBorders>
              <w:top w:val="nil"/>
              <w:left w:val="nil"/>
              <w:bottom w:val="single" w:sz="6" w:space="0" w:color="78A22F"/>
              <w:right w:val="nil"/>
            </w:tcBorders>
            <w:shd w:val="clear" w:color="auto" w:fill="F2F2F2" w:themeFill="background1" w:themeFillShade="F2"/>
          </w:tcPr>
          <w:p w14:paraId="1893FC33" w14:textId="77777777" w:rsidR="001C1CC7" w:rsidRPr="00FE0A9A" w:rsidRDefault="001C1CC7">
            <w:pPr>
              <w:pStyle w:val="Box"/>
              <w:spacing w:before="0" w:line="120" w:lineRule="exact"/>
            </w:pPr>
          </w:p>
        </w:tc>
      </w:tr>
      <w:tr w:rsidR="00FE0A9A" w:rsidRPr="00FE0A9A" w14:paraId="196E6CF1" w14:textId="77777777" w:rsidTr="001140C5">
        <w:tc>
          <w:tcPr>
            <w:tcW w:w="5000" w:type="pct"/>
            <w:tcBorders>
              <w:top w:val="single" w:sz="6" w:space="0" w:color="78A22F"/>
              <w:left w:val="nil"/>
              <w:bottom w:val="nil"/>
              <w:right w:val="nil"/>
            </w:tcBorders>
          </w:tcPr>
          <w:p w14:paraId="06AF9832" w14:textId="77777777" w:rsidR="001C1CC7" w:rsidRPr="00FE0A9A" w:rsidRDefault="001C1CC7" w:rsidP="00EE38BD">
            <w:pPr>
              <w:pStyle w:val="BoxSpaceBelow"/>
            </w:pPr>
          </w:p>
        </w:tc>
      </w:tr>
    </w:tbl>
    <w:p w14:paraId="3C5612F0" w14:textId="7CDA4EBC" w:rsidR="00562375" w:rsidRDefault="00562375" w:rsidP="00562375">
      <w:pPr>
        <w:pStyle w:val="Heading2"/>
      </w:pPr>
      <w:r>
        <w:t>2.</w:t>
      </w:r>
      <w:r w:rsidR="006B50E5">
        <w:rPr>
          <w:noProof/>
        </w:rPr>
        <w:t>2</w:t>
      </w:r>
      <w:r>
        <w:tab/>
      </w:r>
      <w:r w:rsidR="003426B6">
        <w:t>Interactions</w:t>
      </w:r>
      <w:r w:rsidR="00514993" w:rsidRPr="00514993">
        <w:t xml:space="preserve"> </w:t>
      </w:r>
      <w:r w:rsidR="00514993">
        <w:t>across the framework</w:t>
      </w:r>
    </w:p>
    <w:p w14:paraId="4D215106" w14:textId="6E7AAD56" w:rsidR="00562375" w:rsidRDefault="003426B6">
      <w:pPr>
        <w:pStyle w:val="BodyText"/>
      </w:pPr>
      <w:r>
        <w:t>There are many interactions across th</w:t>
      </w:r>
      <w:r w:rsidR="005A57D8">
        <w:t>is</w:t>
      </w:r>
      <w:r w:rsidR="002C1146">
        <w:t xml:space="preserve"> R</w:t>
      </w:r>
      <w:r>
        <w:t>eport’s framework</w:t>
      </w:r>
      <w:r w:rsidR="00754975" w:rsidRPr="003F0D8A">
        <w:t xml:space="preserve">, </w:t>
      </w:r>
      <w:r w:rsidR="005A57D8">
        <w:t>that link</w:t>
      </w:r>
      <w:r w:rsidR="00754975" w:rsidRPr="003F0D8A">
        <w:t xml:space="preserve"> strategic change indicators with the COAG targets and headline indicators, and therefore</w:t>
      </w:r>
      <w:r w:rsidR="005A57D8">
        <w:t>,</w:t>
      </w:r>
      <w:r w:rsidR="00754975" w:rsidRPr="003F0D8A">
        <w:t xml:space="preserve"> </w:t>
      </w:r>
      <w:r w:rsidR="005A57D8">
        <w:t xml:space="preserve">with </w:t>
      </w:r>
      <w:r w:rsidR="00754975" w:rsidRPr="003F0D8A">
        <w:t xml:space="preserve">the priority outcomes. </w:t>
      </w:r>
    </w:p>
    <w:p w14:paraId="122E2E72" w14:textId="0A2159E4" w:rsidR="00562375" w:rsidRDefault="00181508" w:rsidP="00562375">
      <w:pPr>
        <w:pStyle w:val="BodyText"/>
      </w:pPr>
      <w:r>
        <w:t xml:space="preserve">Understanding that </w:t>
      </w:r>
      <w:r w:rsidR="00562375">
        <w:t xml:space="preserve">multiple causes </w:t>
      </w:r>
      <w:r w:rsidR="005A57D8">
        <w:t>may</w:t>
      </w:r>
      <w:r>
        <w:t xml:space="preserve"> </w:t>
      </w:r>
      <w:r w:rsidR="00562375">
        <w:t xml:space="preserve">contribute to a single measured outcome, and </w:t>
      </w:r>
      <w:r w:rsidR="003426B6">
        <w:t xml:space="preserve">that </w:t>
      </w:r>
      <w:r w:rsidR="00562375">
        <w:t xml:space="preserve">some actions </w:t>
      </w:r>
      <w:r w:rsidR="006147E8">
        <w:t>can</w:t>
      </w:r>
      <w:r w:rsidR="00562375">
        <w:t xml:space="preserve"> affect multiple outcomes</w:t>
      </w:r>
      <w:r w:rsidR="003426B6">
        <w:t>,</w:t>
      </w:r>
      <w:r>
        <w:t xml:space="preserve"> is important </w:t>
      </w:r>
      <w:r w:rsidR="005A57D8">
        <w:t>f</w:t>
      </w:r>
      <w:r>
        <w:t>o</w:t>
      </w:r>
      <w:r w:rsidR="005A57D8">
        <w:t>r</w:t>
      </w:r>
      <w:r>
        <w:t xml:space="preserve"> understanding the framework</w:t>
      </w:r>
      <w:r w:rsidR="00562375">
        <w:t>.</w:t>
      </w:r>
    </w:p>
    <w:p w14:paraId="10B88809" w14:textId="77777777" w:rsidR="00562375" w:rsidRPr="00824CED" w:rsidRDefault="00181508" w:rsidP="00562375">
      <w:pPr>
        <w:pStyle w:val="Heading3"/>
      </w:pPr>
      <w:r>
        <w:lastRenderedPageBreak/>
        <w:t xml:space="preserve">A </w:t>
      </w:r>
      <w:r w:rsidRPr="00181508">
        <w:t xml:space="preserve">single outcome </w:t>
      </w:r>
      <w:r>
        <w:t>may have m</w:t>
      </w:r>
      <w:r w:rsidR="00562375" w:rsidRPr="00824CED">
        <w:t>ultiple causes</w:t>
      </w:r>
      <w:r w:rsidR="005A57D8">
        <w:t>,</w:t>
      </w:r>
      <w:r>
        <w:t xml:space="preserve"> and </w:t>
      </w:r>
      <w:r w:rsidR="005A57D8">
        <w:t xml:space="preserve">may </w:t>
      </w:r>
      <w:r>
        <w:t>therefore require multiple actions</w:t>
      </w:r>
    </w:p>
    <w:p w14:paraId="124772BA" w14:textId="60A999BD" w:rsidR="00181508" w:rsidRDefault="00562375" w:rsidP="00562375">
      <w:pPr>
        <w:pStyle w:val="BodyText"/>
      </w:pPr>
      <w:r>
        <w:t>Prevention and early interv</w:t>
      </w:r>
      <w:r w:rsidR="00E57880">
        <w:t>ention lie at the heart of the R</w:t>
      </w:r>
      <w:r>
        <w:t>eport</w:t>
      </w:r>
      <w:r w:rsidR="00E57880">
        <w:t>’s</w:t>
      </w:r>
      <w:r>
        <w:t xml:space="preserve"> framework. The focus is on encouraging action in the strategic areas that, over time, will lead to improvements in the COAG targets and headline </w:t>
      </w:r>
      <w:r w:rsidR="003426B6">
        <w:t>indicator</w:t>
      </w:r>
      <w:r>
        <w:t xml:space="preserve">s, and progress toward the priority outcomes. </w:t>
      </w:r>
    </w:p>
    <w:p w14:paraId="5A08F88D" w14:textId="699A58CB" w:rsidR="00562375" w:rsidRDefault="00B20095" w:rsidP="00562375">
      <w:pPr>
        <w:pStyle w:val="BodyText"/>
      </w:pPr>
      <w:r>
        <w:t>I</w:t>
      </w:r>
      <w:r w:rsidR="00562375">
        <w:t xml:space="preserve">n many cases, coordinated action is required across multiple areas if </w:t>
      </w:r>
      <w:r w:rsidR="005A57D8">
        <w:t>high</w:t>
      </w:r>
      <w:r w:rsidR="007767B3">
        <w:noBreakHyphen/>
      </w:r>
      <w:r w:rsidR="00562375">
        <w:t xml:space="preserve">level outcomes are to improve. </w:t>
      </w:r>
      <w:r w:rsidR="00181508">
        <w:t>Two examples</w:t>
      </w:r>
      <w:r>
        <w:t>,</w:t>
      </w:r>
      <w:r w:rsidR="00181508">
        <w:t xml:space="preserve"> one for educational success and one for health</w:t>
      </w:r>
      <w:r>
        <w:t>,</w:t>
      </w:r>
      <w:r w:rsidR="00181508">
        <w:t xml:space="preserve"> </w:t>
      </w:r>
      <w:r w:rsidR="00562375">
        <w:t>illustrate just some of the many linked factors that can affect outcomes.</w:t>
      </w:r>
      <w:r w:rsidR="00181508">
        <w:t xml:space="preserve"> </w:t>
      </w:r>
    </w:p>
    <w:p w14:paraId="25340ECB" w14:textId="657BC851" w:rsidR="00184F97" w:rsidRPr="00CA2600" w:rsidRDefault="00E019EA" w:rsidP="00562375">
      <w:pPr>
        <w:pStyle w:val="BodyText"/>
      </w:pPr>
      <w:r>
        <w:t xml:space="preserve">The </w:t>
      </w:r>
      <w:r w:rsidR="00181508">
        <w:t xml:space="preserve">COAG targets of </w:t>
      </w:r>
      <w:r w:rsidR="0045338E" w:rsidRPr="0045338E">
        <w:rPr>
          <w:i/>
        </w:rPr>
        <w:t>E</w:t>
      </w:r>
      <w:r w:rsidR="00181508" w:rsidRPr="0045338E">
        <w:rPr>
          <w:i/>
        </w:rPr>
        <w:t>mployment</w:t>
      </w:r>
      <w:r w:rsidR="00181508">
        <w:t xml:space="preserve"> (section 4.7), </w:t>
      </w:r>
      <w:r w:rsidR="0045338E" w:rsidRPr="0045338E">
        <w:rPr>
          <w:i/>
        </w:rPr>
        <w:t>Y</w:t>
      </w:r>
      <w:r w:rsidR="00181508" w:rsidRPr="0045338E">
        <w:rPr>
          <w:i/>
        </w:rPr>
        <w:t>ear 12 attainment</w:t>
      </w:r>
      <w:r w:rsidR="00181508">
        <w:t xml:space="preserve"> (section 4.6), </w:t>
      </w:r>
      <w:r w:rsidR="0045338E" w:rsidRPr="0045338E">
        <w:rPr>
          <w:i/>
        </w:rPr>
        <w:t>S</w:t>
      </w:r>
      <w:r w:rsidR="00181508" w:rsidRPr="0045338E">
        <w:rPr>
          <w:i/>
        </w:rPr>
        <w:t>chool attendance</w:t>
      </w:r>
      <w:r w:rsidR="00181508">
        <w:t xml:space="preserve"> (section</w:t>
      </w:r>
      <w:r w:rsidR="007541BA">
        <w:t> </w:t>
      </w:r>
      <w:r w:rsidR="00181508">
        <w:t xml:space="preserve">4.5) and </w:t>
      </w:r>
      <w:r w:rsidR="0045338E" w:rsidRPr="0045338E">
        <w:rPr>
          <w:i/>
        </w:rPr>
        <w:t>R</w:t>
      </w:r>
      <w:r w:rsidR="00181508" w:rsidRPr="0045338E">
        <w:rPr>
          <w:i/>
        </w:rPr>
        <w:t>eading, writing and numeracy</w:t>
      </w:r>
      <w:r w:rsidR="00181508">
        <w:t xml:space="preserve"> (section 4.4), plus the headline indicator of </w:t>
      </w:r>
      <w:r w:rsidR="0045338E" w:rsidRPr="0045338E">
        <w:rPr>
          <w:i/>
        </w:rPr>
        <w:t>P</w:t>
      </w:r>
      <w:r w:rsidR="00181508" w:rsidRPr="0045338E">
        <w:rPr>
          <w:i/>
        </w:rPr>
        <w:t>ost</w:t>
      </w:r>
      <w:r w:rsidR="007767B3" w:rsidRPr="0045338E">
        <w:rPr>
          <w:i/>
        </w:rPr>
        <w:noBreakHyphen/>
      </w:r>
      <w:r w:rsidR="00181508" w:rsidRPr="0045338E">
        <w:rPr>
          <w:i/>
        </w:rPr>
        <w:t xml:space="preserve">secondary education </w:t>
      </w:r>
      <w:r w:rsidR="0045338E" w:rsidRPr="0045338E">
        <w:rPr>
          <w:i/>
        </w:rPr>
        <w:t>— participation and attainment</w:t>
      </w:r>
      <w:r w:rsidR="0045338E">
        <w:t xml:space="preserve"> </w:t>
      </w:r>
      <w:r w:rsidR="00181508">
        <w:t>(section 4.8)</w:t>
      </w:r>
      <w:r w:rsidR="005A57D8">
        <w:t>,</w:t>
      </w:r>
      <w:r w:rsidR="009E6840">
        <w:t xml:space="preserve"> are</w:t>
      </w:r>
      <w:r w:rsidR="00181508">
        <w:t xml:space="preserve"> influenced by outcomes across the framework</w:t>
      </w:r>
      <w:r w:rsidRPr="00E019EA">
        <w:t xml:space="preserve"> </w:t>
      </w:r>
      <w:r>
        <w:t>(figure</w:t>
      </w:r>
      <w:r w:rsidR="007541BA">
        <w:t> </w:t>
      </w:r>
      <w:r>
        <w:t>2.</w:t>
      </w:r>
      <w:r w:rsidR="00764EE0">
        <w:t>3</w:t>
      </w:r>
      <w:r>
        <w:t>)</w:t>
      </w:r>
      <w:r w:rsidR="00181508">
        <w:t>.</w:t>
      </w:r>
      <w:r w:rsidR="001525D2" w:rsidRPr="001525D2">
        <w:t xml:space="preserve"> </w:t>
      </w:r>
      <w:r w:rsidR="001525D2">
        <w:t xml:space="preserve">It is obvious that educational </w:t>
      </w:r>
      <w:r w:rsidR="001525D2" w:rsidRPr="00CA2600">
        <w:t xml:space="preserve">success will depend on outcomes in the ‘Education and training’ strategic area, which in turn depend on the achievement of outcomes in the ‘Early child development’ strategic area. However, social and </w:t>
      </w:r>
      <w:r w:rsidR="00583B47" w:rsidRPr="00CA2600">
        <w:t>cultural</w:t>
      </w:r>
      <w:r w:rsidR="001525D2" w:rsidRPr="00CA2600">
        <w:t xml:space="preserve"> factors, such as those in the ‘Home environment’ and ‘</w:t>
      </w:r>
      <w:r w:rsidR="00C168FD" w:rsidRPr="00CA2600">
        <w:t>Governance, leadership and cultur</w:t>
      </w:r>
      <w:r w:rsidR="003D3C22">
        <w:t>e</w:t>
      </w:r>
      <w:r w:rsidR="00C168FD" w:rsidRPr="00CA2600">
        <w:t xml:space="preserve">’ </w:t>
      </w:r>
      <w:r w:rsidR="001525D2" w:rsidRPr="00CA2600">
        <w:t xml:space="preserve">strategic areas </w:t>
      </w:r>
      <w:r w:rsidR="00C168FD" w:rsidRPr="00CA2600">
        <w:t xml:space="preserve">also </w:t>
      </w:r>
      <w:r w:rsidR="001525D2" w:rsidRPr="00CA2600">
        <w:t xml:space="preserve">affect these outcomes. Of course, these are not the only factors at work — employment and education outcomes can also be influenced by the intergenerational effects of parental income, employment and education levels. The message from the framework is that, although educational services </w:t>
      </w:r>
      <w:r w:rsidR="005A57D8">
        <w:t>are important</w:t>
      </w:r>
      <w:r w:rsidR="001525D2" w:rsidRPr="00CA2600">
        <w:t xml:space="preserve"> in achieving these COAG targets and headline indicators, many other services </w:t>
      </w:r>
      <w:r w:rsidR="00583B47" w:rsidRPr="00CA2600">
        <w:t xml:space="preserve">and supports </w:t>
      </w:r>
      <w:r w:rsidRPr="00CA2600">
        <w:t xml:space="preserve">also play a part. </w:t>
      </w:r>
    </w:p>
    <w:p w14:paraId="790CC0AA" w14:textId="36CFC07D" w:rsidR="00E019EA" w:rsidRDefault="0045338E" w:rsidP="00562375">
      <w:pPr>
        <w:pStyle w:val="BodyText"/>
      </w:pPr>
      <w:r>
        <w:t xml:space="preserve">Similarly, the COAG targets of </w:t>
      </w:r>
      <w:r w:rsidR="00E019EA" w:rsidRPr="0045338E">
        <w:rPr>
          <w:i/>
        </w:rPr>
        <w:t>Life expectancy</w:t>
      </w:r>
      <w:r w:rsidR="00E019EA" w:rsidRPr="00CA2600">
        <w:t xml:space="preserve"> (section 4.1) and </w:t>
      </w:r>
      <w:r w:rsidR="00E019EA" w:rsidRPr="0045338E">
        <w:rPr>
          <w:i/>
        </w:rPr>
        <w:t>Young child mortality</w:t>
      </w:r>
      <w:r w:rsidR="00E019EA" w:rsidRPr="00CA2600">
        <w:t xml:space="preserve"> (section 4.2) are clearly linked, and are closely relate</w:t>
      </w:r>
      <w:r>
        <w:t xml:space="preserve">d to the headline indicator of </w:t>
      </w:r>
      <w:r w:rsidRPr="0045338E">
        <w:rPr>
          <w:i/>
        </w:rPr>
        <w:t>Disability and chronic disease</w:t>
      </w:r>
      <w:r w:rsidR="00E019EA" w:rsidRPr="0045338E">
        <w:rPr>
          <w:i/>
        </w:rPr>
        <w:t xml:space="preserve"> </w:t>
      </w:r>
      <w:r w:rsidR="00E019EA" w:rsidRPr="00CA2600">
        <w:t>(section 4.9) (figure 2.</w:t>
      </w:r>
      <w:r w:rsidR="00764EE0">
        <w:t>4</w:t>
      </w:r>
      <w:r w:rsidR="00E019EA" w:rsidRPr="00CA2600">
        <w:t>). In turn, these outcomes will be influenced by outcomes in the ‘Early child development’ and ‘Healthy lives’ strategic areas. But actions in these areas must be supported by actions to address outcomes in the ‘</w:t>
      </w:r>
      <w:r w:rsidR="00ED4E0F" w:rsidRPr="00CA2600">
        <w:t>Economic participation</w:t>
      </w:r>
      <w:r w:rsidR="00E019EA" w:rsidRPr="00CA2600">
        <w:t>’ and ‘</w:t>
      </w:r>
      <w:r w:rsidR="00ED4E0F" w:rsidRPr="00CA2600">
        <w:t>Governance</w:t>
      </w:r>
      <w:r w:rsidR="003D3C22">
        <w:t>,</w:t>
      </w:r>
      <w:r w:rsidR="00ED4E0F" w:rsidRPr="00CA2600">
        <w:t xml:space="preserve"> leadership and culture</w:t>
      </w:r>
      <w:r w:rsidR="00E019EA" w:rsidRPr="00CA2600">
        <w:t>’ strategic areas. Actions must also address other social determinants of health in the education and employment areas.</w:t>
      </w:r>
    </w:p>
    <w:p w14:paraId="13EB37A4" w14:textId="504239AF" w:rsidR="00F54999" w:rsidRPr="00CA2600" w:rsidRDefault="00F54999" w:rsidP="00F54999">
      <w:pPr>
        <w:pStyle w:val="Heading3"/>
      </w:pPr>
      <w:r w:rsidRPr="00CA2600">
        <w:t>A single, well</w:t>
      </w:r>
      <w:r w:rsidR="007767B3">
        <w:noBreakHyphen/>
      </w:r>
      <w:r w:rsidRPr="00CA2600">
        <w:t xml:space="preserve">targeted action can </w:t>
      </w:r>
      <w:r>
        <w:t>a</w:t>
      </w:r>
      <w:r w:rsidRPr="00CA2600">
        <w:t xml:space="preserve">ffect multiple outcomes </w:t>
      </w:r>
    </w:p>
    <w:p w14:paraId="79483F5A" w14:textId="04D8FC46" w:rsidR="00562375" w:rsidRDefault="00F54999" w:rsidP="00BA6F92">
      <w:pPr>
        <w:pStyle w:val="BodyText"/>
      </w:pPr>
      <w:r w:rsidRPr="00CA2600">
        <w:t xml:space="preserve">Although some high level outcomes may require actions across a range of areas, sometimes </w:t>
      </w:r>
      <w:r>
        <w:t>a single, well</w:t>
      </w:r>
      <w:r w:rsidR="007767B3">
        <w:noBreakHyphen/>
      </w:r>
      <w:r>
        <w:t>targeted action can influence a range of outcomes. Interactions like this emphasise the need for a whole</w:t>
      </w:r>
      <w:r w:rsidR="007767B3">
        <w:noBreakHyphen/>
      </w:r>
      <w:r>
        <w:t>of</w:t>
      </w:r>
      <w:r w:rsidR="007767B3">
        <w:noBreakHyphen/>
      </w:r>
      <w:r>
        <w:t>government approach to assessing the costs and benefits of actions.</w:t>
      </w:r>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62375" w14:paraId="72AF5518" w14:textId="77777777" w:rsidTr="009941A0">
        <w:tc>
          <w:tcPr>
            <w:tcW w:w="8789" w:type="dxa"/>
            <w:tcBorders>
              <w:top w:val="single" w:sz="6" w:space="0" w:color="78A22F"/>
              <w:left w:val="nil"/>
              <w:bottom w:val="nil"/>
              <w:right w:val="nil"/>
            </w:tcBorders>
            <w:shd w:val="clear" w:color="auto" w:fill="auto"/>
          </w:tcPr>
          <w:p w14:paraId="63B35ACD" w14:textId="1F832A0C" w:rsidR="00562375" w:rsidRPr="00176D3F" w:rsidRDefault="00764EE0" w:rsidP="009102E4">
            <w:pPr>
              <w:pStyle w:val="FigureTitle"/>
            </w:pPr>
            <w:r w:rsidRPr="004B2784">
              <w:rPr>
                <w:b w:val="0"/>
                <w:color w:val="000000" w:themeColor="text1"/>
              </w:rPr>
              <w:lastRenderedPageBreak/>
              <w:t xml:space="preserve">Figure </w:t>
            </w:r>
            <w:r>
              <w:rPr>
                <w:b w:val="0"/>
                <w:color w:val="000000" w:themeColor="text1"/>
              </w:rPr>
              <w:t>2.</w:t>
            </w:r>
            <w:r w:rsidR="006B50E5">
              <w:rPr>
                <w:b w:val="0"/>
                <w:noProof/>
                <w:color w:val="000000" w:themeColor="text1"/>
              </w:rPr>
              <w:t>3</w:t>
            </w:r>
            <w:r w:rsidR="00562375">
              <w:tab/>
            </w:r>
            <w:r w:rsidR="00562375" w:rsidRPr="00824CED">
              <w:t>Multiple causes — employment and education</w:t>
            </w:r>
            <w:r w:rsidR="00114B8E">
              <w:t xml:space="preserve"> </w:t>
            </w:r>
          </w:p>
        </w:tc>
      </w:tr>
      <w:tr w:rsidR="00562375" w14:paraId="21308A73" w14:textId="77777777" w:rsidTr="009941A0">
        <w:tc>
          <w:tcPr>
            <w:tcW w:w="8789"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5"/>
            </w:tblGrid>
            <w:tr w:rsidR="00562375" w14:paraId="4C2CE758" w14:textId="77777777" w:rsidTr="00562375">
              <w:tc>
                <w:tcPr>
                  <w:tcW w:w="5000" w:type="pct"/>
                  <w:tcBorders>
                    <w:top w:val="nil"/>
                    <w:bottom w:val="nil"/>
                  </w:tcBorders>
                </w:tcPr>
                <w:p w14:paraId="41FA5375" w14:textId="77777777" w:rsidR="00562375" w:rsidRDefault="003604AF" w:rsidP="003604AF">
                  <w:pPr>
                    <w:pStyle w:val="Figure"/>
                    <w:spacing w:after="60"/>
                  </w:pPr>
                  <w:r>
                    <w:rPr>
                      <w:noProof/>
                    </w:rPr>
                    <w:drawing>
                      <wp:inline distT="0" distB="0" distL="0" distR="0" wp14:anchorId="6971997B" wp14:editId="4B7CBB10">
                        <wp:extent cx="3572971" cy="7666182"/>
                        <wp:effectExtent l="0" t="0" r="8890" b="0"/>
                        <wp:docPr id="3" name="Picture 3" descr="Figure 2.3 Multiple causes - employment and education&#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3 Multiple causes - employment and education&#10;&#10;More details can be found within the text surrounding thi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2971" cy="7666182"/>
                                </a:xfrm>
                                <a:prstGeom prst="rect">
                                  <a:avLst/>
                                </a:prstGeom>
                                <a:noFill/>
                              </pic:spPr>
                            </pic:pic>
                          </a:graphicData>
                        </a:graphic>
                      </wp:inline>
                    </w:drawing>
                  </w:r>
                </w:p>
                <w:p w14:paraId="4B6065C4" w14:textId="02EFBB8A" w:rsidR="003604AF" w:rsidRDefault="003604AF" w:rsidP="00562375">
                  <w:pPr>
                    <w:pStyle w:val="Figure"/>
                    <w:spacing w:before="60" w:after="60"/>
                  </w:pPr>
                </w:p>
              </w:tc>
            </w:tr>
          </w:tbl>
          <w:p w14:paraId="71B3FE52" w14:textId="77777777" w:rsidR="00562375" w:rsidRDefault="00562375" w:rsidP="00562375">
            <w:pPr>
              <w:pStyle w:val="Figure"/>
            </w:pPr>
          </w:p>
        </w:tc>
      </w:tr>
      <w:tr w:rsidR="00562375" w14:paraId="436E6544" w14:textId="77777777" w:rsidTr="009941A0">
        <w:tc>
          <w:tcPr>
            <w:tcW w:w="8789" w:type="dxa"/>
            <w:tcBorders>
              <w:top w:val="nil"/>
              <w:left w:val="nil"/>
              <w:bottom w:val="single" w:sz="6" w:space="0" w:color="78A22F"/>
              <w:right w:val="nil"/>
            </w:tcBorders>
            <w:shd w:val="clear" w:color="auto" w:fill="auto"/>
          </w:tcPr>
          <w:p w14:paraId="5E3C1E97" w14:textId="77777777" w:rsidR="00562375" w:rsidRDefault="00562375" w:rsidP="00562375">
            <w:pPr>
              <w:pStyle w:val="Figurespace"/>
            </w:pPr>
          </w:p>
        </w:tc>
      </w:tr>
      <w:tr w:rsidR="00562375" w:rsidRPr="000863A5" w14:paraId="2A771DF7" w14:textId="77777777" w:rsidTr="009941A0">
        <w:tc>
          <w:tcPr>
            <w:tcW w:w="8789" w:type="dxa"/>
            <w:tcBorders>
              <w:top w:val="single" w:sz="6" w:space="0" w:color="78A22F"/>
              <w:left w:val="nil"/>
              <w:bottom w:val="nil"/>
              <w:right w:val="nil"/>
            </w:tcBorders>
          </w:tcPr>
          <w:p w14:paraId="7D2FB672" w14:textId="77777777" w:rsidR="00562375" w:rsidRPr="00626D32" w:rsidRDefault="00562375" w:rsidP="00562375">
            <w:pPr>
              <w:pStyle w:val="BoxSpaceBelow"/>
            </w:pPr>
          </w:p>
        </w:tc>
      </w:tr>
    </w:tbl>
    <w:p w14:paraId="36C54B99" w14:textId="58673DE0" w:rsidR="00562375" w:rsidRDefault="00562375" w:rsidP="005623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62375" w14:paraId="6174F6DE" w14:textId="77777777" w:rsidTr="001140C5">
        <w:tc>
          <w:tcPr>
            <w:tcW w:w="5000" w:type="pct"/>
            <w:tcBorders>
              <w:top w:val="single" w:sz="6" w:space="0" w:color="78A22F"/>
              <w:left w:val="nil"/>
              <w:bottom w:val="nil"/>
              <w:right w:val="nil"/>
            </w:tcBorders>
            <w:shd w:val="clear" w:color="auto" w:fill="auto"/>
          </w:tcPr>
          <w:p w14:paraId="49F1EF45" w14:textId="2621CD84" w:rsidR="00562375" w:rsidRPr="00176D3F" w:rsidRDefault="00764EE0" w:rsidP="00023388">
            <w:pPr>
              <w:pStyle w:val="FigureTitle"/>
            </w:pPr>
            <w:r w:rsidRPr="004B2784">
              <w:rPr>
                <w:b w:val="0"/>
                <w:color w:val="000000" w:themeColor="text1"/>
              </w:rPr>
              <w:t xml:space="preserve">Figure </w:t>
            </w:r>
            <w:r>
              <w:rPr>
                <w:b w:val="0"/>
                <w:color w:val="000000" w:themeColor="text1"/>
              </w:rPr>
              <w:t>2.</w:t>
            </w:r>
            <w:r w:rsidR="006B50E5">
              <w:rPr>
                <w:b w:val="0"/>
                <w:noProof/>
                <w:color w:val="000000" w:themeColor="text1"/>
              </w:rPr>
              <w:t>4</w:t>
            </w:r>
            <w:r w:rsidR="00562375">
              <w:tab/>
              <w:t>Multiple causes — health</w:t>
            </w:r>
            <w:r w:rsidR="00A74043">
              <w:t xml:space="preserve"> </w:t>
            </w:r>
          </w:p>
        </w:tc>
      </w:tr>
      <w:tr w:rsidR="00562375" w14:paraId="751C74E5" w14:textId="77777777" w:rsidTr="001140C5">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5"/>
            </w:tblGrid>
            <w:tr w:rsidR="00562375" w14:paraId="3CD2ED0E" w14:textId="77777777" w:rsidTr="001140C5">
              <w:tc>
                <w:tcPr>
                  <w:tcW w:w="5000" w:type="pct"/>
                  <w:tcBorders>
                    <w:top w:val="nil"/>
                    <w:bottom w:val="nil"/>
                  </w:tcBorders>
                </w:tcPr>
                <w:p w14:paraId="5F2F8374" w14:textId="39355768" w:rsidR="00562375" w:rsidRDefault="003604AF" w:rsidP="00562375">
                  <w:pPr>
                    <w:pStyle w:val="Figure"/>
                    <w:spacing w:before="60" w:after="60"/>
                  </w:pPr>
                  <w:r>
                    <w:rPr>
                      <w:noProof/>
                    </w:rPr>
                    <w:drawing>
                      <wp:inline distT="0" distB="0" distL="0" distR="0" wp14:anchorId="7EA0CBF0" wp14:editId="02B13D49">
                        <wp:extent cx="3688779" cy="6289963"/>
                        <wp:effectExtent l="0" t="0" r="6985" b="0"/>
                        <wp:docPr id="4" name="Picture 4" descr="Figure 2.4 Multiple causes - health&#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4 Multiple causes - health&#10;&#10;More details can be found within the text surrounding this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8791" cy="6307035"/>
                                </a:xfrm>
                                <a:prstGeom prst="rect">
                                  <a:avLst/>
                                </a:prstGeom>
                                <a:noFill/>
                              </pic:spPr>
                            </pic:pic>
                          </a:graphicData>
                        </a:graphic>
                      </wp:inline>
                    </w:drawing>
                  </w:r>
                </w:p>
              </w:tc>
            </w:tr>
          </w:tbl>
          <w:p w14:paraId="02DD0BDB" w14:textId="77777777" w:rsidR="00562375" w:rsidRDefault="00562375" w:rsidP="00562375">
            <w:pPr>
              <w:pStyle w:val="Figure"/>
            </w:pPr>
          </w:p>
        </w:tc>
      </w:tr>
      <w:tr w:rsidR="00562375" w14:paraId="02DA661C" w14:textId="77777777" w:rsidTr="001140C5">
        <w:tc>
          <w:tcPr>
            <w:tcW w:w="5000" w:type="pct"/>
            <w:tcBorders>
              <w:top w:val="nil"/>
              <w:left w:val="nil"/>
              <w:bottom w:val="single" w:sz="6" w:space="0" w:color="78A22F"/>
              <w:right w:val="nil"/>
            </w:tcBorders>
            <w:shd w:val="clear" w:color="auto" w:fill="auto"/>
          </w:tcPr>
          <w:p w14:paraId="5FBD7911" w14:textId="77777777" w:rsidR="00562375" w:rsidRDefault="00562375" w:rsidP="00562375">
            <w:pPr>
              <w:pStyle w:val="Figurespace"/>
            </w:pPr>
          </w:p>
        </w:tc>
      </w:tr>
      <w:tr w:rsidR="00CA2600" w:rsidRPr="00CA2600" w14:paraId="05292ED7" w14:textId="77777777" w:rsidTr="001140C5">
        <w:tc>
          <w:tcPr>
            <w:tcW w:w="5000" w:type="pct"/>
            <w:tcBorders>
              <w:top w:val="single" w:sz="6" w:space="0" w:color="78A22F"/>
              <w:left w:val="nil"/>
              <w:bottom w:val="nil"/>
              <w:right w:val="nil"/>
            </w:tcBorders>
          </w:tcPr>
          <w:p w14:paraId="0F8BE6FD" w14:textId="77777777" w:rsidR="00562375" w:rsidRPr="00CA2600" w:rsidRDefault="00562375" w:rsidP="00562375">
            <w:pPr>
              <w:pStyle w:val="BoxSpaceBelow"/>
            </w:pPr>
          </w:p>
        </w:tc>
      </w:tr>
    </w:tbl>
    <w:p w14:paraId="56A0D24B" w14:textId="10507E4C" w:rsidR="00BF3DB3" w:rsidRDefault="00562375" w:rsidP="00562375">
      <w:pPr>
        <w:pStyle w:val="BodyText"/>
      </w:pPr>
      <w:r w:rsidRPr="00CA2600">
        <w:t xml:space="preserve">For example, </w:t>
      </w:r>
      <w:r w:rsidR="00ED4E0F" w:rsidRPr="0045338E">
        <w:rPr>
          <w:i/>
        </w:rPr>
        <w:t>Valuing Aboriginal and Torres Strait Isl</w:t>
      </w:r>
      <w:r w:rsidR="0045338E" w:rsidRPr="0045338E">
        <w:rPr>
          <w:i/>
        </w:rPr>
        <w:t>ander people and their cultures</w:t>
      </w:r>
      <w:r w:rsidR="008D031C" w:rsidRPr="00CA2600">
        <w:t xml:space="preserve"> </w:t>
      </w:r>
      <w:r w:rsidR="0045338E">
        <w:t>(</w:t>
      </w:r>
      <w:r w:rsidR="007541BA" w:rsidRPr="00CA2600">
        <w:t>section </w:t>
      </w:r>
      <w:r w:rsidR="0045338E">
        <w:t xml:space="preserve">5.1) can affect the COAG target of </w:t>
      </w:r>
      <w:r w:rsidR="008D031C" w:rsidRPr="0045338E">
        <w:rPr>
          <w:i/>
        </w:rPr>
        <w:t>Reading, writing and numeracy</w:t>
      </w:r>
      <w:r w:rsidR="008D031C" w:rsidRPr="00CA2600">
        <w:t xml:space="preserve"> (section 4.4) and </w:t>
      </w:r>
      <w:r w:rsidR="00651BB8">
        <w:t xml:space="preserve">the </w:t>
      </w:r>
      <w:r w:rsidR="0045338E">
        <w:t xml:space="preserve">headline indicators of </w:t>
      </w:r>
      <w:r w:rsidR="008D031C" w:rsidRPr="0045338E">
        <w:rPr>
          <w:i/>
        </w:rPr>
        <w:t>Disability and chronic disease</w:t>
      </w:r>
      <w:r w:rsidR="008D031C" w:rsidRPr="00CA2600">
        <w:t xml:space="preserve"> (section 4.</w:t>
      </w:r>
      <w:r w:rsidR="004378DB">
        <w:t>9</w:t>
      </w:r>
      <w:r w:rsidR="0045338E">
        <w:t xml:space="preserve">) and </w:t>
      </w:r>
      <w:r w:rsidR="0045338E" w:rsidRPr="0045338E">
        <w:rPr>
          <w:i/>
        </w:rPr>
        <w:t>Family and community violence</w:t>
      </w:r>
      <w:r w:rsidR="008D031C" w:rsidRPr="00CA2600">
        <w:t xml:space="preserve"> (section 4.</w:t>
      </w:r>
      <w:r w:rsidR="004378DB" w:rsidRPr="00CA2600">
        <w:t>1</w:t>
      </w:r>
      <w:r w:rsidR="004378DB">
        <w:t>2</w:t>
      </w:r>
      <w:r w:rsidR="008D031C" w:rsidRPr="00CA2600">
        <w:t>)</w:t>
      </w:r>
      <w:r w:rsidR="00651BB8">
        <w:t>,</w:t>
      </w:r>
      <w:r w:rsidR="008D031C" w:rsidRPr="00CA2600">
        <w:t xml:space="preserve"> as well as outcomes in the ‘Education and training’, ‘Healthy lives’, ‘Home environment’ and ‘Safe and supportive communities’ strategic areas</w:t>
      </w:r>
      <w:r w:rsidRPr="00CA2600">
        <w:t xml:space="preserve"> </w:t>
      </w:r>
      <w:r w:rsidR="008D031C" w:rsidRPr="00CA2600">
        <w:t>(</w:t>
      </w:r>
      <w:r w:rsidRPr="00CA2600">
        <w:t>figure </w:t>
      </w:r>
      <w:r w:rsidR="00764EE0">
        <w:t>2.5</w:t>
      </w:r>
      <w:r w:rsidR="008D031C" w:rsidRPr="00CA2600">
        <w:t>).</w:t>
      </w:r>
      <w:r w:rsidRPr="00CA2600">
        <w:t xml:space="preserve"> Although other influences are also important in each of these areas,</w:t>
      </w:r>
      <w:r w:rsidR="002314D7" w:rsidRPr="00CA2600">
        <w:t xml:space="preserve"> </w:t>
      </w:r>
      <w:r w:rsidRPr="00CA2600">
        <w:t xml:space="preserve">there is </w:t>
      </w:r>
      <w:r w:rsidRPr="00CA2600">
        <w:lastRenderedPageBreak/>
        <w:t xml:space="preserve">sufficient evidence </w:t>
      </w:r>
      <w:r w:rsidR="006D7C0F">
        <w:t>throughout this R</w:t>
      </w:r>
      <w:r w:rsidR="00F46090" w:rsidRPr="00CA2600">
        <w:t xml:space="preserve">eport </w:t>
      </w:r>
      <w:r w:rsidRPr="00CA2600">
        <w:t xml:space="preserve">to </w:t>
      </w:r>
      <w:r w:rsidR="00651BB8">
        <w:t>promote concern</w:t>
      </w:r>
      <w:r w:rsidRPr="00CA2600">
        <w:t xml:space="preserve"> about</w:t>
      </w:r>
      <w:r w:rsidR="00F46090" w:rsidRPr="00CA2600">
        <w:t xml:space="preserve"> </w:t>
      </w:r>
      <w:r w:rsidR="00F46090">
        <w:t>the impact o</w:t>
      </w:r>
      <w:r w:rsidR="00651BB8">
        <w:t>n multiple outcomes of</w:t>
      </w:r>
      <w:r w:rsidR="00F46090">
        <w:t xml:space="preserve"> not addressing</w:t>
      </w:r>
      <w:r>
        <w:t xml:space="preserve"> </w:t>
      </w:r>
      <w:r w:rsidR="002314D7">
        <w:t xml:space="preserve">cultural </w:t>
      </w:r>
      <w:r>
        <w:t>issues.</w:t>
      </w:r>
    </w:p>
    <w:p w14:paraId="72B070BE" w14:textId="5426325F" w:rsidR="00562375" w:rsidRDefault="00562375" w:rsidP="005623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562375" w14:paraId="7EE4785E" w14:textId="77777777" w:rsidTr="006B775C">
        <w:tc>
          <w:tcPr>
            <w:tcW w:w="5000" w:type="pct"/>
            <w:tcBorders>
              <w:top w:val="single" w:sz="6" w:space="0" w:color="78A22F"/>
              <w:left w:val="nil"/>
              <w:bottom w:val="nil"/>
              <w:right w:val="nil"/>
            </w:tcBorders>
            <w:shd w:val="clear" w:color="auto" w:fill="auto"/>
          </w:tcPr>
          <w:p w14:paraId="75E21FA2" w14:textId="216B5D0D" w:rsidR="00562375" w:rsidRPr="00176D3F" w:rsidRDefault="00764EE0" w:rsidP="00023388">
            <w:pPr>
              <w:pStyle w:val="FigureTitle"/>
            </w:pPr>
            <w:r w:rsidRPr="004B2784">
              <w:rPr>
                <w:b w:val="0"/>
                <w:color w:val="000000" w:themeColor="text1"/>
              </w:rPr>
              <w:t xml:space="preserve">Figure </w:t>
            </w:r>
            <w:r>
              <w:rPr>
                <w:b w:val="0"/>
                <w:color w:val="000000" w:themeColor="text1"/>
              </w:rPr>
              <w:t>2.</w:t>
            </w:r>
            <w:r w:rsidR="006B50E5">
              <w:rPr>
                <w:b w:val="0"/>
                <w:noProof/>
                <w:color w:val="000000" w:themeColor="text1"/>
              </w:rPr>
              <w:t>5</w:t>
            </w:r>
            <w:r w:rsidR="00562375">
              <w:tab/>
            </w:r>
            <w:r w:rsidR="00562375" w:rsidRPr="00017D47">
              <w:t>Multiple effects —</w:t>
            </w:r>
            <w:r w:rsidR="00ED4E0F">
              <w:t xml:space="preserve"> </w:t>
            </w:r>
            <w:r w:rsidR="00ED4E0F" w:rsidRPr="00CA2600">
              <w:t>valuing Aboriginal and Torres Strait Islander people and their cultures</w:t>
            </w:r>
            <w:r w:rsidR="00114B8E" w:rsidRPr="00CA2600">
              <w:t xml:space="preserve"> </w:t>
            </w:r>
          </w:p>
        </w:tc>
      </w:tr>
      <w:tr w:rsidR="00562375" w14:paraId="1A80D524" w14:textId="77777777" w:rsidTr="006B775C">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5"/>
            </w:tblGrid>
            <w:tr w:rsidR="00562375" w14:paraId="4EBC899D" w14:textId="77777777" w:rsidTr="006B775C">
              <w:tc>
                <w:tcPr>
                  <w:tcW w:w="5000" w:type="pct"/>
                  <w:tcBorders>
                    <w:top w:val="nil"/>
                    <w:bottom w:val="nil"/>
                  </w:tcBorders>
                </w:tcPr>
                <w:p w14:paraId="1DEAAB5B" w14:textId="01C92F8D" w:rsidR="00562375" w:rsidRDefault="003604AF" w:rsidP="00562375">
                  <w:pPr>
                    <w:pStyle w:val="Figure"/>
                    <w:spacing w:before="60" w:after="60"/>
                  </w:pPr>
                  <w:r>
                    <w:rPr>
                      <w:noProof/>
                    </w:rPr>
                    <w:drawing>
                      <wp:inline distT="0" distB="0" distL="0" distR="0" wp14:anchorId="271526D0" wp14:editId="627525CE">
                        <wp:extent cx="4480245" cy="5809672"/>
                        <wp:effectExtent l="0" t="0" r="0" b="635"/>
                        <wp:docPr id="8" name="Picture 8" descr="Figure 2.5 Multiple effects - valuing Aboriginal and Torres Strait Islander people and their cultur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5 Multiple effects - valuing Aboriginal and Torres Strait Islander people and their cultures&#10;&#10;More details can be found within the text surrounding this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5137" cy="5816016"/>
                                </a:xfrm>
                                <a:prstGeom prst="rect">
                                  <a:avLst/>
                                </a:prstGeom>
                                <a:noFill/>
                              </pic:spPr>
                            </pic:pic>
                          </a:graphicData>
                        </a:graphic>
                      </wp:inline>
                    </w:drawing>
                  </w:r>
                </w:p>
              </w:tc>
            </w:tr>
          </w:tbl>
          <w:p w14:paraId="31F837C9" w14:textId="77777777" w:rsidR="00562375" w:rsidRDefault="00562375" w:rsidP="00562375">
            <w:pPr>
              <w:pStyle w:val="Figure"/>
            </w:pPr>
          </w:p>
        </w:tc>
      </w:tr>
      <w:tr w:rsidR="00562375" w14:paraId="797BD96F" w14:textId="77777777" w:rsidTr="006B775C">
        <w:tc>
          <w:tcPr>
            <w:tcW w:w="5000" w:type="pct"/>
            <w:tcBorders>
              <w:top w:val="nil"/>
              <w:left w:val="nil"/>
              <w:bottom w:val="single" w:sz="6" w:space="0" w:color="78A22F"/>
              <w:right w:val="nil"/>
            </w:tcBorders>
            <w:shd w:val="clear" w:color="auto" w:fill="auto"/>
          </w:tcPr>
          <w:p w14:paraId="5B7D859E" w14:textId="77777777" w:rsidR="00562375" w:rsidRDefault="00562375" w:rsidP="00562375">
            <w:pPr>
              <w:pStyle w:val="Figurespace"/>
            </w:pPr>
          </w:p>
        </w:tc>
      </w:tr>
      <w:tr w:rsidR="00562375" w:rsidRPr="000863A5" w14:paraId="119FFC2C" w14:textId="77777777" w:rsidTr="006B775C">
        <w:tc>
          <w:tcPr>
            <w:tcW w:w="5000" w:type="pct"/>
            <w:tcBorders>
              <w:top w:val="single" w:sz="6" w:space="0" w:color="78A22F"/>
              <w:left w:val="nil"/>
              <w:bottom w:val="nil"/>
              <w:right w:val="nil"/>
            </w:tcBorders>
          </w:tcPr>
          <w:p w14:paraId="1F516BC4" w14:textId="77777777" w:rsidR="00562375" w:rsidRPr="00626D32" w:rsidRDefault="00562375" w:rsidP="00562375">
            <w:pPr>
              <w:pStyle w:val="BoxSpaceBelow"/>
            </w:pPr>
          </w:p>
        </w:tc>
      </w:tr>
    </w:tbl>
    <w:p w14:paraId="4199DFC7" w14:textId="42E3D8A4" w:rsidR="00F46090" w:rsidRPr="00CA2600" w:rsidRDefault="00F46090" w:rsidP="007863E2">
      <w:pPr>
        <w:pStyle w:val="BodyText"/>
      </w:pPr>
      <w:r w:rsidRPr="00CA2600">
        <w:t xml:space="preserve">Similarly, actions designed to assist in </w:t>
      </w:r>
      <w:r w:rsidRPr="004D75A7">
        <w:rPr>
          <w:i/>
        </w:rPr>
        <w:t>Indigenous language revitalisation and maintenance</w:t>
      </w:r>
      <w:r w:rsidRPr="00CA2600" w:rsidDel="00D533AC">
        <w:t xml:space="preserve"> </w:t>
      </w:r>
      <w:r w:rsidR="004D75A7">
        <w:t>(</w:t>
      </w:r>
      <w:r w:rsidR="007541BA" w:rsidRPr="00CA2600">
        <w:t>section </w:t>
      </w:r>
      <w:r w:rsidR="004D75A7">
        <w:t xml:space="preserve">5.5) </w:t>
      </w:r>
      <w:r w:rsidR="00651BB8" w:rsidRPr="00CA2600">
        <w:t>can</w:t>
      </w:r>
      <w:r w:rsidR="00651BB8">
        <w:t xml:space="preserve"> have </w:t>
      </w:r>
      <w:r w:rsidRPr="00CA2600">
        <w:t>impact</w:t>
      </w:r>
      <w:r w:rsidR="00651BB8">
        <w:t>s</w:t>
      </w:r>
      <w:r w:rsidRPr="00CA2600">
        <w:t xml:space="preserve"> on multiple outcomes (figure 2.</w:t>
      </w:r>
      <w:r w:rsidR="00764EE0">
        <w:t>6</w:t>
      </w:r>
      <w:r w:rsidRPr="00CA2600">
        <w:t>). Aboriginal and Torres Strait Islander languages are closely linked to cultures, lands</w:t>
      </w:r>
      <w:r w:rsidR="00651BB8">
        <w:t>,</w:t>
      </w:r>
      <w:r w:rsidRPr="00CA2600">
        <w:t xml:space="preserve"> laws, and ultimately wellbeing</w:t>
      </w:r>
      <w:r w:rsidR="00651BB8">
        <w:t>;</w:t>
      </w:r>
      <w:r w:rsidRPr="00CA2600">
        <w:t xml:space="preserve"> </w:t>
      </w:r>
      <w:r w:rsidR="00651BB8">
        <w:t>they</w:t>
      </w:r>
      <w:r w:rsidRPr="00CA2600">
        <w:t xml:space="preserve"> can co</w:t>
      </w:r>
      <w:r w:rsidR="004D75A7">
        <w:t xml:space="preserve">ntribute to the COAG target of </w:t>
      </w:r>
      <w:r w:rsidRPr="004D75A7">
        <w:rPr>
          <w:i/>
        </w:rPr>
        <w:t>Employme</w:t>
      </w:r>
      <w:r w:rsidR="004D75A7" w:rsidRPr="004D75A7">
        <w:rPr>
          <w:i/>
        </w:rPr>
        <w:t>nt</w:t>
      </w:r>
      <w:r w:rsidRPr="00CA2600">
        <w:t xml:space="preserve"> (section 4.7)</w:t>
      </w:r>
      <w:r w:rsidR="00651BB8">
        <w:t xml:space="preserve"> and</w:t>
      </w:r>
      <w:r w:rsidRPr="00CA2600">
        <w:t xml:space="preserve"> the headline </w:t>
      </w:r>
      <w:r w:rsidR="004D75A7">
        <w:t xml:space="preserve">indicators of </w:t>
      </w:r>
      <w:r w:rsidR="004D75A7" w:rsidRPr="004D75A7">
        <w:rPr>
          <w:i/>
        </w:rPr>
        <w:t>Disability and chronic disease</w:t>
      </w:r>
      <w:r w:rsidRPr="00CA2600">
        <w:t xml:space="preserve"> (section 4.9)</w:t>
      </w:r>
      <w:r w:rsidR="004D75A7">
        <w:t xml:space="preserve"> and </w:t>
      </w:r>
      <w:r w:rsidRPr="004D75A7">
        <w:rPr>
          <w:i/>
        </w:rPr>
        <w:t xml:space="preserve">Family and community </w:t>
      </w:r>
      <w:r w:rsidRPr="004D75A7">
        <w:rPr>
          <w:i/>
        </w:rPr>
        <w:lastRenderedPageBreak/>
        <w:t>violence</w:t>
      </w:r>
      <w:r w:rsidRPr="00CA2600">
        <w:t xml:space="preserve"> (section 4.12)</w:t>
      </w:r>
      <w:r w:rsidR="00651BB8">
        <w:t>,</w:t>
      </w:r>
      <w:r w:rsidRPr="00CA2600">
        <w:t xml:space="preserve"> and</w:t>
      </w:r>
      <w:r w:rsidR="00651BB8">
        <w:t xml:space="preserve"> can</w:t>
      </w:r>
      <w:r w:rsidRPr="00CA2600">
        <w:t xml:space="preserve"> </w:t>
      </w:r>
      <w:r w:rsidR="004D75A7">
        <w:t xml:space="preserve">also </w:t>
      </w:r>
      <w:r w:rsidRPr="00CA2600">
        <w:t xml:space="preserve">affect outcomes in the ‘Early child development’, ‘Healthy lives’, ‘Economic participation’, and ‘Safe and supportive communities’ strategic areas. Although </w:t>
      </w:r>
      <w:r w:rsidRPr="004D75A7">
        <w:rPr>
          <w:i/>
        </w:rPr>
        <w:t>Indigenous language revitalisation and maintenance</w:t>
      </w:r>
      <w:r w:rsidRPr="00CA2600">
        <w:t xml:space="preserve"> </w:t>
      </w:r>
      <w:r w:rsidR="004D75A7">
        <w:t>(</w:t>
      </w:r>
      <w:r w:rsidR="007541BA" w:rsidRPr="00CA2600">
        <w:t>section </w:t>
      </w:r>
      <w:r w:rsidR="006D7C0F">
        <w:t>5.5</w:t>
      </w:r>
      <w:r w:rsidR="004D75A7">
        <w:t xml:space="preserve">) </w:t>
      </w:r>
      <w:r w:rsidRPr="00CA2600">
        <w:t xml:space="preserve">is not the only influence in these areas, there is sufficient evidence to </w:t>
      </w:r>
      <w:r w:rsidR="00651BB8">
        <w:t>promote</w:t>
      </w:r>
      <w:r w:rsidR="00651BB8" w:rsidRPr="00CA2600">
        <w:t xml:space="preserve"> </w:t>
      </w:r>
      <w:r w:rsidRPr="00CA2600">
        <w:t>concern about cultural issues and their impact on outcomes related to wellbeing.</w:t>
      </w:r>
    </w:p>
    <w:p w14:paraId="472AAD2F" w14:textId="5EAAA91A" w:rsidR="00562375" w:rsidRPr="00CA2600" w:rsidRDefault="00562375" w:rsidP="00BA6F92">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A2600" w:rsidRPr="00CA2600" w14:paraId="5ADB6769" w14:textId="77777777" w:rsidTr="006B775C">
        <w:tc>
          <w:tcPr>
            <w:tcW w:w="5000" w:type="pct"/>
            <w:tcBorders>
              <w:top w:val="single" w:sz="6" w:space="0" w:color="78A22F"/>
              <w:left w:val="nil"/>
              <w:bottom w:val="nil"/>
              <w:right w:val="nil"/>
            </w:tcBorders>
            <w:shd w:val="clear" w:color="auto" w:fill="auto"/>
          </w:tcPr>
          <w:p w14:paraId="4B42C063" w14:textId="445708A0" w:rsidR="00562375" w:rsidRPr="00CA2600" w:rsidRDefault="00764EE0" w:rsidP="009102E4">
            <w:pPr>
              <w:pStyle w:val="FigureTitle"/>
            </w:pPr>
            <w:r w:rsidRPr="004B2784">
              <w:rPr>
                <w:b w:val="0"/>
                <w:color w:val="000000" w:themeColor="text1"/>
              </w:rPr>
              <w:t xml:space="preserve">Figure </w:t>
            </w:r>
            <w:r>
              <w:rPr>
                <w:b w:val="0"/>
                <w:color w:val="000000" w:themeColor="text1"/>
              </w:rPr>
              <w:t>2.</w:t>
            </w:r>
            <w:r w:rsidR="006B50E5">
              <w:rPr>
                <w:b w:val="0"/>
                <w:noProof/>
                <w:color w:val="000000" w:themeColor="text1"/>
              </w:rPr>
              <w:t>6</w:t>
            </w:r>
            <w:r w:rsidR="00562375" w:rsidRPr="00CA2600">
              <w:tab/>
              <w:t xml:space="preserve">Multiple effects — </w:t>
            </w:r>
            <w:r w:rsidR="00D533AC" w:rsidRPr="00CA2600">
              <w:t>Indigenous language revitalisation and maintenance</w:t>
            </w:r>
          </w:p>
        </w:tc>
      </w:tr>
      <w:tr w:rsidR="00562375" w14:paraId="61D83E8C" w14:textId="77777777" w:rsidTr="006B775C">
        <w:tc>
          <w:tcPr>
            <w:tcW w:w="5000" w:type="pct"/>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05"/>
            </w:tblGrid>
            <w:tr w:rsidR="00562375" w14:paraId="5F8E17DC" w14:textId="77777777" w:rsidTr="001140C5">
              <w:tc>
                <w:tcPr>
                  <w:tcW w:w="5000" w:type="pct"/>
                  <w:tcBorders>
                    <w:top w:val="nil"/>
                    <w:bottom w:val="nil"/>
                  </w:tcBorders>
                </w:tcPr>
                <w:p w14:paraId="2E1B11FE" w14:textId="5FDD45BC" w:rsidR="00562375" w:rsidRDefault="003604AF" w:rsidP="00562375">
                  <w:pPr>
                    <w:pStyle w:val="Figure"/>
                    <w:spacing w:before="60" w:after="60"/>
                  </w:pPr>
                  <w:r>
                    <w:rPr>
                      <w:noProof/>
                    </w:rPr>
                    <w:drawing>
                      <wp:inline distT="0" distB="0" distL="0" distR="0" wp14:anchorId="6A96B513" wp14:editId="68F936E9">
                        <wp:extent cx="4294909" cy="5551259"/>
                        <wp:effectExtent l="0" t="0" r="0" b="0"/>
                        <wp:docPr id="9" name="Picture 9" descr="Figure 2.6 Multiple effects - Indigenous language revitalisation and maintenanc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6 Multiple effects - Indigenous language revitalisation and maintenance&#10;&#10;More details can be found within the text surrounding this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9195" cy="5569724"/>
                                </a:xfrm>
                                <a:prstGeom prst="rect">
                                  <a:avLst/>
                                </a:prstGeom>
                                <a:noFill/>
                              </pic:spPr>
                            </pic:pic>
                          </a:graphicData>
                        </a:graphic>
                      </wp:inline>
                    </w:drawing>
                  </w:r>
                </w:p>
              </w:tc>
            </w:tr>
          </w:tbl>
          <w:p w14:paraId="693643E9" w14:textId="77777777" w:rsidR="00562375" w:rsidRDefault="00562375" w:rsidP="00562375">
            <w:pPr>
              <w:pStyle w:val="Figure"/>
            </w:pPr>
          </w:p>
        </w:tc>
      </w:tr>
      <w:tr w:rsidR="00562375" w14:paraId="3B0A4210" w14:textId="77777777" w:rsidTr="006B775C">
        <w:tc>
          <w:tcPr>
            <w:tcW w:w="5000" w:type="pct"/>
            <w:tcBorders>
              <w:top w:val="nil"/>
              <w:left w:val="nil"/>
              <w:bottom w:val="single" w:sz="6" w:space="0" w:color="78A22F"/>
              <w:right w:val="nil"/>
            </w:tcBorders>
            <w:shd w:val="clear" w:color="auto" w:fill="auto"/>
          </w:tcPr>
          <w:p w14:paraId="3FE47932" w14:textId="77777777" w:rsidR="00562375" w:rsidRDefault="00562375" w:rsidP="00562375">
            <w:pPr>
              <w:pStyle w:val="Figurespace"/>
            </w:pPr>
          </w:p>
        </w:tc>
      </w:tr>
      <w:tr w:rsidR="00562375" w:rsidRPr="000863A5" w14:paraId="605B5B9F" w14:textId="77777777" w:rsidTr="006B775C">
        <w:tc>
          <w:tcPr>
            <w:tcW w:w="5000" w:type="pct"/>
            <w:tcBorders>
              <w:top w:val="single" w:sz="6" w:space="0" w:color="78A22F"/>
              <w:left w:val="nil"/>
              <w:bottom w:val="nil"/>
              <w:right w:val="nil"/>
            </w:tcBorders>
          </w:tcPr>
          <w:p w14:paraId="139543EB" w14:textId="77777777" w:rsidR="00562375" w:rsidRPr="00626D32" w:rsidRDefault="00562375" w:rsidP="00BA6F92">
            <w:pPr>
              <w:pStyle w:val="BoxSpaceBelow"/>
              <w:spacing w:line="40" w:lineRule="exact"/>
            </w:pPr>
          </w:p>
        </w:tc>
      </w:tr>
    </w:tbl>
    <w:p w14:paraId="2BD6C704" w14:textId="54770080" w:rsidR="007B6F7C" w:rsidRDefault="007B6F7C" w:rsidP="006B775C">
      <w:pPr>
        <w:pStyle w:val="BoxSpaceBelow"/>
      </w:pPr>
    </w:p>
    <w:p w14:paraId="46B21712" w14:textId="1ACBD0B9" w:rsidR="00BA6F92" w:rsidRDefault="00BA6F92" w:rsidP="00775D99">
      <w:pPr>
        <w:pStyle w:val="Heading3"/>
        <w:keepNext w:val="0"/>
        <w:widowControl w:val="0"/>
        <w:spacing w:before="480"/>
      </w:pPr>
      <w:r w:rsidRPr="007767B3">
        <w:t>References</w:t>
      </w:r>
    </w:p>
    <w:p w14:paraId="0DEA3829" w14:textId="55C5158F" w:rsidR="00252DEE" w:rsidRPr="00BA6F92" w:rsidRDefault="00BA6F92" w:rsidP="00775D99">
      <w:pPr>
        <w:pStyle w:val="BodyText"/>
        <w:widowControl w:val="0"/>
        <w:spacing w:before="160"/>
      </w:pPr>
      <w:r w:rsidRPr="000A5D51">
        <w:rPr>
          <w:sz w:val="20"/>
        </w:rPr>
        <w:t xml:space="preserve">COAG 2020, </w:t>
      </w:r>
      <w:r w:rsidRPr="000A5D51">
        <w:rPr>
          <w:i/>
          <w:sz w:val="20"/>
        </w:rPr>
        <w:t>Meeting outcomes</w:t>
      </w:r>
      <w:r w:rsidRPr="000A5D51">
        <w:rPr>
          <w:sz w:val="20"/>
        </w:rPr>
        <w:t xml:space="preserve">, Council of Australian Governments, </w:t>
      </w:r>
      <w:r w:rsidRPr="00BA6F92">
        <w:rPr>
          <w:sz w:val="20"/>
        </w:rPr>
        <w:t>https://www.coag.gov.au/</w:t>
      </w:r>
      <w:r>
        <w:rPr>
          <w:sz w:val="20"/>
        </w:rPr>
        <w:t xml:space="preserve"> meeting-outcomes (accessed 9 October 2020).</w:t>
      </w:r>
    </w:p>
    <w:sectPr w:rsidR="00252DEE" w:rsidRPr="00BA6F92" w:rsidSect="003E260A">
      <w:headerReference w:type="even" r:id="rId14"/>
      <w:headerReference w:type="default" r:id="rId15"/>
      <w:footerReference w:type="even" r:id="rId16"/>
      <w:footerReference w:type="default" r:id="rId17"/>
      <w:pgSz w:w="11907" w:h="16840" w:code="9"/>
      <w:pgMar w:top="1984" w:right="1304" w:bottom="1247" w:left="1814" w:header="1701" w:footer="397" w:gutter="0"/>
      <w:pgNumType w:start="1" w:chapSep="period"/>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47842" w14:textId="77777777" w:rsidR="00C14242" w:rsidRDefault="00C14242">
      <w:r>
        <w:separator/>
      </w:r>
    </w:p>
  </w:endnote>
  <w:endnote w:type="continuationSeparator" w:id="0">
    <w:p w14:paraId="48BA0FFA" w14:textId="77777777" w:rsidR="00C14242" w:rsidRDefault="00C1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4242" w14:paraId="6EEB64B5" w14:textId="77777777" w:rsidTr="00EE38BD">
      <w:trPr>
        <w:trHeight w:hRule="exact" w:val="567"/>
      </w:trPr>
      <w:tc>
        <w:tcPr>
          <w:tcW w:w="510" w:type="dxa"/>
        </w:tcPr>
        <w:p w14:paraId="26B63B55" w14:textId="77777777" w:rsidR="00C14242" w:rsidRPr="00A24443" w:rsidRDefault="00C14242" w:rsidP="00EE38BD">
          <w:pPr>
            <w:pStyle w:val="Footer"/>
            <w:tabs>
              <w:tab w:val="left" w:pos="0"/>
            </w:tabs>
            <w:ind w:right="0"/>
            <w:rPr>
              <w:rStyle w:val="PageNumber"/>
              <w:caps w:val="0"/>
            </w:rPr>
          </w:pPr>
          <w:r>
            <w:rPr>
              <w:rStyle w:val="PageNumber"/>
              <w:caps w:val="0"/>
            </w:rPr>
            <w:t>2.</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A44E2">
            <w:rPr>
              <w:rStyle w:val="PageNumber"/>
              <w:caps w:val="0"/>
              <w:noProof/>
            </w:rPr>
            <w:t>6</w:t>
          </w:r>
          <w:r w:rsidRPr="00A24443">
            <w:rPr>
              <w:rStyle w:val="PageNumber"/>
              <w:caps w:val="0"/>
            </w:rPr>
            <w:fldChar w:fldCharType="end"/>
          </w:r>
        </w:p>
      </w:tc>
      <w:tc>
        <w:tcPr>
          <w:tcW w:w="7767" w:type="dxa"/>
        </w:tcPr>
        <w:p w14:paraId="380EF921" w14:textId="5BB145EA" w:rsidR="00C14242" w:rsidRPr="0013739A" w:rsidRDefault="00C14242" w:rsidP="00EE38BD">
          <w:pPr>
            <w:pStyle w:val="Footer"/>
            <w:rPr>
              <w:rFonts w:cs="Arial"/>
            </w:rPr>
          </w:pPr>
          <w:r>
            <w:rPr>
              <w:rFonts w:cs="Arial"/>
            </w:rPr>
            <w:t>Overcoming Indigenous Disadvantage 2020</w:t>
          </w:r>
          <w:bookmarkStart w:id="4" w:name="DraftReportEven"/>
          <w:bookmarkEnd w:id="4"/>
        </w:p>
      </w:tc>
      <w:tc>
        <w:tcPr>
          <w:tcW w:w="510" w:type="dxa"/>
        </w:tcPr>
        <w:p w14:paraId="31784B3E" w14:textId="77777777" w:rsidR="00C14242" w:rsidRDefault="00C14242" w:rsidP="00EE38BD">
          <w:pPr>
            <w:pStyle w:val="Footer"/>
          </w:pPr>
        </w:p>
      </w:tc>
    </w:tr>
  </w:tbl>
  <w:p w14:paraId="57837621" w14:textId="77777777" w:rsidR="00C14242" w:rsidRDefault="00C14242" w:rsidP="00EE38B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4242" w14:paraId="2451CF1C" w14:textId="77777777" w:rsidTr="00EE38BD">
      <w:trPr>
        <w:trHeight w:hRule="exact" w:val="567"/>
      </w:trPr>
      <w:tc>
        <w:tcPr>
          <w:tcW w:w="510" w:type="dxa"/>
        </w:tcPr>
        <w:p w14:paraId="636B7811" w14:textId="77777777" w:rsidR="00C14242" w:rsidRDefault="00C14242">
          <w:pPr>
            <w:pStyle w:val="Footer"/>
            <w:ind w:right="360" w:firstLine="360"/>
          </w:pPr>
        </w:p>
      </w:tc>
      <w:tc>
        <w:tcPr>
          <w:tcW w:w="7767" w:type="dxa"/>
        </w:tcPr>
        <w:p w14:paraId="2CE9FD44" w14:textId="6A4FDB61" w:rsidR="00C14242" w:rsidRPr="00BA5B14" w:rsidRDefault="00C14242" w:rsidP="00EE38BD">
          <w:pPr>
            <w:pStyle w:val="Footer"/>
            <w:jc w:val="right"/>
            <w:rPr>
              <w:rFonts w:cs="Arial"/>
            </w:rPr>
          </w:pPr>
          <w:r>
            <w:rPr>
              <w:rFonts w:cs="Arial"/>
            </w:rPr>
            <w:t>The framework</w:t>
          </w:r>
        </w:p>
      </w:tc>
      <w:tc>
        <w:tcPr>
          <w:tcW w:w="510" w:type="dxa"/>
        </w:tcPr>
        <w:p w14:paraId="27A5F26C" w14:textId="77777777" w:rsidR="00C14242" w:rsidRPr="00A24443" w:rsidRDefault="00C14242">
          <w:pPr>
            <w:pStyle w:val="Footer"/>
            <w:jc w:val="right"/>
            <w:rPr>
              <w:caps w:val="0"/>
            </w:rPr>
          </w:pPr>
          <w:r>
            <w:rPr>
              <w:rStyle w:val="PageNumber"/>
              <w:caps w:val="0"/>
            </w:rPr>
            <w:t>2.</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A44E2">
            <w:rPr>
              <w:rStyle w:val="PageNumber"/>
              <w:caps w:val="0"/>
              <w:noProof/>
            </w:rPr>
            <w:t>5</w:t>
          </w:r>
          <w:r w:rsidRPr="00A24443">
            <w:rPr>
              <w:rStyle w:val="PageNumber"/>
              <w:caps w:val="0"/>
            </w:rPr>
            <w:fldChar w:fldCharType="end"/>
          </w:r>
        </w:p>
      </w:tc>
    </w:tr>
  </w:tbl>
  <w:p w14:paraId="71832FA6" w14:textId="77777777" w:rsidR="00C14242" w:rsidRDefault="00C14242">
    <w:pPr>
      <w:pStyle w:val="FooterEnd"/>
    </w:pPr>
  </w:p>
  <w:p w14:paraId="50C7E246" w14:textId="77777777" w:rsidR="00C14242" w:rsidRDefault="00C14242">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DB1B6" w14:textId="77777777" w:rsidR="00C14242" w:rsidRDefault="00C14242">
      <w:r>
        <w:separator/>
      </w:r>
    </w:p>
  </w:footnote>
  <w:footnote w:type="continuationSeparator" w:id="0">
    <w:p w14:paraId="6F3920DE" w14:textId="77777777" w:rsidR="00C14242" w:rsidRDefault="00C14242">
      <w:r>
        <w:continuationSeparator/>
      </w:r>
    </w:p>
  </w:footnote>
  <w:footnote w:id="1">
    <w:p w14:paraId="642EE864" w14:textId="4FB94AAC" w:rsidR="00C14242" w:rsidRDefault="00C14242">
      <w:pPr>
        <w:pStyle w:val="FootnoteText"/>
      </w:pPr>
      <w:r>
        <w:rPr>
          <w:rStyle w:val="FootnoteReference"/>
        </w:rPr>
        <w:footnoteRef/>
      </w:r>
      <w:r>
        <w:tab/>
        <w:t xml:space="preserve">See chapter 3 </w:t>
      </w:r>
      <w:r w:rsidRPr="00B8455A">
        <w:rPr>
          <w:i/>
        </w:rPr>
        <w:t>Understanding the outcomes and how they can be improved</w:t>
      </w:r>
      <w:r>
        <w:rPr>
          <w:i/>
        </w:rPr>
        <w:t xml:space="preserve"> </w:t>
      </w:r>
      <w:r>
        <w:t>for more information about personal risk factors, structural barriers and institutional racism experienced by Aboriginal and Torres Strait Islander people.</w:t>
      </w:r>
    </w:p>
  </w:footnote>
  <w:footnote w:id="2">
    <w:p w14:paraId="76963B29" w14:textId="1F831B30" w:rsidR="00C14242" w:rsidRDefault="00C14242">
      <w:pPr>
        <w:pStyle w:val="FootnoteText"/>
      </w:pPr>
      <w:r>
        <w:rPr>
          <w:rStyle w:val="FootnoteReference"/>
        </w:rPr>
        <w:footnoteRef/>
      </w:r>
      <w:r>
        <w:tab/>
        <w:t xml:space="preserve">COAG was disbanded on 29 May 2020 and replaced by a National Federation Reform Council </w:t>
      </w:r>
      <w:r w:rsidRPr="00513F55">
        <w:rPr>
          <w:szCs w:val="24"/>
        </w:rPr>
        <w:t>(COAG 2020)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C14242" w14:paraId="6C22754E" w14:textId="77777777">
      <w:tc>
        <w:tcPr>
          <w:tcW w:w="2155" w:type="dxa"/>
          <w:tcBorders>
            <w:top w:val="single" w:sz="24" w:space="0" w:color="auto"/>
          </w:tcBorders>
        </w:tcPr>
        <w:p w14:paraId="7F190A94" w14:textId="77777777" w:rsidR="00C14242" w:rsidRDefault="00C14242">
          <w:pPr>
            <w:pStyle w:val="HeaderEven"/>
          </w:pPr>
        </w:p>
      </w:tc>
      <w:tc>
        <w:tcPr>
          <w:tcW w:w="6634" w:type="dxa"/>
          <w:tcBorders>
            <w:top w:val="single" w:sz="6" w:space="0" w:color="auto"/>
          </w:tcBorders>
        </w:tcPr>
        <w:p w14:paraId="7EB7CC38" w14:textId="7D55C670" w:rsidR="00C14242" w:rsidRDefault="00C14242" w:rsidP="009033F9">
          <w:pPr>
            <w:pStyle w:val="HeaderEven"/>
          </w:pPr>
        </w:p>
      </w:tc>
    </w:tr>
  </w:tbl>
  <w:p w14:paraId="00FB2002" w14:textId="77777777" w:rsidR="00C14242" w:rsidRDefault="00C1424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14242" w14:paraId="5A95866E" w14:textId="77777777">
      <w:tc>
        <w:tcPr>
          <w:tcW w:w="6634" w:type="dxa"/>
          <w:tcBorders>
            <w:top w:val="single" w:sz="6" w:space="0" w:color="auto"/>
          </w:tcBorders>
        </w:tcPr>
        <w:p w14:paraId="6A3D69AE" w14:textId="181BCB5F" w:rsidR="00C14242" w:rsidRDefault="00C14242" w:rsidP="009033F9">
          <w:pPr>
            <w:pStyle w:val="HeaderOdd"/>
          </w:pPr>
        </w:p>
      </w:tc>
      <w:tc>
        <w:tcPr>
          <w:tcW w:w="2155" w:type="dxa"/>
          <w:tcBorders>
            <w:top w:val="single" w:sz="24" w:space="0" w:color="auto"/>
          </w:tcBorders>
        </w:tcPr>
        <w:p w14:paraId="510C2934" w14:textId="77777777" w:rsidR="00C14242" w:rsidRDefault="00C14242">
          <w:pPr>
            <w:pStyle w:val="HeaderOdd"/>
          </w:pPr>
        </w:p>
      </w:tc>
    </w:tr>
  </w:tbl>
  <w:p w14:paraId="3553224C" w14:textId="77777777" w:rsidR="00C14242" w:rsidRDefault="00C1424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7862D15"/>
    <w:multiLevelType w:val="singleLevel"/>
    <w:tmpl w:val="7506C7F0"/>
    <w:lvl w:ilvl="0">
      <w:start w:val="1"/>
      <w:numFmt w:val="decimal"/>
      <w:lvlText w:val="%1."/>
      <w:legacy w:legacy="1" w:legacySpace="0" w:legacyIndent="284"/>
      <w:lvlJc w:val="left"/>
      <w:pPr>
        <w:ind w:left="284" w:hanging="284"/>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9"/>
  </w:num>
  <w:num w:numId="2">
    <w:abstractNumId w:val="3"/>
  </w:num>
  <w:num w:numId="3">
    <w:abstractNumId w:val="4"/>
  </w:num>
  <w:num w:numId="4">
    <w:abstractNumId w:val="7"/>
  </w:num>
  <w:num w:numId="5">
    <w:abstractNumId w:val="14"/>
  </w:num>
  <w:num w:numId="6">
    <w:abstractNumId w:val="11"/>
  </w:num>
  <w:num w:numId="7">
    <w:abstractNumId w:val="21"/>
  </w:num>
  <w:num w:numId="8">
    <w:abstractNumId w:val="22"/>
  </w:num>
  <w:num w:numId="9">
    <w:abstractNumId w:val="9"/>
  </w:num>
  <w:num w:numId="10">
    <w:abstractNumId w:val="15"/>
  </w:num>
  <w:num w:numId="11">
    <w:abstractNumId w:val="16"/>
  </w:num>
  <w:num w:numId="12">
    <w:abstractNumId w:val="2"/>
  </w:num>
  <w:num w:numId="13">
    <w:abstractNumId w:val="12"/>
  </w:num>
  <w:num w:numId="14">
    <w:abstractNumId w:val="6"/>
  </w:num>
  <w:num w:numId="15">
    <w:abstractNumId w:val="5"/>
  </w:num>
  <w:num w:numId="16">
    <w:abstractNumId w:val="10"/>
  </w:num>
  <w:num w:numId="17">
    <w:abstractNumId w:val="13"/>
  </w:num>
  <w:num w:numId="18">
    <w:abstractNumId w:val="17"/>
  </w:num>
  <w:num w:numId="19">
    <w:abstractNumId w:val="18"/>
  </w:num>
  <w:num w:numId="20">
    <w:abstractNumId w:val="8"/>
  </w:num>
  <w:num w:numId="21">
    <w:abstractNumId w:val="0"/>
  </w:num>
  <w:num w:numId="22">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14"/>
  </w:num>
  <w:num w:numId="24">
    <w:abstractNumId w:val="14"/>
  </w:num>
  <w:num w:numId="2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activeWritingStyle w:appName="MSWord" w:lang="en-AU" w:vendorID="8"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evenAndOddHeaders/>
  <w:drawingGridHorizontalSpacing w:val="130"/>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EvenFooter" w:val="0"/>
    <w:docVar w:name="_HasChapterNumber" w:val="1"/>
    <w:docVar w:name="_NumberByChapter" w:val="0"/>
    <w:docVar w:name="_Separator" w:val="."/>
    <w:docVar w:name="AppendixNumber" w:val="B"/>
    <w:docVar w:name="DocType" w:val="0"/>
    <w:docVar w:name="FindingOptions" w:val="1"/>
    <w:docVar w:name="LongChapterTitle" w:val="Chapter"/>
    <w:docVar w:name="LongReportTitle" w:val="Report title"/>
    <w:docVar w:name="RecOptions" w:val="111"/>
    <w:docVar w:name="ShortChapterTitle" w:val="The framework"/>
    <w:docVar w:name="ShortReportTitle" w:val="Overcoming Indigenous Disadvantage 2020"/>
    <w:docVar w:name="SideNote" w:val="1"/>
    <w:docVar w:name="UseShortChapter" w:val="0"/>
    <w:docVar w:name="UseShortReport" w:val="0"/>
  </w:docVars>
  <w:rsids>
    <w:rsidRoot w:val="00C531CA"/>
    <w:rsid w:val="00000BEE"/>
    <w:rsid w:val="00002866"/>
    <w:rsid w:val="00002F2E"/>
    <w:rsid w:val="00006236"/>
    <w:rsid w:val="00006D07"/>
    <w:rsid w:val="0001078F"/>
    <w:rsid w:val="00011A36"/>
    <w:rsid w:val="00012A04"/>
    <w:rsid w:val="00012DEB"/>
    <w:rsid w:val="00013304"/>
    <w:rsid w:val="00023388"/>
    <w:rsid w:val="00024860"/>
    <w:rsid w:val="00026432"/>
    <w:rsid w:val="000306DD"/>
    <w:rsid w:val="00033230"/>
    <w:rsid w:val="000335CD"/>
    <w:rsid w:val="00035C64"/>
    <w:rsid w:val="00036952"/>
    <w:rsid w:val="00040881"/>
    <w:rsid w:val="00042494"/>
    <w:rsid w:val="000440B7"/>
    <w:rsid w:val="000448D2"/>
    <w:rsid w:val="00047E34"/>
    <w:rsid w:val="00053991"/>
    <w:rsid w:val="000539A4"/>
    <w:rsid w:val="00054152"/>
    <w:rsid w:val="00054B56"/>
    <w:rsid w:val="0005672A"/>
    <w:rsid w:val="00056F6A"/>
    <w:rsid w:val="000579DF"/>
    <w:rsid w:val="00057FDD"/>
    <w:rsid w:val="00060D19"/>
    <w:rsid w:val="00061391"/>
    <w:rsid w:val="00061956"/>
    <w:rsid w:val="00063776"/>
    <w:rsid w:val="000657F2"/>
    <w:rsid w:val="00067227"/>
    <w:rsid w:val="000703F5"/>
    <w:rsid w:val="000707A6"/>
    <w:rsid w:val="00073BDF"/>
    <w:rsid w:val="00076C7C"/>
    <w:rsid w:val="0008207B"/>
    <w:rsid w:val="00082B70"/>
    <w:rsid w:val="000861F1"/>
    <w:rsid w:val="00086235"/>
    <w:rsid w:val="00091A6C"/>
    <w:rsid w:val="00091FDF"/>
    <w:rsid w:val="0009226E"/>
    <w:rsid w:val="00092570"/>
    <w:rsid w:val="000931E3"/>
    <w:rsid w:val="00097AC4"/>
    <w:rsid w:val="000A0FFE"/>
    <w:rsid w:val="000A31FB"/>
    <w:rsid w:val="000A3F23"/>
    <w:rsid w:val="000A5D51"/>
    <w:rsid w:val="000A63EF"/>
    <w:rsid w:val="000A771F"/>
    <w:rsid w:val="000B04DE"/>
    <w:rsid w:val="000B2BC6"/>
    <w:rsid w:val="000B3F6F"/>
    <w:rsid w:val="000B59EB"/>
    <w:rsid w:val="000B6EC3"/>
    <w:rsid w:val="000B7A16"/>
    <w:rsid w:val="000C5403"/>
    <w:rsid w:val="000C5C5E"/>
    <w:rsid w:val="000C71EE"/>
    <w:rsid w:val="000C7EEC"/>
    <w:rsid w:val="000D427B"/>
    <w:rsid w:val="000D5EE1"/>
    <w:rsid w:val="000E0745"/>
    <w:rsid w:val="000E1BBA"/>
    <w:rsid w:val="000E23E8"/>
    <w:rsid w:val="000E457F"/>
    <w:rsid w:val="000E4C57"/>
    <w:rsid w:val="000E4D3E"/>
    <w:rsid w:val="000E6158"/>
    <w:rsid w:val="000E66B8"/>
    <w:rsid w:val="000E790B"/>
    <w:rsid w:val="000F01A5"/>
    <w:rsid w:val="000F3048"/>
    <w:rsid w:val="00100A59"/>
    <w:rsid w:val="00101372"/>
    <w:rsid w:val="0010394A"/>
    <w:rsid w:val="00105596"/>
    <w:rsid w:val="00105AF0"/>
    <w:rsid w:val="00107FB0"/>
    <w:rsid w:val="001100D0"/>
    <w:rsid w:val="00110AC8"/>
    <w:rsid w:val="0011115C"/>
    <w:rsid w:val="00111637"/>
    <w:rsid w:val="001140C5"/>
    <w:rsid w:val="0011477C"/>
    <w:rsid w:val="001149D2"/>
    <w:rsid w:val="00114B8E"/>
    <w:rsid w:val="00114ED6"/>
    <w:rsid w:val="00115BD3"/>
    <w:rsid w:val="00115E67"/>
    <w:rsid w:val="0012027E"/>
    <w:rsid w:val="0012501B"/>
    <w:rsid w:val="00126551"/>
    <w:rsid w:val="00131108"/>
    <w:rsid w:val="001315F3"/>
    <w:rsid w:val="001319A8"/>
    <w:rsid w:val="00131DF9"/>
    <w:rsid w:val="001329E7"/>
    <w:rsid w:val="001413AD"/>
    <w:rsid w:val="001468F2"/>
    <w:rsid w:val="001514AB"/>
    <w:rsid w:val="001525D2"/>
    <w:rsid w:val="001532A3"/>
    <w:rsid w:val="0015513E"/>
    <w:rsid w:val="00155642"/>
    <w:rsid w:val="00156039"/>
    <w:rsid w:val="0015653D"/>
    <w:rsid w:val="00157471"/>
    <w:rsid w:val="00165407"/>
    <w:rsid w:val="00165FA3"/>
    <w:rsid w:val="00166FD6"/>
    <w:rsid w:val="001673F8"/>
    <w:rsid w:val="001715C3"/>
    <w:rsid w:val="00171B5C"/>
    <w:rsid w:val="00172FB4"/>
    <w:rsid w:val="00172FD3"/>
    <w:rsid w:val="00173D77"/>
    <w:rsid w:val="00173EF7"/>
    <w:rsid w:val="0017476E"/>
    <w:rsid w:val="0017560B"/>
    <w:rsid w:val="0017618C"/>
    <w:rsid w:val="00181508"/>
    <w:rsid w:val="00184F97"/>
    <w:rsid w:val="001873DC"/>
    <w:rsid w:val="001906D2"/>
    <w:rsid w:val="00190A79"/>
    <w:rsid w:val="0019207F"/>
    <w:rsid w:val="001957AA"/>
    <w:rsid w:val="001A1379"/>
    <w:rsid w:val="001A140F"/>
    <w:rsid w:val="001A17BF"/>
    <w:rsid w:val="001A196C"/>
    <w:rsid w:val="001A3D4E"/>
    <w:rsid w:val="001A4032"/>
    <w:rsid w:val="001A4828"/>
    <w:rsid w:val="001B02FF"/>
    <w:rsid w:val="001B26D2"/>
    <w:rsid w:val="001B4FF3"/>
    <w:rsid w:val="001B60DA"/>
    <w:rsid w:val="001B6967"/>
    <w:rsid w:val="001B7EDA"/>
    <w:rsid w:val="001C144F"/>
    <w:rsid w:val="001C1CC7"/>
    <w:rsid w:val="001C2DF3"/>
    <w:rsid w:val="001C3454"/>
    <w:rsid w:val="001C68FF"/>
    <w:rsid w:val="001C7E02"/>
    <w:rsid w:val="001D01F8"/>
    <w:rsid w:val="001D1BB6"/>
    <w:rsid w:val="001D4206"/>
    <w:rsid w:val="001D7056"/>
    <w:rsid w:val="001D724F"/>
    <w:rsid w:val="001D7301"/>
    <w:rsid w:val="001D7EEC"/>
    <w:rsid w:val="001E0250"/>
    <w:rsid w:val="001E0B73"/>
    <w:rsid w:val="001E1269"/>
    <w:rsid w:val="001E2E2B"/>
    <w:rsid w:val="001E3DF8"/>
    <w:rsid w:val="001E4E30"/>
    <w:rsid w:val="001E5A32"/>
    <w:rsid w:val="001E675D"/>
    <w:rsid w:val="001E7E0C"/>
    <w:rsid w:val="001F1036"/>
    <w:rsid w:val="001F692F"/>
    <w:rsid w:val="00200DCA"/>
    <w:rsid w:val="002013D2"/>
    <w:rsid w:val="00201D36"/>
    <w:rsid w:val="002034B5"/>
    <w:rsid w:val="00205B93"/>
    <w:rsid w:val="00206AD9"/>
    <w:rsid w:val="0020730A"/>
    <w:rsid w:val="00210098"/>
    <w:rsid w:val="002113A7"/>
    <w:rsid w:val="0021154A"/>
    <w:rsid w:val="0021283C"/>
    <w:rsid w:val="002152C0"/>
    <w:rsid w:val="00215754"/>
    <w:rsid w:val="00220C98"/>
    <w:rsid w:val="0022183B"/>
    <w:rsid w:val="002219F1"/>
    <w:rsid w:val="00222D9A"/>
    <w:rsid w:val="00224320"/>
    <w:rsid w:val="002249C7"/>
    <w:rsid w:val="002249CA"/>
    <w:rsid w:val="002262F3"/>
    <w:rsid w:val="002266A5"/>
    <w:rsid w:val="002268FD"/>
    <w:rsid w:val="0022793E"/>
    <w:rsid w:val="00227FA4"/>
    <w:rsid w:val="002314D7"/>
    <w:rsid w:val="002356E5"/>
    <w:rsid w:val="0023723A"/>
    <w:rsid w:val="002373EB"/>
    <w:rsid w:val="002375B6"/>
    <w:rsid w:val="00241052"/>
    <w:rsid w:val="0024107F"/>
    <w:rsid w:val="00242921"/>
    <w:rsid w:val="00245CCE"/>
    <w:rsid w:val="00252DEE"/>
    <w:rsid w:val="00253059"/>
    <w:rsid w:val="00253B70"/>
    <w:rsid w:val="0025573B"/>
    <w:rsid w:val="00256BBA"/>
    <w:rsid w:val="0025745D"/>
    <w:rsid w:val="0026135E"/>
    <w:rsid w:val="002613A4"/>
    <w:rsid w:val="00261509"/>
    <w:rsid w:val="00263782"/>
    <w:rsid w:val="0026392B"/>
    <w:rsid w:val="002640BC"/>
    <w:rsid w:val="002641FF"/>
    <w:rsid w:val="002645A8"/>
    <w:rsid w:val="00270151"/>
    <w:rsid w:val="002722E3"/>
    <w:rsid w:val="00273C92"/>
    <w:rsid w:val="00274517"/>
    <w:rsid w:val="00283299"/>
    <w:rsid w:val="00283D19"/>
    <w:rsid w:val="002848B5"/>
    <w:rsid w:val="0029180D"/>
    <w:rsid w:val="002921D7"/>
    <w:rsid w:val="00292DDC"/>
    <w:rsid w:val="00294623"/>
    <w:rsid w:val="00295E94"/>
    <w:rsid w:val="00295EFA"/>
    <w:rsid w:val="002A00B3"/>
    <w:rsid w:val="002A1105"/>
    <w:rsid w:val="002A1509"/>
    <w:rsid w:val="002A3DFD"/>
    <w:rsid w:val="002A430A"/>
    <w:rsid w:val="002A468C"/>
    <w:rsid w:val="002B2800"/>
    <w:rsid w:val="002B369F"/>
    <w:rsid w:val="002B4FBA"/>
    <w:rsid w:val="002B72C1"/>
    <w:rsid w:val="002C046F"/>
    <w:rsid w:val="002C0488"/>
    <w:rsid w:val="002C1146"/>
    <w:rsid w:val="002C2933"/>
    <w:rsid w:val="002C392D"/>
    <w:rsid w:val="002C61F3"/>
    <w:rsid w:val="002C79F2"/>
    <w:rsid w:val="002D0381"/>
    <w:rsid w:val="002D0922"/>
    <w:rsid w:val="002D21FD"/>
    <w:rsid w:val="002D4611"/>
    <w:rsid w:val="002D597A"/>
    <w:rsid w:val="002D6D5B"/>
    <w:rsid w:val="002E01DA"/>
    <w:rsid w:val="002E0C09"/>
    <w:rsid w:val="002E43ED"/>
    <w:rsid w:val="002E7D0B"/>
    <w:rsid w:val="002F0BC5"/>
    <w:rsid w:val="002F0BF4"/>
    <w:rsid w:val="002F1707"/>
    <w:rsid w:val="002F1D47"/>
    <w:rsid w:val="00305ACC"/>
    <w:rsid w:val="00305CFF"/>
    <w:rsid w:val="003069A9"/>
    <w:rsid w:val="00307EE9"/>
    <w:rsid w:val="00311383"/>
    <w:rsid w:val="00311AA3"/>
    <w:rsid w:val="003139B0"/>
    <w:rsid w:val="00315960"/>
    <w:rsid w:val="00315EF6"/>
    <w:rsid w:val="00316986"/>
    <w:rsid w:val="0032025F"/>
    <w:rsid w:val="0032221F"/>
    <w:rsid w:val="00327852"/>
    <w:rsid w:val="0033124D"/>
    <w:rsid w:val="00332473"/>
    <w:rsid w:val="00333E78"/>
    <w:rsid w:val="003351F6"/>
    <w:rsid w:val="003426B6"/>
    <w:rsid w:val="00343B83"/>
    <w:rsid w:val="00344D44"/>
    <w:rsid w:val="003470AB"/>
    <w:rsid w:val="00347286"/>
    <w:rsid w:val="00350537"/>
    <w:rsid w:val="00352947"/>
    <w:rsid w:val="003543AB"/>
    <w:rsid w:val="00356C99"/>
    <w:rsid w:val="003604AF"/>
    <w:rsid w:val="00363B61"/>
    <w:rsid w:val="003714A0"/>
    <w:rsid w:val="00373C61"/>
    <w:rsid w:val="003760E2"/>
    <w:rsid w:val="00382782"/>
    <w:rsid w:val="00382CAA"/>
    <w:rsid w:val="00384297"/>
    <w:rsid w:val="00387959"/>
    <w:rsid w:val="00390BB7"/>
    <w:rsid w:val="00390E1C"/>
    <w:rsid w:val="00391550"/>
    <w:rsid w:val="00391845"/>
    <w:rsid w:val="0039304E"/>
    <w:rsid w:val="003937BF"/>
    <w:rsid w:val="00393C6B"/>
    <w:rsid w:val="003A0D51"/>
    <w:rsid w:val="003A3106"/>
    <w:rsid w:val="003B2FD8"/>
    <w:rsid w:val="003B7199"/>
    <w:rsid w:val="003B7C24"/>
    <w:rsid w:val="003B7C43"/>
    <w:rsid w:val="003C2C47"/>
    <w:rsid w:val="003C6DD4"/>
    <w:rsid w:val="003D1D4D"/>
    <w:rsid w:val="003D3C22"/>
    <w:rsid w:val="003D57D7"/>
    <w:rsid w:val="003D5C14"/>
    <w:rsid w:val="003D697D"/>
    <w:rsid w:val="003D6F8B"/>
    <w:rsid w:val="003D7551"/>
    <w:rsid w:val="003E15D5"/>
    <w:rsid w:val="003E260A"/>
    <w:rsid w:val="003E2728"/>
    <w:rsid w:val="003E27FA"/>
    <w:rsid w:val="003E2D89"/>
    <w:rsid w:val="003E5EC9"/>
    <w:rsid w:val="003F0640"/>
    <w:rsid w:val="003F0D8A"/>
    <w:rsid w:val="003F2F7E"/>
    <w:rsid w:val="003F47EA"/>
    <w:rsid w:val="00401EE5"/>
    <w:rsid w:val="00403FE2"/>
    <w:rsid w:val="00404796"/>
    <w:rsid w:val="00410131"/>
    <w:rsid w:val="00410592"/>
    <w:rsid w:val="00412776"/>
    <w:rsid w:val="00412C84"/>
    <w:rsid w:val="00415828"/>
    <w:rsid w:val="00415E11"/>
    <w:rsid w:val="004214FC"/>
    <w:rsid w:val="00421AF4"/>
    <w:rsid w:val="00421B7C"/>
    <w:rsid w:val="00425091"/>
    <w:rsid w:val="0042528A"/>
    <w:rsid w:val="0042563C"/>
    <w:rsid w:val="004256A1"/>
    <w:rsid w:val="004345AA"/>
    <w:rsid w:val="0043521D"/>
    <w:rsid w:val="0043567E"/>
    <w:rsid w:val="00436F86"/>
    <w:rsid w:val="004378DB"/>
    <w:rsid w:val="00440408"/>
    <w:rsid w:val="0044138F"/>
    <w:rsid w:val="0044395F"/>
    <w:rsid w:val="00444E80"/>
    <w:rsid w:val="004454D2"/>
    <w:rsid w:val="004455A9"/>
    <w:rsid w:val="00445FB1"/>
    <w:rsid w:val="004465DF"/>
    <w:rsid w:val="0044767C"/>
    <w:rsid w:val="00451FE3"/>
    <w:rsid w:val="0045338E"/>
    <w:rsid w:val="00454DCB"/>
    <w:rsid w:val="00455FB2"/>
    <w:rsid w:val="004565D1"/>
    <w:rsid w:val="00456E8C"/>
    <w:rsid w:val="00461A14"/>
    <w:rsid w:val="004771EA"/>
    <w:rsid w:val="004815EF"/>
    <w:rsid w:val="004817BB"/>
    <w:rsid w:val="00482FD8"/>
    <w:rsid w:val="00483024"/>
    <w:rsid w:val="00483863"/>
    <w:rsid w:val="0048631E"/>
    <w:rsid w:val="004869F9"/>
    <w:rsid w:val="00490491"/>
    <w:rsid w:val="0049506C"/>
    <w:rsid w:val="004964EF"/>
    <w:rsid w:val="00496DE9"/>
    <w:rsid w:val="00496EB0"/>
    <w:rsid w:val="00497423"/>
    <w:rsid w:val="004A289F"/>
    <w:rsid w:val="004A4FBD"/>
    <w:rsid w:val="004A55D1"/>
    <w:rsid w:val="004A617B"/>
    <w:rsid w:val="004A7BB0"/>
    <w:rsid w:val="004B2784"/>
    <w:rsid w:val="004B4631"/>
    <w:rsid w:val="004B575C"/>
    <w:rsid w:val="004B585F"/>
    <w:rsid w:val="004B7D9F"/>
    <w:rsid w:val="004B7E7D"/>
    <w:rsid w:val="004C1414"/>
    <w:rsid w:val="004C1BEF"/>
    <w:rsid w:val="004C212A"/>
    <w:rsid w:val="004C3C10"/>
    <w:rsid w:val="004C6A4E"/>
    <w:rsid w:val="004C7D16"/>
    <w:rsid w:val="004D01E5"/>
    <w:rsid w:val="004D294D"/>
    <w:rsid w:val="004D384E"/>
    <w:rsid w:val="004D413B"/>
    <w:rsid w:val="004D615F"/>
    <w:rsid w:val="004D61C7"/>
    <w:rsid w:val="004D6894"/>
    <w:rsid w:val="004D75A7"/>
    <w:rsid w:val="004E0898"/>
    <w:rsid w:val="004E52E5"/>
    <w:rsid w:val="004E66EB"/>
    <w:rsid w:val="004E6C23"/>
    <w:rsid w:val="004E724B"/>
    <w:rsid w:val="004E7DBA"/>
    <w:rsid w:val="004F09AE"/>
    <w:rsid w:val="004F0A67"/>
    <w:rsid w:val="004F1809"/>
    <w:rsid w:val="004F2D3A"/>
    <w:rsid w:val="004F5C58"/>
    <w:rsid w:val="004F6BF8"/>
    <w:rsid w:val="00507165"/>
    <w:rsid w:val="005104D3"/>
    <w:rsid w:val="00511F9F"/>
    <w:rsid w:val="0051242B"/>
    <w:rsid w:val="00513F55"/>
    <w:rsid w:val="00514993"/>
    <w:rsid w:val="00514E67"/>
    <w:rsid w:val="00522F37"/>
    <w:rsid w:val="00526793"/>
    <w:rsid w:val="005274E0"/>
    <w:rsid w:val="00532706"/>
    <w:rsid w:val="00533857"/>
    <w:rsid w:val="00535247"/>
    <w:rsid w:val="00541C2B"/>
    <w:rsid w:val="00543B14"/>
    <w:rsid w:val="0054549B"/>
    <w:rsid w:val="0054789A"/>
    <w:rsid w:val="005521CE"/>
    <w:rsid w:val="00553729"/>
    <w:rsid w:val="00553D20"/>
    <w:rsid w:val="00554302"/>
    <w:rsid w:val="00554466"/>
    <w:rsid w:val="0055537B"/>
    <w:rsid w:val="00560D79"/>
    <w:rsid w:val="00562375"/>
    <w:rsid w:val="00562CB2"/>
    <w:rsid w:val="0056485E"/>
    <w:rsid w:val="00567B88"/>
    <w:rsid w:val="00567BC6"/>
    <w:rsid w:val="00570FBC"/>
    <w:rsid w:val="0057118E"/>
    <w:rsid w:val="00572F5E"/>
    <w:rsid w:val="005737B7"/>
    <w:rsid w:val="00574161"/>
    <w:rsid w:val="00575BAF"/>
    <w:rsid w:val="00583B47"/>
    <w:rsid w:val="00586294"/>
    <w:rsid w:val="00586CC2"/>
    <w:rsid w:val="005922E5"/>
    <w:rsid w:val="00592FA1"/>
    <w:rsid w:val="0059304D"/>
    <w:rsid w:val="00596B7E"/>
    <w:rsid w:val="005976A7"/>
    <w:rsid w:val="005A0DD6"/>
    <w:rsid w:val="005A243D"/>
    <w:rsid w:val="005A31E7"/>
    <w:rsid w:val="005A5383"/>
    <w:rsid w:val="005A57D8"/>
    <w:rsid w:val="005A7377"/>
    <w:rsid w:val="005A7D30"/>
    <w:rsid w:val="005B27B4"/>
    <w:rsid w:val="005B27F9"/>
    <w:rsid w:val="005B3810"/>
    <w:rsid w:val="005B447E"/>
    <w:rsid w:val="005B57E3"/>
    <w:rsid w:val="005B7303"/>
    <w:rsid w:val="005B778C"/>
    <w:rsid w:val="005C4F81"/>
    <w:rsid w:val="005C7613"/>
    <w:rsid w:val="005C7751"/>
    <w:rsid w:val="005D3E9C"/>
    <w:rsid w:val="005E164F"/>
    <w:rsid w:val="005E48AE"/>
    <w:rsid w:val="005F108F"/>
    <w:rsid w:val="005F22D0"/>
    <w:rsid w:val="005F23A6"/>
    <w:rsid w:val="00602558"/>
    <w:rsid w:val="00604229"/>
    <w:rsid w:val="00605075"/>
    <w:rsid w:val="00607217"/>
    <w:rsid w:val="006119EA"/>
    <w:rsid w:val="006147E8"/>
    <w:rsid w:val="0061572E"/>
    <w:rsid w:val="0061643B"/>
    <w:rsid w:val="006203BE"/>
    <w:rsid w:val="006203F0"/>
    <w:rsid w:val="00621A13"/>
    <w:rsid w:val="00621B51"/>
    <w:rsid w:val="00623979"/>
    <w:rsid w:val="00623A03"/>
    <w:rsid w:val="00624581"/>
    <w:rsid w:val="006278F9"/>
    <w:rsid w:val="0063127A"/>
    <w:rsid w:val="006321F0"/>
    <w:rsid w:val="00634F70"/>
    <w:rsid w:val="00640D0B"/>
    <w:rsid w:val="00643610"/>
    <w:rsid w:val="00651BB8"/>
    <w:rsid w:val="0065283D"/>
    <w:rsid w:val="00652BFB"/>
    <w:rsid w:val="00657566"/>
    <w:rsid w:val="00662092"/>
    <w:rsid w:val="00662DC3"/>
    <w:rsid w:val="00664283"/>
    <w:rsid w:val="006648D6"/>
    <w:rsid w:val="0067208D"/>
    <w:rsid w:val="006728F6"/>
    <w:rsid w:val="006749C5"/>
    <w:rsid w:val="00676CD0"/>
    <w:rsid w:val="0068131F"/>
    <w:rsid w:val="0068253E"/>
    <w:rsid w:val="00685481"/>
    <w:rsid w:val="00686FAA"/>
    <w:rsid w:val="00690CE1"/>
    <w:rsid w:val="00691177"/>
    <w:rsid w:val="006912A6"/>
    <w:rsid w:val="0069161B"/>
    <w:rsid w:val="00693B10"/>
    <w:rsid w:val="00696894"/>
    <w:rsid w:val="006A0794"/>
    <w:rsid w:val="006A10C9"/>
    <w:rsid w:val="006A2EA9"/>
    <w:rsid w:val="006A2F27"/>
    <w:rsid w:val="006B129A"/>
    <w:rsid w:val="006B2500"/>
    <w:rsid w:val="006B3C6F"/>
    <w:rsid w:val="006B4D1F"/>
    <w:rsid w:val="006B50E5"/>
    <w:rsid w:val="006B5D6D"/>
    <w:rsid w:val="006B647A"/>
    <w:rsid w:val="006B775C"/>
    <w:rsid w:val="006C5163"/>
    <w:rsid w:val="006C7761"/>
    <w:rsid w:val="006D166E"/>
    <w:rsid w:val="006D1A60"/>
    <w:rsid w:val="006D23B6"/>
    <w:rsid w:val="006D4561"/>
    <w:rsid w:val="006D7C0F"/>
    <w:rsid w:val="006E0A09"/>
    <w:rsid w:val="006E0AEE"/>
    <w:rsid w:val="006E2512"/>
    <w:rsid w:val="006E4470"/>
    <w:rsid w:val="006E5E5A"/>
    <w:rsid w:val="006E5EED"/>
    <w:rsid w:val="006F1090"/>
    <w:rsid w:val="006F2640"/>
    <w:rsid w:val="006F2D19"/>
    <w:rsid w:val="006F3693"/>
    <w:rsid w:val="00702BBB"/>
    <w:rsid w:val="007039D5"/>
    <w:rsid w:val="00711DF9"/>
    <w:rsid w:val="00712A36"/>
    <w:rsid w:val="0072106E"/>
    <w:rsid w:val="007220AA"/>
    <w:rsid w:val="007252F7"/>
    <w:rsid w:val="00726904"/>
    <w:rsid w:val="00730874"/>
    <w:rsid w:val="007314AC"/>
    <w:rsid w:val="007379BD"/>
    <w:rsid w:val="00741D4A"/>
    <w:rsid w:val="00742734"/>
    <w:rsid w:val="00744D18"/>
    <w:rsid w:val="007501B8"/>
    <w:rsid w:val="00752C5F"/>
    <w:rsid w:val="007541BA"/>
    <w:rsid w:val="0075443B"/>
    <w:rsid w:val="00754975"/>
    <w:rsid w:val="007558A3"/>
    <w:rsid w:val="00755BDF"/>
    <w:rsid w:val="00755FD7"/>
    <w:rsid w:val="00757F09"/>
    <w:rsid w:val="0076024A"/>
    <w:rsid w:val="00760A95"/>
    <w:rsid w:val="0076451C"/>
    <w:rsid w:val="00764ECF"/>
    <w:rsid w:val="00764EE0"/>
    <w:rsid w:val="00765254"/>
    <w:rsid w:val="00766978"/>
    <w:rsid w:val="0076730C"/>
    <w:rsid w:val="00767F88"/>
    <w:rsid w:val="0077056A"/>
    <w:rsid w:val="00771854"/>
    <w:rsid w:val="007729C5"/>
    <w:rsid w:val="00772BAE"/>
    <w:rsid w:val="00772DD5"/>
    <w:rsid w:val="00774202"/>
    <w:rsid w:val="00774ADA"/>
    <w:rsid w:val="00775D99"/>
    <w:rsid w:val="007767B3"/>
    <w:rsid w:val="00777143"/>
    <w:rsid w:val="00780D34"/>
    <w:rsid w:val="00783907"/>
    <w:rsid w:val="007863E2"/>
    <w:rsid w:val="007931E3"/>
    <w:rsid w:val="007950D7"/>
    <w:rsid w:val="00795251"/>
    <w:rsid w:val="00795DE7"/>
    <w:rsid w:val="007A1DE9"/>
    <w:rsid w:val="007A35B5"/>
    <w:rsid w:val="007A478F"/>
    <w:rsid w:val="007A638E"/>
    <w:rsid w:val="007B5ADC"/>
    <w:rsid w:val="007B5CBB"/>
    <w:rsid w:val="007B6F7C"/>
    <w:rsid w:val="007B776E"/>
    <w:rsid w:val="007B77CE"/>
    <w:rsid w:val="007C12A1"/>
    <w:rsid w:val="007C133A"/>
    <w:rsid w:val="007C3D27"/>
    <w:rsid w:val="007C61D2"/>
    <w:rsid w:val="007D4824"/>
    <w:rsid w:val="007D4E22"/>
    <w:rsid w:val="007D6AFD"/>
    <w:rsid w:val="007D7AFB"/>
    <w:rsid w:val="007E0109"/>
    <w:rsid w:val="007E2CC1"/>
    <w:rsid w:val="007E4A9B"/>
    <w:rsid w:val="007E676C"/>
    <w:rsid w:val="007F05FC"/>
    <w:rsid w:val="007F41D6"/>
    <w:rsid w:val="007F4D45"/>
    <w:rsid w:val="007F74CE"/>
    <w:rsid w:val="008034D1"/>
    <w:rsid w:val="0080458B"/>
    <w:rsid w:val="00805656"/>
    <w:rsid w:val="0080689B"/>
    <w:rsid w:val="00806C51"/>
    <w:rsid w:val="0080763B"/>
    <w:rsid w:val="00810329"/>
    <w:rsid w:val="008128F1"/>
    <w:rsid w:val="00812A36"/>
    <w:rsid w:val="00813122"/>
    <w:rsid w:val="0081432C"/>
    <w:rsid w:val="008149C9"/>
    <w:rsid w:val="00817448"/>
    <w:rsid w:val="00817A3A"/>
    <w:rsid w:val="00820F13"/>
    <w:rsid w:val="00821404"/>
    <w:rsid w:val="008227E7"/>
    <w:rsid w:val="00822A8E"/>
    <w:rsid w:val="00822DAC"/>
    <w:rsid w:val="008242D6"/>
    <w:rsid w:val="0082683C"/>
    <w:rsid w:val="008273D1"/>
    <w:rsid w:val="008278A6"/>
    <w:rsid w:val="008306B6"/>
    <w:rsid w:val="00831E93"/>
    <w:rsid w:val="00831FEA"/>
    <w:rsid w:val="008327D3"/>
    <w:rsid w:val="0083691F"/>
    <w:rsid w:val="00840DE7"/>
    <w:rsid w:val="008450D6"/>
    <w:rsid w:val="008536C4"/>
    <w:rsid w:val="008537FF"/>
    <w:rsid w:val="00853CAF"/>
    <w:rsid w:val="008555E4"/>
    <w:rsid w:val="00856C0E"/>
    <w:rsid w:val="00857982"/>
    <w:rsid w:val="00862C57"/>
    <w:rsid w:val="00863421"/>
    <w:rsid w:val="008655DF"/>
    <w:rsid w:val="00865E35"/>
    <w:rsid w:val="00867849"/>
    <w:rsid w:val="00872558"/>
    <w:rsid w:val="008726E3"/>
    <w:rsid w:val="00873303"/>
    <w:rsid w:val="00874EBD"/>
    <w:rsid w:val="008766CF"/>
    <w:rsid w:val="00881CDB"/>
    <w:rsid w:val="00882D6A"/>
    <w:rsid w:val="00882F38"/>
    <w:rsid w:val="00883CE5"/>
    <w:rsid w:val="00883FF7"/>
    <w:rsid w:val="00890B5F"/>
    <w:rsid w:val="00891C14"/>
    <w:rsid w:val="00891C94"/>
    <w:rsid w:val="00892B7A"/>
    <w:rsid w:val="0089305C"/>
    <w:rsid w:val="008931BC"/>
    <w:rsid w:val="00894056"/>
    <w:rsid w:val="008A1193"/>
    <w:rsid w:val="008A44A7"/>
    <w:rsid w:val="008A4777"/>
    <w:rsid w:val="008A64F4"/>
    <w:rsid w:val="008A7297"/>
    <w:rsid w:val="008C0474"/>
    <w:rsid w:val="008C063F"/>
    <w:rsid w:val="008C29AD"/>
    <w:rsid w:val="008C2B92"/>
    <w:rsid w:val="008C33B1"/>
    <w:rsid w:val="008D031C"/>
    <w:rsid w:val="008D0C0F"/>
    <w:rsid w:val="008D188B"/>
    <w:rsid w:val="008D6BCA"/>
    <w:rsid w:val="008E08B3"/>
    <w:rsid w:val="008E2929"/>
    <w:rsid w:val="008E3EB1"/>
    <w:rsid w:val="008E65A9"/>
    <w:rsid w:val="008E661F"/>
    <w:rsid w:val="008E7180"/>
    <w:rsid w:val="008E779F"/>
    <w:rsid w:val="008F2530"/>
    <w:rsid w:val="008F3AE9"/>
    <w:rsid w:val="00900949"/>
    <w:rsid w:val="00900A60"/>
    <w:rsid w:val="00903239"/>
    <w:rsid w:val="009033F9"/>
    <w:rsid w:val="00906775"/>
    <w:rsid w:val="00907DEC"/>
    <w:rsid w:val="009102E4"/>
    <w:rsid w:val="009103F4"/>
    <w:rsid w:val="009134D1"/>
    <w:rsid w:val="0091471B"/>
    <w:rsid w:val="00921E14"/>
    <w:rsid w:val="009221FA"/>
    <w:rsid w:val="00923991"/>
    <w:rsid w:val="00925727"/>
    <w:rsid w:val="00926C4F"/>
    <w:rsid w:val="0093035C"/>
    <w:rsid w:val="00930482"/>
    <w:rsid w:val="0093168C"/>
    <w:rsid w:val="00941618"/>
    <w:rsid w:val="009416C4"/>
    <w:rsid w:val="0094614E"/>
    <w:rsid w:val="009461AA"/>
    <w:rsid w:val="009503CF"/>
    <w:rsid w:val="009521AC"/>
    <w:rsid w:val="00952542"/>
    <w:rsid w:val="00952BED"/>
    <w:rsid w:val="009536F0"/>
    <w:rsid w:val="00957DE7"/>
    <w:rsid w:val="00961DA5"/>
    <w:rsid w:val="00962EDA"/>
    <w:rsid w:val="0096487D"/>
    <w:rsid w:val="009651D9"/>
    <w:rsid w:val="00967246"/>
    <w:rsid w:val="009732FE"/>
    <w:rsid w:val="00975FD2"/>
    <w:rsid w:val="00980BB1"/>
    <w:rsid w:val="00981FDB"/>
    <w:rsid w:val="00982C8B"/>
    <w:rsid w:val="009837D7"/>
    <w:rsid w:val="00991805"/>
    <w:rsid w:val="00993D18"/>
    <w:rsid w:val="00994179"/>
    <w:rsid w:val="009941A0"/>
    <w:rsid w:val="00995C61"/>
    <w:rsid w:val="00996D26"/>
    <w:rsid w:val="00996F4A"/>
    <w:rsid w:val="009A1AF3"/>
    <w:rsid w:val="009A3CB1"/>
    <w:rsid w:val="009A5100"/>
    <w:rsid w:val="009A73C6"/>
    <w:rsid w:val="009A7C2A"/>
    <w:rsid w:val="009B3DDF"/>
    <w:rsid w:val="009B71EC"/>
    <w:rsid w:val="009C6DB4"/>
    <w:rsid w:val="009C7384"/>
    <w:rsid w:val="009D0530"/>
    <w:rsid w:val="009D1225"/>
    <w:rsid w:val="009D13B9"/>
    <w:rsid w:val="009D21AA"/>
    <w:rsid w:val="009D2C4C"/>
    <w:rsid w:val="009D5644"/>
    <w:rsid w:val="009D6B93"/>
    <w:rsid w:val="009E0067"/>
    <w:rsid w:val="009E0D5D"/>
    <w:rsid w:val="009E1B01"/>
    <w:rsid w:val="009E423F"/>
    <w:rsid w:val="009E44F3"/>
    <w:rsid w:val="009E51E5"/>
    <w:rsid w:val="009E6755"/>
    <w:rsid w:val="009E6840"/>
    <w:rsid w:val="009E78E9"/>
    <w:rsid w:val="009F4CAA"/>
    <w:rsid w:val="009F5714"/>
    <w:rsid w:val="009F7498"/>
    <w:rsid w:val="00A01AC4"/>
    <w:rsid w:val="00A0429F"/>
    <w:rsid w:val="00A05EA3"/>
    <w:rsid w:val="00A11C71"/>
    <w:rsid w:val="00A16DA1"/>
    <w:rsid w:val="00A17A39"/>
    <w:rsid w:val="00A17BBD"/>
    <w:rsid w:val="00A17F65"/>
    <w:rsid w:val="00A27614"/>
    <w:rsid w:val="00A32A33"/>
    <w:rsid w:val="00A34A28"/>
    <w:rsid w:val="00A35CFF"/>
    <w:rsid w:val="00A406BF"/>
    <w:rsid w:val="00A40810"/>
    <w:rsid w:val="00A40C2C"/>
    <w:rsid w:val="00A41DDF"/>
    <w:rsid w:val="00A42830"/>
    <w:rsid w:val="00A43638"/>
    <w:rsid w:val="00A44418"/>
    <w:rsid w:val="00A44FD5"/>
    <w:rsid w:val="00A452EE"/>
    <w:rsid w:val="00A45D01"/>
    <w:rsid w:val="00A47528"/>
    <w:rsid w:val="00A52260"/>
    <w:rsid w:val="00A527B6"/>
    <w:rsid w:val="00A52C09"/>
    <w:rsid w:val="00A52E1C"/>
    <w:rsid w:val="00A52F77"/>
    <w:rsid w:val="00A53FAB"/>
    <w:rsid w:val="00A62377"/>
    <w:rsid w:val="00A62A52"/>
    <w:rsid w:val="00A63909"/>
    <w:rsid w:val="00A63AC4"/>
    <w:rsid w:val="00A65772"/>
    <w:rsid w:val="00A71938"/>
    <w:rsid w:val="00A71950"/>
    <w:rsid w:val="00A74043"/>
    <w:rsid w:val="00A84020"/>
    <w:rsid w:val="00A9108F"/>
    <w:rsid w:val="00A92E73"/>
    <w:rsid w:val="00A92EF2"/>
    <w:rsid w:val="00AA1185"/>
    <w:rsid w:val="00AA1815"/>
    <w:rsid w:val="00AA44E2"/>
    <w:rsid w:val="00AA5F04"/>
    <w:rsid w:val="00AA6884"/>
    <w:rsid w:val="00AA7683"/>
    <w:rsid w:val="00AB008C"/>
    <w:rsid w:val="00AB1A86"/>
    <w:rsid w:val="00AC1327"/>
    <w:rsid w:val="00AC1AC8"/>
    <w:rsid w:val="00AC1D8D"/>
    <w:rsid w:val="00AC32B2"/>
    <w:rsid w:val="00AC569C"/>
    <w:rsid w:val="00AC7C6C"/>
    <w:rsid w:val="00AD1B88"/>
    <w:rsid w:val="00AD266D"/>
    <w:rsid w:val="00AD277F"/>
    <w:rsid w:val="00AD5A51"/>
    <w:rsid w:val="00AD6478"/>
    <w:rsid w:val="00AE1FCC"/>
    <w:rsid w:val="00AE21E1"/>
    <w:rsid w:val="00AE2DBB"/>
    <w:rsid w:val="00AE3229"/>
    <w:rsid w:val="00AE4ACF"/>
    <w:rsid w:val="00AE7308"/>
    <w:rsid w:val="00AF7DA3"/>
    <w:rsid w:val="00B0016E"/>
    <w:rsid w:val="00B02623"/>
    <w:rsid w:val="00B10D2E"/>
    <w:rsid w:val="00B1178D"/>
    <w:rsid w:val="00B20095"/>
    <w:rsid w:val="00B2069B"/>
    <w:rsid w:val="00B212D4"/>
    <w:rsid w:val="00B22737"/>
    <w:rsid w:val="00B239BA"/>
    <w:rsid w:val="00B26619"/>
    <w:rsid w:val="00B27349"/>
    <w:rsid w:val="00B27458"/>
    <w:rsid w:val="00B30A12"/>
    <w:rsid w:val="00B31E47"/>
    <w:rsid w:val="00B3261E"/>
    <w:rsid w:val="00B333F2"/>
    <w:rsid w:val="00B337C6"/>
    <w:rsid w:val="00B3558C"/>
    <w:rsid w:val="00B35885"/>
    <w:rsid w:val="00B36232"/>
    <w:rsid w:val="00B41F94"/>
    <w:rsid w:val="00B42A57"/>
    <w:rsid w:val="00B46057"/>
    <w:rsid w:val="00B4798A"/>
    <w:rsid w:val="00B501BD"/>
    <w:rsid w:val="00B51B8A"/>
    <w:rsid w:val="00B522AF"/>
    <w:rsid w:val="00B52ABE"/>
    <w:rsid w:val="00B53109"/>
    <w:rsid w:val="00B5471E"/>
    <w:rsid w:val="00B56621"/>
    <w:rsid w:val="00B604F7"/>
    <w:rsid w:val="00B61326"/>
    <w:rsid w:val="00B61BC0"/>
    <w:rsid w:val="00B64C10"/>
    <w:rsid w:val="00B65BCB"/>
    <w:rsid w:val="00B672D2"/>
    <w:rsid w:val="00B71CA2"/>
    <w:rsid w:val="00B7691C"/>
    <w:rsid w:val="00B77074"/>
    <w:rsid w:val="00B80C05"/>
    <w:rsid w:val="00B80F71"/>
    <w:rsid w:val="00B826DA"/>
    <w:rsid w:val="00B833F7"/>
    <w:rsid w:val="00B8455A"/>
    <w:rsid w:val="00B84C6F"/>
    <w:rsid w:val="00B865BA"/>
    <w:rsid w:val="00B86A2A"/>
    <w:rsid w:val="00B91E12"/>
    <w:rsid w:val="00B91E92"/>
    <w:rsid w:val="00B92566"/>
    <w:rsid w:val="00B938FE"/>
    <w:rsid w:val="00B93E08"/>
    <w:rsid w:val="00B940A2"/>
    <w:rsid w:val="00B9779A"/>
    <w:rsid w:val="00BA12A6"/>
    <w:rsid w:val="00BA1387"/>
    <w:rsid w:val="00BA2931"/>
    <w:rsid w:val="00BA4ECF"/>
    <w:rsid w:val="00BA609C"/>
    <w:rsid w:val="00BA6CF1"/>
    <w:rsid w:val="00BA6F92"/>
    <w:rsid w:val="00BA7D08"/>
    <w:rsid w:val="00BA7F56"/>
    <w:rsid w:val="00BB0618"/>
    <w:rsid w:val="00BB1001"/>
    <w:rsid w:val="00BB23D5"/>
    <w:rsid w:val="00BB3A51"/>
    <w:rsid w:val="00BB43AF"/>
    <w:rsid w:val="00BB5120"/>
    <w:rsid w:val="00BB67FF"/>
    <w:rsid w:val="00BC010C"/>
    <w:rsid w:val="00BC0EDB"/>
    <w:rsid w:val="00BC3FE2"/>
    <w:rsid w:val="00BC53F1"/>
    <w:rsid w:val="00BD1275"/>
    <w:rsid w:val="00BD2B51"/>
    <w:rsid w:val="00BD3BF6"/>
    <w:rsid w:val="00BD3EC8"/>
    <w:rsid w:val="00BD522C"/>
    <w:rsid w:val="00BD57A1"/>
    <w:rsid w:val="00BE117C"/>
    <w:rsid w:val="00BE4783"/>
    <w:rsid w:val="00BE47A7"/>
    <w:rsid w:val="00BF0410"/>
    <w:rsid w:val="00BF2B9B"/>
    <w:rsid w:val="00BF3DB3"/>
    <w:rsid w:val="00BF49EF"/>
    <w:rsid w:val="00BF5425"/>
    <w:rsid w:val="00BF5FBA"/>
    <w:rsid w:val="00BF6681"/>
    <w:rsid w:val="00BF68FF"/>
    <w:rsid w:val="00BF6DEE"/>
    <w:rsid w:val="00BF7424"/>
    <w:rsid w:val="00C0206B"/>
    <w:rsid w:val="00C06EFC"/>
    <w:rsid w:val="00C118EC"/>
    <w:rsid w:val="00C126F4"/>
    <w:rsid w:val="00C130F4"/>
    <w:rsid w:val="00C14242"/>
    <w:rsid w:val="00C168FD"/>
    <w:rsid w:val="00C21DC3"/>
    <w:rsid w:val="00C24768"/>
    <w:rsid w:val="00C24B55"/>
    <w:rsid w:val="00C24D10"/>
    <w:rsid w:val="00C24EA9"/>
    <w:rsid w:val="00C24F11"/>
    <w:rsid w:val="00C30E03"/>
    <w:rsid w:val="00C31ECB"/>
    <w:rsid w:val="00C33B00"/>
    <w:rsid w:val="00C33F10"/>
    <w:rsid w:val="00C34D16"/>
    <w:rsid w:val="00C4322E"/>
    <w:rsid w:val="00C439EC"/>
    <w:rsid w:val="00C455BC"/>
    <w:rsid w:val="00C47CD9"/>
    <w:rsid w:val="00C531CA"/>
    <w:rsid w:val="00C53BD8"/>
    <w:rsid w:val="00C542A9"/>
    <w:rsid w:val="00C558C7"/>
    <w:rsid w:val="00C562C2"/>
    <w:rsid w:val="00C57879"/>
    <w:rsid w:val="00C57D3E"/>
    <w:rsid w:val="00C62D6D"/>
    <w:rsid w:val="00C639FB"/>
    <w:rsid w:val="00C6410A"/>
    <w:rsid w:val="00C6576E"/>
    <w:rsid w:val="00C704AE"/>
    <w:rsid w:val="00C70D1A"/>
    <w:rsid w:val="00C71F28"/>
    <w:rsid w:val="00C726FA"/>
    <w:rsid w:val="00C72BC0"/>
    <w:rsid w:val="00C76FB4"/>
    <w:rsid w:val="00C77A96"/>
    <w:rsid w:val="00C801D6"/>
    <w:rsid w:val="00C802A0"/>
    <w:rsid w:val="00C80E3D"/>
    <w:rsid w:val="00C816C1"/>
    <w:rsid w:val="00C84FC8"/>
    <w:rsid w:val="00C85DC1"/>
    <w:rsid w:val="00C85FF6"/>
    <w:rsid w:val="00C873F5"/>
    <w:rsid w:val="00C903E4"/>
    <w:rsid w:val="00C907D3"/>
    <w:rsid w:val="00C90DF1"/>
    <w:rsid w:val="00C917A7"/>
    <w:rsid w:val="00C95AEA"/>
    <w:rsid w:val="00C9605D"/>
    <w:rsid w:val="00CA1952"/>
    <w:rsid w:val="00CA2600"/>
    <w:rsid w:val="00CA4C0E"/>
    <w:rsid w:val="00CA5AC6"/>
    <w:rsid w:val="00CA62CC"/>
    <w:rsid w:val="00CB4742"/>
    <w:rsid w:val="00CB60B8"/>
    <w:rsid w:val="00CB7BC5"/>
    <w:rsid w:val="00CC0ACC"/>
    <w:rsid w:val="00CC0AF4"/>
    <w:rsid w:val="00CC5C07"/>
    <w:rsid w:val="00CC5DA1"/>
    <w:rsid w:val="00CC6302"/>
    <w:rsid w:val="00CD2AFD"/>
    <w:rsid w:val="00CD5E13"/>
    <w:rsid w:val="00CD66BC"/>
    <w:rsid w:val="00CE02E3"/>
    <w:rsid w:val="00CE3544"/>
    <w:rsid w:val="00CE6C51"/>
    <w:rsid w:val="00CF1CDA"/>
    <w:rsid w:val="00CF321A"/>
    <w:rsid w:val="00CF3AF2"/>
    <w:rsid w:val="00CF6637"/>
    <w:rsid w:val="00D008BC"/>
    <w:rsid w:val="00D022F2"/>
    <w:rsid w:val="00D04F31"/>
    <w:rsid w:val="00D05A8C"/>
    <w:rsid w:val="00D05C51"/>
    <w:rsid w:val="00D05E13"/>
    <w:rsid w:val="00D13537"/>
    <w:rsid w:val="00D13713"/>
    <w:rsid w:val="00D2247C"/>
    <w:rsid w:val="00D23BEC"/>
    <w:rsid w:val="00D265D7"/>
    <w:rsid w:val="00D26FDD"/>
    <w:rsid w:val="00D3396C"/>
    <w:rsid w:val="00D3593B"/>
    <w:rsid w:val="00D35ADE"/>
    <w:rsid w:val="00D4187F"/>
    <w:rsid w:val="00D428A1"/>
    <w:rsid w:val="00D45347"/>
    <w:rsid w:val="00D46130"/>
    <w:rsid w:val="00D46D1B"/>
    <w:rsid w:val="00D501C8"/>
    <w:rsid w:val="00D50290"/>
    <w:rsid w:val="00D5100A"/>
    <w:rsid w:val="00D51478"/>
    <w:rsid w:val="00D533AC"/>
    <w:rsid w:val="00D5794D"/>
    <w:rsid w:val="00D61841"/>
    <w:rsid w:val="00D66BF4"/>
    <w:rsid w:val="00D6771D"/>
    <w:rsid w:val="00D72247"/>
    <w:rsid w:val="00D739B9"/>
    <w:rsid w:val="00D73EF0"/>
    <w:rsid w:val="00D73F71"/>
    <w:rsid w:val="00D7437D"/>
    <w:rsid w:val="00D77961"/>
    <w:rsid w:val="00D77D29"/>
    <w:rsid w:val="00D85BB4"/>
    <w:rsid w:val="00D86ACE"/>
    <w:rsid w:val="00D8747A"/>
    <w:rsid w:val="00D87D51"/>
    <w:rsid w:val="00D904BA"/>
    <w:rsid w:val="00D905BF"/>
    <w:rsid w:val="00D90634"/>
    <w:rsid w:val="00D90FEC"/>
    <w:rsid w:val="00D91F47"/>
    <w:rsid w:val="00D977C9"/>
    <w:rsid w:val="00D97F96"/>
    <w:rsid w:val="00DA1C28"/>
    <w:rsid w:val="00DA3DD5"/>
    <w:rsid w:val="00DA6A25"/>
    <w:rsid w:val="00DA7A56"/>
    <w:rsid w:val="00DA7AD8"/>
    <w:rsid w:val="00DA7CFF"/>
    <w:rsid w:val="00DB427A"/>
    <w:rsid w:val="00DB6BA3"/>
    <w:rsid w:val="00DB767D"/>
    <w:rsid w:val="00DC067B"/>
    <w:rsid w:val="00DC2011"/>
    <w:rsid w:val="00DC3E61"/>
    <w:rsid w:val="00DC678F"/>
    <w:rsid w:val="00DD04F6"/>
    <w:rsid w:val="00DD3D23"/>
    <w:rsid w:val="00DD4A89"/>
    <w:rsid w:val="00DD5045"/>
    <w:rsid w:val="00DD57F1"/>
    <w:rsid w:val="00DE00ED"/>
    <w:rsid w:val="00DE0B14"/>
    <w:rsid w:val="00DE123F"/>
    <w:rsid w:val="00DE1427"/>
    <w:rsid w:val="00DE2C41"/>
    <w:rsid w:val="00DE3F60"/>
    <w:rsid w:val="00DE5FDB"/>
    <w:rsid w:val="00DE7255"/>
    <w:rsid w:val="00DE7882"/>
    <w:rsid w:val="00DF1F3E"/>
    <w:rsid w:val="00DF3BDD"/>
    <w:rsid w:val="00DF4D7C"/>
    <w:rsid w:val="00DF51FA"/>
    <w:rsid w:val="00DF6A21"/>
    <w:rsid w:val="00E0125B"/>
    <w:rsid w:val="00E019EA"/>
    <w:rsid w:val="00E02436"/>
    <w:rsid w:val="00E030CE"/>
    <w:rsid w:val="00E046A1"/>
    <w:rsid w:val="00E10052"/>
    <w:rsid w:val="00E119D3"/>
    <w:rsid w:val="00E11CA4"/>
    <w:rsid w:val="00E210CE"/>
    <w:rsid w:val="00E21861"/>
    <w:rsid w:val="00E2249B"/>
    <w:rsid w:val="00E246AB"/>
    <w:rsid w:val="00E26A43"/>
    <w:rsid w:val="00E308FB"/>
    <w:rsid w:val="00E30D6F"/>
    <w:rsid w:val="00E31EBE"/>
    <w:rsid w:val="00E331FA"/>
    <w:rsid w:val="00E33822"/>
    <w:rsid w:val="00E33E62"/>
    <w:rsid w:val="00E36248"/>
    <w:rsid w:val="00E4027F"/>
    <w:rsid w:val="00E40361"/>
    <w:rsid w:val="00E432F6"/>
    <w:rsid w:val="00E43584"/>
    <w:rsid w:val="00E47625"/>
    <w:rsid w:val="00E509DD"/>
    <w:rsid w:val="00E50A3D"/>
    <w:rsid w:val="00E52B84"/>
    <w:rsid w:val="00E52D98"/>
    <w:rsid w:val="00E53893"/>
    <w:rsid w:val="00E54558"/>
    <w:rsid w:val="00E54C14"/>
    <w:rsid w:val="00E57880"/>
    <w:rsid w:val="00E611C1"/>
    <w:rsid w:val="00E61A6A"/>
    <w:rsid w:val="00E64356"/>
    <w:rsid w:val="00E65DEA"/>
    <w:rsid w:val="00E671D9"/>
    <w:rsid w:val="00E84AD6"/>
    <w:rsid w:val="00E857D9"/>
    <w:rsid w:val="00E85DE2"/>
    <w:rsid w:val="00E85EE0"/>
    <w:rsid w:val="00E91B79"/>
    <w:rsid w:val="00E947D4"/>
    <w:rsid w:val="00E95ADB"/>
    <w:rsid w:val="00E9616D"/>
    <w:rsid w:val="00E96EDD"/>
    <w:rsid w:val="00EA0465"/>
    <w:rsid w:val="00EA06A5"/>
    <w:rsid w:val="00EA07CC"/>
    <w:rsid w:val="00EA220D"/>
    <w:rsid w:val="00EA4E5D"/>
    <w:rsid w:val="00EA505E"/>
    <w:rsid w:val="00EB4652"/>
    <w:rsid w:val="00EC5529"/>
    <w:rsid w:val="00EC5642"/>
    <w:rsid w:val="00EC5AB4"/>
    <w:rsid w:val="00EC6266"/>
    <w:rsid w:val="00EC6384"/>
    <w:rsid w:val="00ED3E25"/>
    <w:rsid w:val="00ED4418"/>
    <w:rsid w:val="00ED4AF0"/>
    <w:rsid w:val="00ED4E0F"/>
    <w:rsid w:val="00EE1BC6"/>
    <w:rsid w:val="00EE38BD"/>
    <w:rsid w:val="00EE3EBA"/>
    <w:rsid w:val="00EE593D"/>
    <w:rsid w:val="00EE5AFB"/>
    <w:rsid w:val="00EF0967"/>
    <w:rsid w:val="00EF4665"/>
    <w:rsid w:val="00EF6E0F"/>
    <w:rsid w:val="00EF799F"/>
    <w:rsid w:val="00F0019A"/>
    <w:rsid w:val="00F00335"/>
    <w:rsid w:val="00F02828"/>
    <w:rsid w:val="00F0511A"/>
    <w:rsid w:val="00F13488"/>
    <w:rsid w:val="00F13E3B"/>
    <w:rsid w:val="00F1520E"/>
    <w:rsid w:val="00F161AA"/>
    <w:rsid w:val="00F162E5"/>
    <w:rsid w:val="00F16EFB"/>
    <w:rsid w:val="00F21E69"/>
    <w:rsid w:val="00F2263F"/>
    <w:rsid w:val="00F22C30"/>
    <w:rsid w:val="00F22E3C"/>
    <w:rsid w:val="00F24420"/>
    <w:rsid w:val="00F24D2F"/>
    <w:rsid w:val="00F26688"/>
    <w:rsid w:val="00F321A2"/>
    <w:rsid w:val="00F3250D"/>
    <w:rsid w:val="00F33BE6"/>
    <w:rsid w:val="00F36912"/>
    <w:rsid w:val="00F37445"/>
    <w:rsid w:val="00F37957"/>
    <w:rsid w:val="00F40617"/>
    <w:rsid w:val="00F42D7E"/>
    <w:rsid w:val="00F42DA1"/>
    <w:rsid w:val="00F46090"/>
    <w:rsid w:val="00F469F6"/>
    <w:rsid w:val="00F50B1B"/>
    <w:rsid w:val="00F543E0"/>
    <w:rsid w:val="00F54999"/>
    <w:rsid w:val="00F550B0"/>
    <w:rsid w:val="00F570C9"/>
    <w:rsid w:val="00F57B6A"/>
    <w:rsid w:val="00F60430"/>
    <w:rsid w:val="00F63179"/>
    <w:rsid w:val="00F66151"/>
    <w:rsid w:val="00F67FA5"/>
    <w:rsid w:val="00F7160D"/>
    <w:rsid w:val="00F7311B"/>
    <w:rsid w:val="00F742AC"/>
    <w:rsid w:val="00F760C1"/>
    <w:rsid w:val="00F90701"/>
    <w:rsid w:val="00F927EB"/>
    <w:rsid w:val="00F9561E"/>
    <w:rsid w:val="00F96763"/>
    <w:rsid w:val="00FA123A"/>
    <w:rsid w:val="00FA2A44"/>
    <w:rsid w:val="00FA6FEC"/>
    <w:rsid w:val="00FB1414"/>
    <w:rsid w:val="00FB2D58"/>
    <w:rsid w:val="00FB7393"/>
    <w:rsid w:val="00FC066E"/>
    <w:rsid w:val="00FC18DC"/>
    <w:rsid w:val="00FC5096"/>
    <w:rsid w:val="00FC7068"/>
    <w:rsid w:val="00FD4891"/>
    <w:rsid w:val="00FD5846"/>
    <w:rsid w:val="00FE0A9A"/>
    <w:rsid w:val="00FE0F85"/>
    <w:rsid w:val="00FE1CC7"/>
    <w:rsid w:val="00FE4216"/>
    <w:rsid w:val="00FE6870"/>
    <w:rsid w:val="00FF091F"/>
    <w:rsid w:val="00FF3A6F"/>
    <w:rsid w:val="00FF4581"/>
    <w:rsid w:val="00FF4E4F"/>
    <w:rsid w:val="00FF7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7FE4093"/>
  <w15:docId w15:val="{65026623-FF6F-47C4-A7A8-EC5DB942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09AE"/>
    <w:rPr>
      <w:sz w:val="24"/>
      <w:szCs w:val="24"/>
    </w:rPr>
  </w:style>
  <w:style w:type="paragraph" w:styleId="Heading1">
    <w:name w:val="heading 1"/>
    <w:basedOn w:val="BodyText"/>
    <w:next w:val="BodyText"/>
    <w:rsid w:val="004F09AE"/>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4F09AE"/>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4F09AE"/>
    <w:pPr>
      <w:spacing w:before="560" w:line="320" w:lineRule="exact"/>
      <w:ind w:left="0" w:firstLine="0"/>
      <w:outlineLvl w:val="2"/>
    </w:pPr>
    <w:rPr>
      <w:sz w:val="26"/>
    </w:rPr>
  </w:style>
  <w:style w:type="paragraph" w:styleId="Heading4">
    <w:name w:val="heading 4"/>
    <w:basedOn w:val="Heading3"/>
    <w:next w:val="BodyText"/>
    <w:qFormat/>
    <w:rsid w:val="004F09AE"/>
    <w:pPr>
      <w:spacing w:before="480"/>
      <w:outlineLvl w:val="3"/>
    </w:pPr>
    <w:rPr>
      <w:b w:val="0"/>
      <w:sz w:val="24"/>
    </w:rPr>
  </w:style>
  <w:style w:type="paragraph" w:styleId="Heading5">
    <w:name w:val="heading 5"/>
    <w:basedOn w:val="Heading4"/>
    <w:next w:val="BodyText"/>
    <w:link w:val="Heading5Char"/>
    <w:qFormat/>
    <w:rsid w:val="004F09AE"/>
    <w:pPr>
      <w:outlineLvl w:val="4"/>
    </w:pPr>
    <w:rPr>
      <w:i/>
      <w:sz w:val="22"/>
    </w:rPr>
  </w:style>
  <w:style w:type="paragraph" w:styleId="Heading6">
    <w:name w:val="heading 6"/>
    <w:basedOn w:val="BodyText"/>
    <w:next w:val="BodyText"/>
    <w:rsid w:val="004F09AE"/>
    <w:pPr>
      <w:spacing w:after="60"/>
      <w:jc w:val="left"/>
      <w:outlineLvl w:val="5"/>
    </w:pPr>
    <w:rPr>
      <w:i/>
      <w:sz w:val="22"/>
    </w:rPr>
  </w:style>
  <w:style w:type="paragraph" w:styleId="Heading7">
    <w:name w:val="heading 7"/>
    <w:basedOn w:val="BodyText"/>
    <w:next w:val="BodyText"/>
    <w:rsid w:val="004F09AE"/>
    <w:pPr>
      <w:spacing w:after="60" w:line="240" w:lineRule="auto"/>
      <w:jc w:val="left"/>
      <w:outlineLvl w:val="6"/>
    </w:pPr>
    <w:rPr>
      <w:rFonts w:ascii="Arial" w:hAnsi="Arial"/>
      <w:sz w:val="20"/>
    </w:rPr>
  </w:style>
  <w:style w:type="paragraph" w:styleId="Heading8">
    <w:name w:val="heading 8"/>
    <w:basedOn w:val="BodyText"/>
    <w:next w:val="BodyText"/>
    <w:rsid w:val="004F09AE"/>
    <w:pPr>
      <w:spacing w:after="60" w:line="240" w:lineRule="auto"/>
      <w:jc w:val="left"/>
      <w:outlineLvl w:val="7"/>
    </w:pPr>
    <w:rPr>
      <w:rFonts w:ascii="Arial" w:hAnsi="Arial"/>
      <w:i/>
      <w:sz w:val="20"/>
    </w:rPr>
  </w:style>
  <w:style w:type="paragraph" w:styleId="Heading9">
    <w:name w:val="heading 9"/>
    <w:basedOn w:val="BodyText"/>
    <w:next w:val="BodyText"/>
    <w:rsid w:val="004F09AE"/>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F09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09AE"/>
  </w:style>
  <w:style w:type="paragraph" w:styleId="BodyText">
    <w:name w:val="Body Text"/>
    <w:link w:val="BodyTextChar"/>
    <w:qFormat/>
    <w:rsid w:val="004F09AE"/>
    <w:pPr>
      <w:spacing w:before="240" w:line="300" w:lineRule="atLeast"/>
      <w:jc w:val="both"/>
    </w:pPr>
    <w:rPr>
      <w:sz w:val="24"/>
    </w:rPr>
  </w:style>
  <w:style w:type="paragraph" w:customStyle="1" w:styleId="Chapter">
    <w:name w:val="Chapter"/>
    <w:basedOn w:val="Heading1"/>
    <w:next w:val="BodyText"/>
    <w:semiHidden/>
    <w:rsid w:val="004F09AE"/>
    <w:pPr>
      <w:ind w:left="0" w:firstLine="0"/>
      <w:outlineLvl w:val="9"/>
    </w:pPr>
  </w:style>
  <w:style w:type="paragraph" w:customStyle="1" w:styleId="SequenceInfo">
    <w:name w:val="Sequence Info"/>
    <w:basedOn w:val="BodyText"/>
    <w:semiHidden/>
    <w:rsid w:val="004F09AE"/>
    <w:rPr>
      <w:vanish/>
      <w:sz w:val="16"/>
    </w:rPr>
  </w:style>
  <w:style w:type="character" w:styleId="CommentReference">
    <w:name w:val="annotation reference"/>
    <w:basedOn w:val="DefaultParagraphFont"/>
    <w:semiHidden/>
    <w:rsid w:val="004F09AE"/>
    <w:rPr>
      <w:b/>
      <w:vanish/>
      <w:color w:val="FF00FF"/>
      <w:sz w:val="20"/>
    </w:rPr>
  </w:style>
  <w:style w:type="paragraph" w:styleId="CommentText">
    <w:name w:val="annotation text"/>
    <w:basedOn w:val="Normal"/>
    <w:link w:val="CommentTextChar"/>
    <w:semiHidden/>
    <w:rsid w:val="004F09AE"/>
    <w:pPr>
      <w:spacing w:before="120" w:line="240" w:lineRule="atLeast"/>
      <w:ind w:left="567" w:hanging="567"/>
    </w:pPr>
    <w:rPr>
      <w:sz w:val="20"/>
    </w:rPr>
  </w:style>
  <w:style w:type="paragraph" w:customStyle="1" w:styleId="Abbreviation">
    <w:name w:val="Abbreviation"/>
    <w:basedOn w:val="BodyText"/>
    <w:rsid w:val="004F09AE"/>
    <w:pPr>
      <w:spacing w:before="120"/>
      <w:ind w:left="2381" w:hanging="2381"/>
      <w:jc w:val="left"/>
    </w:pPr>
  </w:style>
  <w:style w:type="paragraph" w:customStyle="1" w:styleId="Box">
    <w:name w:val="Box"/>
    <w:basedOn w:val="BodyText"/>
    <w:link w:val="BoxChar"/>
    <w:qFormat/>
    <w:rsid w:val="004F09AE"/>
    <w:pPr>
      <w:keepNext/>
      <w:spacing w:before="120" w:line="260" w:lineRule="atLeast"/>
    </w:pPr>
    <w:rPr>
      <w:rFonts w:ascii="Arial" w:hAnsi="Arial"/>
      <w:sz w:val="20"/>
    </w:rPr>
  </w:style>
  <w:style w:type="paragraph" w:customStyle="1" w:styleId="QuoteBullet">
    <w:name w:val="Quote Bullet"/>
    <w:basedOn w:val="Quote"/>
    <w:rsid w:val="004F09AE"/>
    <w:pPr>
      <w:numPr>
        <w:numId w:val="11"/>
      </w:numPr>
    </w:pPr>
  </w:style>
  <w:style w:type="paragraph" w:customStyle="1" w:styleId="BoxListBullet">
    <w:name w:val="Box List Bullet"/>
    <w:basedOn w:val="BodyText"/>
    <w:rsid w:val="004F09AE"/>
    <w:pPr>
      <w:keepNext/>
      <w:numPr>
        <w:numId w:val="6"/>
      </w:numPr>
      <w:spacing w:before="100" w:line="260" w:lineRule="atLeast"/>
    </w:pPr>
    <w:rPr>
      <w:rFonts w:ascii="Arial" w:hAnsi="Arial"/>
      <w:sz w:val="20"/>
    </w:rPr>
  </w:style>
  <w:style w:type="paragraph" w:customStyle="1" w:styleId="BoxListBullet2">
    <w:name w:val="Box List Bullet 2"/>
    <w:basedOn w:val="BoxListBullet"/>
    <w:rsid w:val="004F09AE"/>
    <w:pPr>
      <w:numPr>
        <w:numId w:val="3"/>
      </w:numPr>
      <w:ind w:left="568" w:hanging="284"/>
    </w:pPr>
  </w:style>
  <w:style w:type="paragraph" w:customStyle="1" w:styleId="BoxListNumber">
    <w:name w:val="Box List Number"/>
    <w:basedOn w:val="BodyText"/>
    <w:rsid w:val="004F09AE"/>
    <w:pPr>
      <w:keepNext/>
      <w:numPr>
        <w:numId w:val="15"/>
      </w:numPr>
      <w:spacing w:before="100" w:line="260" w:lineRule="atLeast"/>
    </w:pPr>
    <w:rPr>
      <w:rFonts w:ascii="Arial" w:hAnsi="Arial"/>
      <w:sz w:val="20"/>
    </w:rPr>
  </w:style>
  <w:style w:type="paragraph" w:customStyle="1" w:styleId="BoxListNumber2">
    <w:name w:val="Box List Number 2"/>
    <w:basedOn w:val="BoxListNumber"/>
    <w:rsid w:val="004F09AE"/>
    <w:pPr>
      <w:numPr>
        <w:ilvl w:val="1"/>
      </w:numPr>
      <w:ind w:left="681" w:hanging="397"/>
    </w:pPr>
  </w:style>
  <w:style w:type="paragraph" w:customStyle="1" w:styleId="BoxQuote">
    <w:name w:val="Box Quote"/>
    <w:basedOn w:val="BodyText"/>
    <w:next w:val="Box"/>
    <w:qFormat/>
    <w:rsid w:val="004F09AE"/>
    <w:pPr>
      <w:keepNext/>
      <w:spacing w:before="60" w:line="240" w:lineRule="exact"/>
      <w:ind w:left="284"/>
    </w:pPr>
    <w:rPr>
      <w:rFonts w:ascii="Arial" w:hAnsi="Arial"/>
      <w:sz w:val="18"/>
    </w:rPr>
  </w:style>
  <w:style w:type="paragraph" w:customStyle="1" w:styleId="BoxSource">
    <w:name w:val="Box Source"/>
    <w:basedOn w:val="Source"/>
    <w:next w:val="BodyText"/>
    <w:rsid w:val="004F09AE"/>
    <w:pPr>
      <w:spacing w:before="120"/>
    </w:pPr>
  </w:style>
  <w:style w:type="paragraph" w:customStyle="1" w:styleId="BoxSpace">
    <w:name w:val="Box Space"/>
    <w:basedOn w:val="BodyText"/>
    <w:rsid w:val="00A62A52"/>
    <w:pPr>
      <w:keepNext/>
      <w:spacing w:before="360" w:line="80" w:lineRule="exact"/>
      <w:jc w:val="left"/>
    </w:pPr>
  </w:style>
  <w:style w:type="paragraph" w:customStyle="1" w:styleId="BoxSubtitle">
    <w:name w:val="Box Subtitle"/>
    <w:basedOn w:val="BoxTitle"/>
    <w:next w:val="Normal"/>
    <w:rsid w:val="004F09AE"/>
    <w:pPr>
      <w:spacing w:after="80" w:line="200" w:lineRule="exact"/>
      <w:ind w:firstLine="0"/>
    </w:pPr>
    <w:rPr>
      <w:b w:val="0"/>
      <w:sz w:val="20"/>
    </w:rPr>
  </w:style>
  <w:style w:type="paragraph" w:customStyle="1" w:styleId="BoxTitle">
    <w:name w:val="Box Title"/>
    <w:basedOn w:val="Caption"/>
    <w:next w:val="BoxSubtitle"/>
    <w:link w:val="BoxTitleChar"/>
    <w:rsid w:val="004F09AE"/>
    <w:pPr>
      <w:spacing w:before="120" w:after="0"/>
    </w:pPr>
  </w:style>
  <w:style w:type="paragraph" w:styleId="Caption">
    <w:name w:val="caption"/>
    <w:basedOn w:val="Normal"/>
    <w:next w:val="BodyText"/>
    <w:rsid w:val="004F09AE"/>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4F09AE"/>
    <w:pPr>
      <w:spacing w:line="280" w:lineRule="atLeast"/>
      <w:ind w:left="907"/>
    </w:pPr>
    <w:rPr>
      <w:rFonts w:ascii="Arial" w:hAnsi="Arial"/>
      <w:b/>
      <w:sz w:val="20"/>
    </w:rPr>
  </w:style>
  <w:style w:type="character" w:customStyle="1" w:styleId="DocumentInfo">
    <w:name w:val="Document Info"/>
    <w:basedOn w:val="DefaultParagraphFont"/>
    <w:semiHidden/>
    <w:rsid w:val="004F09AE"/>
    <w:rPr>
      <w:rFonts w:ascii="Arial" w:hAnsi="Arial"/>
      <w:sz w:val="14"/>
    </w:rPr>
  </w:style>
  <w:style w:type="paragraph" w:styleId="Footer">
    <w:name w:val="footer"/>
    <w:basedOn w:val="BodyText"/>
    <w:link w:val="FooterChar"/>
    <w:rsid w:val="004F09AE"/>
    <w:pPr>
      <w:spacing w:before="80" w:line="200" w:lineRule="exact"/>
      <w:ind w:right="6"/>
      <w:jc w:val="left"/>
    </w:pPr>
    <w:rPr>
      <w:rFonts w:ascii="Arial" w:hAnsi="Arial"/>
      <w:caps/>
      <w:spacing w:val="-4"/>
      <w:sz w:val="16"/>
    </w:rPr>
  </w:style>
  <w:style w:type="character" w:customStyle="1" w:styleId="DraftingNote">
    <w:name w:val="Drafting Note"/>
    <w:basedOn w:val="DefaultParagraphFont"/>
    <w:rsid w:val="004F09AE"/>
    <w:rPr>
      <w:b/>
      <w:color w:val="FF0000"/>
      <w:sz w:val="24"/>
      <w:u w:val="dotted"/>
    </w:rPr>
  </w:style>
  <w:style w:type="table" w:styleId="TableGrid">
    <w:name w:val="Table Grid"/>
    <w:basedOn w:val="TableNormal"/>
    <w:rsid w:val="004F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BodyText"/>
    <w:link w:val="FigureChar"/>
    <w:rsid w:val="004F09AE"/>
    <w:pPr>
      <w:keepNext/>
      <w:spacing w:before="120" w:after="120" w:line="240" w:lineRule="atLeast"/>
      <w:jc w:val="center"/>
    </w:pPr>
  </w:style>
  <w:style w:type="paragraph" w:customStyle="1" w:styleId="FigureTitle">
    <w:name w:val="Figure Title"/>
    <w:basedOn w:val="Caption"/>
    <w:next w:val="Subtitle"/>
    <w:rsid w:val="004F09AE"/>
    <w:pPr>
      <w:spacing w:before="120"/>
    </w:pPr>
  </w:style>
  <w:style w:type="paragraph" w:styleId="Subtitle">
    <w:name w:val="Subtitle"/>
    <w:basedOn w:val="Caption"/>
    <w:link w:val="SubtitleChar"/>
    <w:qFormat/>
    <w:rsid w:val="004F09AE"/>
    <w:pPr>
      <w:spacing w:before="0" w:line="200" w:lineRule="exact"/>
      <w:ind w:firstLine="0"/>
    </w:pPr>
    <w:rPr>
      <w:b w:val="0"/>
      <w:sz w:val="20"/>
    </w:rPr>
  </w:style>
  <w:style w:type="paragraph" w:customStyle="1" w:styleId="Finding">
    <w:name w:val="Finding"/>
    <w:basedOn w:val="BodyText"/>
    <w:rsid w:val="004F09AE"/>
    <w:pPr>
      <w:keepLines/>
      <w:spacing w:before="120" w:line="280" w:lineRule="atLeast"/>
    </w:pPr>
    <w:rPr>
      <w:rFonts w:ascii="Arial" w:hAnsi="Arial"/>
      <w:sz w:val="22"/>
    </w:rPr>
  </w:style>
  <w:style w:type="paragraph" w:customStyle="1" w:styleId="FindingBullet">
    <w:name w:val="Finding Bullet"/>
    <w:basedOn w:val="Finding"/>
    <w:rsid w:val="004F09AE"/>
    <w:pPr>
      <w:numPr>
        <w:numId w:val="7"/>
      </w:numPr>
      <w:spacing w:before="80"/>
    </w:pPr>
  </w:style>
  <w:style w:type="paragraph" w:customStyle="1" w:styleId="FindingNoTitle">
    <w:name w:val="Finding NoTitle"/>
    <w:basedOn w:val="Finding"/>
    <w:rsid w:val="004F09AE"/>
    <w:pPr>
      <w:spacing w:before="240"/>
    </w:pPr>
  </w:style>
  <w:style w:type="paragraph" w:customStyle="1" w:styleId="FindingTitle">
    <w:name w:val="Finding Title"/>
    <w:basedOn w:val="RecTitle"/>
    <w:next w:val="Finding"/>
    <w:rsid w:val="004F09AE"/>
  </w:style>
  <w:style w:type="paragraph" w:customStyle="1" w:styleId="FooterEnd">
    <w:name w:val="Footer End"/>
    <w:basedOn w:val="Footer"/>
    <w:rsid w:val="004F09AE"/>
    <w:pPr>
      <w:spacing w:before="0" w:line="20" w:lineRule="exact"/>
    </w:pPr>
  </w:style>
  <w:style w:type="character" w:styleId="FootnoteReference">
    <w:name w:val="footnote reference"/>
    <w:basedOn w:val="DefaultParagraphFont"/>
    <w:semiHidden/>
    <w:rsid w:val="004F09AE"/>
    <w:rPr>
      <w:rFonts w:ascii="Times New Roman" w:hAnsi="Times New Roman"/>
      <w:position w:val="6"/>
      <w:sz w:val="20"/>
      <w:vertAlign w:val="baseline"/>
    </w:rPr>
  </w:style>
  <w:style w:type="paragraph" w:styleId="FootnoteText">
    <w:name w:val="footnote text"/>
    <w:basedOn w:val="BodyText"/>
    <w:rsid w:val="004F09AE"/>
    <w:pPr>
      <w:tabs>
        <w:tab w:val="left" w:pos="284"/>
      </w:tabs>
      <w:spacing w:before="80" w:line="240" w:lineRule="exact"/>
      <w:ind w:left="284" w:hanging="284"/>
    </w:pPr>
    <w:rPr>
      <w:sz w:val="20"/>
    </w:rPr>
  </w:style>
  <w:style w:type="paragraph" w:styleId="Header">
    <w:name w:val="header"/>
    <w:basedOn w:val="BodyText"/>
    <w:rsid w:val="004F09AE"/>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F09AE"/>
    <w:pPr>
      <w:spacing w:line="20" w:lineRule="exact"/>
    </w:pPr>
    <w:rPr>
      <w:sz w:val="16"/>
    </w:rPr>
  </w:style>
  <w:style w:type="paragraph" w:customStyle="1" w:styleId="HeaderEven">
    <w:name w:val="Header Even"/>
    <w:basedOn w:val="Header"/>
    <w:semiHidden/>
    <w:rsid w:val="004F09AE"/>
  </w:style>
  <w:style w:type="paragraph" w:customStyle="1" w:styleId="HeaderOdd">
    <w:name w:val="Header Odd"/>
    <w:basedOn w:val="Header"/>
    <w:semiHidden/>
    <w:rsid w:val="004F09AE"/>
  </w:style>
  <w:style w:type="paragraph" w:customStyle="1" w:styleId="InformationRequest">
    <w:name w:val="Information Request"/>
    <w:basedOn w:val="Finding"/>
    <w:next w:val="BodyText"/>
    <w:rsid w:val="004F09AE"/>
    <w:rPr>
      <w:i/>
    </w:rPr>
  </w:style>
  <w:style w:type="paragraph" w:styleId="ListBullet">
    <w:name w:val="List Bullet"/>
    <w:basedOn w:val="BodyText"/>
    <w:rsid w:val="004F09AE"/>
    <w:pPr>
      <w:numPr>
        <w:numId w:val="5"/>
      </w:numPr>
      <w:spacing w:before="120"/>
    </w:pPr>
  </w:style>
  <w:style w:type="paragraph" w:styleId="ListBullet2">
    <w:name w:val="List Bullet 2"/>
    <w:basedOn w:val="BodyText"/>
    <w:rsid w:val="004F09AE"/>
    <w:pPr>
      <w:numPr>
        <w:numId w:val="2"/>
      </w:numPr>
      <w:spacing w:before="120"/>
    </w:pPr>
  </w:style>
  <w:style w:type="paragraph" w:styleId="ListBullet3">
    <w:name w:val="List Bullet 3"/>
    <w:basedOn w:val="BodyText"/>
    <w:rsid w:val="004F09AE"/>
    <w:pPr>
      <w:numPr>
        <w:numId w:val="1"/>
      </w:numPr>
      <w:spacing w:before="120"/>
      <w:ind w:left="1020" w:hanging="340"/>
    </w:pPr>
  </w:style>
  <w:style w:type="paragraph" w:styleId="ListNumber">
    <w:name w:val="List Number"/>
    <w:basedOn w:val="BodyText"/>
    <w:rsid w:val="004F09AE"/>
    <w:pPr>
      <w:numPr>
        <w:numId w:val="14"/>
      </w:numPr>
      <w:spacing w:before="120"/>
    </w:pPr>
  </w:style>
  <w:style w:type="paragraph" w:styleId="ListNumber2">
    <w:name w:val="List Number 2"/>
    <w:basedOn w:val="ListNumber"/>
    <w:rsid w:val="004F09AE"/>
    <w:pPr>
      <w:numPr>
        <w:ilvl w:val="1"/>
      </w:numPr>
    </w:pPr>
  </w:style>
  <w:style w:type="paragraph" w:styleId="ListNumber3">
    <w:name w:val="List Number 3"/>
    <w:basedOn w:val="ListNumber2"/>
    <w:rsid w:val="004F09AE"/>
    <w:pPr>
      <w:numPr>
        <w:ilvl w:val="2"/>
      </w:numPr>
    </w:pPr>
  </w:style>
  <w:style w:type="paragraph" w:customStyle="1" w:styleId="Note">
    <w:name w:val="Note"/>
    <w:basedOn w:val="BodyText"/>
    <w:next w:val="BodyText"/>
    <w:rsid w:val="004F09AE"/>
    <w:pPr>
      <w:keepLines/>
      <w:spacing w:before="80" w:line="220" w:lineRule="exact"/>
    </w:pPr>
    <w:rPr>
      <w:rFonts w:ascii="Arial" w:hAnsi="Arial"/>
      <w:sz w:val="18"/>
    </w:rPr>
  </w:style>
  <w:style w:type="character" w:customStyle="1" w:styleId="NoteLabel">
    <w:name w:val="Note Label"/>
    <w:basedOn w:val="DefaultParagraphFont"/>
    <w:rsid w:val="004F09AE"/>
    <w:rPr>
      <w:rFonts w:ascii="Arial" w:hAnsi="Arial"/>
      <w:b/>
      <w:position w:val="6"/>
      <w:sz w:val="18"/>
    </w:rPr>
  </w:style>
  <w:style w:type="character" w:styleId="PageNumber">
    <w:name w:val="page number"/>
    <w:basedOn w:val="DefaultParagraphFont"/>
    <w:rsid w:val="004F09AE"/>
    <w:rPr>
      <w:rFonts w:ascii="Arial" w:hAnsi="Arial"/>
      <w:b/>
      <w:sz w:val="16"/>
    </w:rPr>
  </w:style>
  <w:style w:type="paragraph" w:customStyle="1" w:styleId="PartDivider">
    <w:name w:val="Part Divider"/>
    <w:basedOn w:val="BodyText"/>
    <w:next w:val="BodyText"/>
    <w:semiHidden/>
    <w:rsid w:val="004F09AE"/>
    <w:pPr>
      <w:spacing w:before="0" w:line="40" w:lineRule="exact"/>
      <w:jc w:val="right"/>
    </w:pPr>
    <w:rPr>
      <w:smallCaps/>
      <w:sz w:val="16"/>
    </w:rPr>
  </w:style>
  <w:style w:type="paragraph" w:customStyle="1" w:styleId="PartNumber">
    <w:name w:val="Part Number"/>
    <w:basedOn w:val="BodyText"/>
    <w:next w:val="BodyText"/>
    <w:semiHidden/>
    <w:rsid w:val="004F09AE"/>
    <w:pPr>
      <w:spacing w:before="4000" w:line="320" w:lineRule="exact"/>
      <w:ind w:left="6634"/>
      <w:jc w:val="right"/>
    </w:pPr>
    <w:rPr>
      <w:smallCaps/>
      <w:spacing w:val="60"/>
      <w:sz w:val="32"/>
    </w:rPr>
  </w:style>
  <w:style w:type="paragraph" w:customStyle="1" w:styleId="PartTitle">
    <w:name w:val="Part Title"/>
    <w:basedOn w:val="BodyText"/>
    <w:semiHidden/>
    <w:rsid w:val="004F09AE"/>
    <w:pPr>
      <w:spacing w:before="160" w:after="1360" w:line="520" w:lineRule="exact"/>
      <w:ind w:right="2381"/>
      <w:jc w:val="right"/>
    </w:pPr>
    <w:rPr>
      <w:smallCaps/>
      <w:sz w:val="52"/>
    </w:rPr>
  </w:style>
  <w:style w:type="paragraph" w:styleId="Quote">
    <w:name w:val="Quote"/>
    <w:basedOn w:val="BodyText"/>
    <w:next w:val="BodyText"/>
    <w:qFormat/>
    <w:rsid w:val="004F09AE"/>
    <w:pPr>
      <w:spacing w:before="120" w:line="280" w:lineRule="exact"/>
      <w:ind w:left="340"/>
    </w:pPr>
    <w:rPr>
      <w:sz w:val="22"/>
    </w:rPr>
  </w:style>
  <w:style w:type="paragraph" w:customStyle="1" w:styleId="Rec">
    <w:name w:val="Rec"/>
    <w:basedOn w:val="BodyText"/>
    <w:qFormat/>
    <w:rsid w:val="004F09AE"/>
    <w:pPr>
      <w:keepLines/>
      <w:spacing w:before="120" w:line="280" w:lineRule="atLeast"/>
    </w:pPr>
    <w:rPr>
      <w:rFonts w:ascii="Arial" w:hAnsi="Arial"/>
      <w:sz w:val="22"/>
    </w:rPr>
  </w:style>
  <w:style w:type="paragraph" w:customStyle="1" w:styleId="RecBullet">
    <w:name w:val="Rec Bullet"/>
    <w:basedOn w:val="Rec"/>
    <w:rsid w:val="004F09AE"/>
    <w:pPr>
      <w:numPr>
        <w:numId w:val="8"/>
      </w:numPr>
      <w:spacing w:before="80"/>
    </w:pPr>
  </w:style>
  <w:style w:type="paragraph" w:customStyle="1" w:styleId="RecTitle">
    <w:name w:val="Rec Title"/>
    <w:basedOn w:val="BodyText"/>
    <w:next w:val="Rec"/>
    <w:qFormat/>
    <w:rsid w:val="004F09AE"/>
    <w:pPr>
      <w:keepNext/>
      <w:keepLines/>
      <w:spacing w:line="280" w:lineRule="atLeast"/>
    </w:pPr>
    <w:rPr>
      <w:rFonts w:ascii="Arial" w:hAnsi="Arial"/>
      <w:caps/>
      <w:sz w:val="18"/>
    </w:rPr>
  </w:style>
  <w:style w:type="paragraph" w:customStyle="1" w:styleId="RecB">
    <w:name w:val="RecB"/>
    <w:basedOn w:val="Normal"/>
    <w:rsid w:val="004F09AE"/>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4F09AE"/>
    <w:pPr>
      <w:numPr>
        <w:numId w:val="9"/>
      </w:numPr>
      <w:spacing w:before="80"/>
    </w:pPr>
  </w:style>
  <w:style w:type="paragraph" w:customStyle="1" w:styleId="RecBNoTitle">
    <w:name w:val="RecB NoTitle"/>
    <w:basedOn w:val="RecB"/>
    <w:rsid w:val="004F09AE"/>
    <w:pPr>
      <w:spacing w:before="240"/>
    </w:pPr>
  </w:style>
  <w:style w:type="paragraph" w:customStyle="1" w:styleId="Reference">
    <w:name w:val="Reference"/>
    <w:basedOn w:val="BodyText"/>
    <w:link w:val="ReferenceChar"/>
    <w:rsid w:val="004F09AE"/>
    <w:pPr>
      <w:spacing w:before="120"/>
      <w:ind w:left="340" w:hanging="340"/>
    </w:pPr>
  </w:style>
  <w:style w:type="paragraph" w:customStyle="1" w:styleId="SideNote">
    <w:name w:val="Side Note"/>
    <w:basedOn w:val="BodyText"/>
    <w:next w:val="BodyText"/>
    <w:semiHidden/>
    <w:rsid w:val="004F09AE"/>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F09AE"/>
    <w:pPr>
      <w:framePr w:wrap="around"/>
      <w:numPr>
        <w:numId w:val="4"/>
      </w:numPr>
      <w:tabs>
        <w:tab w:val="left" w:pos="227"/>
      </w:tabs>
    </w:pPr>
  </w:style>
  <w:style w:type="paragraph" w:customStyle="1" w:styleId="SideNoteGraphic">
    <w:name w:val="Side Note Graphic"/>
    <w:basedOn w:val="SideNote"/>
    <w:next w:val="BodyText"/>
    <w:semiHidden/>
    <w:rsid w:val="004F09AE"/>
    <w:pPr>
      <w:framePr w:wrap="around"/>
    </w:pPr>
  </w:style>
  <w:style w:type="paragraph" w:customStyle="1" w:styleId="Source">
    <w:name w:val="Source"/>
    <w:basedOn w:val="Normal"/>
    <w:next w:val="BodyText"/>
    <w:rsid w:val="004F09AE"/>
    <w:pPr>
      <w:keepLines/>
      <w:spacing w:before="80" w:line="220" w:lineRule="exact"/>
      <w:jc w:val="both"/>
    </w:pPr>
    <w:rPr>
      <w:rFonts w:ascii="Arial" w:hAnsi="Arial"/>
      <w:sz w:val="18"/>
      <w:szCs w:val="20"/>
    </w:rPr>
  </w:style>
  <w:style w:type="paragraph" w:customStyle="1" w:styleId="TableBodyText">
    <w:name w:val="Table Body Text"/>
    <w:basedOn w:val="BodyText"/>
    <w:rsid w:val="004F09AE"/>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F09AE"/>
    <w:pPr>
      <w:numPr>
        <w:numId w:val="10"/>
      </w:numPr>
      <w:jc w:val="left"/>
    </w:pPr>
  </w:style>
  <w:style w:type="paragraph" w:customStyle="1" w:styleId="TableColumnHeading">
    <w:name w:val="Table Column Heading"/>
    <w:basedOn w:val="TableBodyText"/>
    <w:rsid w:val="004F09AE"/>
    <w:pPr>
      <w:spacing w:before="80" w:after="80"/>
    </w:pPr>
    <w:rPr>
      <w:i/>
    </w:rPr>
  </w:style>
  <w:style w:type="paragraph" w:styleId="TableofFigures">
    <w:name w:val="table of figures"/>
    <w:basedOn w:val="TOC3"/>
    <w:next w:val="BodyText"/>
    <w:semiHidden/>
    <w:rsid w:val="004F09AE"/>
    <w:pPr>
      <w:ind w:left="737" w:hanging="737"/>
    </w:pPr>
  </w:style>
  <w:style w:type="paragraph" w:styleId="TOC3">
    <w:name w:val="toc 3"/>
    <w:basedOn w:val="TOC2"/>
    <w:rsid w:val="004F09AE"/>
    <w:pPr>
      <w:spacing w:before="60"/>
      <w:ind w:left="1190" w:hanging="680"/>
    </w:pPr>
  </w:style>
  <w:style w:type="paragraph" w:customStyle="1" w:styleId="TableTitle">
    <w:name w:val="Table Title"/>
    <w:basedOn w:val="Caption"/>
    <w:next w:val="Subtitle"/>
    <w:qFormat/>
    <w:rsid w:val="004F09AE"/>
    <w:pPr>
      <w:spacing w:before="120"/>
    </w:pPr>
  </w:style>
  <w:style w:type="paragraph" w:customStyle="1" w:styleId="TableUnitsRow">
    <w:name w:val="Table Units Row"/>
    <w:basedOn w:val="TableBodyText"/>
    <w:rsid w:val="004F09AE"/>
    <w:pPr>
      <w:spacing w:before="40"/>
    </w:pPr>
  </w:style>
  <w:style w:type="paragraph" w:styleId="TOC1">
    <w:name w:val="toc 1"/>
    <w:basedOn w:val="Normal"/>
    <w:next w:val="TOC2"/>
    <w:link w:val="TOC1Char"/>
    <w:rsid w:val="004F09AE"/>
    <w:pPr>
      <w:tabs>
        <w:tab w:val="right" w:pos="8789"/>
      </w:tabs>
      <w:spacing w:before="120" w:line="320" w:lineRule="exact"/>
      <w:ind w:left="510" w:right="851" w:hanging="510"/>
    </w:pPr>
    <w:rPr>
      <w:rFonts w:ascii="Arial" w:hAnsi="Arial"/>
      <w:b/>
      <w:sz w:val="26"/>
      <w:szCs w:val="26"/>
      <w:lang w:eastAsia="en-US"/>
    </w:rPr>
  </w:style>
  <w:style w:type="paragraph" w:styleId="TOC2">
    <w:name w:val="toc 2"/>
    <w:basedOn w:val="TOC1"/>
    <w:rsid w:val="004F09AE"/>
    <w:pPr>
      <w:ind w:left="1134" w:hanging="624"/>
    </w:pPr>
    <w:rPr>
      <w:b w:val="0"/>
    </w:rPr>
  </w:style>
  <w:style w:type="paragraph" w:styleId="TOC4">
    <w:name w:val="toc 4"/>
    <w:basedOn w:val="TOC3"/>
    <w:semiHidden/>
    <w:rsid w:val="004F09AE"/>
    <w:pPr>
      <w:ind w:left="1191" w:firstLine="0"/>
    </w:pPr>
  </w:style>
  <w:style w:type="paragraph" w:customStyle="1" w:styleId="BoxContinued">
    <w:name w:val="Box Continued"/>
    <w:basedOn w:val="BodyText"/>
    <w:next w:val="BodyText"/>
    <w:semiHidden/>
    <w:rsid w:val="004F09AE"/>
    <w:pPr>
      <w:spacing w:before="180" w:line="220" w:lineRule="exact"/>
      <w:jc w:val="right"/>
    </w:pPr>
    <w:rPr>
      <w:rFonts w:ascii="Arial" w:hAnsi="Arial"/>
      <w:sz w:val="18"/>
    </w:rPr>
  </w:style>
  <w:style w:type="paragraph" w:customStyle="1" w:styleId="Continued">
    <w:name w:val="Continued"/>
    <w:basedOn w:val="BoxContinued"/>
    <w:next w:val="BodyText"/>
    <w:rsid w:val="004F09AE"/>
  </w:style>
  <w:style w:type="paragraph" w:customStyle="1" w:styleId="BoxHeading1">
    <w:name w:val="Box Heading 1"/>
    <w:basedOn w:val="BodyText"/>
    <w:next w:val="Box"/>
    <w:rsid w:val="004F09AE"/>
    <w:pPr>
      <w:keepNext/>
      <w:spacing w:before="200" w:line="280" w:lineRule="atLeast"/>
    </w:pPr>
    <w:rPr>
      <w:rFonts w:ascii="Arial" w:hAnsi="Arial"/>
      <w:b/>
      <w:sz w:val="22"/>
    </w:rPr>
  </w:style>
  <w:style w:type="paragraph" w:customStyle="1" w:styleId="BoxHeading2">
    <w:name w:val="Box Heading 2"/>
    <w:basedOn w:val="BoxHeading1"/>
    <w:next w:val="Box"/>
    <w:rsid w:val="004F09AE"/>
    <w:rPr>
      <w:b w:val="0"/>
      <w:i/>
    </w:rPr>
  </w:style>
  <w:style w:type="character" w:customStyle="1" w:styleId="BoxChar">
    <w:name w:val="Box Char"/>
    <w:link w:val="Box"/>
    <w:rsid w:val="00155642"/>
    <w:rPr>
      <w:rFonts w:ascii="Arial" w:hAnsi="Arial"/>
    </w:rPr>
  </w:style>
  <w:style w:type="character" w:customStyle="1" w:styleId="BoxTitleChar">
    <w:name w:val="Box Title Char"/>
    <w:link w:val="BoxTitle"/>
    <w:rsid w:val="00155642"/>
    <w:rPr>
      <w:rFonts w:ascii="Arial" w:hAnsi="Arial"/>
      <w:b/>
      <w:sz w:val="24"/>
      <w:szCs w:val="24"/>
    </w:rPr>
  </w:style>
  <w:style w:type="paragraph" w:customStyle="1" w:styleId="Jurisdictioncommentsbodytext">
    <w:name w:val="Jurisdiction comments body text"/>
    <w:rsid w:val="004F09AE"/>
    <w:pPr>
      <w:spacing w:after="140"/>
      <w:jc w:val="both"/>
    </w:pPr>
    <w:rPr>
      <w:rFonts w:ascii="Arial" w:hAnsi="Arial"/>
      <w:sz w:val="24"/>
      <w:lang w:eastAsia="en-US"/>
    </w:rPr>
  </w:style>
  <w:style w:type="paragraph" w:customStyle="1" w:styleId="Jurisdictioncommentsheading">
    <w:name w:val="Jurisdiction comments heading"/>
    <w:rsid w:val="004F09AE"/>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F09AE"/>
    <w:pPr>
      <w:numPr>
        <w:numId w:val="12"/>
      </w:numPr>
      <w:spacing w:after="140"/>
      <w:jc w:val="both"/>
    </w:pPr>
    <w:rPr>
      <w:rFonts w:ascii="Arial" w:hAnsi="Arial"/>
      <w:sz w:val="24"/>
      <w:lang w:eastAsia="en-US"/>
    </w:rPr>
  </w:style>
  <w:style w:type="character" w:customStyle="1" w:styleId="FigureChar">
    <w:name w:val="Figure Char"/>
    <w:link w:val="Figure"/>
    <w:rsid w:val="00155642"/>
    <w:rPr>
      <w:sz w:val="24"/>
    </w:rPr>
  </w:style>
  <w:style w:type="character" w:styleId="Hyperlink">
    <w:name w:val="Hyperlink"/>
    <w:rsid w:val="00D8747A"/>
    <w:rPr>
      <w:color w:val="0000FF"/>
      <w:u w:val="single"/>
    </w:rPr>
  </w:style>
  <w:style w:type="paragraph" w:styleId="BalloonText">
    <w:name w:val="Balloon Text"/>
    <w:basedOn w:val="Normal"/>
    <w:link w:val="BalloonTextChar"/>
    <w:rsid w:val="004F09AE"/>
    <w:rPr>
      <w:rFonts w:ascii="Tahoma" w:hAnsi="Tahoma" w:cs="Tahoma"/>
      <w:sz w:val="16"/>
      <w:szCs w:val="16"/>
    </w:rPr>
  </w:style>
  <w:style w:type="character" w:customStyle="1" w:styleId="BodyTextChar">
    <w:name w:val="Body Text Char"/>
    <w:basedOn w:val="DefaultParagraphFont"/>
    <w:link w:val="BodyText"/>
    <w:rsid w:val="004F09AE"/>
    <w:rPr>
      <w:sz w:val="24"/>
    </w:rPr>
  </w:style>
  <w:style w:type="character" w:customStyle="1" w:styleId="CharChar1">
    <w:name w:val="Char Char1"/>
    <w:rsid w:val="004D01E5"/>
    <w:rPr>
      <w:sz w:val="26"/>
      <w:lang w:val="en-AU" w:eastAsia="en-AU" w:bidi="ar-SA"/>
    </w:rPr>
  </w:style>
  <w:style w:type="character" w:customStyle="1" w:styleId="ReferenceChar">
    <w:name w:val="Reference Char"/>
    <w:link w:val="Reference"/>
    <w:rsid w:val="00CB7BC5"/>
    <w:rPr>
      <w:sz w:val="24"/>
    </w:rPr>
  </w:style>
  <w:style w:type="paragraph" w:styleId="CommentSubject">
    <w:name w:val="annotation subject"/>
    <w:basedOn w:val="CommentText"/>
    <w:next w:val="CommentText"/>
    <w:semiHidden/>
    <w:rsid w:val="00C704AE"/>
    <w:pPr>
      <w:spacing w:before="0" w:line="240" w:lineRule="auto"/>
      <w:ind w:left="0" w:firstLine="0"/>
    </w:pPr>
    <w:rPr>
      <w:b/>
      <w:bCs/>
      <w:szCs w:val="20"/>
    </w:rPr>
  </w:style>
  <w:style w:type="paragraph" w:customStyle="1" w:styleId="BoxSpaceAbove">
    <w:name w:val="Box Space Above"/>
    <w:basedOn w:val="BodyText"/>
    <w:rsid w:val="004F09AE"/>
    <w:pPr>
      <w:keepNext/>
      <w:spacing w:before="360" w:line="80" w:lineRule="exact"/>
      <w:jc w:val="left"/>
    </w:pPr>
  </w:style>
  <w:style w:type="paragraph" w:customStyle="1" w:styleId="RecBBullet2">
    <w:name w:val="RecB Bullet 2"/>
    <w:basedOn w:val="ListBullet2"/>
    <w:semiHidden/>
    <w:rsid w:val="004F09AE"/>
    <w:pPr>
      <w:pBdr>
        <w:left w:val="single" w:sz="24" w:space="29" w:color="C0C0C0"/>
      </w:pBdr>
    </w:pPr>
    <w:rPr>
      <w:b/>
      <w:i/>
    </w:rPr>
  </w:style>
  <w:style w:type="character" w:customStyle="1" w:styleId="BalloonTextChar">
    <w:name w:val="Balloon Text Char"/>
    <w:basedOn w:val="DefaultParagraphFont"/>
    <w:link w:val="BalloonText"/>
    <w:rsid w:val="004F09AE"/>
    <w:rPr>
      <w:rFonts w:ascii="Tahoma" w:hAnsi="Tahoma" w:cs="Tahoma"/>
      <w:sz w:val="16"/>
      <w:szCs w:val="16"/>
    </w:rPr>
  </w:style>
  <w:style w:type="character" w:customStyle="1" w:styleId="SubtitleChar">
    <w:name w:val="Subtitle Char"/>
    <w:basedOn w:val="DefaultParagraphFont"/>
    <w:link w:val="Subtitle"/>
    <w:rsid w:val="004F09AE"/>
    <w:rPr>
      <w:rFonts w:ascii="Arial" w:hAnsi="Arial"/>
      <w:szCs w:val="24"/>
    </w:rPr>
  </w:style>
  <w:style w:type="paragraph" w:customStyle="1" w:styleId="BoxListBullet3">
    <w:name w:val="Box List Bullet 3"/>
    <w:basedOn w:val="ListBullet3"/>
    <w:rsid w:val="004F09AE"/>
    <w:pPr>
      <w:numPr>
        <w:numId w:val="18"/>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F09AE"/>
    <w:rPr>
      <w:i/>
      <w:iCs/>
    </w:rPr>
  </w:style>
  <w:style w:type="paragraph" w:customStyle="1" w:styleId="BoxQuoteBullet">
    <w:name w:val="Box Quote Bullet"/>
    <w:basedOn w:val="BoxQuote"/>
    <w:next w:val="Box"/>
    <w:rsid w:val="004F09AE"/>
    <w:pPr>
      <w:numPr>
        <w:numId w:val="16"/>
      </w:numPr>
      <w:ind w:left="568" w:hanging="284"/>
    </w:pPr>
  </w:style>
  <w:style w:type="paragraph" w:customStyle="1" w:styleId="InformationRequestBullet">
    <w:name w:val="Information Request Bullet"/>
    <w:basedOn w:val="ListBullet"/>
    <w:next w:val="BodyText"/>
    <w:rsid w:val="004F09AE"/>
    <w:pPr>
      <w:numPr>
        <w:numId w:val="17"/>
      </w:numPr>
      <w:spacing w:before="80" w:line="280" w:lineRule="atLeast"/>
      <w:ind w:left="357" w:hanging="357"/>
    </w:pPr>
    <w:rPr>
      <w:rFonts w:ascii="Arial" w:hAnsi="Arial"/>
      <w:i/>
      <w:sz w:val="22"/>
    </w:rPr>
  </w:style>
  <w:style w:type="paragraph" w:customStyle="1" w:styleId="BoxSpaceBelow">
    <w:name w:val="Box Space Below"/>
    <w:basedOn w:val="Box"/>
    <w:rsid w:val="004F09AE"/>
    <w:pPr>
      <w:keepNext w:val="0"/>
      <w:spacing w:before="60" w:after="60" w:line="80" w:lineRule="exact"/>
    </w:pPr>
    <w:rPr>
      <w:sz w:val="14"/>
    </w:rPr>
  </w:style>
  <w:style w:type="paragraph" w:styleId="Revision">
    <w:name w:val="Revision"/>
    <w:hidden/>
    <w:uiPriority w:val="99"/>
    <w:semiHidden/>
    <w:rsid w:val="00C558C7"/>
    <w:rPr>
      <w:sz w:val="26"/>
      <w:szCs w:val="24"/>
    </w:rPr>
  </w:style>
  <w:style w:type="paragraph" w:customStyle="1" w:styleId="KeyPointsListBullet">
    <w:name w:val="Key Points List Bullet"/>
    <w:basedOn w:val="Normal"/>
    <w:qFormat/>
    <w:rsid w:val="004F09AE"/>
    <w:pPr>
      <w:keepNext/>
      <w:numPr>
        <w:numId w:val="1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F09AE"/>
    <w:pPr>
      <w:numPr>
        <w:numId w:val="20"/>
      </w:numPr>
      <w:ind w:left="568" w:hanging="284"/>
    </w:pPr>
  </w:style>
  <w:style w:type="paragraph" w:customStyle="1" w:styleId="InformationRequestTitle">
    <w:name w:val="Information Request Title"/>
    <w:basedOn w:val="FindingTitle"/>
    <w:next w:val="InformationRequest"/>
    <w:rsid w:val="004F09AE"/>
    <w:rPr>
      <w:i/>
    </w:rPr>
  </w:style>
  <w:style w:type="paragraph" w:customStyle="1" w:styleId="Space">
    <w:name w:val="Space"/>
    <w:basedOn w:val="Normal"/>
    <w:rsid w:val="004F09AE"/>
    <w:pPr>
      <w:keepNext/>
      <w:spacing w:line="120" w:lineRule="exact"/>
      <w:jc w:val="both"/>
    </w:pPr>
    <w:rPr>
      <w:rFonts w:ascii="Arial" w:hAnsi="Arial"/>
      <w:sz w:val="20"/>
      <w:szCs w:val="20"/>
    </w:rPr>
  </w:style>
  <w:style w:type="paragraph" w:customStyle="1" w:styleId="Heading1nochapterno">
    <w:name w:val="Heading 1 (no chapter no.)"/>
    <w:basedOn w:val="Heading1"/>
    <w:rsid w:val="004F09AE"/>
    <w:pPr>
      <w:spacing w:before="0"/>
      <w:ind w:left="0" w:firstLine="0"/>
    </w:pPr>
  </w:style>
  <w:style w:type="paragraph" w:customStyle="1" w:styleId="Heading2nosectionno">
    <w:name w:val="Heading 2 (no section no.)"/>
    <w:basedOn w:val="Heading2"/>
    <w:rsid w:val="004F09AE"/>
    <w:pPr>
      <w:ind w:left="0" w:firstLine="0"/>
    </w:pPr>
  </w:style>
  <w:style w:type="character" w:customStyle="1" w:styleId="Heading5Char">
    <w:name w:val="Heading 5 Char"/>
    <w:basedOn w:val="DefaultParagraphFont"/>
    <w:link w:val="Heading5"/>
    <w:rsid w:val="004F09AE"/>
    <w:rPr>
      <w:rFonts w:ascii="Arial" w:hAnsi="Arial"/>
      <w:i/>
      <w:sz w:val="22"/>
    </w:rPr>
  </w:style>
  <w:style w:type="paragraph" w:customStyle="1" w:styleId="Figurespace">
    <w:name w:val="Figure space"/>
    <w:basedOn w:val="Box"/>
    <w:rsid w:val="004F09AE"/>
    <w:pPr>
      <w:spacing w:before="0" w:line="120" w:lineRule="exact"/>
    </w:pPr>
  </w:style>
  <w:style w:type="paragraph" w:customStyle="1" w:styleId="FooterDraftReport">
    <w:name w:val="FooterDraftReport"/>
    <w:basedOn w:val="Footer"/>
    <w:link w:val="FooterDraftReportChar"/>
    <w:rsid w:val="004F09AE"/>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4F09AE"/>
    <w:rPr>
      <w:rFonts w:ascii="Arial" w:hAnsi="Arial"/>
      <w:caps/>
      <w:spacing w:val="-4"/>
      <w:sz w:val="16"/>
    </w:rPr>
  </w:style>
  <w:style w:type="character" w:customStyle="1" w:styleId="FooterDraftReportChar">
    <w:name w:val="FooterDraftReport Char"/>
    <w:basedOn w:val="FooterChar"/>
    <w:link w:val="FooterDraftReport"/>
    <w:rsid w:val="004F09AE"/>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4F09AE"/>
    <w:rPr>
      <w:rFonts w:ascii="Arial" w:hAnsi="Arial"/>
      <w:b/>
      <w:sz w:val="26"/>
      <w:szCs w:val="26"/>
      <w:lang w:eastAsia="en-US"/>
    </w:rPr>
  </w:style>
  <w:style w:type="character" w:styleId="EndnoteReference">
    <w:name w:val="endnote reference"/>
    <w:basedOn w:val="DefaultParagraphFont"/>
    <w:rsid w:val="004C3C10"/>
    <w:rPr>
      <w:vertAlign w:val="superscript"/>
    </w:rPr>
  </w:style>
  <w:style w:type="paragraph" w:styleId="Bibliography">
    <w:name w:val="Bibliography"/>
    <w:basedOn w:val="Normal"/>
    <w:next w:val="Normal"/>
    <w:uiPriority w:val="37"/>
    <w:unhideWhenUsed/>
    <w:rsid w:val="00107FB0"/>
    <w:pPr>
      <w:spacing w:after="240"/>
      <w:ind w:left="720" w:hanging="720"/>
    </w:pPr>
  </w:style>
  <w:style w:type="character" w:customStyle="1" w:styleId="Continuedintitle">
    <w:name w:val="Continued (in title)"/>
    <w:basedOn w:val="DefaultParagraphFont"/>
    <w:rsid w:val="004F09AE"/>
    <w:rPr>
      <w:rFonts w:ascii="Arial" w:hAnsi="Arial"/>
      <w:b/>
      <w:sz w:val="18"/>
    </w:rPr>
  </w:style>
  <w:style w:type="character" w:customStyle="1" w:styleId="CommentTextChar">
    <w:name w:val="Comment Text Char"/>
    <w:basedOn w:val="DefaultParagraphFont"/>
    <w:link w:val="CommentText"/>
    <w:semiHidden/>
    <w:rsid w:val="00114B8E"/>
    <w:rPr>
      <w:szCs w:val="24"/>
    </w:rPr>
  </w:style>
  <w:style w:type="character" w:customStyle="1" w:styleId="UnresolvedMention1">
    <w:name w:val="Unresolved Mention1"/>
    <w:basedOn w:val="DefaultParagraphFont"/>
    <w:uiPriority w:val="99"/>
    <w:semiHidden/>
    <w:unhideWhenUsed/>
    <w:rsid w:val="00BA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8F1F-8CC6-4F0E-AF89-65A6FA8F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283</TotalTime>
  <Pages>13</Pages>
  <Words>3284</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22334</CharactersWithSpaces>
  <SharedDoc>false</SharedDoc>
  <HLinks>
    <vt:vector size="12" baseType="variant">
      <vt:variant>
        <vt:i4>7274510</vt:i4>
      </vt:variant>
      <vt:variant>
        <vt:i4>72</vt:i4>
      </vt:variant>
      <vt:variant>
        <vt:i4>0</vt:i4>
      </vt:variant>
      <vt:variant>
        <vt:i4>5</vt:i4>
      </vt:variant>
      <vt:variant>
        <vt:lpwstr>http://www.federalfinancialrelations.gov.au/content/national_partnership__x000b_agreements/indigenous.aspx</vt:lpwstr>
      </vt:variant>
      <vt:variant>
        <vt:lpwstr/>
      </vt:variant>
      <vt:variant>
        <vt:i4>4522000</vt:i4>
      </vt:variant>
      <vt:variant>
        <vt:i4>69</vt:i4>
      </vt:variant>
      <vt:variant>
        <vt:i4>0</vt:i4>
      </vt:variant>
      <vt:variant>
        <vt:i4>5</vt:i4>
      </vt:variant>
      <vt:variant>
        <vt:lpwstr>http://www.aihw.gov.au/closingthegap/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Overcoming Indigenous Disadvantage Report 2020</dc:subject>
  <dc:creator>Steering Committee for the Review of Government Service Provision</dc:creator>
  <cp:keywords/>
  <dc:description/>
  <cp:lastModifiedBy>Apeness, Kathryn</cp:lastModifiedBy>
  <cp:revision>47</cp:revision>
  <cp:lastPrinted>2020-11-20T03:36:00Z</cp:lastPrinted>
  <dcterms:created xsi:type="dcterms:W3CDTF">2020-10-09T03:29:00Z</dcterms:created>
  <dcterms:modified xsi:type="dcterms:W3CDTF">2020-11-20T04:02:00Z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id="pEvk3O5f"/&gt;&lt;style id="http://www.zotero.org/styles/Productivity-Commission" hasBibliography="1" bibliographyStyleHasBeenSet="1"/&gt;&lt;prefs&gt;&lt;pref name="fieldType" value="Field"/&gt;&lt;pref name="storeRefe</vt:lpwstr>
  </property>
  <property fmtid="{D5CDD505-2E9C-101B-9397-08002B2CF9AE}" pid="3" name="ZOTERO_PREF_2">
    <vt:lpwstr>rences" value="true"/&gt;&lt;pref name="automaticJournalAbbreviations" value="true"/&gt;&lt;/prefs&gt;&lt;/data&gt;</vt:lpwstr>
  </property>
</Properties>
</file>