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DDF63" w14:textId="77777777" w:rsidR="00A33DFF" w:rsidRPr="000840C2" w:rsidRDefault="00EB1294" w:rsidP="00EB1294">
      <w:pPr>
        <w:pStyle w:val="Heading1"/>
      </w:pPr>
      <w:bookmarkStart w:id="0" w:name="ChapterNumber"/>
      <w:r>
        <w:t>3</w:t>
      </w:r>
      <w:bookmarkEnd w:id="0"/>
      <w:r>
        <w:tab/>
      </w:r>
      <w:r w:rsidR="00473C4C">
        <w:t xml:space="preserve">Understanding </w:t>
      </w:r>
      <w:r w:rsidR="004C4164">
        <w:t xml:space="preserve">the outcomes and </w:t>
      </w:r>
      <w:r w:rsidR="00473C4C">
        <w:t>how they c</w:t>
      </w:r>
      <w:r w:rsidR="00DE3133">
        <w:t>an</w:t>
      </w:r>
      <w:r w:rsidR="00473C4C">
        <w:t xml:space="preserve"> be improved</w:t>
      </w:r>
    </w:p>
    <w:p w14:paraId="02DF9EA7" w14:textId="25FA11F8" w:rsidR="00EC5C39" w:rsidRDefault="00D714FB" w:rsidP="003D097D">
      <w:pPr>
        <w:pStyle w:val="BodyText"/>
      </w:pPr>
      <w:bookmarkStart w:id="1" w:name="begin"/>
      <w:bookmarkEnd w:id="1"/>
      <w:r>
        <w:t>This chapter draws together some of</w:t>
      </w:r>
      <w:r w:rsidR="00473C4C">
        <w:t xml:space="preserve"> the common themes across the Report that place the outcomes in context, and </w:t>
      </w:r>
      <w:r w:rsidR="00093723">
        <w:t>also</w:t>
      </w:r>
      <w:r w:rsidR="00473C4C">
        <w:t xml:space="preserve"> </w:t>
      </w:r>
      <w:r w:rsidR="00093723">
        <w:t xml:space="preserve">identifies the common themes for </w:t>
      </w:r>
      <w:r w:rsidR="00473C4C">
        <w:t xml:space="preserve">approaches </w:t>
      </w:r>
      <w:r w:rsidR="00093723">
        <w:t xml:space="preserve">that </w:t>
      </w:r>
      <w:r w:rsidR="00473C4C">
        <w:t>may assist to improve these outcomes.</w:t>
      </w:r>
      <w:r>
        <w:t xml:space="preserve"> </w:t>
      </w:r>
    </w:p>
    <w:p w14:paraId="57D61D4C" w14:textId="2CBB06BC" w:rsidR="00EC5C39" w:rsidRDefault="00511720">
      <w:pPr>
        <w:pStyle w:val="BodyText"/>
      </w:pPr>
      <w:r>
        <w:t>Section</w:t>
      </w:r>
      <w:r w:rsidR="008F4505">
        <w:t> </w:t>
      </w:r>
      <w:r>
        <w:t xml:space="preserve">3.1 </w:t>
      </w:r>
      <w:r w:rsidR="007C4DFE">
        <w:t>discuss</w:t>
      </w:r>
      <w:r w:rsidR="006C5D25">
        <w:t>es</w:t>
      </w:r>
      <w:r w:rsidR="007C4DFE">
        <w:t xml:space="preserve"> the </w:t>
      </w:r>
      <w:r w:rsidR="004B35DE">
        <w:t xml:space="preserve">key </w:t>
      </w:r>
      <w:r w:rsidR="00B22E5C">
        <w:t xml:space="preserve">contextual factors </w:t>
      </w:r>
      <w:r w:rsidR="007D75E6">
        <w:t xml:space="preserve">important </w:t>
      </w:r>
      <w:r w:rsidR="004B35DE">
        <w:t xml:space="preserve">to </w:t>
      </w:r>
      <w:r w:rsidR="00B15C5B">
        <w:t>understand</w:t>
      </w:r>
      <w:r w:rsidR="007D75E6">
        <w:t>ing</w:t>
      </w:r>
      <w:r w:rsidR="00B15C5B">
        <w:t xml:space="preserve"> the</w:t>
      </w:r>
      <w:r w:rsidR="00D63364">
        <w:t xml:space="preserve"> outcomes for</w:t>
      </w:r>
      <w:r w:rsidR="00D63364" w:rsidRPr="00511720">
        <w:t xml:space="preserve"> </w:t>
      </w:r>
      <w:r w:rsidRPr="00511720">
        <w:t xml:space="preserve">Aboriginal and Torres Strait Islander </w:t>
      </w:r>
      <w:r w:rsidR="00BC7955">
        <w:t>people</w:t>
      </w:r>
      <w:r w:rsidR="00DB4DF4">
        <w:t>,</w:t>
      </w:r>
      <w:r w:rsidR="00BC7955">
        <w:t xml:space="preserve"> </w:t>
      </w:r>
      <w:r w:rsidR="00B15C5B">
        <w:t xml:space="preserve">especially when </w:t>
      </w:r>
      <w:r w:rsidR="00DE6035">
        <w:t>compar</w:t>
      </w:r>
      <w:r w:rsidR="003A29C7">
        <w:t>ed</w:t>
      </w:r>
      <w:r w:rsidR="00DE6035">
        <w:t xml:space="preserve"> to</w:t>
      </w:r>
      <w:r w:rsidR="003A29C7">
        <w:t xml:space="preserve"> those for </w:t>
      </w:r>
      <w:r w:rsidR="00DE6035">
        <w:t>non</w:t>
      </w:r>
      <w:r w:rsidR="004F414B">
        <w:noBreakHyphen/>
      </w:r>
      <w:r w:rsidR="00DE6035">
        <w:t>Indigenous people</w:t>
      </w:r>
      <w:r w:rsidRPr="00511720">
        <w:t xml:space="preserve">. </w:t>
      </w:r>
      <w:r w:rsidR="00771A18">
        <w:t>Section</w:t>
      </w:r>
      <w:r w:rsidR="008F4505">
        <w:t> </w:t>
      </w:r>
      <w:r w:rsidR="00771A18">
        <w:t>3.2 identifies the</w:t>
      </w:r>
      <w:r w:rsidR="004B35DE">
        <w:t xml:space="preserve"> common</w:t>
      </w:r>
      <w:r w:rsidRPr="00511720">
        <w:t xml:space="preserve"> characteristics </w:t>
      </w:r>
      <w:r w:rsidR="004B35DE">
        <w:t xml:space="preserve">of approaches that </w:t>
      </w:r>
      <w:r w:rsidR="00821930">
        <w:t xml:space="preserve">research indicates </w:t>
      </w:r>
      <w:r w:rsidR="004B35DE">
        <w:t>appear to be</w:t>
      </w:r>
      <w:r w:rsidR="00771A18">
        <w:t xml:space="preserve"> successful in </w:t>
      </w:r>
      <w:r w:rsidR="004B35DE">
        <w:t>improving outcomes for</w:t>
      </w:r>
      <w:r w:rsidR="00DE6035">
        <w:t xml:space="preserve"> </w:t>
      </w:r>
      <w:r w:rsidR="00DE6035" w:rsidRPr="00DE6035">
        <w:t>Aboriginal and Torres Strait Islander people</w:t>
      </w:r>
      <w:r w:rsidRPr="00511720">
        <w:t>.</w:t>
      </w:r>
      <w:r w:rsidR="00BC7955">
        <w:t xml:space="preserve"> </w:t>
      </w:r>
    </w:p>
    <w:p w14:paraId="4C2EC208" w14:textId="77777777" w:rsidR="00D714FB" w:rsidRDefault="00771A18" w:rsidP="00D63364">
      <w:pPr>
        <w:pStyle w:val="Heading2"/>
      </w:pPr>
      <w:r>
        <w:t>3.1</w:t>
      </w:r>
      <w:r w:rsidR="00D714FB">
        <w:tab/>
      </w:r>
      <w:r w:rsidR="00DE6035">
        <w:t xml:space="preserve">Understanding </w:t>
      </w:r>
      <w:r w:rsidR="00D63364">
        <w:t xml:space="preserve">outcomes </w:t>
      </w:r>
      <w:r w:rsidR="00B22E5C">
        <w:t xml:space="preserve">for </w:t>
      </w:r>
      <w:r w:rsidRPr="00771A18">
        <w:t>Aboriginal an</w:t>
      </w:r>
      <w:r>
        <w:t>d Torres Strait Islander people</w:t>
      </w:r>
    </w:p>
    <w:p w14:paraId="38D67A15" w14:textId="77777777" w:rsidR="00EC5C39" w:rsidRDefault="00F71A88">
      <w:pPr>
        <w:pStyle w:val="BodyText"/>
      </w:pPr>
      <w:r>
        <w:t>Three c</w:t>
      </w:r>
      <w:r w:rsidR="00DE6035">
        <w:t xml:space="preserve">ommon </w:t>
      </w:r>
      <w:r>
        <w:t xml:space="preserve">themes </w:t>
      </w:r>
      <w:r w:rsidR="00DE6035">
        <w:t xml:space="preserve">identified across </w:t>
      </w:r>
      <w:r w:rsidR="00B22E5C">
        <w:t xml:space="preserve">this </w:t>
      </w:r>
      <w:r w:rsidR="00821930">
        <w:t>R</w:t>
      </w:r>
      <w:r w:rsidR="00B22E5C">
        <w:t xml:space="preserve">eport </w:t>
      </w:r>
      <w:r w:rsidR="00DA4EEF">
        <w:t xml:space="preserve">place the outcomes </w:t>
      </w:r>
      <w:r w:rsidR="00D34741">
        <w:t xml:space="preserve">reported </w:t>
      </w:r>
      <w:r w:rsidR="00DA4EEF">
        <w:t>in context</w:t>
      </w:r>
      <w:r w:rsidR="00DE6035">
        <w:t>.</w:t>
      </w:r>
      <w:r>
        <w:t xml:space="preserve"> Firstly, Aboriginal and Torres Strait Islander people and communities have strengths</w:t>
      </w:r>
      <w:r w:rsidR="00D34741">
        <w:t xml:space="preserve"> and capacit</w:t>
      </w:r>
      <w:r w:rsidR="00B65DFE">
        <w:t>ies</w:t>
      </w:r>
      <w:r w:rsidR="004F3B2C">
        <w:t xml:space="preserve"> that comes from their cultures</w:t>
      </w:r>
      <w:r>
        <w:t xml:space="preserve">. </w:t>
      </w:r>
      <w:r w:rsidR="00D34741">
        <w:t xml:space="preserve">Secondly, the outcomes measured in this </w:t>
      </w:r>
      <w:r w:rsidR="00EA7F89">
        <w:t>R</w:t>
      </w:r>
      <w:r w:rsidR="00D34741">
        <w:t xml:space="preserve">eport do not always fully capture the elements of wellbeing that are important for Aboriginal and Torres Strait Islander people. Thirdly, </w:t>
      </w:r>
      <w:r w:rsidR="00FF2DC3">
        <w:t xml:space="preserve">in many areas outcomes are improving </w:t>
      </w:r>
      <w:r w:rsidR="00E851DF">
        <w:t>for Aboriginal and Torres Strait Islander people</w:t>
      </w:r>
      <w:r w:rsidR="007D7D42">
        <w:t>,</w:t>
      </w:r>
      <w:r w:rsidR="00E851DF">
        <w:t xml:space="preserve"> </w:t>
      </w:r>
      <w:r w:rsidR="002443CF">
        <w:t>but</w:t>
      </w:r>
      <w:r w:rsidR="00FF2DC3">
        <w:t xml:space="preserve"> when </w:t>
      </w:r>
      <w:r w:rsidR="00691B55">
        <w:t>outcomes have not improved</w:t>
      </w:r>
      <w:r>
        <w:t xml:space="preserve"> they </w:t>
      </w:r>
      <w:r w:rsidR="007D75E6">
        <w:t xml:space="preserve">need to be </w:t>
      </w:r>
      <w:r w:rsidR="002443CF">
        <w:t>understood</w:t>
      </w:r>
      <w:r w:rsidR="00D00668">
        <w:t xml:space="preserve"> </w:t>
      </w:r>
      <w:r w:rsidR="00D34741">
        <w:t xml:space="preserve">with </w:t>
      </w:r>
      <w:r>
        <w:t xml:space="preserve">reference </w:t>
      </w:r>
      <w:r w:rsidR="00D34741">
        <w:t xml:space="preserve">to the personal </w:t>
      </w:r>
      <w:r w:rsidR="007D75E6">
        <w:t xml:space="preserve">challenges </w:t>
      </w:r>
      <w:r w:rsidR="00D34741">
        <w:t xml:space="preserve">and </w:t>
      </w:r>
      <w:r w:rsidR="007D75E6">
        <w:t xml:space="preserve">systemic and </w:t>
      </w:r>
      <w:r w:rsidR="00D34741">
        <w:t xml:space="preserve">structural barriers </w:t>
      </w:r>
      <w:r w:rsidR="007D75E6">
        <w:t>that</w:t>
      </w:r>
      <w:r w:rsidR="00FF2DC3">
        <w:t xml:space="preserve"> </w:t>
      </w:r>
      <w:r w:rsidR="007D75E6">
        <w:t xml:space="preserve">some </w:t>
      </w:r>
      <w:r w:rsidR="00FF2DC3" w:rsidRPr="00FF2DC3">
        <w:t>Aboriginal and Torres Strait Islander people</w:t>
      </w:r>
      <w:r w:rsidR="007D75E6">
        <w:t xml:space="preserve"> have </w:t>
      </w:r>
      <w:r w:rsidR="00B65DFE">
        <w:t xml:space="preserve">experienced </w:t>
      </w:r>
      <w:r w:rsidR="007D75E6">
        <w:t>and continue to experience</w:t>
      </w:r>
      <w:r w:rsidR="00D34741">
        <w:t xml:space="preserve">. </w:t>
      </w:r>
    </w:p>
    <w:p w14:paraId="171654EB" w14:textId="77777777" w:rsidR="00D34741" w:rsidRDefault="00D34741" w:rsidP="002C08DE">
      <w:pPr>
        <w:pStyle w:val="Heading3"/>
      </w:pPr>
      <w:r>
        <w:t>Aboriginal and Torres Strait Islander people and communities have significant strengths and capacit</w:t>
      </w:r>
      <w:r w:rsidR="00B65DFE">
        <w:t>ies</w:t>
      </w:r>
      <w:r>
        <w:t xml:space="preserve"> </w:t>
      </w:r>
      <w:r w:rsidR="004F3B2C">
        <w:t>that comes from their cultures</w:t>
      </w:r>
    </w:p>
    <w:p w14:paraId="4EC47451" w14:textId="1891EB48" w:rsidR="00EC5C39" w:rsidRDefault="00FF2DC3">
      <w:pPr>
        <w:pStyle w:val="BodyText"/>
      </w:pPr>
      <w:r>
        <w:t>Before colonisation, Aboriginal and Torres Strait Islander people thrived and their cultures were strong and well developed.</w:t>
      </w:r>
      <w:r w:rsidR="00E24613">
        <w:t xml:space="preserve"> These cultures included complex kinship structures, defined roles relating to law</w:t>
      </w:r>
      <w:r w:rsidR="005F2685">
        <w:t>s</w:t>
      </w:r>
      <w:r w:rsidR="00E24613">
        <w:t>, education, language</w:t>
      </w:r>
      <w:r w:rsidR="005F2685">
        <w:t>s</w:t>
      </w:r>
      <w:r w:rsidR="00E24613">
        <w:t>, ceremonies and traditions</w:t>
      </w:r>
      <w:r w:rsidR="00446D7D">
        <w:t>,</w:t>
      </w:r>
      <w:r w:rsidR="00E24613">
        <w:t xml:space="preserve"> and extensive knowledge of the environment</w:t>
      </w:r>
      <w:r w:rsidR="000B32D6">
        <w:t xml:space="preserve"> (</w:t>
      </w:r>
      <w:r w:rsidR="00446D7D">
        <w:t xml:space="preserve">see </w:t>
      </w:r>
      <w:r w:rsidR="000B32D6">
        <w:t>chapter 1</w:t>
      </w:r>
      <w:r w:rsidR="00446D7D">
        <w:t xml:space="preserve"> </w:t>
      </w:r>
      <w:r w:rsidR="00446D7D">
        <w:rPr>
          <w:i/>
        </w:rPr>
        <w:t>About this report</w:t>
      </w:r>
      <w:r w:rsidR="000B32D6">
        <w:t>)</w:t>
      </w:r>
      <w:r w:rsidR="00E24613">
        <w:t xml:space="preserve">.  </w:t>
      </w:r>
    </w:p>
    <w:p w14:paraId="61AF2310" w14:textId="2EB774A0" w:rsidR="00EC5C39" w:rsidRDefault="001200B8">
      <w:pPr>
        <w:pStyle w:val="BodyText"/>
      </w:pPr>
      <w:r>
        <w:t xml:space="preserve">These cultures </w:t>
      </w:r>
      <w:r w:rsidR="004F5592">
        <w:t>have proven to be</w:t>
      </w:r>
      <w:r>
        <w:t xml:space="preserve"> resilient. Despite the </w:t>
      </w:r>
      <w:r w:rsidR="006A607B">
        <w:t xml:space="preserve">many </w:t>
      </w:r>
      <w:r>
        <w:t>impact</w:t>
      </w:r>
      <w:r w:rsidR="000F167A">
        <w:t>s</w:t>
      </w:r>
      <w:r>
        <w:t xml:space="preserve"> of </w:t>
      </w:r>
      <w:r w:rsidR="00E24613">
        <w:t>colonisation</w:t>
      </w:r>
      <w:r w:rsidR="006A607B">
        <w:t xml:space="preserve">, </w:t>
      </w:r>
      <w:r w:rsidR="00B65DFE">
        <w:t xml:space="preserve">the way Aboriginal and Torres Strait </w:t>
      </w:r>
      <w:r w:rsidR="00F327DA">
        <w:t>I</w:t>
      </w:r>
      <w:r w:rsidR="00B65DFE">
        <w:t xml:space="preserve">slander people have been </w:t>
      </w:r>
      <w:r w:rsidR="00194C15">
        <w:t>dispossessed</w:t>
      </w:r>
      <w:r w:rsidR="00B65DFE">
        <w:t xml:space="preserve"> of </w:t>
      </w:r>
      <w:r w:rsidR="000F167A">
        <w:t xml:space="preserve">lands, </w:t>
      </w:r>
      <w:r w:rsidR="000F167A">
        <w:lastRenderedPageBreak/>
        <w:t>language</w:t>
      </w:r>
      <w:r w:rsidR="00194C15">
        <w:t>s</w:t>
      </w:r>
      <w:r w:rsidR="000F167A">
        <w:t>, famil</w:t>
      </w:r>
      <w:r w:rsidR="00194C15">
        <w:t>ies</w:t>
      </w:r>
      <w:r w:rsidR="000F167A">
        <w:t xml:space="preserve"> and income</w:t>
      </w:r>
      <w:r>
        <w:t xml:space="preserve"> (see chapter 1</w:t>
      </w:r>
      <w:r w:rsidR="00446D7D">
        <w:t xml:space="preserve"> </w:t>
      </w:r>
      <w:r w:rsidR="00446D7D">
        <w:rPr>
          <w:i/>
        </w:rPr>
        <w:t>About this report</w:t>
      </w:r>
      <w:r>
        <w:t xml:space="preserve">), </w:t>
      </w:r>
      <w:r w:rsidR="002443CF" w:rsidRPr="002443CF">
        <w:t xml:space="preserve">Aboriginal and Torres Strait Islander </w:t>
      </w:r>
      <w:r w:rsidR="004F3B2C">
        <w:t xml:space="preserve">people and </w:t>
      </w:r>
      <w:r w:rsidR="003A29C7">
        <w:t xml:space="preserve">their </w:t>
      </w:r>
      <w:r w:rsidR="002443CF">
        <w:t xml:space="preserve">cultures </w:t>
      </w:r>
      <w:r>
        <w:t>remain</w:t>
      </w:r>
      <w:r w:rsidR="0002327E">
        <w:t xml:space="preserve"> strong</w:t>
      </w:r>
      <w:r>
        <w:t xml:space="preserve">. </w:t>
      </w:r>
    </w:p>
    <w:p w14:paraId="16E0FC46" w14:textId="77777777" w:rsidR="00EC5C39" w:rsidRDefault="00C46EAF">
      <w:pPr>
        <w:pStyle w:val="BodyText"/>
      </w:pPr>
      <w:r w:rsidRPr="00C46EAF">
        <w:t xml:space="preserve">Connection to culture is </w:t>
      </w:r>
      <w:r w:rsidR="0004754D">
        <w:t>a key element of</w:t>
      </w:r>
      <w:r w:rsidRPr="00C46EAF">
        <w:t xml:space="preserve"> </w:t>
      </w:r>
      <w:r w:rsidR="0004754D">
        <w:t xml:space="preserve">many </w:t>
      </w:r>
      <w:r w:rsidRPr="00C46EAF">
        <w:t>Aboriginal and</w:t>
      </w:r>
      <w:r w:rsidR="004F5592">
        <w:t xml:space="preserve"> Torres Strait Islander people’s</w:t>
      </w:r>
      <w:r w:rsidRPr="00C46EAF">
        <w:t xml:space="preserve"> identit</w:t>
      </w:r>
      <w:r w:rsidR="00B65DFE">
        <w:t>ies</w:t>
      </w:r>
      <w:r>
        <w:t>.</w:t>
      </w:r>
      <w:r w:rsidRPr="00C46EAF">
        <w:t xml:space="preserve"> </w:t>
      </w:r>
      <w:r>
        <w:t xml:space="preserve">As such, </w:t>
      </w:r>
      <w:r w:rsidR="0004754D">
        <w:t>cultures</w:t>
      </w:r>
      <w:r w:rsidR="001200B8">
        <w:t xml:space="preserve"> are a key source of strength </w:t>
      </w:r>
      <w:r>
        <w:t>and</w:t>
      </w:r>
      <w:r w:rsidR="001200B8">
        <w:t xml:space="preserve"> a foundation on which the </w:t>
      </w:r>
      <w:r w:rsidR="00821930">
        <w:t xml:space="preserve">wellbeing of </w:t>
      </w:r>
      <w:r w:rsidR="001200B8" w:rsidRPr="001200B8">
        <w:t xml:space="preserve">Aboriginal and Torres Strait Islander </w:t>
      </w:r>
      <w:r w:rsidR="0004754D">
        <w:t>people</w:t>
      </w:r>
      <w:r w:rsidR="001200B8">
        <w:t xml:space="preserve"> can continue</w:t>
      </w:r>
      <w:r w:rsidR="00821930">
        <w:t xml:space="preserve"> to</w:t>
      </w:r>
      <w:r w:rsidR="001200B8">
        <w:t xml:space="preserve"> be built.</w:t>
      </w:r>
      <w:r w:rsidR="005379DD" w:rsidRPr="005379DD">
        <w:rPr>
          <w:shd w:val="clear" w:color="auto" w:fill="FFFF00"/>
        </w:rPr>
        <w:t xml:space="preserve"> </w:t>
      </w:r>
    </w:p>
    <w:p w14:paraId="503ACCA4" w14:textId="77777777" w:rsidR="00EC5C39" w:rsidRDefault="006E61D9">
      <w:pPr>
        <w:pStyle w:val="BodyText"/>
      </w:pPr>
      <w:r>
        <w:t xml:space="preserve">While </w:t>
      </w:r>
      <w:r w:rsidR="00B65DFE">
        <w:t xml:space="preserve">Aboriginal and Torres Strait Islander </w:t>
      </w:r>
      <w:r>
        <w:t>cultures are</w:t>
      </w:r>
      <w:r w:rsidRPr="006E61D9">
        <w:t xml:space="preserve"> diverse, each with </w:t>
      </w:r>
      <w:r w:rsidR="00B65DFE">
        <w:t>their</w:t>
      </w:r>
      <w:r w:rsidR="00B65DFE" w:rsidRPr="006E61D9">
        <w:t xml:space="preserve"> </w:t>
      </w:r>
      <w:r w:rsidRPr="006E61D9">
        <w:t xml:space="preserve">own distinct norms, </w:t>
      </w:r>
      <w:r w:rsidR="00821930" w:rsidRPr="006E61D9">
        <w:t>l</w:t>
      </w:r>
      <w:r w:rsidR="00821930">
        <w:t>ore</w:t>
      </w:r>
      <w:r w:rsidRPr="006E61D9">
        <w:t>, language</w:t>
      </w:r>
      <w:r w:rsidR="00821930">
        <w:t>s</w:t>
      </w:r>
      <w:r w:rsidRPr="006E61D9">
        <w:t xml:space="preserve"> and identity</w:t>
      </w:r>
      <w:r>
        <w:t>, s</w:t>
      </w:r>
      <w:r w:rsidR="001200B8">
        <w:t xml:space="preserve">ome of the </w:t>
      </w:r>
      <w:r w:rsidR="007D7D42">
        <w:t>strength</w:t>
      </w:r>
      <w:r>
        <w:t>s</w:t>
      </w:r>
      <w:r w:rsidR="001200B8">
        <w:t xml:space="preserve"> </w:t>
      </w:r>
      <w:r w:rsidR="00B65DFE">
        <w:t>they each provide</w:t>
      </w:r>
      <w:r w:rsidR="0004754D">
        <w:t xml:space="preserve"> </w:t>
      </w:r>
      <w:r w:rsidR="00C46EAF">
        <w:t>include:</w:t>
      </w:r>
    </w:p>
    <w:p w14:paraId="7AC986CB" w14:textId="2A1CBFD6" w:rsidR="00D47462" w:rsidRDefault="00C46EAF" w:rsidP="002C08DE">
      <w:pPr>
        <w:pStyle w:val="ListBullet"/>
      </w:pPr>
      <w:r w:rsidRPr="00C46EAF">
        <w:t>child</w:t>
      </w:r>
      <w:r w:rsidR="00EC19FD">
        <w:noBreakHyphen/>
      </w:r>
      <w:r w:rsidRPr="00C46EAF">
        <w:t xml:space="preserve">rearing practices </w:t>
      </w:r>
      <w:r>
        <w:t>that</w:t>
      </w:r>
      <w:r w:rsidRPr="00C46EAF">
        <w:t xml:space="preserve"> encourage independence</w:t>
      </w:r>
      <w:r w:rsidR="002B79AA">
        <w:t>,</w:t>
      </w:r>
      <w:r w:rsidRPr="00C46EAF">
        <w:t xml:space="preserve"> and </w:t>
      </w:r>
      <w:r w:rsidR="002B79AA">
        <w:t xml:space="preserve">that </w:t>
      </w:r>
      <w:r w:rsidRPr="00C46EAF">
        <w:t xml:space="preserve">build </w:t>
      </w:r>
      <w:r w:rsidR="00821930">
        <w:t>children</w:t>
      </w:r>
      <w:r w:rsidR="002B79AA">
        <w:t>’s capacities</w:t>
      </w:r>
      <w:r w:rsidRPr="00C46EAF">
        <w:t xml:space="preserve"> to self‐judge and take risks from an early age</w:t>
      </w:r>
      <w:r w:rsidR="00DC122B">
        <w:t xml:space="preserve"> (section 4.</w:t>
      </w:r>
      <w:r w:rsidR="00821930">
        <w:t>3</w:t>
      </w:r>
      <w:r w:rsidR="00446D7D">
        <w:t xml:space="preserve"> </w:t>
      </w:r>
      <w:r w:rsidR="00446D7D" w:rsidRPr="00A478FE">
        <w:rPr>
          <w:i/>
        </w:rPr>
        <w:t>Early childhood education</w:t>
      </w:r>
      <w:r w:rsidR="00DC122B">
        <w:t>)</w:t>
      </w:r>
    </w:p>
    <w:p w14:paraId="20450412" w14:textId="77777777" w:rsidR="00C46EAF" w:rsidRDefault="00C46EAF" w:rsidP="0002327E">
      <w:pPr>
        <w:pStyle w:val="ListBullet"/>
      </w:pPr>
      <w:r w:rsidRPr="00C46EAF">
        <w:t>strong connections with family and ki</w:t>
      </w:r>
      <w:r>
        <w:t xml:space="preserve">n, and </w:t>
      </w:r>
      <w:r w:rsidRPr="00C46EAF">
        <w:t xml:space="preserve">cultural and spiritual practices </w:t>
      </w:r>
      <w:r>
        <w:t>that</w:t>
      </w:r>
      <w:r w:rsidRPr="00C46EAF">
        <w:t xml:space="preserve"> </w:t>
      </w:r>
      <w:r>
        <w:t>support</w:t>
      </w:r>
      <w:r w:rsidRPr="00C46EAF">
        <w:t xml:space="preserve"> resilience </w:t>
      </w:r>
      <w:r w:rsidR="00DC122B">
        <w:t>(section</w:t>
      </w:r>
      <w:r w:rsidR="0002327E">
        <w:t>s</w:t>
      </w:r>
      <w:r w:rsidR="00DC122B">
        <w:t xml:space="preserve"> </w:t>
      </w:r>
      <w:r w:rsidR="0002327E" w:rsidRPr="005F2685">
        <w:t>11.5</w:t>
      </w:r>
      <w:r w:rsidR="0002327E">
        <w:rPr>
          <w:i/>
        </w:rPr>
        <w:t xml:space="preserve"> </w:t>
      </w:r>
      <w:r w:rsidR="0002327E" w:rsidRPr="0002327E">
        <w:rPr>
          <w:i/>
        </w:rPr>
        <w:t>Community functioning</w:t>
      </w:r>
      <w:r w:rsidR="0002327E">
        <w:rPr>
          <w:i/>
        </w:rPr>
        <w:t xml:space="preserve"> </w:t>
      </w:r>
      <w:r w:rsidR="0002327E" w:rsidRPr="00093723">
        <w:t xml:space="preserve">and </w:t>
      </w:r>
      <w:r w:rsidR="00DC122B">
        <w:t>4.12</w:t>
      </w:r>
      <w:r w:rsidR="00446D7D">
        <w:t xml:space="preserve"> </w:t>
      </w:r>
      <w:r w:rsidR="00446D7D" w:rsidRPr="00A478FE">
        <w:rPr>
          <w:i/>
        </w:rPr>
        <w:t>Family and community violence</w:t>
      </w:r>
      <w:r w:rsidR="00DC122B">
        <w:t>)</w:t>
      </w:r>
    </w:p>
    <w:p w14:paraId="12B9F6CA" w14:textId="77777777" w:rsidR="003E040D" w:rsidRDefault="003E040D" w:rsidP="002C08DE">
      <w:pPr>
        <w:pStyle w:val="ListBullet"/>
      </w:pPr>
      <w:r w:rsidRPr="003E040D">
        <w:t xml:space="preserve">a strong belief that it is the responsibility of family to provide care and support </w:t>
      </w:r>
      <w:r w:rsidR="005116FF">
        <w:br/>
      </w:r>
      <w:r w:rsidR="00DC122B">
        <w:t>(section</w:t>
      </w:r>
      <w:r w:rsidR="0002327E">
        <w:t>s</w:t>
      </w:r>
      <w:r w:rsidR="00DC122B">
        <w:t xml:space="preserve"> 4.9</w:t>
      </w:r>
      <w:r w:rsidR="00446D7D">
        <w:t xml:space="preserve"> </w:t>
      </w:r>
      <w:r w:rsidR="00446D7D" w:rsidRPr="00A478FE">
        <w:rPr>
          <w:i/>
        </w:rPr>
        <w:t>Disability and chronic disease</w:t>
      </w:r>
      <w:r w:rsidR="005379DD">
        <w:rPr>
          <w:i/>
        </w:rPr>
        <w:t xml:space="preserve"> </w:t>
      </w:r>
      <w:r w:rsidR="005379DD">
        <w:t>and</w:t>
      </w:r>
      <w:r w:rsidR="005379DD">
        <w:rPr>
          <w:i/>
        </w:rPr>
        <w:t xml:space="preserve"> </w:t>
      </w:r>
      <w:r w:rsidR="005379DD">
        <w:t>6.3</w:t>
      </w:r>
      <w:r w:rsidR="005379DD">
        <w:rPr>
          <w:i/>
        </w:rPr>
        <w:t xml:space="preserve"> Teenage birth rate</w:t>
      </w:r>
      <w:r w:rsidR="00DC122B">
        <w:t>)</w:t>
      </w:r>
    </w:p>
    <w:p w14:paraId="033D6B78" w14:textId="49298613" w:rsidR="0085236A" w:rsidRDefault="006A607B" w:rsidP="0085236A">
      <w:pPr>
        <w:pStyle w:val="ListBullet"/>
      </w:pPr>
      <w:r>
        <w:t xml:space="preserve">respect </w:t>
      </w:r>
      <w:r w:rsidR="0085236A">
        <w:t xml:space="preserve">for </w:t>
      </w:r>
      <w:r w:rsidR="00DC122B">
        <w:t xml:space="preserve">the leadership of </w:t>
      </w:r>
      <w:r w:rsidR="000F167A">
        <w:t>E</w:t>
      </w:r>
      <w:r w:rsidR="0085236A">
        <w:t>lders</w:t>
      </w:r>
      <w:r w:rsidR="00DC122B">
        <w:t>, their role in decision</w:t>
      </w:r>
      <w:r w:rsidR="00EC19FD">
        <w:noBreakHyphen/>
      </w:r>
      <w:r w:rsidR="00DC122B">
        <w:t>making</w:t>
      </w:r>
      <w:r w:rsidR="0085236A">
        <w:t xml:space="preserve"> and </w:t>
      </w:r>
      <w:r w:rsidR="00DC122B">
        <w:t>the value of spending time with them (section</w:t>
      </w:r>
      <w:r w:rsidR="008D7E9B">
        <w:t xml:space="preserve">s 5.2 </w:t>
      </w:r>
      <w:r w:rsidR="00446D7D" w:rsidRPr="00A478FE">
        <w:rPr>
          <w:i/>
        </w:rPr>
        <w:t xml:space="preserve">Participation </w:t>
      </w:r>
      <w:r w:rsidR="00A478FE">
        <w:rPr>
          <w:i/>
        </w:rPr>
        <w:t>in</w:t>
      </w:r>
      <w:r w:rsidR="00A478FE" w:rsidRPr="00A478FE">
        <w:rPr>
          <w:i/>
        </w:rPr>
        <w:t xml:space="preserve"> </w:t>
      </w:r>
      <w:r w:rsidR="00446D7D" w:rsidRPr="00A478FE">
        <w:rPr>
          <w:i/>
        </w:rPr>
        <w:t>decision</w:t>
      </w:r>
      <w:r w:rsidR="005F2685">
        <w:rPr>
          <w:i/>
        </w:rPr>
        <w:t>-</w:t>
      </w:r>
      <w:r w:rsidR="00446D7D" w:rsidRPr="00A478FE">
        <w:rPr>
          <w:i/>
        </w:rPr>
        <w:t>making</w:t>
      </w:r>
      <w:r w:rsidR="00446D7D">
        <w:t xml:space="preserve"> </w:t>
      </w:r>
      <w:r w:rsidR="008D7E9B">
        <w:t>and</w:t>
      </w:r>
      <w:r w:rsidR="00DC122B">
        <w:t xml:space="preserve"> 11.5</w:t>
      </w:r>
      <w:r w:rsidR="002B79AA">
        <w:t> </w:t>
      </w:r>
      <w:r w:rsidR="00446D7D">
        <w:rPr>
          <w:i/>
        </w:rPr>
        <w:t>Community functioning</w:t>
      </w:r>
      <w:r w:rsidR="00DC122B">
        <w:t>)</w:t>
      </w:r>
    </w:p>
    <w:p w14:paraId="66508407" w14:textId="2B53C250" w:rsidR="00C46EAF" w:rsidRDefault="000F167A" w:rsidP="002C08DE">
      <w:pPr>
        <w:pStyle w:val="ListBullet"/>
      </w:pPr>
      <w:r>
        <w:t xml:space="preserve">an </w:t>
      </w:r>
      <w:r w:rsidR="00C42F47">
        <w:t xml:space="preserve">acceptance of </w:t>
      </w:r>
      <w:r w:rsidR="00C46EAF">
        <w:t>d</w:t>
      </w:r>
      <w:r w:rsidR="00C46EAF" w:rsidRPr="00C46EAF">
        <w:t xml:space="preserve">ifferences </w:t>
      </w:r>
      <w:r w:rsidR="00C42F47">
        <w:t>and</w:t>
      </w:r>
      <w:r w:rsidR="00C46EAF" w:rsidRPr="00C46EAF">
        <w:t xml:space="preserve"> diversity</w:t>
      </w:r>
      <w:r w:rsidR="0085236A">
        <w:t>, which helps build</w:t>
      </w:r>
      <w:r w:rsidR="003E040D">
        <w:t xml:space="preserve"> a sense of belonging and</w:t>
      </w:r>
      <w:r w:rsidR="00C46EAF">
        <w:t xml:space="preserve"> </w:t>
      </w:r>
      <w:r w:rsidR="003E040D">
        <w:t>community</w:t>
      </w:r>
      <w:r w:rsidR="00DC122B">
        <w:t xml:space="preserve"> (sections</w:t>
      </w:r>
      <w:r w:rsidR="008F4505">
        <w:t> </w:t>
      </w:r>
      <w:r w:rsidR="00DC122B">
        <w:t xml:space="preserve">4.9 </w:t>
      </w:r>
      <w:r w:rsidR="00446D7D">
        <w:rPr>
          <w:i/>
        </w:rPr>
        <w:t xml:space="preserve">Disability and chronic disease </w:t>
      </w:r>
      <w:r w:rsidR="00DC122B">
        <w:t>and 11.5</w:t>
      </w:r>
      <w:r w:rsidR="008F4505">
        <w:t> </w:t>
      </w:r>
      <w:r w:rsidR="00446D7D" w:rsidRPr="00A478FE">
        <w:rPr>
          <w:i/>
        </w:rPr>
        <w:t>Community functioning</w:t>
      </w:r>
      <w:r w:rsidR="00DC122B">
        <w:t>)</w:t>
      </w:r>
      <w:r w:rsidR="003E040D">
        <w:t xml:space="preserve">  </w:t>
      </w:r>
    </w:p>
    <w:p w14:paraId="39E5EB8B" w14:textId="00E8E832" w:rsidR="00C46EAF" w:rsidRPr="00336173" w:rsidRDefault="00C46EAF" w:rsidP="008D7E9B">
      <w:pPr>
        <w:pStyle w:val="ListBullet"/>
      </w:pPr>
      <w:r w:rsidRPr="00336173">
        <w:t xml:space="preserve">connection </w:t>
      </w:r>
      <w:r w:rsidR="003E040D" w:rsidRPr="00336173">
        <w:t>with</w:t>
      </w:r>
      <w:r w:rsidR="000F167A" w:rsidRPr="00336173">
        <w:t>,</w:t>
      </w:r>
      <w:r w:rsidR="003E040D" w:rsidRPr="00336173">
        <w:t xml:space="preserve"> </w:t>
      </w:r>
      <w:r w:rsidRPr="00336173">
        <w:t>and caring for</w:t>
      </w:r>
      <w:r w:rsidR="000F167A" w:rsidRPr="00336173">
        <w:t>,</w:t>
      </w:r>
      <w:r w:rsidRPr="00336173">
        <w:t xml:space="preserve"> Country</w:t>
      </w:r>
      <w:r w:rsidR="004F5592" w:rsidRPr="00336173">
        <w:t xml:space="preserve">, </w:t>
      </w:r>
      <w:r w:rsidR="008D7E9B" w:rsidRPr="00336173">
        <w:t xml:space="preserve">which is considered as caring for oneself and one’s community and </w:t>
      </w:r>
      <w:r w:rsidR="003B3B6E" w:rsidRPr="00336173">
        <w:t xml:space="preserve">is </w:t>
      </w:r>
      <w:r w:rsidR="008D7E9B" w:rsidRPr="00336173">
        <w:t>also associated with the management of land (sections</w:t>
      </w:r>
      <w:r w:rsidR="005379DD" w:rsidRPr="00336173">
        <w:t xml:space="preserve"> 4.1</w:t>
      </w:r>
      <w:r w:rsidR="008F4505">
        <w:t> </w:t>
      </w:r>
      <w:r w:rsidR="005379DD" w:rsidRPr="00336173">
        <w:rPr>
          <w:i/>
        </w:rPr>
        <w:t>Life expectancy,</w:t>
      </w:r>
      <w:r w:rsidR="008D7E9B" w:rsidRPr="00336173">
        <w:t xml:space="preserve"> 11.5</w:t>
      </w:r>
      <w:r w:rsidR="008F4505">
        <w:t> </w:t>
      </w:r>
      <w:r w:rsidR="00E60EE8" w:rsidRPr="00336173">
        <w:rPr>
          <w:i/>
        </w:rPr>
        <w:t>Community functioning</w:t>
      </w:r>
      <w:r w:rsidR="00E60EE8" w:rsidRPr="00336173">
        <w:t xml:space="preserve"> </w:t>
      </w:r>
      <w:r w:rsidR="008D7E9B" w:rsidRPr="00336173">
        <w:t>and 5.8</w:t>
      </w:r>
      <w:r w:rsidR="008F4505">
        <w:t> </w:t>
      </w:r>
      <w:r w:rsidR="00E60EE8" w:rsidRPr="00336173">
        <w:rPr>
          <w:i/>
        </w:rPr>
        <w:t>Access to traditional lands and waters</w:t>
      </w:r>
      <w:r w:rsidR="008D7E9B" w:rsidRPr="00336173">
        <w:t>)</w:t>
      </w:r>
      <w:r w:rsidRPr="00336173">
        <w:t>.</w:t>
      </w:r>
    </w:p>
    <w:p w14:paraId="448A0CA9" w14:textId="6E09BAB3" w:rsidR="002F315A" w:rsidRPr="00336173" w:rsidRDefault="002F315A" w:rsidP="003D097D">
      <w:pPr>
        <w:pStyle w:val="BodyText"/>
      </w:pPr>
      <w:r w:rsidRPr="002F315A">
        <w:t>Language is closely linked to culture, and revitalising Aboriginal and Torres Strait Islander languages can help to strengthen cultures (section 5.5</w:t>
      </w:r>
      <w:r w:rsidR="008F4505">
        <w:t> </w:t>
      </w:r>
      <w:r w:rsidRPr="002F315A">
        <w:rPr>
          <w:i/>
        </w:rPr>
        <w:t>Indigenous language revitalisation and maintenance</w:t>
      </w:r>
      <w:r w:rsidRPr="002F315A">
        <w:t>). Furthermore, when Aboriginal and Torres Strait Islander people are separated from their community, such as if they are in prison, it is important that their connection is sustained (sections 4.</w:t>
      </w:r>
      <w:r w:rsidRPr="002F315A">
        <w:rPr>
          <w:i/>
        </w:rPr>
        <w:t>13</w:t>
      </w:r>
      <w:r w:rsidR="008F4505">
        <w:t> </w:t>
      </w:r>
      <w:r w:rsidRPr="002F315A">
        <w:rPr>
          <w:i/>
        </w:rPr>
        <w:t>Imprisonment and youth detention</w:t>
      </w:r>
      <w:r w:rsidRPr="002F315A">
        <w:t xml:space="preserve"> and 11.4</w:t>
      </w:r>
      <w:r w:rsidR="008F4505">
        <w:t> </w:t>
      </w:r>
      <w:r w:rsidRPr="002F315A">
        <w:rPr>
          <w:i/>
        </w:rPr>
        <w:t>Repeat offending</w:t>
      </w:r>
      <w:r w:rsidRPr="002F315A">
        <w:t>).</w:t>
      </w:r>
    </w:p>
    <w:p w14:paraId="7F148F13" w14:textId="77777777" w:rsidR="004F5592" w:rsidRPr="002C08DE" w:rsidRDefault="00821930" w:rsidP="002C08DE">
      <w:pPr>
        <w:pStyle w:val="Heading3"/>
      </w:pPr>
      <w:r w:rsidRPr="00336173">
        <w:t>The o</w:t>
      </w:r>
      <w:r w:rsidR="004F5592" w:rsidRPr="00336173">
        <w:t>utcomes</w:t>
      </w:r>
      <w:r w:rsidR="004F5592" w:rsidRPr="002C08DE">
        <w:t xml:space="preserve"> measured do not always fully capture the elements of wellbeing that </w:t>
      </w:r>
      <w:r w:rsidR="00414AB3">
        <w:t>matte</w:t>
      </w:r>
      <w:r w:rsidR="000F167A">
        <w:t>r</w:t>
      </w:r>
    </w:p>
    <w:p w14:paraId="52C1CA61" w14:textId="396E8487" w:rsidR="00EC5C39" w:rsidRDefault="00414AB3">
      <w:pPr>
        <w:pStyle w:val="BodyText"/>
      </w:pPr>
      <w:r>
        <w:t xml:space="preserve">Not everything that matters is captured in indicators. Indicators are by nature an ‘indication’ of wellbeing or an outcome, but cannot always provide the full picture. </w:t>
      </w:r>
      <w:r w:rsidR="00D00668">
        <w:t xml:space="preserve">Consequently, the wellbeing of </w:t>
      </w:r>
      <w:r w:rsidR="00D00668" w:rsidRPr="004B35DE">
        <w:t>Aboriginal and Torres Strait Islander people</w:t>
      </w:r>
      <w:r w:rsidR="001E4CC7">
        <w:t xml:space="preserve"> may be over</w:t>
      </w:r>
      <w:r w:rsidR="005F2685">
        <w:t>stated</w:t>
      </w:r>
      <w:r w:rsidR="001E4CC7">
        <w:t xml:space="preserve"> or understated in this </w:t>
      </w:r>
      <w:r w:rsidR="000F167A">
        <w:t>R</w:t>
      </w:r>
      <w:r w:rsidR="001E4CC7">
        <w:t>eport.</w:t>
      </w:r>
      <w:r w:rsidR="00D00668">
        <w:t xml:space="preserve"> </w:t>
      </w:r>
    </w:p>
    <w:p w14:paraId="6F7DDC74" w14:textId="77777777" w:rsidR="00EC5C39" w:rsidRDefault="00414AB3" w:rsidP="005F2685">
      <w:pPr>
        <w:pStyle w:val="BodyText"/>
        <w:keepNext/>
      </w:pPr>
      <w:r w:rsidRPr="00935C8E">
        <w:lastRenderedPageBreak/>
        <w:t xml:space="preserve">Outcomes measured </w:t>
      </w:r>
      <w:r>
        <w:t>may</w:t>
      </w:r>
      <w:r w:rsidRPr="00935C8E">
        <w:t xml:space="preserve"> </w:t>
      </w:r>
      <w:r w:rsidR="00087E61">
        <w:t>not</w:t>
      </w:r>
      <w:r w:rsidRPr="00935C8E">
        <w:t xml:space="preserve"> fully capture wellbeing</w:t>
      </w:r>
      <w:r w:rsidR="00783EBE">
        <w:t>,</w:t>
      </w:r>
      <w:r w:rsidRPr="00935C8E">
        <w:t xml:space="preserve"> </w:t>
      </w:r>
      <w:r w:rsidR="00D00668">
        <w:t>as</w:t>
      </w:r>
      <w:r w:rsidR="00087E61">
        <w:t>:</w:t>
      </w:r>
    </w:p>
    <w:p w14:paraId="4A7F3996" w14:textId="77777777" w:rsidR="00414AB3" w:rsidRDefault="00414AB3" w:rsidP="002C08DE">
      <w:pPr>
        <w:pStyle w:val="ListBullet"/>
      </w:pPr>
      <w:r>
        <w:t>the</w:t>
      </w:r>
      <w:r w:rsidR="004F3B2C">
        <w:t xml:space="preserve"> indicator </w:t>
      </w:r>
      <w:r>
        <w:t xml:space="preserve">concepts </w:t>
      </w:r>
      <w:r w:rsidR="004F3B2C">
        <w:t xml:space="preserve">are suited to measuring outcomes </w:t>
      </w:r>
      <w:r w:rsidR="006F082E">
        <w:t xml:space="preserve">for the </w:t>
      </w:r>
      <w:r w:rsidR="004F3B2C">
        <w:t>general population</w:t>
      </w:r>
      <w:r w:rsidR="006F082E">
        <w:t>, but</w:t>
      </w:r>
      <w:r w:rsidR="004F3B2C">
        <w:t xml:space="preserve"> </w:t>
      </w:r>
      <w:r>
        <w:t>do not</w:t>
      </w:r>
      <w:r w:rsidR="003A29C7">
        <w:t xml:space="preserve"> always</w:t>
      </w:r>
      <w:r>
        <w:t xml:space="preserve"> readily translate to </w:t>
      </w:r>
      <w:r w:rsidR="002161D5">
        <w:t xml:space="preserve">the </w:t>
      </w:r>
      <w:r>
        <w:t>cultures or experiences</w:t>
      </w:r>
      <w:r w:rsidR="000F167A">
        <w:t xml:space="preserve"> of </w:t>
      </w:r>
      <w:r w:rsidR="000F167A" w:rsidRPr="00414AB3">
        <w:t>Aboriginal and Torres Strait Islander</w:t>
      </w:r>
      <w:r w:rsidR="000F167A">
        <w:t xml:space="preserve"> people</w:t>
      </w:r>
    </w:p>
    <w:p w14:paraId="0DD11B9E" w14:textId="77777777" w:rsidR="00414AB3" w:rsidRDefault="00414AB3" w:rsidP="00414AB3">
      <w:pPr>
        <w:pStyle w:val="ListBullet"/>
      </w:pPr>
      <w:r>
        <w:t xml:space="preserve">some of the things that matter to </w:t>
      </w:r>
      <w:r w:rsidRPr="00414AB3">
        <w:t xml:space="preserve">Aboriginal and Torres Strait Islander </w:t>
      </w:r>
      <w:r>
        <w:t xml:space="preserve">people do not fit </w:t>
      </w:r>
      <w:r w:rsidR="001E4CC7">
        <w:t>in</w:t>
      </w:r>
      <w:r w:rsidR="00783EBE">
        <w:t>to</w:t>
      </w:r>
      <w:r w:rsidR="001E4CC7">
        <w:t xml:space="preserve"> the </w:t>
      </w:r>
      <w:r>
        <w:t>current framework</w:t>
      </w:r>
      <w:r w:rsidR="00087E61">
        <w:t xml:space="preserve">, </w:t>
      </w:r>
      <w:r>
        <w:t xml:space="preserve">or </w:t>
      </w:r>
      <w:r w:rsidR="00E750EE">
        <w:t xml:space="preserve">the relevant </w:t>
      </w:r>
      <w:r>
        <w:t xml:space="preserve">indicators </w:t>
      </w:r>
      <w:r w:rsidR="001E4CC7">
        <w:t>(</w:t>
      </w:r>
      <w:r>
        <w:t>and data sets</w:t>
      </w:r>
      <w:r w:rsidR="001E4CC7">
        <w:t>)</w:t>
      </w:r>
      <w:r>
        <w:t xml:space="preserve"> have not </w:t>
      </w:r>
      <w:r w:rsidR="00087E61">
        <w:t xml:space="preserve">yet </w:t>
      </w:r>
      <w:r>
        <w:t>been developed.</w:t>
      </w:r>
    </w:p>
    <w:p w14:paraId="2A1D33FF" w14:textId="77777777" w:rsidR="00EC5C39" w:rsidRDefault="00087E61">
      <w:pPr>
        <w:pStyle w:val="BodyText"/>
      </w:pPr>
      <w:r>
        <w:t xml:space="preserve">Some of the concepts measured in this </w:t>
      </w:r>
      <w:r w:rsidR="00821930">
        <w:t>R</w:t>
      </w:r>
      <w:r>
        <w:t xml:space="preserve">eport </w:t>
      </w:r>
      <w:r w:rsidR="00D00668">
        <w:t>may</w:t>
      </w:r>
      <w:r w:rsidR="00E70E24">
        <w:t xml:space="preserve"> apply well to some</w:t>
      </w:r>
      <w:r w:rsidR="006F082E" w:rsidRPr="006F082E">
        <w:t xml:space="preserve"> </w:t>
      </w:r>
      <w:r w:rsidR="006F082E" w:rsidRPr="00087E61">
        <w:t>Aboriginal and Torres Strait Islander people</w:t>
      </w:r>
      <w:r w:rsidR="00E70E24">
        <w:t>, but do</w:t>
      </w:r>
      <w:r w:rsidR="00D00668">
        <w:t xml:space="preserve"> not</w:t>
      </w:r>
      <w:r>
        <w:t xml:space="preserve"> </w:t>
      </w:r>
      <w:r w:rsidR="00E70E24">
        <w:t xml:space="preserve">necessarily </w:t>
      </w:r>
      <w:r>
        <w:t xml:space="preserve">capture the wellbeing of </w:t>
      </w:r>
      <w:r w:rsidR="00821930">
        <w:t>all</w:t>
      </w:r>
      <w:r w:rsidR="000F167A">
        <w:t>. T</w:t>
      </w:r>
      <w:r w:rsidR="00295834">
        <w:t>h</w:t>
      </w:r>
      <w:r w:rsidR="00783EBE">
        <w:t>ese</w:t>
      </w:r>
      <w:r w:rsidR="00295834">
        <w:t xml:space="preserve"> </w:t>
      </w:r>
      <w:r>
        <w:t xml:space="preserve">include </w:t>
      </w:r>
      <w:r w:rsidR="00295834">
        <w:t>measures of</w:t>
      </w:r>
      <w:r>
        <w:t>:</w:t>
      </w:r>
    </w:p>
    <w:p w14:paraId="3D608EEF" w14:textId="3BC5FAE7" w:rsidR="00414AB3" w:rsidRDefault="00295834" w:rsidP="002C08DE">
      <w:pPr>
        <w:pStyle w:val="ListBullet"/>
      </w:pPr>
      <w:r>
        <w:t xml:space="preserve">personal and household income, where higher income is a proxy for improved </w:t>
      </w:r>
      <w:r w:rsidR="00DF039C">
        <w:t xml:space="preserve">overall </w:t>
      </w:r>
      <w:r>
        <w:t>wellbeing (section 4.10</w:t>
      </w:r>
      <w:r w:rsidR="008F4505">
        <w:t> </w:t>
      </w:r>
      <w:r w:rsidR="00E60EE8" w:rsidRPr="00A478FE">
        <w:rPr>
          <w:i/>
        </w:rPr>
        <w:t xml:space="preserve">Household and </w:t>
      </w:r>
      <w:r w:rsidR="00A478FE">
        <w:rPr>
          <w:i/>
        </w:rPr>
        <w:t>i</w:t>
      </w:r>
      <w:r w:rsidR="00A478FE" w:rsidRPr="00A478FE">
        <w:rPr>
          <w:i/>
        </w:rPr>
        <w:t xml:space="preserve">ndividual </w:t>
      </w:r>
      <w:r w:rsidR="0021172A">
        <w:rPr>
          <w:i/>
        </w:rPr>
        <w:t>i</w:t>
      </w:r>
      <w:r w:rsidR="00E60EE8" w:rsidRPr="00A478FE">
        <w:rPr>
          <w:i/>
        </w:rPr>
        <w:t>ncome</w:t>
      </w:r>
      <w:r>
        <w:t>)</w:t>
      </w:r>
      <w:r w:rsidR="00783EBE">
        <w:t>.</w:t>
      </w:r>
      <w:r>
        <w:t xml:space="preserve"> </w:t>
      </w:r>
      <w:r w:rsidR="00783EBE">
        <w:t>F</w:t>
      </w:r>
      <w:r w:rsidR="00E70E24">
        <w:t xml:space="preserve">or the general population </w:t>
      </w:r>
      <w:r w:rsidR="00414AB3">
        <w:t xml:space="preserve">higher income is correlated with improved wellbeing, </w:t>
      </w:r>
      <w:r>
        <w:t xml:space="preserve">but </w:t>
      </w:r>
      <w:r w:rsidR="00414AB3">
        <w:t xml:space="preserve">the relationship is not </w:t>
      </w:r>
      <w:r w:rsidR="00DF039C">
        <w:t xml:space="preserve">as </w:t>
      </w:r>
      <w:r w:rsidR="00414AB3">
        <w:t>straightforward for Aboriginal and Torres Strait Islander people</w:t>
      </w:r>
      <w:r w:rsidR="000F167A">
        <w:t>. For</w:t>
      </w:r>
      <w:r>
        <w:t xml:space="preserve"> example, higher income at the expense of the degradation of Country or not undertaking cultural obligations may decrease wellbeing</w:t>
      </w:r>
    </w:p>
    <w:p w14:paraId="3C5843BC" w14:textId="38C960D5" w:rsidR="00295834" w:rsidRDefault="00295834" w:rsidP="002C08DE">
      <w:pPr>
        <w:pStyle w:val="ListBullet"/>
      </w:pPr>
      <w:r>
        <w:t>overcrowding in housing</w:t>
      </w:r>
      <w:r w:rsidR="00835E5D">
        <w:t>,</w:t>
      </w:r>
      <w:r>
        <w:t xml:space="preserve"> </w:t>
      </w:r>
      <w:r w:rsidR="00835E5D">
        <w:t xml:space="preserve">where overcrowding is </w:t>
      </w:r>
      <w:r>
        <w:t xml:space="preserve">measured by </w:t>
      </w:r>
      <w:r w:rsidR="00835E5D">
        <w:t>the</w:t>
      </w:r>
      <w:r>
        <w:t xml:space="preserve"> Canadian </w:t>
      </w:r>
      <w:r w:rsidR="00D97521">
        <w:t xml:space="preserve">National </w:t>
      </w:r>
      <w:r>
        <w:t xml:space="preserve">Occupancy Standard </w:t>
      </w:r>
      <w:r w:rsidR="00783EBE">
        <w:t xml:space="preserve">which </w:t>
      </w:r>
      <w:r w:rsidR="00D97521">
        <w:t xml:space="preserve">is sensitive to </w:t>
      </w:r>
      <w:r w:rsidR="00D97521" w:rsidRPr="00D97521">
        <w:t xml:space="preserve">household size and composition </w:t>
      </w:r>
      <w:r w:rsidR="00E70E24">
        <w:t>(section</w:t>
      </w:r>
      <w:r w:rsidR="008F4505">
        <w:t> </w:t>
      </w:r>
      <w:r w:rsidR="00E70E24">
        <w:t>10.1</w:t>
      </w:r>
      <w:r w:rsidR="00E60EE8">
        <w:t xml:space="preserve"> </w:t>
      </w:r>
      <w:r w:rsidR="00E60EE8" w:rsidRPr="00A478FE">
        <w:rPr>
          <w:i/>
        </w:rPr>
        <w:t>Overcrowding in housing</w:t>
      </w:r>
      <w:r w:rsidR="00E70E24">
        <w:t>)</w:t>
      </w:r>
      <w:r w:rsidR="00783EBE">
        <w:t>. This</w:t>
      </w:r>
      <w:r w:rsidR="00E70E24">
        <w:t xml:space="preserve"> </w:t>
      </w:r>
      <w:r w:rsidR="00835E5D">
        <w:t xml:space="preserve">may not necessarily translate well for </w:t>
      </w:r>
      <w:r w:rsidR="00835E5D" w:rsidRPr="00835E5D">
        <w:t xml:space="preserve">Aboriginal and Torres Strait Islander </w:t>
      </w:r>
      <w:r w:rsidR="00D97521">
        <w:t>communities who</w:t>
      </w:r>
      <w:r w:rsidR="00E60EE8">
        <w:t>,</w:t>
      </w:r>
      <w:r w:rsidR="00D97521">
        <w:t xml:space="preserve"> </w:t>
      </w:r>
      <w:r w:rsidR="00452475">
        <w:t>may choose to</w:t>
      </w:r>
      <w:r w:rsidR="00D97521" w:rsidRPr="00D97521">
        <w:t xml:space="preserve"> have larger household sizes</w:t>
      </w:r>
      <w:r w:rsidR="00D97521">
        <w:t xml:space="preserve"> and are </w:t>
      </w:r>
      <w:r w:rsidR="00D97521" w:rsidRPr="00D97521">
        <w:t>motivated by a strong connection to family and</w:t>
      </w:r>
      <w:r w:rsidR="00E60EE8">
        <w:t>,</w:t>
      </w:r>
      <w:r w:rsidR="00821930">
        <w:t xml:space="preserve"> for many</w:t>
      </w:r>
      <w:r w:rsidR="00E60EE8">
        <w:t>,</w:t>
      </w:r>
      <w:r w:rsidR="00D97521" w:rsidRPr="00D97521">
        <w:t xml:space="preserve"> a culture of sharing accommodation</w:t>
      </w:r>
    </w:p>
    <w:p w14:paraId="212B6621" w14:textId="24719086" w:rsidR="008E5291" w:rsidRDefault="00D97521" w:rsidP="002C08DE">
      <w:pPr>
        <w:pStyle w:val="ListBullet"/>
      </w:pPr>
      <w:r>
        <w:t xml:space="preserve">life expectancy as a </w:t>
      </w:r>
      <w:r w:rsidRPr="00D97521">
        <w:t>measure of population health</w:t>
      </w:r>
      <w:r w:rsidR="00783EBE">
        <w:t>.</w:t>
      </w:r>
      <w:r w:rsidRPr="00D97521">
        <w:t xml:space="preserve"> Aboriginal an</w:t>
      </w:r>
      <w:r w:rsidR="00B2533A">
        <w:t xml:space="preserve">d Torres Strait Islander people </w:t>
      </w:r>
      <w:r w:rsidR="00783EBE">
        <w:t>have a more holistic view of health</w:t>
      </w:r>
      <w:r w:rsidR="00B2533A">
        <w:t xml:space="preserve"> beyond the individual</w:t>
      </w:r>
      <w:r w:rsidR="009B11DA">
        <w:t xml:space="preserve"> (section</w:t>
      </w:r>
      <w:r w:rsidR="00C40B23">
        <w:t> </w:t>
      </w:r>
      <w:r w:rsidR="009B11DA">
        <w:t>4.1</w:t>
      </w:r>
      <w:r w:rsidR="008F4505">
        <w:t> </w:t>
      </w:r>
      <w:r w:rsidR="00E14AF3">
        <w:rPr>
          <w:i/>
        </w:rPr>
        <w:t>Life expectancy</w:t>
      </w:r>
      <w:r w:rsidR="009B11DA">
        <w:t>)</w:t>
      </w:r>
      <w:r w:rsidR="00B2533A">
        <w:t xml:space="preserve"> — </w:t>
      </w:r>
      <w:r w:rsidR="00783EBE">
        <w:t>in which</w:t>
      </w:r>
      <w:r w:rsidR="00783EBE" w:rsidRPr="00D97521">
        <w:t xml:space="preserve"> </w:t>
      </w:r>
      <w:r w:rsidRPr="00D97521">
        <w:t>to be healthy is to be well physically, spiritually and emotionally</w:t>
      </w:r>
      <w:r w:rsidR="00B2533A">
        <w:t>,</w:t>
      </w:r>
      <w:r w:rsidRPr="00D97521">
        <w:t xml:space="preserve"> and </w:t>
      </w:r>
      <w:r w:rsidR="00783EBE">
        <w:t xml:space="preserve">to be </w:t>
      </w:r>
      <w:r w:rsidRPr="00D97521">
        <w:t>connected with family, community,</w:t>
      </w:r>
      <w:r w:rsidR="00B2533A">
        <w:t xml:space="preserve"> culture, language, and Country</w:t>
      </w:r>
    </w:p>
    <w:p w14:paraId="18F9C9DF" w14:textId="77BBE042" w:rsidR="005379DD" w:rsidRPr="00866F16" w:rsidRDefault="008E5291" w:rsidP="003D097D">
      <w:pPr>
        <w:pStyle w:val="ListBullet"/>
      </w:pPr>
      <w:r w:rsidRPr="00893F99">
        <w:t>disability</w:t>
      </w:r>
      <w:r w:rsidR="00893F99" w:rsidRPr="00893F99">
        <w:t xml:space="preserve"> prevalence</w:t>
      </w:r>
      <w:r w:rsidRPr="00893F99">
        <w:t>,</w:t>
      </w:r>
      <w:r w:rsidR="00093723" w:rsidRPr="00893F99">
        <w:t xml:space="preserve"> </w:t>
      </w:r>
      <w:r w:rsidR="00893F99" w:rsidRPr="00893F99">
        <w:t xml:space="preserve">where living with disability is understood as a person having an impairment that limits everyday activities or restricts their participation </w:t>
      </w:r>
      <w:r w:rsidR="00773F79">
        <w:t xml:space="preserve">in school or work, </w:t>
      </w:r>
      <w:r w:rsidR="00893F99" w:rsidRPr="00893F99">
        <w:t>without assistance — however, for many Aboriginal and Torres Strait Islander people it is not the limitations in function that result in disability, but the associated barriers to equal participation in the social and physical environment.</w:t>
      </w:r>
    </w:p>
    <w:p w14:paraId="41C2273C" w14:textId="77777777" w:rsidR="00EC5C39" w:rsidRPr="00893F99" w:rsidRDefault="00D00668">
      <w:pPr>
        <w:pStyle w:val="BodyText"/>
      </w:pPr>
      <w:r w:rsidRPr="00893F99">
        <w:t xml:space="preserve">Some of </w:t>
      </w:r>
      <w:r w:rsidR="009C0BD6" w:rsidRPr="00893F99">
        <w:t xml:space="preserve">the </w:t>
      </w:r>
      <w:r w:rsidRPr="00893F99">
        <w:t xml:space="preserve">things that matter do not fit into the </w:t>
      </w:r>
      <w:r w:rsidR="00E70E24" w:rsidRPr="00893F99">
        <w:t>framework</w:t>
      </w:r>
      <w:r w:rsidR="000F167A" w:rsidRPr="00893F99">
        <w:t xml:space="preserve"> in this Report,</w:t>
      </w:r>
      <w:r w:rsidR="0004754D" w:rsidRPr="00893F99">
        <w:t xml:space="preserve"> or </w:t>
      </w:r>
      <w:r w:rsidR="00194C15" w:rsidRPr="00893F99">
        <w:t>relevant</w:t>
      </w:r>
      <w:r w:rsidR="00783EBE" w:rsidRPr="00893F99">
        <w:t xml:space="preserve"> </w:t>
      </w:r>
      <w:r w:rsidR="0004754D" w:rsidRPr="00893F99">
        <w:t>indicators (and data sets) are yet to be developed</w:t>
      </w:r>
      <w:r w:rsidR="00E70E24" w:rsidRPr="00893F99">
        <w:t>. Some issue</w:t>
      </w:r>
      <w:r w:rsidR="0004754D" w:rsidRPr="00893F99">
        <w:t>s</w:t>
      </w:r>
      <w:r w:rsidR="00E70E24" w:rsidRPr="00893F99">
        <w:t xml:space="preserve"> of significant concern for Aboriginal and Torres Strait Islander people</w:t>
      </w:r>
      <w:r w:rsidR="00E750EE" w:rsidRPr="00893F99">
        <w:t xml:space="preserve"> </w:t>
      </w:r>
      <w:r w:rsidR="00E70E24" w:rsidRPr="00893F99">
        <w:t xml:space="preserve">that </w:t>
      </w:r>
      <w:r w:rsidR="001E4CC7" w:rsidRPr="00893F99">
        <w:t>are not reported in the framework</w:t>
      </w:r>
      <w:r w:rsidR="0004754D" w:rsidRPr="00893F99">
        <w:t xml:space="preserve"> </w:t>
      </w:r>
      <w:r w:rsidR="00E70E24" w:rsidRPr="00893F99">
        <w:t>include</w:t>
      </w:r>
      <w:r w:rsidR="0004754D" w:rsidRPr="00893F99">
        <w:t>:</w:t>
      </w:r>
    </w:p>
    <w:p w14:paraId="5067FD9D" w14:textId="79FB65C9" w:rsidR="000F167A" w:rsidRPr="00893F99" w:rsidRDefault="000F167A" w:rsidP="00866F16">
      <w:pPr>
        <w:pStyle w:val="ListBullet"/>
      </w:pPr>
      <w:r w:rsidRPr="00893F99">
        <w:t>the cultural competence of service providers (includ</w:t>
      </w:r>
      <w:r w:rsidR="00783EBE" w:rsidRPr="00893F99">
        <w:t>ing</w:t>
      </w:r>
      <w:r w:rsidRPr="00893F99">
        <w:t xml:space="preserve"> but not limited to police, corrective services, child protection services</w:t>
      </w:r>
      <w:r w:rsidR="003B7E6A" w:rsidRPr="00893F99">
        <w:t xml:space="preserve">, </w:t>
      </w:r>
      <w:r w:rsidRPr="00893F99">
        <w:t>health services</w:t>
      </w:r>
      <w:r w:rsidR="003B7E6A" w:rsidRPr="00893F99">
        <w:t>, early childhood education services, schools and higher education institutions</w:t>
      </w:r>
      <w:r w:rsidRPr="00893F99">
        <w:t>)</w:t>
      </w:r>
      <w:r w:rsidR="00452475" w:rsidRPr="00893F99">
        <w:t xml:space="preserve"> </w:t>
      </w:r>
    </w:p>
    <w:p w14:paraId="4079618D" w14:textId="09080240" w:rsidR="004F5592" w:rsidRDefault="009C0BD6" w:rsidP="00BF1454">
      <w:pPr>
        <w:pStyle w:val="ListBullet"/>
      </w:pPr>
      <w:r>
        <w:lastRenderedPageBreak/>
        <w:t xml:space="preserve">what proportion of services </w:t>
      </w:r>
      <w:r w:rsidR="003B7E6A">
        <w:t xml:space="preserve">are </w:t>
      </w:r>
      <w:r>
        <w:t xml:space="preserve">provided through </w:t>
      </w:r>
      <w:r w:rsidR="00BF1454" w:rsidRPr="00BF1454">
        <w:t>Aboriginal Community Controlled Organisations</w:t>
      </w:r>
      <w:bookmarkStart w:id="2" w:name="_GoBack"/>
      <w:bookmarkEnd w:id="2"/>
      <w:r w:rsidR="0004754D">
        <w:t xml:space="preserve"> (</w:t>
      </w:r>
      <w:proofErr w:type="spellStart"/>
      <w:r w:rsidR="0004754D">
        <w:t>ACCOs</w:t>
      </w:r>
      <w:proofErr w:type="spellEnd"/>
      <w:r w:rsidR="0004754D">
        <w:t>)</w:t>
      </w:r>
      <w:r w:rsidR="003B7E6A">
        <w:t xml:space="preserve">, </w:t>
      </w:r>
      <w:r>
        <w:t xml:space="preserve">and what </w:t>
      </w:r>
      <w:r w:rsidR="003B7E6A">
        <w:t xml:space="preserve">the outcomes </w:t>
      </w:r>
      <w:r w:rsidR="00783EBE">
        <w:t xml:space="preserve">are </w:t>
      </w:r>
      <w:r w:rsidR="003B7E6A">
        <w:t xml:space="preserve">from these providers </w:t>
      </w:r>
      <w:r w:rsidR="006F082E">
        <w:t>both overall and compared to non</w:t>
      </w:r>
      <w:r w:rsidR="00EC19FD">
        <w:noBreakHyphen/>
      </w:r>
      <w:proofErr w:type="spellStart"/>
      <w:r w:rsidR="006F082E">
        <w:t>ACCOs</w:t>
      </w:r>
      <w:proofErr w:type="spellEnd"/>
      <w:r w:rsidR="005F2685">
        <w:t>.</w:t>
      </w:r>
    </w:p>
    <w:p w14:paraId="0BA03F2F" w14:textId="45D61BB8" w:rsidR="00EC5C39" w:rsidRPr="00C40B23" w:rsidRDefault="00691B55" w:rsidP="00893F99">
      <w:pPr>
        <w:pStyle w:val="Heading3"/>
      </w:pPr>
      <w:r>
        <w:t>W</w:t>
      </w:r>
      <w:r w:rsidR="007D7D42">
        <w:t xml:space="preserve">hile there are some limitations </w:t>
      </w:r>
      <w:r w:rsidR="00783EBE">
        <w:t xml:space="preserve">on </w:t>
      </w:r>
      <w:r w:rsidR="00E750EE">
        <w:t xml:space="preserve">what is </w:t>
      </w:r>
      <w:r w:rsidR="007D7D42">
        <w:t>measured</w:t>
      </w:r>
      <w:r w:rsidR="00E750EE">
        <w:t>,</w:t>
      </w:r>
      <w:r w:rsidR="007D7D42">
        <w:t xml:space="preserve"> </w:t>
      </w:r>
      <w:r w:rsidR="00783EBE">
        <w:t xml:space="preserve">outcomes </w:t>
      </w:r>
      <w:r w:rsidR="007D7D42">
        <w:t xml:space="preserve">in </w:t>
      </w:r>
      <w:r w:rsidR="008E2826">
        <w:t xml:space="preserve">a number of </w:t>
      </w:r>
      <w:r w:rsidR="00D2093D">
        <w:t xml:space="preserve">areas </w:t>
      </w:r>
      <w:r w:rsidR="00E750EE">
        <w:t>have improved</w:t>
      </w:r>
      <w:r w:rsidR="007D7D42">
        <w:t xml:space="preserve"> </w:t>
      </w:r>
      <w:r w:rsidR="00EF20EA">
        <w:t xml:space="preserve">for </w:t>
      </w:r>
      <w:r w:rsidR="00EF20EA" w:rsidRPr="00EF20EA">
        <w:t>Aboriginal and Torres Strait Islander people</w:t>
      </w:r>
      <w:r w:rsidR="003B7E6A">
        <w:t xml:space="preserve"> over time</w:t>
      </w:r>
      <w:r w:rsidR="00D21572">
        <w:t>...</w:t>
      </w:r>
    </w:p>
    <w:p w14:paraId="1DA4A333" w14:textId="77777777" w:rsidR="00EC5C39" w:rsidRDefault="00EF20EA">
      <w:pPr>
        <w:pStyle w:val="BodyText"/>
      </w:pPr>
      <w:r>
        <w:t xml:space="preserve">In </w:t>
      </w:r>
      <w:r w:rsidR="008E2826">
        <w:t xml:space="preserve">a number of </w:t>
      </w:r>
      <w:r>
        <w:t>areas</w:t>
      </w:r>
      <w:r w:rsidR="008E2826">
        <w:t xml:space="preserve"> covered in this Report</w:t>
      </w:r>
      <w:r>
        <w:t xml:space="preserve">, outcomes for Aboriginal and Torres Strait Islander people </w:t>
      </w:r>
      <w:r w:rsidR="006E19A3">
        <w:t>have</w:t>
      </w:r>
      <w:r>
        <w:t xml:space="preserve"> improv</w:t>
      </w:r>
      <w:r w:rsidR="006E19A3">
        <w:t>e</w:t>
      </w:r>
      <w:r w:rsidR="00BF61BE">
        <w:t xml:space="preserve">d </w:t>
      </w:r>
      <w:r w:rsidR="003B7E6A">
        <w:t>over time</w:t>
      </w:r>
      <w:r>
        <w:t xml:space="preserve">. </w:t>
      </w:r>
    </w:p>
    <w:p w14:paraId="5015AD0C" w14:textId="00CCCFF1" w:rsidR="00452475" w:rsidRDefault="00452475" w:rsidP="00452475">
      <w:pPr>
        <w:pStyle w:val="ListBullet"/>
      </w:pPr>
      <w:r w:rsidRPr="002C08DE">
        <w:t>More expectant mothers are attending antenatal visit</w:t>
      </w:r>
      <w:r>
        <w:t>s</w:t>
      </w:r>
      <w:r w:rsidRPr="002C08DE">
        <w:t xml:space="preserve"> in the first trimester</w:t>
      </w:r>
      <w:r>
        <w:t xml:space="preserve"> (section</w:t>
      </w:r>
      <w:r w:rsidR="00C40B23">
        <w:t> </w:t>
      </w:r>
      <w:r>
        <w:t>6.1</w:t>
      </w:r>
      <w:r w:rsidR="00C40B23">
        <w:t xml:space="preserve"> </w:t>
      </w:r>
      <w:r>
        <w:rPr>
          <w:i/>
        </w:rPr>
        <w:t>Antenatal care)</w:t>
      </w:r>
      <w:r w:rsidRPr="002C08DE">
        <w:t>, and rates of smoking</w:t>
      </w:r>
      <w:r>
        <w:t xml:space="preserve"> and alcohol use</w:t>
      </w:r>
      <w:r w:rsidRPr="002C08DE">
        <w:t xml:space="preserve"> during pregnancy have declined</w:t>
      </w:r>
      <w:r>
        <w:t xml:space="preserve"> (section</w:t>
      </w:r>
      <w:r w:rsidR="008F4505">
        <w:t> </w:t>
      </w:r>
      <w:r>
        <w:t xml:space="preserve">6.2 </w:t>
      </w:r>
      <w:r w:rsidRPr="00A478FE">
        <w:rPr>
          <w:i/>
        </w:rPr>
        <w:t xml:space="preserve">Health behaviours during </w:t>
      </w:r>
      <w:r>
        <w:rPr>
          <w:i/>
        </w:rPr>
        <w:t>p</w:t>
      </w:r>
      <w:r w:rsidRPr="00A478FE">
        <w:rPr>
          <w:i/>
        </w:rPr>
        <w:t>regnancy</w:t>
      </w:r>
      <w:r>
        <w:t>)</w:t>
      </w:r>
      <w:r w:rsidRPr="002C08DE">
        <w:t xml:space="preserve">. </w:t>
      </w:r>
    </w:p>
    <w:p w14:paraId="6A9C972C" w14:textId="2C623E67" w:rsidR="00452475" w:rsidRPr="00893F99" w:rsidRDefault="00616063" w:rsidP="003D097D">
      <w:pPr>
        <w:pStyle w:val="ListBullet"/>
      </w:pPr>
      <w:r w:rsidRPr="00893F99">
        <w:t xml:space="preserve">The teenage birth rate is at its lowest level since reporting began </w:t>
      </w:r>
      <w:r w:rsidR="00452475" w:rsidRPr="00893F99">
        <w:t>(section</w:t>
      </w:r>
      <w:r w:rsidR="00C40B23">
        <w:t> </w:t>
      </w:r>
      <w:r w:rsidR="00452475" w:rsidRPr="00893F99">
        <w:t xml:space="preserve">6.3 </w:t>
      </w:r>
      <w:r w:rsidR="00452475" w:rsidRPr="00893F99">
        <w:rPr>
          <w:i/>
        </w:rPr>
        <w:t>Teenage birth rate</w:t>
      </w:r>
      <w:r w:rsidR="00452475" w:rsidRPr="00893F99">
        <w:t>)</w:t>
      </w:r>
      <w:r w:rsidR="00194C15" w:rsidRPr="00893F99">
        <w:t>.</w:t>
      </w:r>
    </w:p>
    <w:p w14:paraId="14606FD1" w14:textId="21BE8CC7" w:rsidR="007E5AEA" w:rsidRDefault="007E5AEA" w:rsidP="00EC19FD">
      <w:pPr>
        <w:pStyle w:val="ListBullet"/>
      </w:pPr>
      <w:r>
        <w:t>Y</w:t>
      </w:r>
      <w:r w:rsidRPr="00BF61BE">
        <w:t>oung child mortality rates</w:t>
      </w:r>
      <w:r>
        <w:t xml:space="preserve">, and in particular, </w:t>
      </w:r>
      <w:r w:rsidR="00D711FC" w:rsidRPr="00EC19FD">
        <w:t>infant</w:t>
      </w:r>
      <w:r w:rsidR="003F688A" w:rsidRPr="00EC19FD">
        <w:t xml:space="preserve"> mortality rates</w:t>
      </w:r>
      <w:r w:rsidRPr="00EC19FD">
        <w:t>, have</w:t>
      </w:r>
      <w:r>
        <w:t xml:space="preserve"> fallen (section</w:t>
      </w:r>
      <w:r w:rsidR="00C40B23">
        <w:t xml:space="preserve"> 4.2 </w:t>
      </w:r>
      <w:r w:rsidR="00773F79" w:rsidRPr="00413AC0">
        <w:t>Young c</w:t>
      </w:r>
      <w:r w:rsidRPr="00413AC0">
        <w:t>hild mortality</w:t>
      </w:r>
      <w:r>
        <w:t xml:space="preserve">) and the proportion of babies born with a </w:t>
      </w:r>
      <w:r w:rsidRPr="006E19A3">
        <w:t>low birthweight</w:t>
      </w:r>
      <w:r w:rsidRPr="001E4CC7">
        <w:t xml:space="preserve"> </w:t>
      </w:r>
      <w:r w:rsidR="005F2685">
        <w:t>(which is a key indicator of</w:t>
      </w:r>
      <w:r>
        <w:t xml:space="preserve"> future development) has decreased (section 6.4 </w:t>
      </w:r>
      <w:r w:rsidRPr="00A478FE">
        <w:rPr>
          <w:i/>
        </w:rPr>
        <w:t>Birthweight</w:t>
      </w:r>
      <w:r>
        <w:t>).</w:t>
      </w:r>
    </w:p>
    <w:p w14:paraId="52AE6FEE" w14:textId="03BE97B5" w:rsidR="00452475" w:rsidRDefault="00452475" w:rsidP="00452475">
      <w:pPr>
        <w:pStyle w:val="ListBullet"/>
      </w:pPr>
      <w:r>
        <w:t>The proportion of young children who are</w:t>
      </w:r>
      <w:r w:rsidRPr="00607F4F">
        <w:t xml:space="preserve"> developmentally ‘on track’</w:t>
      </w:r>
      <w:r>
        <w:t xml:space="preserve"> has increased over time, with the </w:t>
      </w:r>
      <w:r w:rsidRPr="00607F4F">
        <w:t xml:space="preserve">majority </w:t>
      </w:r>
      <w:r>
        <w:t xml:space="preserve">now entering preschool </w:t>
      </w:r>
      <w:r w:rsidRPr="001E4CC7">
        <w:t xml:space="preserve">developmentally </w:t>
      </w:r>
      <w:r>
        <w:t>on track (section</w:t>
      </w:r>
      <w:r w:rsidR="00C40B23">
        <w:t> </w:t>
      </w:r>
      <w:r>
        <w:t>6.8</w:t>
      </w:r>
      <w:r w:rsidR="00C40B23">
        <w:t xml:space="preserve"> </w:t>
      </w:r>
      <w:r w:rsidRPr="00A478FE">
        <w:rPr>
          <w:i/>
        </w:rPr>
        <w:t>Basic skills for life and learning</w:t>
      </w:r>
      <w:r>
        <w:t xml:space="preserve">). The proportion of children </w:t>
      </w:r>
      <w:r w:rsidRPr="00607F4F">
        <w:t>with long</w:t>
      </w:r>
      <w:r w:rsidR="00EC19FD">
        <w:noBreakHyphen/>
      </w:r>
      <w:r w:rsidRPr="00607F4F">
        <w:t>ter</w:t>
      </w:r>
      <w:r>
        <w:t>m hearing problems has also decreased (section</w:t>
      </w:r>
      <w:r w:rsidR="008F4505">
        <w:t> </w:t>
      </w:r>
      <w:r>
        <w:t xml:space="preserve">6.7 </w:t>
      </w:r>
      <w:r w:rsidRPr="00A478FE">
        <w:rPr>
          <w:i/>
        </w:rPr>
        <w:t>Ear health</w:t>
      </w:r>
      <w:r>
        <w:t>).</w:t>
      </w:r>
    </w:p>
    <w:p w14:paraId="0908D07C" w14:textId="3285CD85" w:rsidR="007E5AEA" w:rsidRPr="00EF20EA" w:rsidRDefault="007E5AEA" w:rsidP="00EC19FD">
      <w:pPr>
        <w:pStyle w:val="ListBullet"/>
      </w:pPr>
      <w:r>
        <w:t xml:space="preserve">More </w:t>
      </w:r>
      <w:r w:rsidRPr="00EF20EA">
        <w:t>children</w:t>
      </w:r>
      <w:r>
        <w:t xml:space="preserve"> are participating in early childhood</w:t>
      </w:r>
      <w:r w:rsidRPr="00EF20EA">
        <w:t xml:space="preserve"> </w:t>
      </w:r>
      <w:r>
        <w:t>education in the year before school (section</w:t>
      </w:r>
      <w:r w:rsidR="008F4505">
        <w:t> </w:t>
      </w:r>
      <w:r>
        <w:t xml:space="preserve">4.3 </w:t>
      </w:r>
      <w:r w:rsidRPr="00A478FE">
        <w:rPr>
          <w:i/>
        </w:rPr>
        <w:t>Early childhood education</w:t>
      </w:r>
      <w:r>
        <w:t>)</w:t>
      </w:r>
      <w:r w:rsidRPr="00EF20EA">
        <w:t xml:space="preserve">. </w:t>
      </w:r>
    </w:p>
    <w:p w14:paraId="3232E26A" w14:textId="2322AC3A" w:rsidR="007E5AEA" w:rsidRDefault="007E5AEA" w:rsidP="007E5AEA">
      <w:pPr>
        <w:pStyle w:val="ListBullet"/>
      </w:pPr>
      <w:r>
        <w:t xml:space="preserve">More young people </w:t>
      </w:r>
      <w:r w:rsidRPr="005B10FD">
        <w:t xml:space="preserve">have </w:t>
      </w:r>
      <w:r>
        <w:t xml:space="preserve">reported </w:t>
      </w:r>
      <w:r w:rsidRPr="005B10FD">
        <w:t>a</w:t>
      </w:r>
      <w:r>
        <w:t>ttaining Year 12 or equivalent or above (section</w:t>
      </w:r>
      <w:r w:rsidR="00C40B23">
        <w:t> </w:t>
      </w:r>
      <w:r>
        <w:t xml:space="preserve">4.6 </w:t>
      </w:r>
      <w:r w:rsidRPr="00A478FE">
        <w:rPr>
          <w:i/>
        </w:rPr>
        <w:t>Year 12 attainment</w:t>
      </w:r>
      <w:r>
        <w:t>), and the proportion of adults reporting  that they have or are working towards a post</w:t>
      </w:r>
      <w:r w:rsidR="00EC19FD">
        <w:noBreakHyphen/>
      </w:r>
      <w:r>
        <w:t xml:space="preserve">secondary qualifications has nearly doubled in the past two decades (section 4.8 </w:t>
      </w:r>
      <w:r w:rsidRPr="00A478FE">
        <w:rPr>
          <w:i/>
        </w:rPr>
        <w:t>Post</w:t>
      </w:r>
      <w:r w:rsidR="00EC19FD">
        <w:rPr>
          <w:i/>
        </w:rPr>
        <w:noBreakHyphen/>
      </w:r>
      <w:r w:rsidRPr="00A478FE">
        <w:rPr>
          <w:i/>
        </w:rPr>
        <w:t xml:space="preserve">secondary education </w:t>
      </w:r>
      <w:r w:rsidR="00773F79" w:rsidRPr="00BA68A6">
        <w:rPr>
          <w:i/>
        </w:rPr>
        <w:t>— participation and attainment</w:t>
      </w:r>
      <w:r w:rsidRPr="00BA68A6">
        <w:rPr>
          <w:i/>
        </w:rPr>
        <w:t xml:space="preserve">). </w:t>
      </w:r>
    </w:p>
    <w:p w14:paraId="6524CD47" w14:textId="46E87A86" w:rsidR="007E5AEA" w:rsidRDefault="00050A2F" w:rsidP="00EC19FD">
      <w:pPr>
        <w:pStyle w:val="ListBullet"/>
      </w:pPr>
      <w:r w:rsidRPr="007A4B60">
        <w:t xml:space="preserve">The median equivalised gross weekly </w:t>
      </w:r>
      <w:r w:rsidRPr="00EC19FD">
        <w:t xml:space="preserve">household </w:t>
      </w:r>
      <w:r w:rsidR="003F688A" w:rsidRPr="00EC19FD">
        <w:t>income</w:t>
      </w:r>
      <w:r w:rsidR="003F688A">
        <w:t xml:space="preserve"> </w:t>
      </w:r>
      <w:r>
        <w:t xml:space="preserve">has improved over time </w:t>
      </w:r>
      <w:r w:rsidR="007E5AEA">
        <w:t>(section</w:t>
      </w:r>
      <w:r w:rsidR="00C40B23">
        <w:t> </w:t>
      </w:r>
      <w:r w:rsidR="007E5AEA">
        <w:t>4.10</w:t>
      </w:r>
      <w:r w:rsidR="00C40B23">
        <w:t xml:space="preserve"> </w:t>
      </w:r>
      <w:r>
        <w:rPr>
          <w:i/>
        </w:rPr>
        <w:t>Household and individual income</w:t>
      </w:r>
      <w:r w:rsidR="007E5AEA">
        <w:t>)</w:t>
      </w:r>
      <w:r w:rsidR="003337E3">
        <w:t>.</w:t>
      </w:r>
    </w:p>
    <w:p w14:paraId="333F50C9" w14:textId="6F1420E6" w:rsidR="00EF20EA" w:rsidRDefault="006E19A3" w:rsidP="00AF7BD2">
      <w:pPr>
        <w:pStyle w:val="ListBullet"/>
      </w:pPr>
      <w:r>
        <w:t>Adult</w:t>
      </w:r>
      <w:r w:rsidRPr="006E19A3">
        <w:t xml:space="preserve"> tobacco consumption has decreased significantly over the past 20 years</w:t>
      </w:r>
      <w:r w:rsidR="003B7E6A">
        <w:t xml:space="preserve"> (section</w:t>
      </w:r>
      <w:r w:rsidR="004D2C62">
        <w:t> </w:t>
      </w:r>
      <w:r w:rsidR="003B7E6A">
        <w:t>8.4</w:t>
      </w:r>
      <w:r w:rsidR="004D2C62">
        <w:t xml:space="preserve"> </w:t>
      </w:r>
      <w:r w:rsidR="004D2C62">
        <w:rPr>
          <w:i/>
        </w:rPr>
        <w:t>Tobacco consumption and harm</w:t>
      </w:r>
      <w:r w:rsidR="003B7E6A">
        <w:t>)</w:t>
      </w:r>
      <w:r w:rsidR="008E2826">
        <w:t>, and p</w:t>
      </w:r>
      <w:r w:rsidR="00A77698" w:rsidRPr="00A77698">
        <w:t>otentially avoidable deaths rate</w:t>
      </w:r>
      <w:r w:rsidR="00F40394">
        <w:t xml:space="preserve">s have </w:t>
      </w:r>
      <w:r w:rsidR="00A77698" w:rsidRPr="00A77698">
        <w:t>fallen</w:t>
      </w:r>
      <w:r w:rsidR="003B7E6A">
        <w:t xml:space="preserve"> (section</w:t>
      </w:r>
      <w:r w:rsidR="008F4505">
        <w:t> </w:t>
      </w:r>
      <w:r w:rsidR="003B7E6A">
        <w:t>8.3</w:t>
      </w:r>
      <w:r w:rsidR="004D2C62">
        <w:t xml:space="preserve"> </w:t>
      </w:r>
      <w:r w:rsidR="004D2C62">
        <w:rPr>
          <w:i/>
        </w:rPr>
        <w:t>Potentially avoidable deaths</w:t>
      </w:r>
      <w:r w:rsidR="003B7E6A">
        <w:t>)</w:t>
      </w:r>
      <w:r w:rsidR="00A77698" w:rsidRPr="00A77698">
        <w:t xml:space="preserve">. </w:t>
      </w:r>
      <w:r w:rsidR="00F40394">
        <w:t xml:space="preserve">These </w:t>
      </w:r>
      <w:r w:rsidR="00452475">
        <w:t xml:space="preserve">reductions in </w:t>
      </w:r>
      <w:r w:rsidR="00F40394" w:rsidRPr="00F40394">
        <w:t xml:space="preserve">avoidable deaths rates </w:t>
      </w:r>
      <w:r w:rsidR="00F40394">
        <w:t xml:space="preserve">have </w:t>
      </w:r>
      <w:r w:rsidR="00F40394" w:rsidRPr="00A77698">
        <w:t>contributed to around</w:t>
      </w:r>
      <w:r w:rsidR="00F40394">
        <w:t xml:space="preserve"> half the overall reduction in </w:t>
      </w:r>
      <w:r w:rsidR="008E2826">
        <w:t xml:space="preserve">overall </w:t>
      </w:r>
      <w:r w:rsidR="00F40394">
        <w:t>m</w:t>
      </w:r>
      <w:r w:rsidR="00EF20EA">
        <w:t>ortality rates</w:t>
      </w:r>
      <w:r w:rsidR="003B7E6A">
        <w:t xml:space="preserve"> (section</w:t>
      </w:r>
      <w:r w:rsidR="008F4505">
        <w:t> </w:t>
      </w:r>
      <w:r w:rsidR="003B7E6A">
        <w:t>4.1</w:t>
      </w:r>
      <w:r w:rsidR="004D2C62">
        <w:t xml:space="preserve"> </w:t>
      </w:r>
      <w:r w:rsidR="004D2C62">
        <w:rPr>
          <w:i/>
        </w:rPr>
        <w:t>Life expectancy</w:t>
      </w:r>
      <w:r w:rsidR="003B7E6A">
        <w:t>)</w:t>
      </w:r>
      <w:r w:rsidR="00EF20EA">
        <w:t>.</w:t>
      </w:r>
    </w:p>
    <w:p w14:paraId="1F0B0198" w14:textId="2C99C3D8" w:rsidR="00452475" w:rsidRDefault="00452475" w:rsidP="00452475">
      <w:pPr>
        <w:pStyle w:val="ListBullet"/>
      </w:pPr>
      <w:r>
        <w:t>Life expectancy, particularly for males, has improved over time (section</w:t>
      </w:r>
      <w:r w:rsidR="00C40B23">
        <w:t> </w:t>
      </w:r>
      <w:r>
        <w:t xml:space="preserve">4.1 </w:t>
      </w:r>
      <w:r>
        <w:rPr>
          <w:i/>
        </w:rPr>
        <w:t>Life expectancy</w:t>
      </w:r>
      <w:r>
        <w:t>)</w:t>
      </w:r>
      <w:r w:rsidR="003337E3">
        <w:t>.</w:t>
      </w:r>
    </w:p>
    <w:p w14:paraId="0448DE24" w14:textId="2CDD95AB" w:rsidR="000D6DD1" w:rsidRPr="002C08DE" w:rsidRDefault="00D21572" w:rsidP="002C08DE">
      <w:pPr>
        <w:pStyle w:val="Heading3"/>
      </w:pPr>
      <w:r>
        <w:lastRenderedPageBreak/>
        <w:t>…</w:t>
      </w:r>
      <w:r w:rsidR="0017195D">
        <w:t>a</w:t>
      </w:r>
      <w:r>
        <w:t>nd w</w:t>
      </w:r>
      <w:r w:rsidR="00A77698">
        <w:t xml:space="preserve">here </w:t>
      </w:r>
      <w:r w:rsidR="005F2AC0">
        <w:t xml:space="preserve">outcomes </w:t>
      </w:r>
      <w:r w:rsidR="00F40394">
        <w:t xml:space="preserve">for </w:t>
      </w:r>
      <w:r w:rsidR="005F2AC0" w:rsidRPr="005F2AC0">
        <w:t xml:space="preserve">Aboriginal and Torres Strait Islander people </w:t>
      </w:r>
      <w:r w:rsidR="00691B55">
        <w:t>have not improved</w:t>
      </w:r>
      <w:r w:rsidR="00FB0DAE">
        <w:t>,</w:t>
      </w:r>
      <w:r w:rsidR="00190C81">
        <w:t xml:space="preserve"> or they remain poorer than for </w:t>
      </w:r>
      <w:r w:rsidR="00190C81" w:rsidRPr="00190C81">
        <w:t>non</w:t>
      </w:r>
      <w:r w:rsidR="00EC19FD">
        <w:noBreakHyphen/>
      </w:r>
      <w:r w:rsidR="00190C81" w:rsidRPr="00190C81">
        <w:t>Indigenous people</w:t>
      </w:r>
      <w:r w:rsidR="00F75244">
        <w:t>,</w:t>
      </w:r>
      <w:r w:rsidR="00FB0DAE">
        <w:t xml:space="preserve"> </w:t>
      </w:r>
      <w:r w:rsidR="009419B1">
        <w:t>they</w:t>
      </w:r>
      <w:r w:rsidR="00F40394">
        <w:t xml:space="preserve"> </w:t>
      </w:r>
      <w:r w:rsidR="005F2AC0">
        <w:t>need to be understood</w:t>
      </w:r>
      <w:r w:rsidR="004B35DE">
        <w:t xml:space="preserve"> in context</w:t>
      </w:r>
      <w:r w:rsidR="000D6DD1" w:rsidRPr="002C08DE">
        <w:t xml:space="preserve"> </w:t>
      </w:r>
    </w:p>
    <w:p w14:paraId="7A7ECE36" w14:textId="3AC8B0BA" w:rsidR="00EC5C39" w:rsidRDefault="00691B55">
      <w:pPr>
        <w:pStyle w:val="BodyText"/>
      </w:pPr>
      <w:r>
        <w:t xml:space="preserve">Where outcomes have not improved for Aboriginal and Torres Strait Islander people, or </w:t>
      </w:r>
      <w:r w:rsidR="00F75244">
        <w:t>they remain</w:t>
      </w:r>
      <w:r w:rsidR="001D49F4">
        <w:t xml:space="preserve"> poorer than </w:t>
      </w:r>
      <w:r w:rsidR="00764792">
        <w:t>for non</w:t>
      </w:r>
      <w:r w:rsidR="00EC19FD">
        <w:noBreakHyphen/>
      </w:r>
      <w:r w:rsidR="00764792">
        <w:t>Indigenous people</w:t>
      </w:r>
      <w:r>
        <w:t>,</w:t>
      </w:r>
      <w:r w:rsidR="00D21572">
        <w:t xml:space="preserve"> they need to be understood in context if change is to occur. </w:t>
      </w:r>
      <w:r w:rsidR="001D49F4">
        <w:t xml:space="preserve">Poorer outcomes are not </w:t>
      </w:r>
      <w:r w:rsidR="00902069">
        <w:t xml:space="preserve">due to </w:t>
      </w:r>
      <w:r w:rsidR="001D49F4">
        <w:t xml:space="preserve">people </w:t>
      </w:r>
      <w:r w:rsidR="00902069" w:rsidRPr="002C08DE">
        <w:rPr>
          <w:i/>
        </w:rPr>
        <w:t>being</w:t>
      </w:r>
      <w:r w:rsidR="00902069">
        <w:t xml:space="preserve"> </w:t>
      </w:r>
      <w:r w:rsidR="00902069" w:rsidRPr="00CA4D66">
        <w:t>Aboriginal a</w:t>
      </w:r>
      <w:r w:rsidR="00902069">
        <w:t>nd/or Torres Strait Islander</w:t>
      </w:r>
      <w:r w:rsidR="00902069" w:rsidRPr="00DE6035">
        <w:t xml:space="preserve">, </w:t>
      </w:r>
      <w:r w:rsidR="00D21572">
        <w:t>rather</w:t>
      </w:r>
      <w:r w:rsidR="00275224">
        <w:t>, they are attributable to</w:t>
      </w:r>
      <w:r w:rsidR="00D21572">
        <w:t xml:space="preserve"> </w:t>
      </w:r>
      <w:r w:rsidR="00261C9B">
        <w:t xml:space="preserve">the </w:t>
      </w:r>
      <w:r w:rsidR="004B35DE">
        <w:t xml:space="preserve">additional </w:t>
      </w:r>
      <w:r w:rsidR="00261C9B">
        <w:t xml:space="preserve">personal </w:t>
      </w:r>
      <w:r w:rsidR="009419B1">
        <w:t xml:space="preserve">challenges </w:t>
      </w:r>
      <w:r w:rsidR="00261C9B">
        <w:t>and structural barriers faced</w:t>
      </w:r>
      <w:r w:rsidR="004B35DE">
        <w:t xml:space="preserve"> by </w:t>
      </w:r>
      <w:r w:rsidR="00FB0DAE">
        <w:t xml:space="preserve">many </w:t>
      </w:r>
      <w:r w:rsidR="004B35DE" w:rsidRPr="004B35DE">
        <w:t>Aboriginal and Torres Strait Islander people</w:t>
      </w:r>
      <w:r w:rsidR="001D49F4">
        <w:t xml:space="preserve"> compared </w:t>
      </w:r>
      <w:r w:rsidR="00275224">
        <w:t xml:space="preserve">with </w:t>
      </w:r>
      <w:r w:rsidR="001D49F4">
        <w:t>non</w:t>
      </w:r>
      <w:r w:rsidR="00EC19FD">
        <w:noBreakHyphen/>
      </w:r>
      <w:r w:rsidR="000B32D6">
        <w:t>Indigenous</w:t>
      </w:r>
      <w:r w:rsidR="001D49F4">
        <w:t xml:space="preserve"> </w:t>
      </w:r>
      <w:r w:rsidR="00195C90">
        <w:t>people</w:t>
      </w:r>
      <w:r w:rsidR="00074FAD">
        <w:t>.</w:t>
      </w:r>
    </w:p>
    <w:p w14:paraId="6DB9E43A" w14:textId="78824A9A" w:rsidR="00542DEA" w:rsidRDefault="00A847F8" w:rsidP="002C08DE">
      <w:pPr>
        <w:pStyle w:val="ListBullet"/>
      </w:pPr>
      <w:r>
        <w:t xml:space="preserve">Aboriginal and Torres Strait Islander people </w:t>
      </w:r>
      <w:r w:rsidR="00275224">
        <w:t>are more likely to have</w:t>
      </w:r>
      <w:r w:rsidR="00DE6035">
        <w:t xml:space="preserve"> </w:t>
      </w:r>
      <w:r w:rsidR="00D47462">
        <w:t xml:space="preserve">the </w:t>
      </w:r>
      <w:r w:rsidR="00261C9B">
        <w:t xml:space="preserve">personal </w:t>
      </w:r>
      <w:r w:rsidR="00DE6035">
        <w:t xml:space="preserve">risk factors </w:t>
      </w:r>
      <w:r w:rsidR="00D47462">
        <w:t>associated with</w:t>
      </w:r>
      <w:r w:rsidR="00536842">
        <w:t xml:space="preserve"> poor</w:t>
      </w:r>
      <w:r w:rsidR="00D47462">
        <w:t>er</w:t>
      </w:r>
      <w:r w:rsidR="00536842">
        <w:t xml:space="preserve"> outcomes</w:t>
      </w:r>
      <w:r w:rsidR="00D3422E">
        <w:t>, and are more likely to have multiple risk factors</w:t>
      </w:r>
      <w:r>
        <w:t xml:space="preserve">. </w:t>
      </w:r>
      <w:r w:rsidR="00333B08">
        <w:t>These</w:t>
      </w:r>
      <w:r w:rsidR="00B85A0E">
        <w:t xml:space="preserve"> risk factors</w:t>
      </w:r>
      <w:r w:rsidR="00CB6B2A">
        <w:t xml:space="preserve"> </w:t>
      </w:r>
      <w:r w:rsidR="00936CAA">
        <w:t xml:space="preserve">have been </w:t>
      </w:r>
      <w:r w:rsidR="00B85A0E">
        <w:t>transmitted across generations</w:t>
      </w:r>
      <w:r w:rsidR="00FB0DAE">
        <w:t xml:space="preserve"> through </w:t>
      </w:r>
      <w:r w:rsidR="00CB6B2A">
        <w:t xml:space="preserve">the </w:t>
      </w:r>
      <w:r w:rsidR="00D47462">
        <w:t xml:space="preserve">trauma </w:t>
      </w:r>
      <w:r w:rsidR="00B85A0E">
        <w:t xml:space="preserve">caused by </w:t>
      </w:r>
      <w:r w:rsidR="00902069">
        <w:t>colonisation</w:t>
      </w:r>
      <w:r w:rsidR="009419B1">
        <w:t>,</w:t>
      </w:r>
      <w:r w:rsidR="00542DEA">
        <w:t xml:space="preserve"> </w:t>
      </w:r>
      <w:r w:rsidR="00FB0DAE">
        <w:t xml:space="preserve">and subsequent government policies, </w:t>
      </w:r>
      <w:r w:rsidR="00275224">
        <w:t xml:space="preserve">under which </w:t>
      </w:r>
      <w:r w:rsidR="00542DEA">
        <w:t>Aboriginal and Torres Strait Islander people</w:t>
      </w:r>
      <w:r w:rsidR="00FB0DAE">
        <w:t xml:space="preserve"> </w:t>
      </w:r>
      <w:r w:rsidR="00CB6B2A">
        <w:t xml:space="preserve">lost </w:t>
      </w:r>
      <w:r w:rsidR="00FB0DAE">
        <w:t>much, including their</w:t>
      </w:r>
      <w:r w:rsidR="004B35DE">
        <w:t xml:space="preserve"> lands</w:t>
      </w:r>
      <w:r w:rsidR="00FB0DAE">
        <w:t xml:space="preserve"> and waters</w:t>
      </w:r>
      <w:r w:rsidR="00542DEA">
        <w:t xml:space="preserve"> </w:t>
      </w:r>
      <w:r w:rsidR="005D4210">
        <w:t xml:space="preserve">and </w:t>
      </w:r>
      <w:r w:rsidR="004B35DE">
        <w:t>the freedom to practice their cultures</w:t>
      </w:r>
      <w:r w:rsidR="00542DEA">
        <w:t xml:space="preserve"> and </w:t>
      </w:r>
      <w:r w:rsidR="004B35DE">
        <w:t xml:space="preserve">speak their </w:t>
      </w:r>
      <w:r w:rsidR="00542DEA">
        <w:t>languages</w:t>
      </w:r>
      <w:r w:rsidR="00D47462">
        <w:t xml:space="preserve"> </w:t>
      </w:r>
      <w:r w:rsidR="00542DEA">
        <w:t>(</w:t>
      </w:r>
      <w:r w:rsidR="003337E3">
        <w:t xml:space="preserve">see </w:t>
      </w:r>
      <w:r w:rsidR="00542DEA">
        <w:t>chapter 1</w:t>
      </w:r>
      <w:r w:rsidR="003337E3">
        <w:t xml:space="preserve"> </w:t>
      </w:r>
      <w:r w:rsidR="003337E3" w:rsidRPr="00893F99">
        <w:rPr>
          <w:i/>
        </w:rPr>
        <w:t>About this report</w:t>
      </w:r>
      <w:r w:rsidR="00542DEA">
        <w:t>)</w:t>
      </w:r>
      <w:r w:rsidR="00B85A0E">
        <w:t xml:space="preserve">. </w:t>
      </w:r>
      <w:r w:rsidR="00333B08">
        <w:t xml:space="preserve">The risk factors </w:t>
      </w:r>
      <w:r w:rsidR="004B35DE">
        <w:t>include</w:t>
      </w:r>
      <w:r w:rsidR="005D4210">
        <w:t xml:space="preserve"> </w:t>
      </w:r>
      <w:r w:rsidR="00074FAD">
        <w:t>insecure housing</w:t>
      </w:r>
      <w:r w:rsidR="005D4210">
        <w:t>,</w:t>
      </w:r>
      <w:r w:rsidR="00D3422E">
        <w:t xml:space="preserve"> </w:t>
      </w:r>
      <w:r w:rsidR="005D4210">
        <w:t xml:space="preserve">poor physical or mental </w:t>
      </w:r>
      <w:r w:rsidR="00074FAD">
        <w:t>health</w:t>
      </w:r>
      <w:r w:rsidR="004D2C62">
        <w:t>,</w:t>
      </w:r>
      <w:r w:rsidR="00D3422E">
        <w:t xml:space="preserve"> </w:t>
      </w:r>
      <w:r w:rsidR="00333B08">
        <w:t>socioeconomic disadvantage</w:t>
      </w:r>
      <w:r w:rsidR="009419B1">
        <w:t>, and</w:t>
      </w:r>
      <w:r w:rsidR="00333B08">
        <w:t xml:space="preserve"> </w:t>
      </w:r>
      <w:r w:rsidR="00275224">
        <w:t>underlie</w:t>
      </w:r>
      <w:r w:rsidR="000D6DD1">
        <w:t xml:space="preserve"> </w:t>
      </w:r>
      <w:r w:rsidR="00E750EE">
        <w:t>a range of poor</w:t>
      </w:r>
      <w:r w:rsidR="003337E3">
        <w:t>er</w:t>
      </w:r>
      <w:r w:rsidR="00E750EE">
        <w:t xml:space="preserve"> outcomes including higher rates of </w:t>
      </w:r>
      <w:r w:rsidR="0017195D">
        <w:t xml:space="preserve">alcohol consumption, </w:t>
      </w:r>
      <w:r w:rsidR="009419B1">
        <w:t xml:space="preserve">substance misuse, </w:t>
      </w:r>
      <w:r w:rsidR="00333B08">
        <w:t>family violence, and offending behaviour leading to imprisonment</w:t>
      </w:r>
      <w:r w:rsidR="009022F1">
        <w:t xml:space="preserve"> </w:t>
      </w:r>
      <w:r w:rsidR="0017195D">
        <w:t xml:space="preserve">and repeat offending </w:t>
      </w:r>
      <w:r w:rsidR="009022F1">
        <w:t>(see section</w:t>
      </w:r>
      <w:r w:rsidR="00092450">
        <w:t>s</w:t>
      </w:r>
      <w:r w:rsidR="008F4505">
        <w:t> </w:t>
      </w:r>
      <w:r w:rsidR="009022F1">
        <w:t xml:space="preserve">4.12 </w:t>
      </w:r>
      <w:r w:rsidR="004D2C62" w:rsidRPr="00A478FE">
        <w:rPr>
          <w:i/>
        </w:rPr>
        <w:t>Family and community violence</w:t>
      </w:r>
      <w:r w:rsidR="0017195D">
        <w:rPr>
          <w:i/>
        </w:rPr>
        <w:t>,</w:t>
      </w:r>
      <w:r w:rsidR="004D2C62">
        <w:t xml:space="preserve"> </w:t>
      </w:r>
      <w:r w:rsidR="009022F1">
        <w:t>4.13</w:t>
      </w:r>
      <w:r w:rsidR="00EC19FD">
        <w:t> </w:t>
      </w:r>
      <w:r w:rsidR="004D2C62" w:rsidRPr="00A478FE">
        <w:rPr>
          <w:i/>
        </w:rPr>
        <w:t>Imprisonment and youth detention</w:t>
      </w:r>
      <w:r w:rsidR="0017195D">
        <w:rPr>
          <w:i/>
        </w:rPr>
        <w:t xml:space="preserve">, </w:t>
      </w:r>
      <w:r w:rsidR="0017195D">
        <w:t>6.2 </w:t>
      </w:r>
      <w:r w:rsidR="0017195D">
        <w:rPr>
          <w:i/>
        </w:rPr>
        <w:t xml:space="preserve">Health behaviours during pregnancy, </w:t>
      </w:r>
      <w:r w:rsidR="0017195D">
        <w:t>8.4</w:t>
      </w:r>
      <w:r w:rsidR="00C40B23">
        <w:t> </w:t>
      </w:r>
      <w:r w:rsidR="0017195D">
        <w:rPr>
          <w:i/>
        </w:rPr>
        <w:t xml:space="preserve">Tobacco consumption and harm, </w:t>
      </w:r>
      <w:r w:rsidR="0017195D">
        <w:t>8.7 </w:t>
      </w:r>
      <w:r w:rsidR="0017195D">
        <w:rPr>
          <w:i/>
        </w:rPr>
        <w:t xml:space="preserve">Mental health, </w:t>
      </w:r>
      <w:r w:rsidR="0017195D">
        <w:t>11.1</w:t>
      </w:r>
      <w:r w:rsidR="00EC19FD">
        <w:t> </w:t>
      </w:r>
      <w:r w:rsidR="0017195D">
        <w:rPr>
          <w:i/>
        </w:rPr>
        <w:t xml:space="preserve">Alcohol consumption and harm, </w:t>
      </w:r>
      <w:r w:rsidR="0017195D">
        <w:t>11.2</w:t>
      </w:r>
      <w:r w:rsidR="00EC19FD">
        <w:t> </w:t>
      </w:r>
      <w:r w:rsidR="0017195D" w:rsidRPr="00A478FE">
        <w:rPr>
          <w:i/>
        </w:rPr>
        <w:t xml:space="preserve">Drug and </w:t>
      </w:r>
      <w:r w:rsidR="001065E4">
        <w:rPr>
          <w:i/>
        </w:rPr>
        <w:t xml:space="preserve">other </w:t>
      </w:r>
      <w:r w:rsidR="0017195D" w:rsidRPr="00A478FE">
        <w:rPr>
          <w:i/>
        </w:rPr>
        <w:t>substance use and harm</w:t>
      </w:r>
      <w:r w:rsidR="0017195D">
        <w:t xml:space="preserve"> and 11.4</w:t>
      </w:r>
      <w:r w:rsidR="00EC19FD">
        <w:t> </w:t>
      </w:r>
      <w:r w:rsidR="0017195D">
        <w:rPr>
          <w:i/>
        </w:rPr>
        <w:t>Repeat offending</w:t>
      </w:r>
      <w:r w:rsidR="009022F1">
        <w:t>)</w:t>
      </w:r>
      <w:r w:rsidR="00333B08">
        <w:t xml:space="preserve">. In turn, these poorer outcomes then become risk factors for </w:t>
      </w:r>
      <w:r w:rsidR="00333B08" w:rsidRPr="00333B08">
        <w:t>insecure housing, poor physical or mental health and socioeconomic disadvantage</w:t>
      </w:r>
      <w:r w:rsidR="00333B08">
        <w:t>.</w:t>
      </w:r>
    </w:p>
    <w:p w14:paraId="0F757398" w14:textId="77777777" w:rsidR="00A508FB" w:rsidRDefault="00A847F8" w:rsidP="00A508FB">
      <w:pPr>
        <w:pStyle w:val="ListBullet"/>
      </w:pPr>
      <w:r w:rsidRPr="005C6134">
        <w:t>Aboriginal and Torres Strait Islander people are often</w:t>
      </w:r>
      <w:r w:rsidR="00DA4EEF" w:rsidRPr="005C6134">
        <w:t xml:space="preserve"> disproportiona</w:t>
      </w:r>
      <w:r w:rsidR="004D2C62">
        <w:t>te</w:t>
      </w:r>
      <w:r w:rsidR="00DA4EEF" w:rsidRPr="005C6134">
        <w:t>ly affected by</w:t>
      </w:r>
      <w:r w:rsidR="00504491" w:rsidRPr="005C6134">
        <w:t xml:space="preserve"> structur</w:t>
      </w:r>
      <w:r w:rsidR="00DA4EEF" w:rsidRPr="005C6134">
        <w:t>al</w:t>
      </w:r>
      <w:r w:rsidR="00504491" w:rsidRPr="005C6134">
        <w:t xml:space="preserve"> </w:t>
      </w:r>
      <w:r w:rsidR="00C25F52">
        <w:t>barriers</w:t>
      </w:r>
      <w:r w:rsidR="005C6134" w:rsidRPr="005C6134">
        <w:t xml:space="preserve"> due to their </w:t>
      </w:r>
      <w:r w:rsidR="00190C81">
        <w:t>particular circumstance</w:t>
      </w:r>
      <w:r w:rsidR="00F75244">
        <w:t>s</w:t>
      </w:r>
      <w:r w:rsidR="00190C81">
        <w:t xml:space="preserve"> or the disadvantage they experience</w:t>
      </w:r>
      <w:r w:rsidRPr="005C6134">
        <w:t>. This occurs when policies, laws and practices that appear neutral</w:t>
      </w:r>
      <w:r w:rsidR="003B3B6E">
        <w:t>,</w:t>
      </w:r>
      <w:r w:rsidRPr="005C6134">
        <w:t xml:space="preserve"> operate in an uneven or unfair manner that is detrimental to Aboriginal and Torres Strait Islander people</w:t>
      </w:r>
      <w:r w:rsidR="00BE6003">
        <w:t xml:space="preserve">, </w:t>
      </w:r>
      <w:r w:rsidR="00A508FB">
        <w:t>f</w:t>
      </w:r>
      <w:r w:rsidRPr="005C6134">
        <w:t>or example</w:t>
      </w:r>
      <w:r w:rsidR="00A508FB" w:rsidRPr="00A508FB">
        <w:t xml:space="preserve"> </w:t>
      </w:r>
      <w:r w:rsidR="00A508FB">
        <w:t>in the area</w:t>
      </w:r>
      <w:r w:rsidR="0067259A">
        <w:t>s</w:t>
      </w:r>
      <w:r w:rsidR="00A508FB">
        <w:t xml:space="preserve"> of:</w:t>
      </w:r>
    </w:p>
    <w:p w14:paraId="27E03EB3" w14:textId="54EBFA62" w:rsidR="004C738D" w:rsidRDefault="000D6DD1" w:rsidP="002C08DE">
      <w:pPr>
        <w:pStyle w:val="ListBullet2"/>
      </w:pPr>
      <w:r>
        <w:t>criminal justice</w:t>
      </w:r>
      <w:r w:rsidR="008E5291">
        <w:t>:</w:t>
      </w:r>
      <w:r>
        <w:t xml:space="preserve"> </w:t>
      </w:r>
      <w:r w:rsidR="008E5291">
        <w:t>l</w:t>
      </w:r>
      <w:r w:rsidR="00A508FB">
        <w:t>aws that declare people with cognitive impairments unfit to plead</w:t>
      </w:r>
      <w:r w:rsidR="00275224">
        <w:t>,</w:t>
      </w:r>
      <w:r w:rsidR="00A508FB" w:rsidRPr="00A508FB">
        <w:t xml:space="preserve"> </w:t>
      </w:r>
      <w:r w:rsidR="00A508FB">
        <w:t xml:space="preserve">and </w:t>
      </w:r>
      <w:r w:rsidR="009E77D7">
        <w:t xml:space="preserve">bail laws that favour those with </w:t>
      </w:r>
      <w:r w:rsidR="00A508FB">
        <w:t>secure accommodation</w:t>
      </w:r>
      <w:r w:rsidR="003337E3">
        <w:t>,</w:t>
      </w:r>
      <w:r w:rsidR="00A508FB">
        <w:t xml:space="preserve"> have a greater impact on Aboriginal and Torres Strait Islander people’s rates of imprisonment because they are more likely to </w:t>
      </w:r>
      <w:r w:rsidR="009E77D7">
        <w:t>experience these barriers</w:t>
      </w:r>
      <w:r w:rsidR="009022F1">
        <w:t xml:space="preserve"> (section</w:t>
      </w:r>
      <w:r w:rsidR="0017195D">
        <w:t>s</w:t>
      </w:r>
      <w:r w:rsidR="008F4505">
        <w:t> </w:t>
      </w:r>
      <w:r w:rsidR="009022F1">
        <w:t>4.13</w:t>
      </w:r>
      <w:r w:rsidR="00EC19FD">
        <w:t> </w:t>
      </w:r>
      <w:r w:rsidR="0077484C">
        <w:rPr>
          <w:i/>
        </w:rPr>
        <w:t>Imprisonment and youth detention</w:t>
      </w:r>
      <w:r w:rsidR="0017195D">
        <w:t xml:space="preserve"> and 11.3</w:t>
      </w:r>
      <w:r w:rsidR="00EC19FD">
        <w:rPr>
          <w:i/>
        </w:rPr>
        <w:t> </w:t>
      </w:r>
      <w:r w:rsidR="0021172A">
        <w:rPr>
          <w:i/>
        </w:rPr>
        <w:t>Youth</w:t>
      </w:r>
      <w:r w:rsidR="0017195D">
        <w:rPr>
          <w:i/>
        </w:rPr>
        <w:t xml:space="preserve"> diversions</w:t>
      </w:r>
      <w:r w:rsidR="009022F1">
        <w:t>)</w:t>
      </w:r>
    </w:p>
    <w:p w14:paraId="60D22082" w14:textId="2F0861BF" w:rsidR="005A2BDF" w:rsidRPr="004C738D" w:rsidRDefault="007F254F" w:rsidP="002C08DE">
      <w:pPr>
        <w:pStyle w:val="ListBullet2"/>
      </w:pPr>
      <w:r>
        <w:t xml:space="preserve">child </w:t>
      </w:r>
      <w:r w:rsidR="00A508FB">
        <w:t>protection</w:t>
      </w:r>
      <w:r w:rsidR="008E5291">
        <w:t>:</w:t>
      </w:r>
      <w:r w:rsidR="005A2BDF">
        <w:t xml:space="preserve"> </w:t>
      </w:r>
      <w:r w:rsidR="008E5291">
        <w:t>f</w:t>
      </w:r>
      <w:r w:rsidR="00A508FB" w:rsidRPr="00A508FB">
        <w:t xml:space="preserve">actors related to </w:t>
      </w:r>
      <w:r w:rsidR="008E5291">
        <w:t xml:space="preserve">cultural competency in </w:t>
      </w:r>
      <w:r w:rsidR="005A2BDF">
        <w:t>decision</w:t>
      </w:r>
      <w:r w:rsidR="00EC19FD">
        <w:noBreakHyphen/>
      </w:r>
      <w:r w:rsidR="005A2BDF">
        <w:t>making process</w:t>
      </w:r>
      <w:r w:rsidR="009E77D7">
        <w:t>es</w:t>
      </w:r>
      <w:r w:rsidR="005A2BDF">
        <w:t xml:space="preserve"> </w:t>
      </w:r>
      <w:r w:rsidR="005A2BDF" w:rsidRPr="005A2BDF">
        <w:t>compounded by difficulties in getting the suppor</w:t>
      </w:r>
      <w:r w:rsidR="005A2BDF">
        <w:t>t needed to navigate the system</w:t>
      </w:r>
      <w:r w:rsidR="005A2BDF" w:rsidRPr="005A2BDF">
        <w:t xml:space="preserve">, </w:t>
      </w:r>
      <w:r w:rsidR="005A2BDF">
        <w:t xml:space="preserve">may </w:t>
      </w:r>
      <w:r w:rsidR="005A2BDF" w:rsidRPr="005A2BDF">
        <w:t xml:space="preserve">mean that </w:t>
      </w:r>
      <w:r w:rsidR="005A2BDF" w:rsidRPr="004C738D">
        <w:t>Aboriginal and Torres Strait Islander children are more vulnerable to entering the child protection system irrespective of the underlying prevalence of abuse and neglect</w:t>
      </w:r>
      <w:r w:rsidR="009022F1">
        <w:t xml:space="preserve"> (section 4.11</w:t>
      </w:r>
      <w:r w:rsidR="00EC19FD">
        <w:t> </w:t>
      </w:r>
      <w:r w:rsidR="008D4F20" w:rsidRPr="008D4F20">
        <w:rPr>
          <w:i/>
        </w:rPr>
        <w:t>Substantiated c</w:t>
      </w:r>
      <w:r w:rsidR="0077484C" w:rsidRPr="00A478FE">
        <w:rPr>
          <w:i/>
        </w:rPr>
        <w:t>hild abuse and neglect</w:t>
      </w:r>
      <w:r w:rsidR="009022F1">
        <w:t>)</w:t>
      </w:r>
    </w:p>
    <w:p w14:paraId="78360001" w14:textId="355C58A1" w:rsidR="004C738D" w:rsidRPr="004C738D" w:rsidRDefault="004C738D">
      <w:pPr>
        <w:pStyle w:val="ListBullet2"/>
      </w:pPr>
      <w:r w:rsidRPr="009022F1">
        <w:t>income support</w:t>
      </w:r>
      <w:r w:rsidR="00B04E56">
        <w:t>:</w:t>
      </w:r>
      <w:r w:rsidRPr="009022F1">
        <w:t xml:space="preserve"> </w:t>
      </w:r>
      <w:r w:rsidR="00453245">
        <w:t>i</w:t>
      </w:r>
      <w:r w:rsidRPr="009022F1">
        <w:t xml:space="preserve">ncome management arrangements that </w:t>
      </w:r>
      <w:r w:rsidR="00275224">
        <w:t>affect</w:t>
      </w:r>
      <w:r w:rsidR="00275224" w:rsidRPr="009022F1">
        <w:t xml:space="preserve"> </w:t>
      </w:r>
      <w:r w:rsidRPr="009022F1">
        <w:t xml:space="preserve">the way income support payments are delivered and/or how the money can be spent </w:t>
      </w:r>
      <w:r w:rsidRPr="009022F1">
        <w:lastRenderedPageBreak/>
        <w:t xml:space="preserve">disproportionately affect Aboriginal and Torres Strait Islander people </w:t>
      </w:r>
      <w:r w:rsidR="00275224">
        <w:t xml:space="preserve">because </w:t>
      </w:r>
      <w:r w:rsidRPr="009022F1">
        <w:t xml:space="preserve">of the </w:t>
      </w:r>
      <w:r w:rsidR="00BE6003">
        <w:t>geographical locations and trial sites</w:t>
      </w:r>
      <w:r w:rsidRPr="009022F1">
        <w:t xml:space="preserve"> </w:t>
      </w:r>
      <w:r w:rsidR="00275224">
        <w:t>selected</w:t>
      </w:r>
      <w:r w:rsidR="00F44875">
        <w:t xml:space="preserve"> </w:t>
      </w:r>
      <w:r w:rsidRPr="009022F1">
        <w:t>(section</w:t>
      </w:r>
      <w:r w:rsidR="00C40B23">
        <w:t> </w:t>
      </w:r>
      <w:r w:rsidRPr="009022F1">
        <w:t>9.4</w:t>
      </w:r>
      <w:r w:rsidR="00275224">
        <w:t> </w:t>
      </w:r>
      <w:r w:rsidR="008D4F20" w:rsidRPr="00A478FE">
        <w:rPr>
          <w:i/>
        </w:rPr>
        <w:t>Income support</w:t>
      </w:r>
      <w:r w:rsidRPr="009022F1">
        <w:t>)</w:t>
      </w:r>
      <w:r>
        <w:t>.</w:t>
      </w:r>
    </w:p>
    <w:p w14:paraId="4AAB0BF7" w14:textId="4893265E" w:rsidR="00D47462" w:rsidRPr="005C6134" w:rsidRDefault="0067259A" w:rsidP="00A478FE">
      <w:pPr>
        <w:pStyle w:val="ListBullet"/>
      </w:pPr>
      <w:r>
        <w:t xml:space="preserve">Many </w:t>
      </w:r>
      <w:r w:rsidR="005C6134" w:rsidRPr="005C6134">
        <w:t>Aboriginal and Torres Strait Islander people also e</w:t>
      </w:r>
      <w:r w:rsidR="00D3422E" w:rsidRPr="005C6134">
        <w:t>xperience</w:t>
      </w:r>
      <w:r w:rsidR="00C25F52">
        <w:t xml:space="preserve"> </w:t>
      </w:r>
      <w:r w:rsidR="00074FAD">
        <w:t xml:space="preserve">discrimination </w:t>
      </w:r>
      <w:r w:rsidR="00C25F52">
        <w:t xml:space="preserve">and racism. </w:t>
      </w:r>
      <w:r w:rsidR="00074FAD">
        <w:t xml:space="preserve">This can </w:t>
      </w:r>
      <w:r w:rsidR="00B85A0E" w:rsidRPr="005C6134">
        <w:t xml:space="preserve">affect their outcomes by diminishing their </w:t>
      </w:r>
      <w:r w:rsidR="005A2BDF">
        <w:t xml:space="preserve">physical and mental </w:t>
      </w:r>
      <w:r w:rsidR="004C738D" w:rsidRPr="005C6134">
        <w:t>wellbeing</w:t>
      </w:r>
      <w:r w:rsidR="004C738D">
        <w:t xml:space="preserve"> </w:t>
      </w:r>
      <w:r w:rsidR="006B4CC2">
        <w:t>(sections 6.2</w:t>
      </w:r>
      <w:r w:rsidR="00EC19FD">
        <w:t> </w:t>
      </w:r>
      <w:r w:rsidR="00A478FE" w:rsidRPr="00A478FE">
        <w:rPr>
          <w:i/>
        </w:rPr>
        <w:t xml:space="preserve">Health behaviours during pregnancy </w:t>
      </w:r>
      <w:r w:rsidR="006B4CC2">
        <w:t>and 8.7</w:t>
      </w:r>
      <w:r w:rsidR="00EC19FD">
        <w:t> </w:t>
      </w:r>
      <w:r w:rsidR="008D4F20" w:rsidRPr="00A478FE">
        <w:rPr>
          <w:i/>
        </w:rPr>
        <w:t>Mental health</w:t>
      </w:r>
      <w:r w:rsidR="006B4CC2">
        <w:t>)</w:t>
      </w:r>
      <w:r w:rsidR="00B04E56">
        <w:t>. I</w:t>
      </w:r>
      <w:r w:rsidR="00F44875">
        <w:t>t</w:t>
      </w:r>
      <w:r w:rsidR="007F254F">
        <w:t xml:space="preserve"> </w:t>
      </w:r>
      <w:r w:rsidR="00CE7A7B">
        <w:t xml:space="preserve">can </w:t>
      </w:r>
      <w:r w:rsidR="004B35DE">
        <w:t>also</w:t>
      </w:r>
      <w:r w:rsidR="00354078">
        <w:t xml:space="preserve"> mean </w:t>
      </w:r>
      <w:r w:rsidR="00F44875">
        <w:t xml:space="preserve">that </w:t>
      </w:r>
      <w:r w:rsidR="00354078">
        <w:t xml:space="preserve">they </w:t>
      </w:r>
      <w:r w:rsidR="00CE7A7B">
        <w:t xml:space="preserve">avoid accessing services they need </w:t>
      </w:r>
      <w:r w:rsidR="00BE6003">
        <w:t>(section 5.3</w:t>
      </w:r>
      <w:r w:rsidR="00EC19FD">
        <w:t> </w:t>
      </w:r>
      <w:r w:rsidR="008D4F20">
        <w:rPr>
          <w:i/>
        </w:rPr>
        <w:t xml:space="preserve">Engagement </w:t>
      </w:r>
      <w:r w:rsidR="00BA68A6">
        <w:rPr>
          <w:i/>
        </w:rPr>
        <w:t xml:space="preserve">of </w:t>
      </w:r>
      <w:r w:rsidR="008D4F20">
        <w:rPr>
          <w:i/>
        </w:rPr>
        <w:t>services</w:t>
      </w:r>
      <w:r w:rsidR="00BE6003">
        <w:t xml:space="preserve">) </w:t>
      </w:r>
      <w:r w:rsidR="00CE7A7B">
        <w:t xml:space="preserve">or they </w:t>
      </w:r>
      <w:r w:rsidR="00354078">
        <w:t xml:space="preserve">are </w:t>
      </w:r>
      <w:r w:rsidR="005C6134">
        <w:t>discriminated against</w:t>
      </w:r>
      <w:r w:rsidR="00354078">
        <w:t xml:space="preserve"> when seeking opportunities to improve their wellbeing</w:t>
      </w:r>
      <w:r w:rsidR="005C6134">
        <w:t xml:space="preserve">. </w:t>
      </w:r>
      <w:r w:rsidR="00CA626A" w:rsidRPr="00CA626A">
        <w:t xml:space="preserve">For example, racism can negatively affect Aboriginal and Torres Strait Islander people in their education, </w:t>
      </w:r>
      <w:r w:rsidR="001C39CA" w:rsidRPr="00CA626A">
        <w:t xml:space="preserve">or </w:t>
      </w:r>
      <w:r w:rsidR="001C39CA">
        <w:t xml:space="preserve">in </w:t>
      </w:r>
      <w:r w:rsidR="00CA626A" w:rsidRPr="00CA626A">
        <w:t>gaining and maintaining employment</w:t>
      </w:r>
      <w:r w:rsidR="00CA5EE3">
        <w:t>, or in accessing finance to purchase a home</w:t>
      </w:r>
      <w:r w:rsidR="00CA626A" w:rsidRPr="00CA626A">
        <w:t xml:space="preserve"> (sections 4.7</w:t>
      </w:r>
      <w:r w:rsidR="00EC19FD">
        <w:t> </w:t>
      </w:r>
      <w:r w:rsidR="00B66844" w:rsidRPr="00A478FE">
        <w:rPr>
          <w:i/>
        </w:rPr>
        <w:t>Employment</w:t>
      </w:r>
      <w:r w:rsidR="00CA5EE3">
        <w:rPr>
          <w:i/>
        </w:rPr>
        <w:t>,</w:t>
      </w:r>
      <w:r w:rsidR="00CA626A" w:rsidRPr="00CA626A">
        <w:t xml:space="preserve"> 4.8</w:t>
      </w:r>
      <w:r w:rsidR="00EC19FD">
        <w:t> </w:t>
      </w:r>
      <w:r w:rsidR="00C40B23" w:rsidRPr="00A478FE">
        <w:rPr>
          <w:i/>
        </w:rPr>
        <w:t>Post</w:t>
      </w:r>
      <w:r w:rsidR="00EC19FD">
        <w:rPr>
          <w:i/>
        </w:rPr>
        <w:noBreakHyphen/>
      </w:r>
      <w:r w:rsidR="00C40B23" w:rsidRPr="00A478FE">
        <w:rPr>
          <w:i/>
        </w:rPr>
        <w:t>secondary</w:t>
      </w:r>
      <w:r w:rsidR="00B66844" w:rsidRPr="00A478FE">
        <w:rPr>
          <w:i/>
        </w:rPr>
        <w:t xml:space="preserve"> education</w:t>
      </w:r>
      <w:r w:rsidR="00773F79">
        <w:rPr>
          <w:i/>
        </w:rPr>
        <w:t xml:space="preserve"> </w:t>
      </w:r>
      <w:r w:rsidR="00773F79" w:rsidRPr="00BA68A6">
        <w:rPr>
          <w:i/>
        </w:rPr>
        <w:t>— participation and attainment</w:t>
      </w:r>
      <w:r w:rsidR="00CA5EE3">
        <w:rPr>
          <w:i/>
        </w:rPr>
        <w:t xml:space="preserve"> </w:t>
      </w:r>
      <w:r w:rsidR="00CA5EE3">
        <w:t>and 9.3</w:t>
      </w:r>
      <w:r w:rsidR="00EC19FD">
        <w:t> </w:t>
      </w:r>
      <w:r w:rsidR="00CA5EE3">
        <w:rPr>
          <w:i/>
        </w:rPr>
        <w:t>Home ownership</w:t>
      </w:r>
      <w:r w:rsidR="00CA626A" w:rsidRPr="00CA626A">
        <w:t xml:space="preserve">). </w:t>
      </w:r>
      <w:r w:rsidR="00796DBE" w:rsidRPr="00796DBE">
        <w:t xml:space="preserve"> </w:t>
      </w:r>
    </w:p>
    <w:p w14:paraId="1EF6E843" w14:textId="77777777" w:rsidR="00017D47" w:rsidRDefault="00771A18" w:rsidP="00712EC7">
      <w:pPr>
        <w:pStyle w:val="Heading2"/>
      </w:pPr>
      <w:r>
        <w:t>3.2</w:t>
      </w:r>
      <w:r w:rsidR="00017D47">
        <w:tab/>
      </w:r>
      <w:r w:rsidR="00604EE4">
        <w:t>Improving</w:t>
      </w:r>
      <w:r w:rsidR="00712EC7" w:rsidRPr="00712EC7">
        <w:t xml:space="preserve"> outcomes for Aboriginal and Torres Strait Islander people</w:t>
      </w:r>
    </w:p>
    <w:p w14:paraId="01390A8A" w14:textId="7605D7ED" w:rsidR="00EC5C39" w:rsidRDefault="009E77D7">
      <w:pPr>
        <w:pStyle w:val="BodyText"/>
      </w:pPr>
      <w:r>
        <w:t xml:space="preserve">In previous editions of this </w:t>
      </w:r>
      <w:r w:rsidR="0067259A">
        <w:t>R</w:t>
      </w:r>
      <w:r>
        <w:t xml:space="preserve">eport, </w:t>
      </w:r>
      <w:r w:rsidR="004062D3">
        <w:t xml:space="preserve">some </w:t>
      </w:r>
      <w:r>
        <w:t xml:space="preserve">key success factors for improving </w:t>
      </w:r>
      <w:r w:rsidR="00652552">
        <w:t xml:space="preserve">outcomes </w:t>
      </w:r>
      <w:r w:rsidR="0067259A">
        <w:t>for</w:t>
      </w:r>
      <w:r>
        <w:t xml:space="preserve"> </w:t>
      </w:r>
      <w:r w:rsidRPr="007F254F">
        <w:t>Aboriginal and Torres Strait Islander people</w:t>
      </w:r>
      <w:r>
        <w:t xml:space="preserve"> </w:t>
      </w:r>
      <w:r w:rsidR="00F40394">
        <w:t>were</w:t>
      </w:r>
      <w:r w:rsidR="0088454F">
        <w:t xml:space="preserve"> identified. In this edition, further research has </w:t>
      </w:r>
      <w:r w:rsidR="00A65D9E">
        <w:t xml:space="preserve">built on this work and identified </w:t>
      </w:r>
      <w:r w:rsidR="00BA4191">
        <w:t xml:space="preserve">further </w:t>
      </w:r>
      <w:r w:rsidR="004062D3">
        <w:t xml:space="preserve">common </w:t>
      </w:r>
      <w:r w:rsidR="00BA4191">
        <w:t>factors</w:t>
      </w:r>
      <w:r w:rsidR="004062D3">
        <w:t xml:space="preserve"> </w:t>
      </w:r>
      <w:r w:rsidR="00A65D9E">
        <w:t>across areas to improve</w:t>
      </w:r>
      <w:r w:rsidR="004062D3">
        <w:t xml:space="preserve"> wellbeing.</w:t>
      </w:r>
      <w:r w:rsidR="008F2066">
        <w:t xml:space="preserve"> These factors are interrelated, and it is the combination of these factors that will contribute to improved outcomes rather than any one factor </w:t>
      </w:r>
      <w:r w:rsidR="006F082E">
        <w:t>alone</w:t>
      </w:r>
      <w:r w:rsidR="008F2066">
        <w:t>.</w:t>
      </w:r>
      <w:r w:rsidR="00A65D9E">
        <w:t xml:space="preserve"> </w:t>
      </w:r>
      <w:r w:rsidR="00EC19FD">
        <w:t>Box </w:t>
      </w:r>
      <w:r w:rsidR="00480880">
        <w:t>3.1 provides a consolidated list of these factors</w:t>
      </w:r>
      <w:r w:rsidR="00BE6003">
        <w:t>.</w:t>
      </w:r>
    </w:p>
    <w:p w14:paraId="04560C74" w14:textId="77777777" w:rsidR="00480880" w:rsidRDefault="0048088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80880" w14:paraId="4FE068F4" w14:textId="77777777" w:rsidTr="00750BE2">
        <w:trPr>
          <w:tblHeader/>
        </w:trPr>
        <w:tc>
          <w:tcPr>
            <w:tcW w:w="5000" w:type="pct"/>
            <w:tcBorders>
              <w:top w:val="single" w:sz="6" w:space="0" w:color="78A22F"/>
              <w:left w:val="nil"/>
              <w:bottom w:val="nil"/>
              <w:right w:val="nil"/>
            </w:tcBorders>
            <w:shd w:val="clear" w:color="auto" w:fill="F2F2F2"/>
          </w:tcPr>
          <w:p w14:paraId="74287A15" w14:textId="1978D4D4" w:rsidR="00480880" w:rsidRDefault="00480880">
            <w:pPr>
              <w:pStyle w:val="BoxTitle"/>
            </w:pPr>
            <w:r>
              <w:rPr>
                <w:b w:val="0"/>
              </w:rPr>
              <w:t>Box 3.</w:t>
            </w:r>
            <w:r w:rsidR="00BA7AEC">
              <w:rPr>
                <w:b w:val="0"/>
                <w:noProof/>
              </w:rPr>
              <w:t>1</w:t>
            </w:r>
            <w:r>
              <w:tab/>
              <w:t>Key factors for improving outcomes for Aboriginal and Torres Strait Islander people</w:t>
            </w:r>
          </w:p>
        </w:tc>
      </w:tr>
      <w:tr w:rsidR="00480880" w14:paraId="2F82B931" w14:textId="77777777" w:rsidTr="00CF4D72">
        <w:tc>
          <w:tcPr>
            <w:tcW w:w="5000" w:type="pct"/>
            <w:tcBorders>
              <w:top w:val="nil"/>
              <w:left w:val="nil"/>
              <w:bottom w:val="nil"/>
              <w:right w:val="nil"/>
            </w:tcBorders>
            <w:shd w:val="clear" w:color="auto" w:fill="F2F2F2"/>
          </w:tcPr>
          <w:p w14:paraId="023C3089" w14:textId="26CB2FAD" w:rsidR="0075368D" w:rsidRDefault="0075368D" w:rsidP="000B32D6">
            <w:pPr>
              <w:pStyle w:val="BoxListBullet"/>
            </w:pPr>
            <w:r>
              <w:t>Addressing racism and discrimination in the Australian community through structural changes by building knowledge and understanding through education.</w:t>
            </w:r>
          </w:p>
          <w:p w14:paraId="4DFC2807" w14:textId="265A5E78" w:rsidR="00480880" w:rsidRDefault="00480880" w:rsidP="000B32D6">
            <w:pPr>
              <w:pStyle w:val="BoxListBullet"/>
            </w:pPr>
            <w:r>
              <w:t>Enabling Aboriginal and Torres Strait Islander people to share in decision</w:t>
            </w:r>
            <w:r w:rsidR="00EC19FD">
              <w:noBreakHyphen/>
            </w:r>
            <w:r>
              <w:t>making on things that affect them.</w:t>
            </w:r>
          </w:p>
          <w:p w14:paraId="5D98707A" w14:textId="77777777" w:rsidR="00480880" w:rsidRDefault="00480880" w:rsidP="000B32D6">
            <w:pPr>
              <w:pStyle w:val="BoxListBullet"/>
            </w:pPr>
            <w:r>
              <w:t>A</w:t>
            </w:r>
            <w:r w:rsidRPr="00480880">
              <w:t>ddressing laws, policies, and practices that operate to the detriment of Aboriginal and Torres Strait Islander people</w:t>
            </w:r>
            <w:r>
              <w:t>.</w:t>
            </w:r>
          </w:p>
          <w:p w14:paraId="3C1FF3A7" w14:textId="77777777" w:rsidR="00480880" w:rsidRDefault="00DC065B" w:rsidP="000B32D6">
            <w:pPr>
              <w:pStyle w:val="BoxListBullet"/>
            </w:pPr>
            <w:r>
              <w:t>Ongoing</w:t>
            </w:r>
            <w:r w:rsidR="00480880" w:rsidRPr="00480880">
              <w:t xml:space="preserve"> government investment, collaboration and coordination</w:t>
            </w:r>
            <w:r w:rsidR="00480880">
              <w:t>.</w:t>
            </w:r>
          </w:p>
          <w:p w14:paraId="30D326C2" w14:textId="0587180F" w:rsidR="00995A41" w:rsidRDefault="00480880" w:rsidP="0075368D">
            <w:pPr>
              <w:pStyle w:val="BoxListBullet"/>
            </w:pPr>
            <w:r>
              <w:t>E</w:t>
            </w:r>
            <w:r w:rsidRPr="00480880">
              <w:t>nsuring access to effective</w:t>
            </w:r>
            <w:r w:rsidR="0021320D">
              <w:t>,</w:t>
            </w:r>
            <w:r w:rsidRPr="00480880">
              <w:t xml:space="preserve"> culturally safe services </w:t>
            </w:r>
            <w:r w:rsidR="000E3775">
              <w:t xml:space="preserve">that are </w:t>
            </w:r>
            <w:r w:rsidR="00F44875">
              <w:t xml:space="preserve">available </w:t>
            </w:r>
            <w:r w:rsidRPr="00480880">
              <w:t xml:space="preserve">at the right time and </w:t>
            </w:r>
            <w:r w:rsidR="00975F75">
              <w:t>suited to the local context</w:t>
            </w:r>
            <w:r>
              <w:t>.</w:t>
            </w:r>
          </w:p>
        </w:tc>
      </w:tr>
      <w:tr w:rsidR="00480880" w14:paraId="48556F1D" w14:textId="77777777" w:rsidTr="00CF4D72">
        <w:tc>
          <w:tcPr>
            <w:tcW w:w="5000" w:type="pct"/>
            <w:tcBorders>
              <w:top w:val="nil"/>
              <w:left w:val="nil"/>
              <w:bottom w:val="single" w:sz="6" w:space="0" w:color="78A22F"/>
              <w:right w:val="nil"/>
            </w:tcBorders>
            <w:shd w:val="clear" w:color="auto" w:fill="F2F2F2"/>
          </w:tcPr>
          <w:p w14:paraId="4507690A" w14:textId="77777777" w:rsidR="00480880" w:rsidRDefault="00480880">
            <w:pPr>
              <w:pStyle w:val="Box"/>
              <w:spacing w:before="0" w:line="120" w:lineRule="exact"/>
            </w:pPr>
          </w:p>
        </w:tc>
      </w:tr>
      <w:tr w:rsidR="00480880" w:rsidRPr="000863A5" w14:paraId="2A38634B" w14:textId="77777777" w:rsidTr="00CF4D72">
        <w:tc>
          <w:tcPr>
            <w:tcW w:w="5000" w:type="pct"/>
            <w:tcBorders>
              <w:top w:val="single" w:sz="6" w:space="0" w:color="78A22F"/>
              <w:left w:val="nil"/>
              <w:bottom w:val="nil"/>
              <w:right w:val="nil"/>
            </w:tcBorders>
          </w:tcPr>
          <w:p w14:paraId="10947425" w14:textId="77777777" w:rsidR="00480880" w:rsidRPr="00626D32" w:rsidRDefault="00480880" w:rsidP="00537BB4">
            <w:pPr>
              <w:pStyle w:val="BoxSpaceBelow"/>
            </w:pPr>
          </w:p>
        </w:tc>
      </w:tr>
    </w:tbl>
    <w:p w14:paraId="50460265" w14:textId="77777777" w:rsidR="004C2428" w:rsidRDefault="004C2428" w:rsidP="00C40B23">
      <w:pPr>
        <w:pStyle w:val="BodyText"/>
      </w:pPr>
    </w:p>
    <w:p w14:paraId="28D6C7D7" w14:textId="77777777" w:rsidR="004C2428" w:rsidRDefault="004C2428">
      <w:pPr>
        <w:rPr>
          <w:rFonts w:ascii="Arial" w:hAnsi="Arial"/>
          <w:b/>
          <w:sz w:val="26"/>
          <w:szCs w:val="20"/>
        </w:rPr>
      </w:pPr>
      <w:r>
        <w:br w:type="page"/>
      </w:r>
    </w:p>
    <w:p w14:paraId="52BD5334" w14:textId="680BBFCB" w:rsidR="00445961" w:rsidRDefault="00D60F0A" w:rsidP="00445961">
      <w:pPr>
        <w:pStyle w:val="Heading3"/>
      </w:pPr>
      <w:r w:rsidRPr="00D60F0A">
        <w:lastRenderedPageBreak/>
        <w:t>Improving outcomes for Aboriginal and Torres Strait Islander people requires</w:t>
      </w:r>
      <w:r w:rsidR="00F34A5B">
        <w:t>…</w:t>
      </w:r>
      <w:r w:rsidR="0021320D">
        <w:t xml:space="preserve"> </w:t>
      </w:r>
      <w:r w:rsidR="00F34A5B">
        <w:t>address</w:t>
      </w:r>
      <w:r w:rsidR="00583BC0">
        <w:t>ing</w:t>
      </w:r>
      <w:r w:rsidR="00F34A5B">
        <w:t xml:space="preserve"> racism and discrimination </w:t>
      </w:r>
      <w:r>
        <w:t>in</w:t>
      </w:r>
      <w:r w:rsidR="00F34A5B">
        <w:t xml:space="preserve"> the Australian community</w:t>
      </w:r>
      <w:r w:rsidR="00480880">
        <w:t xml:space="preserve"> through </w:t>
      </w:r>
      <w:r w:rsidR="003A29C7">
        <w:t>structural change</w:t>
      </w:r>
      <w:r w:rsidR="00A478FE">
        <w:t xml:space="preserve">, </w:t>
      </w:r>
      <w:r w:rsidR="00866F16">
        <w:t xml:space="preserve">and </w:t>
      </w:r>
      <w:r w:rsidR="00480880">
        <w:t xml:space="preserve">building knowledge </w:t>
      </w:r>
      <w:r w:rsidR="00866F16">
        <w:t xml:space="preserve">through </w:t>
      </w:r>
      <w:r w:rsidR="00480880">
        <w:t>education</w:t>
      </w:r>
      <w:r w:rsidR="00BE6003">
        <w:t>…</w:t>
      </w:r>
      <w:r w:rsidR="00F34A5B">
        <w:t xml:space="preserve"> </w:t>
      </w:r>
    </w:p>
    <w:p w14:paraId="442DD266" w14:textId="5EEE434E" w:rsidR="006E7249" w:rsidRDefault="006E7249" w:rsidP="002C7853">
      <w:pPr>
        <w:pStyle w:val="Body"/>
      </w:pPr>
      <w:r w:rsidRPr="002C7853">
        <w:t xml:space="preserve">Aboriginal and Torres Strait Islander people </w:t>
      </w:r>
      <w:r w:rsidR="00BE6003" w:rsidRPr="002C7853">
        <w:t xml:space="preserve">continue to </w:t>
      </w:r>
      <w:r w:rsidRPr="002C7853">
        <w:t xml:space="preserve">experience racism and discrimination </w:t>
      </w:r>
      <w:r w:rsidR="0021320D" w:rsidRPr="002C7853">
        <w:t xml:space="preserve">that </w:t>
      </w:r>
      <w:r w:rsidR="00295BAB" w:rsidRPr="002C7853">
        <w:t>can have</w:t>
      </w:r>
      <w:r w:rsidRPr="002C7853">
        <w:t xml:space="preserve"> a significant effect on their health and wellbeing, and </w:t>
      </w:r>
      <w:r w:rsidR="00295BAB" w:rsidRPr="002C7853">
        <w:t xml:space="preserve">can </w:t>
      </w:r>
      <w:r w:rsidRPr="002C7853">
        <w:t xml:space="preserve">also </w:t>
      </w:r>
      <w:r w:rsidR="00D60F0A" w:rsidRPr="002C7853">
        <w:t xml:space="preserve">limit </w:t>
      </w:r>
      <w:r w:rsidRPr="002C7853">
        <w:t xml:space="preserve">opportunities (such as </w:t>
      </w:r>
      <w:r w:rsidR="00D60F0A" w:rsidRPr="002C7853">
        <w:t xml:space="preserve">in </w:t>
      </w:r>
      <w:r w:rsidRPr="002C7853">
        <w:t>employment and education) to improve their wellbeing.</w:t>
      </w:r>
      <w:r w:rsidR="00295BAB" w:rsidRPr="002C7853">
        <w:t xml:space="preserve"> </w:t>
      </w:r>
      <w:r w:rsidR="00FF1BA7" w:rsidRPr="002C7853">
        <w:t>Under</w:t>
      </w:r>
      <w:r w:rsidR="00295BAB" w:rsidRPr="002C7853">
        <w:t xml:space="preserve"> the National Agreement on Closing the Gap, Australian governments have committed to identifying and eliminating racism as part of transforming mainstream government organisations (part of Priority Reform Three).</w:t>
      </w:r>
      <w:r w:rsidR="00295BAB">
        <w:t xml:space="preserve">  </w:t>
      </w:r>
    </w:p>
    <w:p w14:paraId="2CED6B19" w14:textId="77777777" w:rsidR="006A0589" w:rsidRDefault="006E7249" w:rsidP="00445961">
      <w:pPr>
        <w:pStyle w:val="Body"/>
      </w:pPr>
      <w:r>
        <w:t>Racism and discrimination</w:t>
      </w:r>
      <w:r w:rsidRPr="006E7249">
        <w:t xml:space="preserve"> </w:t>
      </w:r>
      <w:r w:rsidR="006A0589">
        <w:t>are</w:t>
      </w:r>
      <w:r>
        <w:t xml:space="preserve"> driven by v</w:t>
      </w:r>
      <w:r w:rsidR="00445961">
        <w:t xml:space="preserve">alues and beliefs. </w:t>
      </w:r>
      <w:r w:rsidR="00EB064F">
        <w:t>Research indicates that v</w:t>
      </w:r>
      <w:r w:rsidR="00F34A5B">
        <w:t xml:space="preserve">alues and beliefs </w:t>
      </w:r>
      <w:r w:rsidR="00D60F0A">
        <w:t>can</w:t>
      </w:r>
      <w:r w:rsidR="00F34A5B">
        <w:t xml:space="preserve"> change through </w:t>
      </w:r>
      <w:r w:rsidR="00CB67B9">
        <w:t xml:space="preserve">knowledge and </w:t>
      </w:r>
      <w:r w:rsidR="00F34A5B">
        <w:t>education</w:t>
      </w:r>
      <w:r w:rsidR="00BE6003">
        <w:t>.</w:t>
      </w:r>
      <w:r w:rsidR="00F34A5B">
        <w:t xml:space="preserve"> </w:t>
      </w:r>
    </w:p>
    <w:p w14:paraId="2B3261F8" w14:textId="1314198D" w:rsidR="00F34A5B" w:rsidRDefault="006E7249" w:rsidP="00583BC0">
      <w:pPr>
        <w:pStyle w:val="ListBullet"/>
      </w:pPr>
      <w:r>
        <w:t xml:space="preserve">Increasing knowledge of </w:t>
      </w:r>
      <w:r w:rsidR="00F34A5B">
        <w:t>the shared history of Australia</w:t>
      </w:r>
      <w:r w:rsidR="00CB67B9">
        <w:t xml:space="preserve"> </w:t>
      </w:r>
      <w:r w:rsidR="00854129">
        <w:t xml:space="preserve">could </w:t>
      </w:r>
      <w:r>
        <w:t xml:space="preserve">promote </w:t>
      </w:r>
      <w:r w:rsidR="00854129">
        <w:t xml:space="preserve">understanding </w:t>
      </w:r>
      <w:r w:rsidR="006A0589">
        <w:t>of the effects that colonisation and government policies have had</w:t>
      </w:r>
      <w:r w:rsidR="00516B47">
        <w:t>, and continue to have,</w:t>
      </w:r>
      <w:r w:rsidR="006A0589">
        <w:t xml:space="preserve"> on </w:t>
      </w:r>
      <w:r w:rsidR="006A0589" w:rsidRPr="005A6F84">
        <w:t>Aboriginal and Torres Strait Islander people</w:t>
      </w:r>
      <w:r w:rsidR="006A0589">
        <w:t xml:space="preserve">, </w:t>
      </w:r>
      <w:r w:rsidR="00854129">
        <w:t xml:space="preserve">and </w:t>
      </w:r>
      <w:r w:rsidR="00CB67B9">
        <w:t xml:space="preserve">change </w:t>
      </w:r>
      <w:r>
        <w:t xml:space="preserve">the </w:t>
      </w:r>
      <w:r w:rsidR="00CB67B9">
        <w:t>values and beliefs</w:t>
      </w:r>
      <w:r w:rsidR="00854129">
        <w:t xml:space="preserve"> </w:t>
      </w:r>
      <w:r w:rsidR="00D60F0A">
        <w:t xml:space="preserve">across the community </w:t>
      </w:r>
      <w:r w:rsidR="00854129">
        <w:t xml:space="preserve">that lead to racism. </w:t>
      </w:r>
      <w:r w:rsidR="00EB064F">
        <w:t>T</w:t>
      </w:r>
      <w:r w:rsidR="00F34A5B">
        <w:t xml:space="preserve">he </w:t>
      </w:r>
      <w:r w:rsidR="00F34A5B" w:rsidRPr="00B509BB">
        <w:t>Uluru Statement from the Heart</w:t>
      </w:r>
      <w:r w:rsidR="00F34A5B">
        <w:t xml:space="preserve"> </w:t>
      </w:r>
      <w:r w:rsidR="00EB064F">
        <w:t>proposed the establishment of a Makarrata Commission to supervise truth</w:t>
      </w:r>
      <w:r w:rsidR="00EC19FD">
        <w:noBreakHyphen/>
      </w:r>
      <w:r w:rsidR="00EB064F">
        <w:t xml:space="preserve">telling about this shared history </w:t>
      </w:r>
      <w:r w:rsidR="00F34A5B">
        <w:t>(</w:t>
      </w:r>
      <w:r w:rsidR="00854129">
        <w:t>section 5.1</w:t>
      </w:r>
      <w:r w:rsidR="00EC19FD">
        <w:t> </w:t>
      </w:r>
      <w:r w:rsidR="0021320D" w:rsidRPr="00A478FE">
        <w:rPr>
          <w:i/>
        </w:rPr>
        <w:t xml:space="preserve">Valuing </w:t>
      </w:r>
      <w:r w:rsidR="000E3775">
        <w:rPr>
          <w:i/>
        </w:rPr>
        <w:t>Aboriginal and Torres Strait Islander people</w:t>
      </w:r>
      <w:r w:rsidR="0021320D" w:rsidRPr="00A478FE">
        <w:rPr>
          <w:i/>
        </w:rPr>
        <w:t xml:space="preserve"> and their cultures</w:t>
      </w:r>
      <w:r w:rsidR="00854129">
        <w:t>)</w:t>
      </w:r>
      <w:r w:rsidR="00F34A5B">
        <w:t>.</w:t>
      </w:r>
    </w:p>
    <w:p w14:paraId="46E5304C" w14:textId="736B721A" w:rsidR="006A0589" w:rsidRDefault="006A0589" w:rsidP="00583BC0">
      <w:pPr>
        <w:pStyle w:val="ListBullet"/>
      </w:pPr>
      <w:r>
        <w:t>E</w:t>
      </w:r>
      <w:r w:rsidR="00854129">
        <w:t xml:space="preserve">ducation </w:t>
      </w:r>
      <w:r>
        <w:t xml:space="preserve">in schools </w:t>
      </w:r>
      <w:r w:rsidR="00854129">
        <w:t xml:space="preserve">on the </w:t>
      </w:r>
      <w:r w:rsidR="00445961">
        <w:t xml:space="preserve">cultures of </w:t>
      </w:r>
      <w:r w:rsidR="00445961" w:rsidRPr="00F71FF5">
        <w:t>Aboriginal and Torres Strait Islander people</w:t>
      </w:r>
      <w:r w:rsidR="00445961">
        <w:t xml:space="preserve"> </w:t>
      </w:r>
      <w:r>
        <w:t>can</w:t>
      </w:r>
      <w:r w:rsidR="00445961" w:rsidRPr="00E21DD7">
        <w:t xml:space="preserve"> promote a greater understanding </w:t>
      </w:r>
      <w:r w:rsidR="00EB064F">
        <w:t xml:space="preserve">of, </w:t>
      </w:r>
      <w:r w:rsidR="00445961" w:rsidRPr="00E21DD7">
        <w:t>and build respect for</w:t>
      </w:r>
      <w:r w:rsidR="00EB064F">
        <w:t>,</w:t>
      </w:r>
      <w:r w:rsidR="00445961" w:rsidRPr="00E21DD7">
        <w:t xml:space="preserve"> </w:t>
      </w:r>
      <w:r w:rsidR="00EB064F">
        <w:t>Aboriginal and Torres Strait Islander people</w:t>
      </w:r>
      <w:r>
        <w:t xml:space="preserve"> (section 5.6</w:t>
      </w:r>
      <w:r w:rsidR="00EC19FD">
        <w:t> </w:t>
      </w:r>
      <w:r w:rsidR="0021320D" w:rsidRPr="00A478FE">
        <w:rPr>
          <w:i/>
        </w:rPr>
        <w:t>Indigenous cultural studies</w:t>
      </w:r>
      <w:r>
        <w:t>)</w:t>
      </w:r>
      <w:r w:rsidR="00445961">
        <w:t xml:space="preserve">. </w:t>
      </w:r>
    </w:p>
    <w:p w14:paraId="617ABF34" w14:textId="741FFD4D" w:rsidR="00445961" w:rsidRDefault="00474F90" w:rsidP="00583BC0">
      <w:pPr>
        <w:pStyle w:val="ListBullet"/>
      </w:pPr>
      <w:r>
        <w:t>Education</w:t>
      </w:r>
      <w:r w:rsidR="00445961">
        <w:t xml:space="preserve"> </w:t>
      </w:r>
      <w:r>
        <w:t xml:space="preserve">to build cultural capability </w:t>
      </w:r>
      <w:r w:rsidR="00445961">
        <w:t xml:space="preserve">in service delivery areas </w:t>
      </w:r>
      <w:r w:rsidR="005A4B32">
        <w:t xml:space="preserve">that significantly affect </w:t>
      </w:r>
      <w:r w:rsidR="005A4B32" w:rsidRPr="005A4B32">
        <w:t>Aboriginal and Torres Strait Islander people</w:t>
      </w:r>
      <w:r w:rsidR="005A4B32">
        <w:t>’s outcomes</w:t>
      </w:r>
      <w:r>
        <w:t>,</w:t>
      </w:r>
      <w:r w:rsidR="005A4B32" w:rsidRPr="005A4B32">
        <w:t xml:space="preserve"> </w:t>
      </w:r>
      <w:r w:rsidR="00EB064F">
        <w:t xml:space="preserve">including education, health, </w:t>
      </w:r>
      <w:r w:rsidR="00445961">
        <w:t>police and child protection</w:t>
      </w:r>
      <w:r w:rsidR="00D60F0A">
        <w:t xml:space="preserve"> </w:t>
      </w:r>
      <w:r w:rsidR="006F082E">
        <w:t xml:space="preserve">to ensure these services are culturally safe </w:t>
      </w:r>
      <w:r w:rsidR="00445961">
        <w:t>(see section</w:t>
      </w:r>
      <w:r w:rsidR="005A4B32">
        <w:t>s</w:t>
      </w:r>
      <w:r w:rsidR="00EC19FD">
        <w:t> </w:t>
      </w:r>
      <w:r w:rsidR="00C63CB9">
        <w:t>7.1</w:t>
      </w:r>
      <w:r w:rsidR="008F4505">
        <w:t> </w:t>
      </w:r>
      <w:r w:rsidR="0021320D" w:rsidRPr="00A478FE">
        <w:rPr>
          <w:i/>
        </w:rPr>
        <w:t>Teacher quality</w:t>
      </w:r>
      <w:r w:rsidR="00C63CB9">
        <w:t>, 8.1</w:t>
      </w:r>
      <w:r w:rsidR="00EC19FD">
        <w:t> </w:t>
      </w:r>
      <w:r w:rsidR="0021320D" w:rsidRPr="00A478FE">
        <w:rPr>
          <w:i/>
        </w:rPr>
        <w:t xml:space="preserve">Access to </w:t>
      </w:r>
      <w:r w:rsidR="000E3775">
        <w:rPr>
          <w:i/>
        </w:rPr>
        <w:t>p</w:t>
      </w:r>
      <w:r w:rsidR="0021320D" w:rsidRPr="00A478FE">
        <w:rPr>
          <w:i/>
        </w:rPr>
        <w:t xml:space="preserve">rimary </w:t>
      </w:r>
      <w:r w:rsidR="000E3775">
        <w:rPr>
          <w:i/>
        </w:rPr>
        <w:t>h</w:t>
      </w:r>
      <w:r w:rsidR="0021320D" w:rsidRPr="00A478FE">
        <w:rPr>
          <w:i/>
        </w:rPr>
        <w:t>ealth</w:t>
      </w:r>
      <w:r w:rsidR="000E3775">
        <w:rPr>
          <w:i/>
        </w:rPr>
        <w:t xml:space="preserve"> care</w:t>
      </w:r>
      <w:r w:rsidR="00C63CB9">
        <w:t>,</w:t>
      </w:r>
      <w:r w:rsidR="00DC065B">
        <w:t xml:space="preserve"> 8.2</w:t>
      </w:r>
      <w:r w:rsidR="00EC19FD">
        <w:rPr>
          <w:i/>
        </w:rPr>
        <w:t> </w:t>
      </w:r>
      <w:r w:rsidR="0021320D">
        <w:rPr>
          <w:i/>
        </w:rPr>
        <w:t>Potentially preventable hospitalisations</w:t>
      </w:r>
      <w:r w:rsidR="00DC065B">
        <w:t>,</w:t>
      </w:r>
      <w:r w:rsidR="00C63CB9">
        <w:t xml:space="preserve"> </w:t>
      </w:r>
      <w:r w:rsidR="00A44E08">
        <w:t>8.6</w:t>
      </w:r>
      <w:r w:rsidR="00EC19FD">
        <w:t> </w:t>
      </w:r>
      <w:r w:rsidR="00EC19FD" w:rsidRPr="00EC19FD">
        <w:rPr>
          <w:i/>
        </w:rPr>
        <w:t>O</w:t>
      </w:r>
      <w:r w:rsidR="00A44E08">
        <w:rPr>
          <w:i/>
        </w:rPr>
        <w:t xml:space="preserve">ral health, </w:t>
      </w:r>
      <w:r w:rsidR="005A4B32">
        <w:t>11.3</w:t>
      </w:r>
      <w:r w:rsidR="00EC19FD">
        <w:t> </w:t>
      </w:r>
      <w:r w:rsidR="0021320D">
        <w:rPr>
          <w:i/>
        </w:rPr>
        <w:t xml:space="preserve">Youth diversions </w:t>
      </w:r>
      <w:r w:rsidR="00445961">
        <w:t xml:space="preserve">and </w:t>
      </w:r>
      <w:r w:rsidR="005A4B32">
        <w:t>4.13</w:t>
      </w:r>
      <w:r w:rsidR="00EC19FD">
        <w:t> </w:t>
      </w:r>
      <w:r w:rsidR="0021320D">
        <w:rPr>
          <w:i/>
        </w:rPr>
        <w:t>Imprisonment and youth detention</w:t>
      </w:r>
      <w:r w:rsidR="00445961">
        <w:t>).</w:t>
      </w:r>
    </w:p>
    <w:p w14:paraId="3D0627CD" w14:textId="55F95833" w:rsidR="00267CF7" w:rsidRDefault="006F7FE5" w:rsidP="00A24CB8">
      <w:pPr>
        <w:pStyle w:val="Body"/>
      </w:pPr>
      <w:r>
        <w:t xml:space="preserve">Other structural changes to support changes </w:t>
      </w:r>
      <w:r w:rsidR="00267CF7">
        <w:t xml:space="preserve">to </w:t>
      </w:r>
      <w:r>
        <w:t xml:space="preserve">values </w:t>
      </w:r>
      <w:r w:rsidR="00866F16">
        <w:t xml:space="preserve">and beliefs </w:t>
      </w:r>
      <w:r>
        <w:t>are also required. These include polic</w:t>
      </w:r>
      <w:r w:rsidR="00267CF7">
        <w:t>ies</w:t>
      </w:r>
      <w:r>
        <w:t xml:space="preserve"> that may discriminate positively to</w:t>
      </w:r>
      <w:r w:rsidR="00267CF7">
        <w:t>ward</w:t>
      </w:r>
      <w:r w:rsidR="00310654">
        <w:t>s</w:t>
      </w:r>
      <w:r w:rsidR="00267CF7">
        <w:t xml:space="preserve"> Aboriginal and Torres Strait Islander people to</w:t>
      </w:r>
      <w:r>
        <w:t xml:space="preserve"> help address any existing biases</w:t>
      </w:r>
      <w:r w:rsidR="00267CF7">
        <w:t>, f</w:t>
      </w:r>
      <w:r>
        <w:t>or example</w:t>
      </w:r>
      <w:r w:rsidR="00267CF7">
        <w:t>:</w:t>
      </w:r>
    </w:p>
    <w:p w14:paraId="3031AB41" w14:textId="62A6DFA7" w:rsidR="00267CF7" w:rsidRDefault="00267CF7">
      <w:pPr>
        <w:pStyle w:val="ListBullet"/>
      </w:pPr>
      <w:r>
        <w:t xml:space="preserve">to increase </w:t>
      </w:r>
      <w:r w:rsidRPr="006F7FE5">
        <w:t>Aboriginal and Torres Strait Islander people’s</w:t>
      </w:r>
      <w:r>
        <w:t xml:space="preserve"> employment and retention, this might include implementing </w:t>
      </w:r>
      <w:r w:rsidR="006F7FE5">
        <w:t>policies that encourage non</w:t>
      </w:r>
      <w:r w:rsidR="00EC19FD">
        <w:noBreakHyphen/>
      </w:r>
      <w:r w:rsidR="006F7FE5">
        <w:t xml:space="preserve">standard recruitment methods, </w:t>
      </w:r>
      <w:r>
        <w:t xml:space="preserve">or </w:t>
      </w:r>
      <w:r w:rsidR="006F7FE5">
        <w:t>offers of</w:t>
      </w:r>
      <w:r w:rsidR="006F7FE5" w:rsidRPr="006F7FE5">
        <w:t xml:space="preserve"> </w:t>
      </w:r>
      <w:r w:rsidR="006F7FE5">
        <w:t xml:space="preserve">additional </w:t>
      </w:r>
      <w:r w:rsidR="006F7FE5" w:rsidRPr="006F7FE5">
        <w:t xml:space="preserve">support mechanisms to improve employee retention, including ongoing mentoring and support and flexible work arrangements </w:t>
      </w:r>
      <w:r>
        <w:t>(section</w:t>
      </w:r>
      <w:r w:rsidR="00C40B23">
        <w:t> </w:t>
      </w:r>
      <w:r>
        <w:t>4.7</w:t>
      </w:r>
      <w:r w:rsidR="00B509BB">
        <w:t> </w:t>
      </w:r>
      <w:r w:rsidR="00CD34F2" w:rsidRPr="00A478FE">
        <w:rPr>
          <w:i/>
        </w:rPr>
        <w:t>Employment</w:t>
      </w:r>
      <w:r>
        <w:t>)</w:t>
      </w:r>
      <w:r w:rsidR="006F7FE5">
        <w:t xml:space="preserve"> </w:t>
      </w:r>
    </w:p>
    <w:p w14:paraId="7C83B6E6" w14:textId="77777777" w:rsidR="00336173" w:rsidRDefault="00625A57" w:rsidP="003D097D">
      <w:pPr>
        <w:pStyle w:val="ListBullet"/>
      </w:pPr>
      <w:r>
        <w:t xml:space="preserve">to reduce </w:t>
      </w:r>
      <w:r w:rsidRPr="00625A57">
        <w:t xml:space="preserve">Aboriginal and Torres Strait Islander </w:t>
      </w:r>
      <w:r>
        <w:t>children</w:t>
      </w:r>
      <w:r w:rsidR="00310654">
        <w:t>’s</w:t>
      </w:r>
      <w:r>
        <w:t xml:space="preserve"> overrepresentation in child protection services, </w:t>
      </w:r>
      <w:r w:rsidR="00336173">
        <w:t>providing Aboriginal and Torres Strait Islander families with children who are in, or at risk of entering, the child protection system with the support they need to:</w:t>
      </w:r>
    </w:p>
    <w:p w14:paraId="640C9109" w14:textId="77777777" w:rsidR="00336173" w:rsidRDefault="00336173" w:rsidP="003D097D">
      <w:pPr>
        <w:pStyle w:val="ListBullet2"/>
      </w:pPr>
      <w:r>
        <w:lastRenderedPageBreak/>
        <w:t xml:space="preserve">interact and navigate the system (including accessible and culturally appropriate legal advice) </w:t>
      </w:r>
    </w:p>
    <w:p w14:paraId="5124ED4C" w14:textId="737C35AF" w:rsidR="006F7FE5" w:rsidRDefault="00336173" w:rsidP="003D097D">
      <w:pPr>
        <w:pStyle w:val="ListBullet2"/>
      </w:pPr>
      <w:r>
        <w:t>access long</w:t>
      </w:r>
      <w:r w:rsidR="00EC19FD">
        <w:noBreakHyphen/>
      </w:r>
      <w:r>
        <w:t>term stable housing in a timely manner for women and children who have experienced domestic violence</w:t>
      </w:r>
      <w:r w:rsidRPr="00336173">
        <w:t xml:space="preserve"> </w:t>
      </w:r>
      <w:r w:rsidR="00625A57">
        <w:t>(section 4.11</w:t>
      </w:r>
      <w:r w:rsidR="00EC19FD">
        <w:t> </w:t>
      </w:r>
      <w:r w:rsidR="00CD34F2" w:rsidRPr="00336173">
        <w:rPr>
          <w:i/>
        </w:rPr>
        <w:t>Substantiated child abuse and neglect</w:t>
      </w:r>
      <w:r w:rsidR="00625A57">
        <w:t>).</w:t>
      </w:r>
    </w:p>
    <w:p w14:paraId="10B04D16" w14:textId="7D54404F" w:rsidR="00445961" w:rsidRDefault="006E7249" w:rsidP="00445961">
      <w:pPr>
        <w:pStyle w:val="Heading3"/>
      </w:pPr>
      <w:r>
        <w:t>…</w:t>
      </w:r>
      <w:r w:rsidR="00583BC0">
        <w:t xml:space="preserve">enabling </w:t>
      </w:r>
      <w:r w:rsidR="00445961" w:rsidRPr="0075710E">
        <w:t>Aboriginal and Torres Strait Islander people</w:t>
      </w:r>
      <w:r w:rsidR="00445961">
        <w:t xml:space="preserve"> </w:t>
      </w:r>
      <w:r>
        <w:t xml:space="preserve">to </w:t>
      </w:r>
      <w:r w:rsidR="00445961">
        <w:t>share in decision</w:t>
      </w:r>
      <w:r w:rsidR="00EC19FD">
        <w:noBreakHyphen/>
      </w:r>
      <w:r w:rsidR="00B509BB">
        <w:t xml:space="preserve">making on things that </w:t>
      </w:r>
      <w:r w:rsidR="00445961">
        <w:t xml:space="preserve">affect them… </w:t>
      </w:r>
    </w:p>
    <w:p w14:paraId="5689FB9D" w14:textId="7F5956E6" w:rsidR="00EC5C39" w:rsidRDefault="00474F90">
      <w:pPr>
        <w:pStyle w:val="BodyText"/>
      </w:pPr>
      <w:r>
        <w:t>Improving outcomes for</w:t>
      </w:r>
      <w:r w:rsidRPr="002C08DE">
        <w:t xml:space="preserve"> </w:t>
      </w:r>
      <w:r>
        <w:t xml:space="preserve">Aboriginal and Torres Strait Islander people requires </w:t>
      </w:r>
      <w:r w:rsidR="006E42D9">
        <w:t>enabling</w:t>
      </w:r>
      <w:r w:rsidRPr="00474F90">
        <w:t xml:space="preserve"> Aboriginal and Torres Strait Islander people to share in making decision</w:t>
      </w:r>
      <w:r w:rsidR="00CD34F2">
        <w:t>s</w:t>
      </w:r>
      <w:r w:rsidR="00B509BB">
        <w:t xml:space="preserve"> on things that </w:t>
      </w:r>
      <w:r w:rsidRPr="00474F90">
        <w:t>affect them</w:t>
      </w:r>
      <w:r w:rsidRPr="00C96E22">
        <w:t>.</w:t>
      </w:r>
      <w:r>
        <w:t xml:space="preserve"> </w:t>
      </w:r>
      <w:r w:rsidR="006E7249" w:rsidRPr="00474F90">
        <w:t xml:space="preserve">Aboriginal and Torres Strait Islander community involvement in </w:t>
      </w:r>
      <w:r>
        <w:t xml:space="preserve">policy, </w:t>
      </w:r>
      <w:r w:rsidR="006E7249" w:rsidRPr="00474F90">
        <w:t xml:space="preserve">program </w:t>
      </w:r>
      <w:r w:rsidR="00763AA0">
        <w:t xml:space="preserve">and service </w:t>
      </w:r>
      <w:r w:rsidR="006E7249" w:rsidRPr="00474F90">
        <w:t>design</w:t>
      </w:r>
      <w:r w:rsidR="003B3B6E">
        <w:t>,</w:t>
      </w:r>
      <w:r w:rsidR="006E7249" w:rsidRPr="00474F90">
        <w:t xml:space="preserve"> and decision</w:t>
      </w:r>
      <w:r w:rsidR="00EC19FD">
        <w:noBreakHyphen/>
      </w:r>
      <w:r w:rsidR="006E7249" w:rsidRPr="00474F90">
        <w:t>making</w:t>
      </w:r>
      <w:r w:rsidR="006E7249">
        <w:t xml:space="preserve"> — a ‘bottom</w:t>
      </w:r>
      <w:r w:rsidR="00EC19FD">
        <w:noBreakHyphen/>
      </w:r>
      <w:r w:rsidR="006E7249">
        <w:t>up’ rather than ‘top</w:t>
      </w:r>
      <w:r w:rsidR="00EC19FD">
        <w:noBreakHyphen/>
      </w:r>
      <w:r w:rsidR="006E7249">
        <w:t xml:space="preserve">down’ approach — </w:t>
      </w:r>
      <w:r>
        <w:t>is important to</w:t>
      </w:r>
      <w:r w:rsidRPr="000836D5">
        <w:t xml:space="preserve"> ‘drive real change on the ground’</w:t>
      </w:r>
      <w:r w:rsidR="00763AA0">
        <w:t xml:space="preserve">, </w:t>
      </w:r>
      <w:r>
        <w:t xml:space="preserve">and close the gap in life outcomes between Aboriginal and Torres Strait Islander </w:t>
      </w:r>
      <w:r w:rsidR="003B3B6E">
        <w:t xml:space="preserve">people </w:t>
      </w:r>
      <w:r>
        <w:t>and non</w:t>
      </w:r>
      <w:r w:rsidR="00EC19FD">
        <w:noBreakHyphen/>
      </w:r>
      <w:r>
        <w:t>Indigenous people (section</w:t>
      </w:r>
      <w:r w:rsidR="008F4505">
        <w:t> </w:t>
      </w:r>
      <w:r>
        <w:t>5.4</w:t>
      </w:r>
      <w:r w:rsidR="00EC19FD">
        <w:t> </w:t>
      </w:r>
      <w:r w:rsidR="00972F48">
        <w:rPr>
          <w:i/>
        </w:rPr>
        <w:t>Case studies in governance</w:t>
      </w:r>
      <w:r>
        <w:t xml:space="preserve">). </w:t>
      </w:r>
    </w:p>
    <w:p w14:paraId="06869FD6" w14:textId="1E41DD1A" w:rsidR="006E7249" w:rsidRDefault="006E7249" w:rsidP="00474F90">
      <w:pPr>
        <w:pStyle w:val="Quote"/>
      </w:pPr>
      <w:r>
        <w:t>When [Indigenous people] make their own decisions about what development approaches to take, they consistently out</w:t>
      </w:r>
      <w:r w:rsidR="00EC19FD">
        <w:noBreakHyphen/>
      </w:r>
      <w:r>
        <w:t>perform [non</w:t>
      </w:r>
      <w:r w:rsidR="00EC19FD">
        <w:noBreakHyphen/>
      </w:r>
      <w:r>
        <w:t xml:space="preserve">Indigenous] decision makers. </w:t>
      </w:r>
      <w:r w:rsidRPr="00A478FE">
        <w:t xml:space="preserve">(Harvard Project </w:t>
      </w:r>
      <w:proofErr w:type="spellStart"/>
      <w:r w:rsidRPr="00A478FE">
        <w:t>nd</w:t>
      </w:r>
      <w:proofErr w:type="spellEnd"/>
      <w:r w:rsidRPr="00A478FE">
        <w:t>)</w:t>
      </w:r>
    </w:p>
    <w:p w14:paraId="75AE9A7F" w14:textId="570DBA2C" w:rsidR="00445961" w:rsidRDefault="00474F90" w:rsidP="00445961">
      <w:pPr>
        <w:pStyle w:val="Body"/>
      </w:pPr>
      <w:r>
        <w:t>Shared decision</w:t>
      </w:r>
      <w:r w:rsidR="00EC19FD">
        <w:noBreakHyphen/>
      </w:r>
      <w:r>
        <w:t xml:space="preserve">making needs to occur </w:t>
      </w:r>
      <w:r w:rsidR="002506F4">
        <w:t>at</w:t>
      </w:r>
      <w:r>
        <w:t xml:space="preserve"> all</w:t>
      </w:r>
      <w:r w:rsidR="00445961">
        <w:t xml:space="preserve"> levels</w:t>
      </w:r>
      <w:r>
        <w:t xml:space="preserve"> </w:t>
      </w:r>
      <w:r w:rsidR="00445961">
        <w:t>and</w:t>
      </w:r>
      <w:r w:rsidR="002506F4">
        <w:t xml:space="preserve"> for</w:t>
      </w:r>
      <w:r w:rsidR="00445961">
        <w:t xml:space="preserve"> </w:t>
      </w:r>
      <w:r w:rsidR="002118EE">
        <w:t xml:space="preserve">all </w:t>
      </w:r>
      <w:r w:rsidR="00445961">
        <w:t>types of decisions</w:t>
      </w:r>
      <w:r w:rsidR="00D60F0A">
        <w:t xml:space="preserve"> relating to</w:t>
      </w:r>
      <w:r w:rsidR="00D60F0A" w:rsidRPr="00D60F0A">
        <w:t xml:space="preserve"> Aboriginal and Torres Strait Islander people</w:t>
      </w:r>
      <w:r w:rsidR="00445961">
        <w:t>. Levels of decision</w:t>
      </w:r>
      <w:r w:rsidR="00EC19FD">
        <w:noBreakHyphen/>
      </w:r>
      <w:r w:rsidR="00445961">
        <w:t>making include national, state and territory, local and service level, and the types of decision</w:t>
      </w:r>
      <w:r w:rsidR="00972F48">
        <w:t>s</w:t>
      </w:r>
      <w:r w:rsidR="00445961">
        <w:t xml:space="preserve"> are varied</w:t>
      </w:r>
      <w:r w:rsidR="00A44E08">
        <w:t>.</w:t>
      </w:r>
      <w:r w:rsidR="00445961">
        <w:t xml:space="preserve"> </w:t>
      </w:r>
      <w:r w:rsidR="000E3775">
        <w:t>E</w:t>
      </w:r>
      <w:r w:rsidR="002118EE">
        <w:t>xamples in this Report rang</w:t>
      </w:r>
      <w:r w:rsidR="000E3775">
        <w:t>e</w:t>
      </w:r>
      <w:r w:rsidR="002118EE">
        <w:t xml:space="preserve"> from</w:t>
      </w:r>
      <w:r w:rsidR="00445961">
        <w:t xml:space="preserve"> </w:t>
      </w:r>
      <w:r w:rsidR="00D60F0A">
        <w:t xml:space="preserve">national </w:t>
      </w:r>
      <w:r w:rsidR="00445961">
        <w:t xml:space="preserve">policies </w:t>
      </w:r>
      <w:r w:rsidR="00F44875">
        <w:t>as part of the</w:t>
      </w:r>
      <w:r w:rsidR="00445961">
        <w:t xml:space="preserve"> </w:t>
      </w:r>
      <w:r w:rsidR="002118EE">
        <w:t>C</w:t>
      </w:r>
      <w:r w:rsidR="00445961">
        <w:t xml:space="preserve">losing the </w:t>
      </w:r>
      <w:r w:rsidR="002118EE">
        <w:t>G</w:t>
      </w:r>
      <w:r w:rsidR="00445961">
        <w:t>ap</w:t>
      </w:r>
      <w:r w:rsidR="00F44875">
        <w:t xml:space="preserve"> agenda</w:t>
      </w:r>
      <w:r w:rsidR="00445961">
        <w:t xml:space="preserve"> (section</w:t>
      </w:r>
      <w:r w:rsidR="00972F48">
        <w:t> </w:t>
      </w:r>
      <w:r w:rsidR="00445961">
        <w:t>5.4</w:t>
      </w:r>
      <w:r w:rsidR="00972F48">
        <w:t xml:space="preserve"> </w:t>
      </w:r>
      <w:r w:rsidR="00972F48">
        <w:rPr>
          <w:i/>
        </w:rPr>
        <w:t>Case studies in governance</w:t>
      </w:r>
      <w:r w:rsidR="00445961">
        <w:t xml:space="preserve">), </w:t>
      </w:r>
      <w:r w:rsidR="002118EE">
        <w:t xml:space="preserve">to </w:t>
      </w:r>
      <w:r w:rsidR="00445961">
        <w:t xml:space="preserve">planning for appropriate community housing or the effects of sealing roads in a </w:t>
      </w:r>
      <w:r w:rsidR="002118EE">
        <w:t xml:space="preserve">geographical </w:t>
      </w:r>
      <w:r w:rsidR="00445961">
        <w:t>region (sections</w:t>
      </w:r>
      <w:r w:rsidR="008F4505">
        <w:t> </w:t>
      </w:r>
      <w:r w:rsidR="00445961">
        <w:t>9.2</w:t>
      </w:r>
      <w:r w:rsidR="00EC19FD">
        <w:t> </w:t>
      </w:r>
      <w:r w:rsidR="00972F48" w:rsidRPr="00A478FE">
        <w:rPr>
          <w:i/>
        </w:rPr>
        <w:t>Indigenous owned or controlled land and business</w:t>
      </w:r>
      <w:r w:rsidR="00972F48">
        <w:t xml:space="preserve"> </w:t>
      </w:r>
      <w:r w:rsidR="00445961">
        <w:t>and 10.1</w:t>
      </w:r>
      <w:r w:rsidR="00EC19FD">
        <w:t> </w:t>
      </w:r>
      <w:r w:rsidR="00972F48" w:rsidRPr="00A478FE">
        <w:rPr>
          <w:i/>
        </w:rPr>
        <w:t>Overcrowding in housing</w:t>
      </w:r>
      <w:r w:rsidR="00445961">
        <w:t>)</w:t>
      </w:r>
      <w:r w:rsidR="002118EE">
        <w:t>, to</w:t>
      </w:r>
      <w:r w:rsidR="00445961">
        <w:t xml:space="preserve"> the design of programs and services to meet the needs of</w:t>
      </w:r>
      <w:r w:rsidR="00445961" w:rsidRPr="0075710E">
        <w:t xml:space="preserve"> Aboriginal and Torres Strait Islander people </w:t>
      </w:r>
      <w:r w:rsidR="00445961">
        <w:t xml:space="preserve">in </w:t>
      </w:r>
      <w:r w:rsidR="002118EE">
        <w:t>different service areas</w:t>
      </w:r>
      <w:r w:rsidR="00445961">
        <w:t xml:space="preserve"> (sections </w:t>
      </w:r>
      <w:r w:rsidR="00763AA0">
        <w:t>4.1</w:t>
      </w:r>
      <w:r w:rsidR="00EC19FD">
        <w:t> </w:t>
      </w:r>
      <w:r w:rsidR="00972F48" w:rsidRPr="00A478FE">
        <w:rPr>
          <w:i/>
        </w:rPr>
        <w:t>Life expectancy</w:t>
      </w:r>
      <w:r w:rsidR="00763AA0">
        <w:t>, 6.1</w:t>
      </w:r>
      <w:r w:rsidR="00EC19FD">
        <w:t> </w:t>
      </w:r>
      <w:r w:rsidR="00972F48">
        <w:rPr>
          <w:i/>
        </w:rPr>
        <w:t>Antenatal care</w:t>
      </w:r>
      <w:r w:rsidR="00297930">
        <w:t>,</w:t>
      </w:r>
      <w:r w:rsidR="00763AA0">
        <w:t xml:space="preserve"> </w:t>
      </w:r>
      <w:r w:rsidR="00EB429D">
        <w:t>8.4</w:t>
      </w:r>
      <w:r w:rsidR="00EC19FD">
        <w:t> </w:t>
      </w:r>
      <w:r w:rsidR="00972F48" w:rsidRPr="00A478FE">
        <w:rPr>
          <w:i/>
        </w:rPr>
        <w:t>Tobacco consumption and harm</w:t>
      </w:r>
      <w:r w:rsidR="00EB429D">
        <w:t>, 10.1</w:t>
      </w:r>
      <w:r w:rsidR="00C40B23">
        <w:t> </w:t>
      </w:r>
      <w:r w:rsidR="00972F48" w:rsidRPr="00A478FE">
        <w:rPr>
          <w:i/>
        </w:rPr>
        <w:t>Overcrowding in housing</w:t>
      </w:r>
      <w:r w:rsidR="00445961">
        <w:t>).</w:t>
      </w:r>
    </w:p>
    <w:p w14:paraId="4669FE76" w14:textId="50248ECD" w:rsidR="00EC5C39" w:rsidRDefault="00D60F0A">
      <w:pPr>
        <w:pStyle w:val="BodyText"/>
      </w:pPr>
      <w:r>
        <w:t>Key features</w:t>
      </w:r>
      <w:r w:rsidR="00763AA0">
        <w:t xml:space="preserve"> </w:t>
      </w:r>
      <w:r w:rsidR="00445961">
        <w:t>to support</w:t>
      </w:r>
      <w:r w:rsidR="006E42D9">
        <w:t xml:space="preserve"> shared decision</w:t>
      </w:r>
      <w:r w:rsidR="00EC19FD">
        <w:noBreakHyphen/>
      </w:r>
      <w:r w:rsidR="006E42D9">
        <w:t>making include:</w:t>
      </w:r>
    </w:p>
    <w:p w14:paraId="6B53C650" w14:textId="4B84695B" w:rsidR="006E42D9" w:rsidRPr="006E42D9" w:rsidRDefault="00445961" w:rsidP="006E42D9">
      <w:pPr>
        <w:pStyle w:val="ListBullet"/>
      </w:pPr>
      <w:r w:rsidRPr="006E42D9">
        <w:t>provid</w:t>
      </w:r>
      <w:r w:rsidR="00763AA0" w:rsidRPr="006E42D9">
        <w:t>ing</w:t>
      </w:r>
      <w:r w:rsidRPr="006E42D9">
        <w:t xml:space="preserve"> Aboriginal and Torres Strait Islander people with decision</w:t>
      </w:r>
      <w:r w:rsidR="00EC19FD">
        <w:noBreakHyphen/>
      </w:r>
      <w:r w:rsidRPr="006E42D9">
        <w:t xml:space="preserve">making authority </w:t>
      </w:r>
    </w:p>
    <w:p w14:paraId="07EBD5EA" w14:textId="77777777" w:rsidR="00445961" w:rsidRPr="006E42D9" w:rsidRDefault="006E42D9" w:rsidP="006E42D9">
      <w:pPr>
        <w:pStyle w:val="ListBullet"/>
      </w:pPr>
      <w:r w:rsidRPr="006E42D9">
        <w:t xml:space="preserve">making </w:t>
      </w:r>
      <w:r w:rsidR="00445961" w:rsidRPr="006E42D9">
        <w:t>adjust</w:t>
      </w:r>
      <w:r w:rsidRPr="006E42D9">
        <w:t>ments</w:t>
      </w:r>
      <w:r w:rsidR="00445961" w:rsidRPr="006E42D9">
        <w:t xml:space="preserve"> for power inequalities and shar</w:t>
      </w:r>
      <w:r w:rsidRPr="006E42D9">
        <w:t>ing</w:t>
      </w:r>
      <w:r w:rsidR="00445961" w:rsidRPr="006E42D9">
        <w:t xml:space="preserve"> power </w:t>
      </w:r>
    </w:p>
    <w:p w14:paraId="7D7A2661" w14:textId="2167BFE0" w:rsidR="00445961" w:rsidRPr="00652CC9" w:rsidRDefault="00445961" w:rsidP="006E42D9">
      <w:pPr>
        <w:pStyle w:val="ListBullet"/>
      </w:pPr>
      <w:r w:rsidRPr="006E42D9">
        <w:t>ensur</w:t>
      </w:r>
      <w:r w:rsidR="00763AA0" w:rsidRPr="006E42D9">
        <w:t>ing</w:t>
      </w:r>
      <w:r w:rsidRPr="006E42D9">
        <w:t xml:space="preserve"> </w:t>
      </w:r>
      <w:r w:rsidR="00F44875">
        <w:t xml:space="preserve">that </w:t>
      </w:r>
      <w:r w:rsidRPr="006E42D9">
        <w:t xml:space="preserve">Aboriginal and Torres Strait Islander people </w:t>
      </w:r>
      <w:r w:rsidR="002118EE">
        <w:t xml:space="preserve">can </w:t>
      </w:r>
      <w:r w:rsidRPr="006E42D9">
        <w:t xml:space="preserve">choose their representatives, </w:t>
      </w:r>
      <w:r w:rsidR="00F44875">
        <w:t>and that these representatives are</w:t>
      </w:r>
      <w:r w:rsidR="002118EE">
        <w:t xml:space="preserve"> </w:t>
      </w:r>
      <w:r w:rsidRPr="006E42D9">
        <w:t xml:space="preserve">provided </w:t>
      </w:r>
      <w:r w:rsidR="00B509BB">
        <w:t xml:space="preserve">with </w:t>
      </w:r>
      <w:r w:rsidRPr="006E42D9">
        <w:t>the resources they need to negotiate on an equal footing</w:t>
      </w:r>
      <w:r w:rsidR="00F44875">
        <w:t xml:space="preserve"> </w:t>
      </w:r>
      <w:r w:rsidR="00763AA0">
        <w:t>(section</w:t>
      </w:r>
      <w:r w:rsidR="008F4505">
        <w:t> </w:t>
      </w:r>
      <w:r w:rsidR="00763AA0">
        <w:t>5.4</w:t>
      </w:r>
      <w:r w:rsidR="00CD1851">
        <w:t> </w:t>
      </w:r>
      <w:r w:rsidR="00972F48" w:rsidRPr="00A478FE">
        <w:rPr>
          <w:i/>
        </w:rPr>
        <w:t>Case studies in governance</w:t>
      </w:r>
      <w:r w:rsidR="00763AA0">
        <w:t>)</w:t>
      </w:r>
      <w:r>
        <w:t>.</w:t>
      </w:r>
    </w:p>
    <w:p w14:paraId="521F562B" w14:textId="361FE7DA" w:rsidR="00445961" w:rsidRDefault="00445961" w:rsidP="00445961">
      <w:pPr>
        <w:pStyle w:val="Heading3"/>
      </w:pPr>
      <w:r>
        <w:t>…</w:t>
      </w:r>
      <w:r w:rsidR="00763AA0" w:rsidRPr="00763AA0">
        <w:t>address</w:t>
      </w:r>
      <w:r w:rsidR="00583BC0">
        <w:t>ing</w:t>
      </w:r>
      <w:r w:rsidR="00763AA0" w:rsidRPr="00763AA0">
        <w:t xml:space="preserve"> laws, policies, and practices that operate to </w:t>
      </w:r>
      <w:r w:rsidR="00763AA0">
        <w:t>the</w:t>
      </w:r>
      <w:r w:rsidR="002118EE">
        <w:t xml:space="preserve"> </w:t>
      </w:r>
      <w:r w:rsidR="00763AA0" w:rsidRPr="00763AA0">
        <w:t xml:space="preserve">detriment </w:t>
      </w:r>
      <w:r w:rsidR="00763AA0">
        <w:t xml:space="preserve">of </w:t>
      </w:r>
      <w:r w:rsidR="00763AA0" w:rsidRPr="00763AA0">
        <w:t>Aboriginal and Torres Strait Islander people</w:t>
      </w:r>
      <w:r>
        <w:t xml:space="preserve">… </w:t>
      </w:r>
    </w:p>
    <w:p w14:paraId="17397E13" w14:textId="364C61B5" w:rsidR="00EC5C39" w:rsidRDefault="00763AA0">
      <w:pPr>
        <w:pStyle w:val="BodyText"/>
      </w:pPr>
      <w:r>
        <w:t>Improving outcomes for</w:t>
      </w:r>
      <w:r w:rsidRPr="002C08DE">
        <w:t xml:space="preserve"> </w:t>
      </w:r>
      <w:r>
        <w:t xml:space="preserve">Aboriginal and Torres Strait Islander people requires </w:t>
      </w:r>
      <w:r w:rsidR="00F44875">
        <w:t>addressing</w:t>
      </w:r>
      <w:r w:rsidRPr="00763AA0">
        <w:t xml:space="preserve"> laws, policies, and practices </w:t>
      </w:r>
      <w:r>
        <w:t xml:space="preserve">that operate to their detriment due to their particular circumstances or the disadvantage they are experiencing. </w:t>
      </w:r>
      <w:r w:rsidR="00445961">
        <w:t>For example</w:t>
      </w:r>
      <w:r w:rsidR="002118EE">
        <w:t>,</w:t>
      </w:r>
      <w:r w:rsidR="00445961">
        <w:t xml:space="preserve"> </w:t>
      </w:r>
      <w:r w:rsidR="00445961" w:rsidRPr="00D24108">
        <w:t xml:space="preserve">income management </w:t>
      </w:r>
      <w:r w:rsidR="00445961" w:rsidRPr="00D24108">
        <w:lastRenderedPageBreak/>
        <w:t xml:space="preserve">arrangements </w:t>
      </w:r>
      <w:r w:rsidR="00F44875">
        <w:t>affecting</w:t>
      </w:r>
      <w:r w:rsidR="00445961" w:rsidRPr="00D24108">
        <w:t xml:space="preserve"> the way that income support payments are delivered and how the money can be spent, disproportionately affect Aboriginal and Torres Strait Islander people due to the selection of the</w:t>
      </w:r>
      <w:r w:rsidR="002118EE">
        <w:t xml:space="preserve"> geographical locations and</w:t>
      </w:r>
      <w:r w:rsidR="00445961" w:rsidRPr="00D24108">
        <w:t xml:space="preserve"> trial sites</w:t>
      </w:r>
      <w:r w:rsidR="00445961">
        <w:t xml:space="preserve"> (section 9.4</w:t>
      </w:r>
      <w:r w:rsidR="00CD1851">
        <w:t> </w:t>
      </w:r>
      <w:r w:rsidR="00972F48" w:rsidRPr="00A478FE">
        <w:rPr>
          <w:i/>
        </w:rPr>
        <w:t>Income support</w:t>
      </w:r>
      <w:r w:rsidR="00445961">
        <w:t>).</w:t>
      </w:r>
    </w:p>
    <w:p w14:paraId="13A65933" w14:textId="77777777" w:rsidR="00EC5C39" w:rsidRDefault="00297930">
      <w:pPr>
        <w:pStyle w:val="BodyText"/>
      </w:pPr>
      <w:r>
        <w:t>To ensure that</w:t>
      </w:r>
      <w:r w:rsidR="002118EE">
        <w:t xml:space="preserve"> </w:t>
      </w:r>
      <w:r w:rsidRPr="00297930">
        <w:t xml:space="preserve">laws, policies, and practices </w:t>
      </w:r>
      <w:r>
        <w:t xml:space="preserve">are designed, implemented and reviewed with </w:t>
      </w:r>
      <w:r w:rsidR="00445961" w:rsidRPr="007E2B6D">
        <w:t>Aboriginal and Torres Strait Islander people’s wellbeing in mind</w:t>
      </w:r>
      <w:r>
        <w:t>, a range of mechanism</w:t>
      </w:r>
      <w:r w:rsidR="00972F48">
        <w:t>s</w:t>
      </w:r>
      <w:r>
        <w:t xml:space="preserve"> are needed</w:t>
      </w:r>
      <w:r w:rsidR="002118EE">
        <w:t xml:space="preserve">. Examples in this Report </w:t>
      </w:r>
      <w:r w:rsidR="00445961">
        <w:t>includ</w:t>
      </w:r>
      <w:r w:rsidR="002118EE">
        <w:t>e</w:t>
      </w:r>
      <w:r w:rsidR="00445961">
        <w:t>:</w:t>
      </w:r>
    </w:p>
    <w:p w14:paraId="6FB8B924" w14:textId="312942EE" w:rsidR="00445961" w:rsidRDefault="00445961" w:rsidP="00445961">
      <w:pPr>
        <w:pStyle w:val="ListBullet"/>
      </w:pPr>
      <w:r>
        <w:t>increasing</w:t>
      </w:r>
      <w:r w:rsidRPr="00222C83">
        <w:t xml:space="preserve"> Aboriginal and Torres Strait Islander people’s </w:t>
      </w:r>
      <w:r>
        <w:t xml:space="preserve">representation in parliament </w:t>
      </w:r>
      <w:r w:rsidR="00FA2AFA">
        <w:t>(section</w:t>
      </w:r>
      <w:r w:rsidR="008F4505">
        <w:t> </w:t>
      </w:r>
      <w:r w:rsidR="00FA2AFA">
        <w:t>5.2</w:t>
      </w:r>
      <w:r w:rsidR="00CD1851">
        <w:t> </w:t>
      </w:r>
      <w:r w:rsidR="00972F48" w:rsidRPr="00A478FE">
        <w:rPr>
          <w:i/>
        </w:rPr>
        <w:t>Participation in decision</w:t>
      </w:r>
      <w:r w:rsidR="00E46ECA">
        <w:rPr>
          <w:i/>
        </w:rPr>
        <w:t>-</w:t>
      </w:r>
      <w:r w:rsidR="00972F48" w:rsidRPr="00A478FE">
        <w:rPr>
          <w:i/>
        </w:rPr>
        <w:t>making</w:t>
      </w:r>
      <w:r w:rsidR="00FA2AFA">
        <w:t>)</w:t>
      </w:r>
    </w:p>
    <w:p w14:paraId="1CA37C16" w14:textId="7D7795BE" w:rsidR="00445961" w:rsidRDefault="00445961" w:rsidP="00445961">
      <w:pPr>
        <w:pStyle w:val="ListBullet"/>
      </w:pPr>
      <w:r>
        <w:t>appointing Aboriginal and Torres Strait Islander advisory bodies</w:t>
      </w:r>
      <w:r w:rsidR="00957086">
        <w:t xml:space="preserve"> to government</w:t>
      </w:r>
      <w:r>
        <w:t>, to provide advice on the impact of community</w:t>
      </w:r>
      <w:r w:rsidR="00EC19FD">
        <w:noBreakHyphen/>
      </w:r>
      <w:r>
        <w:t xml:space="preserve">wide </w:t>
      </w:r>
      <w:r w:rsidRPr="00222C83">
        <w:t xml:space="preserve">decisions </w:t>
      </w:r>
      <w:r>
        <w:t xml:space="preserve">on </w:t>
      </w:r>
      <w:r w:rsidRPr="00222C83">
        <w:t>Aboriginal and Torres Strait Islander people</w:t>
      </w:r>
      <w:r w:rsidR="00FA2AFA">
        <w:t xml:space="preserve"> (section</w:t>
      </w:r>
      <w:r w:rsidR="008F4505">
        <w:t> </w:t>
      </w:r>
      <w:r w:rsidR="00FA2AFA">
        <w:t>5.2</w:t>
      </w:r>
      <w:r w:rsidR="00CD1851">
        <w:t> </w:t>
      </w:r>
      <w:r w:rsidR="00972F48" w:rsidRPr="00265F11">
        <w:rPr>
          <w:i/>
        </w:rPr>
        <w:t>Participation in decision</w:t>
      </w:r>
      <w:r w:rsidR="00E46ECA">
        <w:rPr>
          <w:i/>
        </w:rPr>
        <w:t>-</w:t>
      </w:r>
      <w:r w:rsidR="00972F48" w:rsidRPr="00265F11">
        <w:rPr>
          <w:i/>
        </w:rPr>
        <w:t>making</w:t>
      </w:r>
      <w:r w:rsidR="00FA2AFA">
        <w:t>)</w:t>
      </w:r>
    </w:p>
    <w:p w14:paraId="46DC21F2" w14:textId="0938CF6C" w:rsidR="00445961" w:rsidRPr="0046768E" w:rsidRDefault="00445961" w:rsidP="00445961">
      <w:pPr>
        <w:pStyle w:val="ListBullet"/>
      </w:pPr>
      <w:r>
        <w:t>developing whole</w:t>
      </w:r>
      <w:r w:rsidR="00EC19FD">
        <w:noBreakHyphen/>
      </w:r>
      <w:r>
        <w:t>of</w:t>
      </w:r>
      <w:r w:rsidR="00EC19FD">
        <w:noBreakHyphen/>
      </w:r>
      <w:r>
        <w:t>government evaluation strateg</w:t>
      </w:r>
      <w:r w:rsidR="00310654">
        <w:t>ies</w:t>
      </w:r>
      <w:r>
        <w:t xml:space="preserve"> that require departments and agencies</w:t>
      </w:r>
      <w:r w:rsidR="00310654">
        <w:t xml:space="preserve"> within jurisdictions to</w:t>
      </w:r>
      <w:r>
        <w:t xml:space="preserve"> thoroughly evaluate the impact of government policies and programs on Aboriginal and Torres Strait Islander people (section</w:t>
      </w:r>
      <w:r w:rsidR="008F4505">
        <w:t> </w:t>
      </w:r>
      <w:r>
        <w:t>5.4</w:t>
      </w:r>
      <w:r w:rsidR="00CD1851">
        <w:t> </w:t>
      </w:r>
      <w:r w:rsidR="006F5AD3" w:rsidRPr="00A478FE">
        <w:rPr>
          <w:i/>
        </w:rPr>
        <w:t>Case studies in governance</w:t>
      </w:r>
      <w:r>
        <w:t>).</w:t>
      </w:r>
    </w:p>
    <w:p w14:paraId="060F2579" w14:textId="05DCCF42" w:rsidR="00445961" w:rsidRDefault="00297930" w:rsidP="00445961">
      <w:pPr>
        <w:pStyle w:val="Heading3"/>
      </w:pPr>
      <w:r>
        <w:t>…</w:t>
      </w:r>
      <w:r w:rsidR="00583BC0">
        <w:t xml:space="preserve">ongoing </w:t>
      </w:r>
      <w:r>
        <w:t>government invest</w:t>
      </w:r>
      <w:r w:rsidR="00583BC0">
        <w:t xml:space="preserve">ment, </w:t>
      </w:r>
      <w:r w:rsidR="00445961">
        <w:t>collaboration</w:t>
      </w:r>
      <w:r w:rsidR="00445961" w:rsidRPr="00B04115">
        <w:t xml:space="preserve"> </w:t>
      </w:r>
      <w:r w:rsidR="00583BC0">
        <w:t>and coordination</w:t>
      </w:r>
      <w:r w:rsidR="00445961">
        <w:t>…</w:t>
      </w:r>
    </w:p>
    <w:p w14:paraId="0E1D3D4B" w14:textId="25653143" w:rsidR="00EC5C39" w:rsidRDefault="00297930">
      <w:pPr>
        <w:pStyle w:val="BodyText"/>
      </w:pPr>
      <w:r>
        <w:t>Improving outcomes for</w:t>
      </w:r>
      <w:r w:rsidRPr="002C08DE">
        <w:t xml:space="preserve"> </w:t>
      </w:r>
      <w:r>
        <w:t xml:space="preserve">Aboriginal and Torres Strait Islander people requires </w:t>
      </w:r>
      <w:r w:rsidR="00583BC0">
        <w:t xml:space="preserve">ongoing </w:t>
      </w:r>
      <w:r w:rsidR="00583BC0" w:rsidRPr="00583BC0">
        <w:t xml:space="preserve"> government investment</w:t>
      </w:r>
      <w:r w:rsidR="00C904F9">
        <w:t xml:space="preserve">. </w:t>
      </w:r>
      <w:r w:rsidR="00583BC0" w:rsidRPr="00583BC0">
        <w:t xml:space="preserve">Funding simplicity and lack of duplication in funding streams is </w:t>
      </w:r>
      <w:r w:rsidR="00D60F0A">
        <w:t xml:space="preserve">also </w:t>
      </w:r>
      <w:r w:rsidR="00583BC0" w:rsidRPr="00583BC0">
        <w:t>important</w:t>
      </w:r>
      <w:r w:rsidR="00583BC0">
        <w:t xml:space="preserve"> and this requires collaboration and coordination within and across governments</w:t>
      </w:r>
      <w:r w:rsidR="00D60F0A">
        <w:t xml:space="preserve"> (section</w:t>
      </w:r>
      <w:r w:rsidR="008F4505">
        <w:t> </w:t>
      </w:r>
      <w:r w:rsidR="00D60F0A">
        <w:t>5.4</w:t>
      </w:r>
      <w:r w:rsidR="00CD1851">
        <w:t> </w:t>
      </w:r>
      <w:r w:rsidR="006F5AD3" w:rsidRPr="00265F11">
        <w:rPr>
          <w:i/>
        </w:rPr>
        <w:t>Case studies in governance</w:t>
      </w:r>
      <w:r w:rsidR="00D60F0A">
        <w:t>)</w:t>
      </w:r>
      <w:r w:rsidR="00583BC0" w:rsidRPr="00583BC0">
        <w:t>. Many Aboriginal and Torres Strait Islander organisations, with long track records, are funded through multiple, short</w:t>
      </w:r>
      <w:r w:rsidR="00EC19FD">
        <w:noBreakHyphen/>
      </w:r>
      <w:r w:rsidR="00583BC0" w:rsidRPr="00583BC0">
        <w:t>term government contracts that increase red tape and uncertainty and place pressure on capacity</w:t>
      </w:r>
      <w:r w:rsidR="00121654">
        <w:t>, stability</w:t>
      </w:r>
      <w:r w:rsidR="00583BC0" w:rsidRPr="00583BC0">
        <w:t xml:space="preserve"> and sustainability</w:t>
      </w:r>
      <w:r w:rsidR="00DC065B">
        <w:t xml:space="preserve"> </w:t>
      </w:r>
      <w:r w:rsidR="000B32D6">
        <w:t>(section</w:t>
      </w:r>
      <w:r w:rsidR="008F4505">
        <w:t> </w:t>
      </w:r>
      <w:r w:rsidR="000B32D6">
        <w:t>5.4</w:t>
      </w:r>
      <w:r w:rsidR="00CD1851">
        <w:t> </w:t>
      </w:r>
      <w:r w:rsidR="006F5AD3" w:rsidRPr="00265F11">
        <w:rPr>
          <w:i/>
        </w:rPr>
        <w:t>Case studies in governance</w:t>
      </w:r>
      <w:r w:rsidR="000B32D6">
        <w:t>)</w:t>
      </w:r>
      <w:r w:rsidR="006F5AD3">
        <w:t>.</w:t>
      </w:r>
      <w:r w:rsidRPr="00763AA0">
        <w:t xml:space="preserve"> </w:t>
      </w:r>
    </w:p>
    <w:p w14:paraId="12C531C7" w14:textId="38798BB0" w:rsidR="00C904F9" w:rsidRDefault="00C904F9" w:rsidP="003D097D">
      <w:pPr>
        <w:pStyle w:val="BodyText"/>
      </w:pPr>
      <w:r w:rsidRPr="00A504C1">
        <w:t>Improving outcomes for Aboriginal and Torres Strait Islander people also requires improved collaboration and coordination. For example, e</w:t>
      </w:r>
      <w:r w:rsidR="00A44E08" w:rsidRPr="00A504C1">
        <w:t xml:space="preserve">ffective strategies to address </w:t>
      </w:r>
      <w:r w:rsidR="008F504A" w:rsidRPr="00A504C1">
        <w:t xml:space="preserve">common </w:t>
      </w:r>
      <w:r w:rsidR="00A44E08" w:rsidRPr="00A504C1">
        <w:t xml:space="preserve">risk factors </w:t>
      </w:r>
      <w:r w:rsidR="008F504A" w:rsidRPr="00A504C1">
        <w:t>and barriers to improve outcomes requires</w:t>
      </w:r>
      <w:r w:rsidR="00A44E08" w:rsidRPr="00A504C1">
        <w:t xml:space="preserve"> collaboration between governments (including across government agencies), Aboriginal Community Controlled Organisations, service providers, communities and families (section 10.2</w:t>
      </w:r>
      <w:r w:rsidR="00CD1851">
        <w:t> </w:t>
      </w:r>
      <w:r w:rsidR="00A44E08" w:rsidRPr="00A504C1">
        <w:rPr>
          <w:i/>
        </w:rPr>
        <w:t>Rates of disease associated with poor environmental health</w:t>
      </w:r>
      <w:r w:rsidR="00A44E08" w:rsidRPr="00A504C1">
        <w:t>).</w:t>
      </w:r>
      <w:r w:rsidR="00A44E08">
        <w:t xml:space="preserve"> </w:t>
      </w:r>
    </w:p>
    <w:p w14:paraId="3213565E" w14:textId="010E7941" w:rsidR="00445961" w:rsidRDefault="00445961" w:rsidP="00445961">
      <w:pPr>
        <w:pStyle w:val="Heading3"/>
      </w:pPr>
      <w:r>
        <w:t>…</w:t>
      </w:r>
      <w:r w:rsidR="00F44875">
        <w:t xml:space="preserve">and </w:t>
      </w:r>
      <w:r w:rsidR="00FA2AFA">
        <w:t xml:space="preserve">ensuring </w:t>
      </w:r>
      <w:r>
        <w:t>access to effective culturally safe</w:t>
      </w:r>
      <w:r w:rsidRPr="00F24D29">
        <w:t xml:space="preserve"> </w:t>
      </w:r>
      <w:r>
        <w:t xml:space="preserve">services, </w:t>
      </w:r>
      <w:r w:rsidR="00F44875">
        <w:t xml:space="preserve">available </w:t>
      </w:r>
      <w:r>
        <w:t xml:space="preserve">at the right time </w:t>
      </w:r>
      <w:r w:rsidR="00F75244">
        <w:t>and</w:t>
      </w:r>
      <w:r w:rsidR="00305EEE">
        <w:t xml:space="preserve"> </w:t>
      </w:r>
      <w:r w:rsidR="00C06E74">
        <w:t>suited to the local context</w:t>
      </w:r>
      <w:r>
        <w:t xml:space="preserve"> </w:t>
      </w:r>
    </w:p>
    <w:p w14:paraId="2AE51B08" w14:textId="7772D3AD" w:rsidR="00EC5C39" w:rsidRDefault="006E42D9">
      <w:pPr>
        <w:pStyle w:val="BodyText"/>
      </w:pPr>
      <w:r w:rsidRPr="006E42D9">
        <w:t xml:space="preserve">Improving outcomes for Aboriginal and Torres Strait Islander people requires </w:t>
      </w:r>
      <w:r w:rsidR="00FA2AFA">
        <w:t xml:space="preserve">ensuring </w:t>
      </w:r>
      <w:r w:rsidRPr="006E42D9">
        <w:t>access to effective</w:t>
      </w:r>
      <w:r w:rsidR="006F5AD3">
        <w:t>,</w:t>
      </w:r>
      <w:r w:rsidRPr="006E42D9">
        <w:t xml:space="preserve"> culturally safe services, </w:t>
      </w:r>
      <w:r w:rsidR="00F44875">
        <w:t xml:space="preserve">available </w:t>
      </w:r>
      <w:r w:rsidRPr="006E42D9">
        <w:t xml:space="preserve">at the right time and </w:t>
      </w:r>
      <w:r w:rsidR="00975F75">
        <w:t>suited to the local context</w:t>
      </w:r>
      <w:r w:rsidRPr="006E42D9">
        <w:t>.</w:t>
      </w:r>
      <w:r w:rsidR="00957086">
        <w:t xml:space="preserve"> </w:t>
      </w:r>
      <w:r>
        <w:t xml:space="preserve">Services </w:t>
      </w:r>
      <w:r w:rsidR="00957086">
        <w:t xml:space="preserve">that </w:t>
      </w:r>
      <w:r>
        <w:t>Aboriginal and Torres Strait Islander</w:t>
      </w:r>
      <w:r w:rsidR="00FA2AFA">
        <w:t xml:space="preserve"> people are more likely to access</w:t>
      </w:r>
      <w:r w:rsidR="00B13266">
        <w:t>,</w:t>
      </w:r>
      <w:r w:rsidR="00FA2AFA">
        <w:t xml:space="preserve"> and that</w:t>
      </w:r>
      <w:r>
        <w:t xml:space="preserve"> </w:t>
      </w:r>
      <w:r w:rsidR="00FA2AFA">
        <w:t xml:space="preserve">work best </w:t>
      </w:r>
      <w:r w:rsidR="00B13266">
        <w:t>for them</w:t>
      </w:r>
      <w:r w:rsidR="00FA2AFA">
        <w:t xml:space="preserve"> are those </w:t>
      </w:r>
      <w:r w:rsidR="00BA4191">
        <w:t xml:space="preserve">that </w:t>
      </w:r>
      <w:r w:rsidR="00FA2AFA">
        <w:t>meet</w:t>
      </w:r>
      <w:r>
        <w:t xml:space="preserve"> the</w:t>
      </w:r>
      <w:r w:rsidR="00FA2AFA">
        <w:t>ir</w:t>
      </w:r>
      <w:r>
        <w:t xml:space="preserve"> particular health, education or </w:t>
      </w:r>
      <w:r w:rsidR="00957086">
        <w:t>support</w:t>
      </w:r>
      <w:r w:rsidR="00FA2AFA">
        <w:t xml:space="preserve"> </w:t>
      </w:r>
      <w:r w:rsidR="00FA2AFA">
        <w:lastRenderedPageBreak/>
        <w:t>need</w:t>
      </w:r>
      <w:r w:rsidR="00DC065B">
        <w:t>s</w:t>
      </w:r>
      <w:r w:rsidR="00FA2AFA">
        <w:t xml:space="preserve"> </w:t>
      </w:r>
      <w:r w:rsidR="00957086">
        <w:t>in an environment and manner that is c</w:t>
      </w:r>
      <w:r>
        <w:t>ulturally safe</w:t>
      </w:r>
      <w:r w:rsidR="00FA2AFA">
        <w:t xml:space="preserve"> (sections</w:t>
      </w:r>
      <w:r w:rsidR="008F4505">
        <w:t> </w:t>
      </w:r>
      <w:r w:rsidR="00A44E08">
        <w:t>4.3</w:t>
      </w:r>
      <w:r w:rsidR="00CD1851">
        <w:t> </w:t>
      </w:r>
      <w:r w:rsidR="00A44E08">
        <w:rPr>
          <w:i/>
        </w:rPr>
        <w:t>Early childhood education,</w:t>
      </w:r>
      <w:r w:rsidR="00FA2AFA">
        <w:t xml:space="preserve"> 6.1</w:t>
      </w:r>
      <w:r w:rsidR="00CD1851">
        <w:t> </w:t>
      </w:r>
      <w:r w:rsidR="000D20F2" w:rsidRPr="00A478FE">
        <w:rPr>
          <w:i/>
        </w:rPr>
        <w:t>Antenatal care</w:t>
      </w:r>
      <w:r w:rsidR="00A44E08">
        <w:rPr>
          <w:i/>
        </w:rPr>
        <w:t xml:space="preserve"> </w:t>
      </w:r>
      <w:r w:rsidR="00A44E08">
        <w:t>and 8.6</w:t>
      </w:r>
      <w:r w:rsidR="00CD1851">
        <w:t> </w:t>
      </w:r>
      <w:r w:rsidR="00A44E08">
        <w:rPr>
          <w:i/>
        </w:rPr>
        <w:t>Oral health</w:t>
      </w:r>
      <w:r w:rsidR="00FA2AFA">
        <w:t>)</w:t>
      </w:r>
      <w:r>
        <w:t xml:space="preserve">. </w:t>
      </w:r>
    </w:p>
    <w:p w14:paraId="324AD54D" w14:textId="77777777" w:rsidR="00EC5C39" w:rsidRDefault="00FA2AFA">
      <w:pPr>
        <w:pStyle w:val="BodyText"/>
      </w:pPr>
      <w:r>
        <w:t>Key</w:t>
      </w:r>
      <w:r w:rsidR="00957086">
        <w:t xml:space="preserve"> approaches to </w:t>
      </w:r>
      <w:r>
        <w:t>improving the cultural safety of services include:</w:t>
      </w:r>
    </w:p>
    <w:p w14:paraId="7BE5CB2D" w14:textId="5D98638E" w:rsidR="006E42D9" w:rsidRDefault="00FA2AFA" w:rsidP="00FA2AFA">
      <w:pPr>
        <w:pStyle w:val="ListBullet"/>
      </w:pPr>
      <w:r>
        <w:t>in</w:t>
      </w:r>
      <w:r w:rsidR="00957086">
        <w:t xml:space="preserve">creasing </w:t>
      </w:r>
      <w:r>
        <w:t>the availability of se</w:t>
      </w:r>
      <w:r w:rsidR="00957086">
        <w:t xml:space="preserve">rvices provided by </w:t>
      </w:r>
      <w:proofErr w:type="spellStart"/>
      <w:r w:rsidR="00B13266">
        <w:t>ACCOs</w:t>
      </w:r>
      <w:proofErr w:type="spellEnd"/>
      <w:r w:rsidR="00F44875">
        <w:t>,</w:t>
      </w:r>
      <w:r w:rsidR="00B13266">
        <w:t xml:space="preserve"> </w:t>
      </w:r>
      <w:r>
        <w:t xml:space="preserve">and/or giving </w:t>
      </w:r>
      <w:proofErr w:type="spellStart"/>
      <w:r>
        <w:t>ACCOs</w:t>
      </w:r>
      <w:proofErr w:type="spellEnd"/>
      <w:r>
        <w:t xml:space="preserve"> control over aspects of service provision (sections 4.11</w:t>
      </w:r>
      <w:r w:rsidR="00CD1851">
        <w:t> </w:t>
      </w:r>
      <w:r w:rsidR="000D20F2" w:rsidRPr="00A478FE">
        <w:rPr>
          <w:i/>
        </w:rPr>
        <w:t>Substantiated child abuse and neglect</w:t>
      </w:r>
      <w:r w:rsidR="000D20F2">
        <w:t xml:space="preserve"> </w:t>
      </w:r>
      <w:r w:rsidR="00975F75">
        <w:t>and</w:t>
      </w:r>
      <w:r>
        <w:t xml:space="preserve"> </w:t>
      </w:r>
      <w:r w:rsidR="00975F75">
        <w:t>8.1</w:t>
      </w:r>
      <w:r w:rsidR="00CD1851">
        <w:t> </w:t>
      </w:r>
      <w:r w:rsidR="000D20F2" w:rsidRPr="00265F11">
        <w:rPr>
          <w:i/>
        </w:rPr>
        <w:t>Access to primary health</w:t>
      </w:r>
      <w:r w:rsidR="00A478FE">
        <w:rPr>
          <w:i/>
        </w:rPr>
        <w:t xml:space="preserve"> care</w:t>
      </w:r>
      <w:r>
        <w:t>)</w:t>
      </w:r>
    </w:p>
    <w:p w14:paraId="39B0863E" w14:textId="38922807" w:rsidR="00FA2AFA" w:rsidRDefault="00FA2AFA" w:rsidP="00FA2AFA">
      <w:pPr>
        <w:pStyle w:val="ListBullet"/>
      </w:pPr>
      <w:r>
        <w:t xml:space="preserve">improving </w:t>
      </w:r>
      <w:r w:rsidR="00B13266">
        <w:t xml:space="preserve">the </w:t>
      </w:r>
      <w:r>
        <w:t>cultural capabilit</w:t>
      </w:r>
      <w:r w:rsidR="00B13266">
        <w:t>y</w:t>
      </w:r>
      <w:r>
        <w:t xml:space="preserve"> of </w:t>
      </w:r>
      <w:r w:rsidR="00975F75">
        <w:t xml:space="preserve">other </w:t>
      </w:r>
      <w:r>
        <w:t>service</w:t>
      </w:r>
      <w:r w:rsidR="00975F75">
        <w:t xml:space="preserve"> </w:t>
      </w:r>
      <w:r w:rsidR="0030071A">
        <w:t>providers</w:t>
      </w:r>
      <w:r w:rsidR="00975F75">
        <w:t xml:space="preserve">, </w:t>
      </w:r>
      <w:r>
        <w:t xml:space="preserve">by employing more </w:t>
      </w:r>
      <w:r w:rsidR="0065423C">
        <w:t xml:space="preserve">local </w:t>
      </w:r>
      <w:r>
        <w:t xml:space="preserve">Aboriginal and Torres Strait Islander </w:t>
      </w:r>
      <w:r w:rsidR="0065423C">
        <w:t>s</w:t>
      </w:r>
      <w:r>
        <w:t>taff,</w:t>
      </w:r>
      <w:r w:rsidR="0065423C">
        <w:t xml:space="preserve"> or</w:t>
      </w:r>
      <w:r>
        <w:t xml:space="preserve"> </w:t>
      </w:r>
      <w:r w:rsidR="00240AFF">
        <w:t xml:space="preserve">building the capacity of </w:t>
      </w:r>
      <w:r>
        <w:t>non</w:t>
      </w:r>
      <w:r w:rsidR="00EC19FD">
        <w:noBreakHyphen/>
      </w:r>
      <w:r>
        <w:t>Indigenous</w:t>
      </w:r>
      <w:r w:rsidR="0065423C">
        <w:t xml:space="preserve"> staff </w:t>
      </w:r>
      <w:r w:rsidR="00240AFF">
        <w:t>to</w:t>
      </w:r>
      <w:r w:rsidR="0065423C">
        <w:t xml:space="preserve"> provide </w:t>
      </w:r>
      <w:r w:rsidR="00B13266">
        <w:t xml:space="preserve">services in a </w:t>
      </w:r>
      <w:r w:rsidR="0065423C">
        <w:t>culturally safe</w:t>
      </w:r>
      <w:r w:rsidR="00B13266">
        <w:t xml:space="preserve"> manner </w:t>
      </w:r>
      <w:r w:rsidR="0065423C">
        <w:t>(sections</w:t>
      </w:r>
      <w:r w:rsidR="008F4505">
        <w:t> </w:t>
      </w:r>
      <w:r w:rsidR="0065423C">
        <w:t>4.11</w:t>
      </w:r>
      <w:r w:rsidR="00CD1851">
        <w:t> </w:t>
      </w:r>
      <w:r w:rsidR="000D20F2" w:rsidRPr="00265F11">
        <w:rPr>
          <w:i/>
        </w:rPr>
        <w:t>Substantiated child abuse and neglect</w:t>
      </w:r>
      <w:r w:rsidR="0065423C">
        <w:t>,</w:t>
      </w:r>
      <w:r w:rsidR="00A44E08">
        <w:t xml:space="preserve"> 4.13</w:t>
      </w:r>
      <w:r w:rsidR="00CD1851">
        <w:t> </w:t>
      </w:r>
      <w:r w:rsidR="00A44E08">
        <w:rPr>
          <w:i/>
        </w:rPr>
        <w:t xml:space="preserve">Imprisonment and </w:t>
      </w:r>
      <w:r w:rsidR="0030071A">
        <w:rPr>
          <w:i/>
        </w:rPr>
        <w:t>youth</w:t>
      </w:r>
      <w:r w:rsidR="00A44E08">
        <w:rPr>
          <w:i/>
        </w:rPr>
        <w:t xml:space="preserve"> detention,</w:t>
      </w:r>
      <w:r w:rsidR="0065423C">
        <w:t xml:space="preserve"> 6.2</w:t>
      </w:r>
      <w:r w:rsidR="00CD1851">
        <w:t> </w:t>
      </w:r>
      <w:r w:rsidR="000D20F2" w:rsidRPr="00603D1B">
        <w:rPr>
          <w:i/>
        </w:rPr>
        <w:t>Health behaviours during pregnancy</w:t>
      </w:r>
      <w:r w:rsidR="0065423C">
        <w:t xml:space="preserve">, </w:t>
      </w:r>
      <w:r w:rsidR="00DC065B">
        <w:t>7.1</w:t>
      </w:r>
      <w:r w:rsidR="00CA2691">
        <w:t> </w:t>
      </w:r>
      <w:r w:rsidR="000D20F2" w:rsidRPr="00603D1B">
        <w:rPr>
          <w:i/>
        </w:rPr>
        <w:t>Teacher quality</w:t>
      </w:r>
      <w:r w:rsidR="007C47D1">
        <w:t xml:space="preserve"> and</w:t>
      </w:r>
      <w:r w:rsidR="00A44E08">
        <w:t xml:space="preserve"> </w:t>
      </w:r>
      <w:r w:rsidR="00DC065B">
        <w:t>8.1</w:t>
      </w:r>
      <w:r w:rsidR="00CA2691">
        <w:t> </w:t>
      </w:r>
      <w:r w:rsidR="000D20F2" w:rsidRPr="00603D1B">
        <w:rPr>
          <w:i/>
        </w:rPr>
        <w:t>Access to primary health</w:t>
      </w:r>
      <w:r w:rsidR="0030071A">
        <w:rPr>
          <w:i/>
        </w:rPr>
        <w:t xml:space="preserve"> care</w:t>
      </w:r>
      <w:r w:rsidR="0065423C">
        <w:t xml:space="preserve">).    </w:t>
      </w:r>
    </w:p>
    <w:p w14:paraId="441ACCF8" w14:textId="26064046" w:rsidR="00EC5C39" w:rsidRDefault="00957086">
      <w:pPr>
        <w:pStyle w:val="BodyText"/>
      </w:pPr>
      <w:r>
        <w:t>S</w:t>
      </w:r>
      <w:r w:rsidRPr="00957086">
        <w:t xml:space="preserve">ervices </w:t>
      </w:r>
      <w:r>
        <w:t xml:space="preserve">need to be available at the right time. </w:t>
      </w:r>
      <w:r w:rsidR="0065423C">
        <w:t xml:space="preserve">Services that can address risk factors and prevent problems developing are key; for example, addressing the issue of insecure housing, </w:t>
      </w:r>
      <w:r w:rsidR="005C5BA8">
        <w:t xml:space="preserve">providing </w:t>
      </w:r>
      <w:r w:rsidR="0065423C">
        <w:t>family support services</w:t>
      </w:r>
      <w:r w:rsidR="005C5BA8">
        <w:t xml:space="preserve"> and </w:t>
      </w:r>
      <w:r w:rsidR="00F44875">
        <w:t xml:space="preserve">increasing </w:t>
      </w:r>
      <w:r w:rsidR="005C5BA8">
        <w:t>family income may</w:t>
      </w:r>
      <w:r w:rsidR="0065423C">
        <w:t xml:space="preserve"> </w:t>
      </w:r>
      <w:r w:rsidR="005C5BA8">
        <w:t>prevent problems such as family violence, child abuse and neglect and youth detention (sections</w:t>
      </w:r>
      <w:r w:rsidR="008F4505">
        <w:t> </w:t>
      </w:r>
      <w:r w:rsidR="00C06E74">
        <w:t>8.2</w:t>
      </w:r>
      <w:r w:rsidR="00CA2691">
        <w:t> </w:t>
      </w:r>
      <w:r w:rsidR="00A341AB" w:rsidRPr="00336173">
        <w:rPr>
          <w:i/>
        </w:rPr>
        <w:t>Potentially preventable hospitalisations</w:t>
      </w:r>
      <w:r w:rsidR="00C06E74">
        <w:t>, 8.3</w:t>
      </w:r>
      <w:r w:rsidR="00CA2691">
        <w:t> </w:t>
      </w:r>
      <w:r w:rsidR="00A341AB" w:rsidRPr="00336173">
        <w:rPr>
          <w:i/>
        </w:rPr>
        <w:t>Potentially avoidable deaths</w:t>
      </w:r>
      <w:r w:rsidR="00C06E74">
        <w:t xml:space="preserve">, </w:t>
      </w:r>
      <w:r w:rsidR="005C5BA8">
        <w:t>4.11</w:t>
      </w:r>
      <w:r w:rsidR="00CA2691">
        <w:t> </w:t>
      </w:r>
      <w:r w:rsidR="00A341AB" w:rsidRPr="00265F11">
        <w:rPr>
          <w:i/>
        </w:rPr>
        <w:t>Substantiated child abuse and neglect</w:t>
      </w:r>
      <w:r w:rsidR="007B5BE1">
        <w:rPr>
          <w:i/>
        </w:rPr>
        <w:t xml:space="preserve">, </w:t>
      </w:r>
      <w:r w:rsidR="007B5BE1">
        <w:t>4.12</w:t>
      </w:r>
      <w:r w:rsidR="00CA2691">
        <w:t> </w:t>
      </w:r>
      <w:r w:rsidR="007B5BE1" w:rsidRPr="00603D1B">
        <w:rPr>
          <w:i/>
        </w:rPr>
        <w:t>Family and community</w:t>
      </w:r>
      <w:r w:rsidR="007B5BE1">
        <w:t xml:space="preserve"> </w:t>
      </w:r>
      <w:r w:rsidR="007B5BE1" w:rsidRPr="00603D1B">
        <w:rPr>
          <w:i/>
        </w:rPr>
        <w:t>violence</w:t>
      </w:r>
      <w:r w:rsidR="00A341AB">
        <w:t xml:space="preserve"> </w:t>
      </w:r>
      <w:r w:rsidR="005C5BA8">
        <w:t>and 4.13</w:t>
      </w:r>
      <w:r w:rsidR="00CA2691">
        <w:t> </w:t>
      </w:r>
      <w:r w:rsidR="00A341AB" w:rsidRPr="00603D1B">
        <w:rPr>
          <w:i/>
        </w:rPr>
        <w:t>Imprisonment and youth detention</w:t>
      </w:r>
      <w:r w:rsidR="005C5BA8">
        <w:t>).</w:t>
      </w:r>
      <w:r w:rsidR="0065423C">
        <w:t xml:space="preserve"> </w:t>
      </w:r>
      <w:r>
        <w:t xml:space="preserve"> </w:t>
      </w:r>
    </w:p>
    <w:p w14:paraId="533614C5" w14:textId="1C20A33D" w:rsidR="00445961" w:rsidRPr="006362FC" w:rsidRDefault="00921839" w:rsidP="00445961">
      <w:pPr>
        <w:pStyle w:val="BodyText"/>
        <w:rPr>
          <w:b/>
        </w:rPr>
      </w:pPr>
      <w:r>
        <w:t>S</w:t>
      </w:r>
      <w:r w:rsidRPr="00957086">
        <w:t xml:space="preserve">ervices </w:t>
      </w:r>
      <w:r>
        <w:t xml:space="preserve">also need to be </w:t>
      </w:r>
      <w:r w:rsidR="00975F75">
        <w:t>suited to the local context</w:t>
      </w:r>
      <w:r>
        <w:t xml:space="preserve">. </w:t>
      </w:r>
      <w:r w:rsidR="00240AFF" w:rsidRPr="00240AFF">
        <w:t xml:space="preserve">While important for all Aboriginal and Torres Strait Islander people and communities, </w:t>
      </w:r>
      <w:r w:rsidR="00A75C02">
        <w:t xml:space="preserve">it </w:t>
      </w:r>
      <w:r w:rsidR="00975F75">
        <w:t xml:space="preserve">is particularly important </w:t>
      </w:r>
      <w:r w:rsidR="00F75244">
        <w:t>in</w:t>
      </w:r>
      <w:r w:rsidR="00975F75">
        <w:t xml:space="preserve"> remote or very remote areas, where poorer </w:t>
      </w:r>
      <w:r>
        <w:t xml:space="preserve">outcomes are often </w:t>
      </w:r>
      <w:r w:rsidR="00975F75">
        <w:t>reported</w:t>
      </w:r>
      <w:r w:rsidR="00F75244">
        <w:t xml:space="preserve"> </w:t>
      </w:r>
      <w:r w:rsidR="00F44875">
        <w:t>than in</w:t>
      </w:r>
      <w:r w:rsidR="00F75244">
        <w:t xml:space="preserve"> less remote areas</w:t>
      </w:r>
      <w:r>
        <w:t xml:space="preserve">. </w:t>
      </w:r>
      <w:r w:rsidR="00975F75">
        <w:t xml:space="preserve">In these areas, </w:t>
      </w:r>
      <w:r w:rsidRPr="00921839">
        <w:t>effective services</w:t>
      </w:r>
      <w:r w:rsidR="00C06E74">
        <w:t xml:space="preserve"> </w:t>
      </w:r>
      <w:r w:rsidR="00A75545">
        <w:t xml:space="preserve">need to take </w:t>
      </w:r>
      <w:r w:rsidR="00305EEE">
        <w:t xml:space="preserve">account </w:t>
      </w:r>
      <w:r w:rsidR="00A75545">
        <w:t xml:space="preserve">of </w:t>
      </w:r>
      <w:r w:rsidR="00305EEE">
        <w:t xml:space="preserve">the </w:t>
      </w:r>
      <w:r w:rsidR="00A75545">
        <w:t xml:space="preserve">local </w:t>
      </w:r>
      <w:r w:rsidR="00305EEE">
        <w:t xml:space="preserve">context </w:t>
      </w:r>
      <w:r w:rsidR="00A75545">
        <w:t xml:space="preserve">and utilise local solutions </w:t>
      </w:r>
      <w:r w:rsidR="00FD08B3">
        <w:t>(sections</w:t>
      </w:r>
      <w:r w:rsidR="008F4505">
        <w:t> </w:t>
      </w:r>
      <w:r w:rsidR="00C06E74">
        <w:t>8.4</w:t>
      </w:r>
      <w:r w:rsidR="002A3695">
        <w:t> </w:t>
      </w:r>
      <w:r w:rsidR="00A341AB" w:rsidRPr="00603D1B">
        <w:rPr>
          <w:i/>
        </w:rPr>
        <w:t>Tobacco consumption and harm</w:t>
      </w:r>
      <w:r w:rsidR="00C06E74">
        <w:t xml:space="preserve">, </w:t>
      </w:r>
      <w:r w:rsidR="00A75545">
        <w:t>8.5</w:t>
      </w:r>
      <w:r w:rsidR="002A3695">
        <w:t> </w:t>
      </w:r>
      <w:r w:rsidR="00A341AB" w:rsidRPr="00603D1B">
        <w:rPr>
          <w:i/>
        </w:rPr>
        <w:t>Obesity and nutrition</w:t>
      </w:r>
      <w:r w:rsidR="00EB429D">
        <w:t xml:space="preserve">, </w:t>
      </w:r>
      <w:r w:rsidR="00A75545">
        <w:t>8.6</w:t>
      </w:r>
      <w:r w:rsidR="002A3695">
        <w:t> </w:t>
      </w:r>
      <w:r w:rsidR="00A341AB" w:rsidRPr="00603D1B">
        <w:rPr>
          <w:i/>
        </w:rPr>
        <w:t>Oral health</w:t>
      </w:r>
      <w:r w:rsidR="007B5BE1">
        <w:rPr>
          <w:i/>
        </w:rPr>
        <w:t>,</w:t>
      </w:r>
      <w:r w:rsidR="00EB429D">
        <w:t xml:space="preserve"> 10.1</w:t>
      </w:r>
      <w:r w:rsidR="002A3695">
        <w:t> </w:t>
      </w:r>
      <w:r w:rsidR="00A341AB" w:rsidRPr="00603D1B">
        <w:rPr>
          <w:i/>
        </w:rPr>
        <w:t>Overcrowding in housing</w:t>
      </w:r>
      <w:r w:rsidR="007B5BE1">
        <w:rPr>
          <w:i/>
        </w:rPr>
        <w:t xml:space="preserve"> </w:t>
      </w:r>
      <w:r w:rsidR="007B5BE1">
        <w:t>and 10.3</w:t>
      </w:r>
      <w:r w:rsidR="002A3695">
        <w:t> </w:t>
      </w:r>
      <w:r w:rsidR="007B5BE1">
        <w:rPr>
          <w:i/>
        </w:rPr>
        <w:t>Access to clean water and functional sewerage and electricity services</w:t>
      </w:r>
      <w:r w:rsidR="00FD08B3">
        <w:t xml:space="preserve">). </w:t>
      </w:r>
    </w:p>
    <w:sectPr w:rsidR="00445961" w:rsidRPr="006362FC" w:rsidSect="00B61C65">
      <w:headerReference w:type="even" r:id="rId8"/>
      <w:headerReference w:type="default" r:id="rId9"/>
      <w:footerReference w:type="even" r:id="rId10"/>
      <w:footerReference w:type="default" r:id="rId11"/>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38261" w14:textId="77777777" w:rsidR="006E45C2" w:rsidRDefault="006E45C2">
      <w:r>
        <w:separator/>
      </w:r>
    </w:p>
  </w:endnote>
  <w:endnote w:type="continuationSeparator" w:id="0">
    <w:p w14:paraId="56412390" w14:textId="77777777" w:rsidR="006E45C2" w:rsidRDefault="006E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97930" w14:paraId="017EDE12" w14:textId="77777777" w:rsidTr="000E2777">
      <w:trPr>
        <w:trHeight w:hRule="exact" w:val="567"/>
      </w:trPr>
      <w:tc>
        <w:tcPr>
          <w:tcW w:w="510" w:type="dxa"/>
        </w:tcPr>
        <w:p w14:paraId="5D628819" w14:textId="77777777" w:rsidR="00297930" w:rsidRPr="00A24443" w:rsidRDefault="00297930" w:rsidP="0019293B">
          <w:pPr>
            <w:pStyle w:val="Footer"/>
            <w:tabs>
              <w:tab w:val="left" w:pos="0"/>
            </w:tabs>
            <w:ind w:right="0"/>
            <w:rPr>
              <w:rStyle w:val="PageNumber"/>
              <w:caps w:val="0"/>
            </w:rPr>
          </w:pPr>
          <w:r>
            <w:rPr>
              <w:rStyle w:val="PageNumber"/>
              <w:caps w:val="0"/>
            </w:rPr>
            <w:t>3.</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F1454">
            <w:rPr>
              <w:rStyle w:val="PageNumber"/>
              <w:caps w:val="0"/>
              <w:noProof/>
            </w:rPr>
            <w:t>4</w:t>
          </w:r>
          <w:r w:rsidRPr="00A24443">
            <w:rPr>
              <w:rStyle w:val="PageNumber"/>
              <w:caps w:val="0"/>
            </w:rPr>
            <w:fldChar w:fldCharType="end"/>
          </w:r>
        </w:p>
      </w:tc>
      <w:tc>
        <w:tcPr>
          <w:tcW w:w="7767" w:type="dxa"/>
        </w:tcPr>
        <w:p w14:paraId="280C0A97" w14:textId="767026D7" w:rsidR="00297930" w:rsidRPr="0013739A" w:rsidRDefault="00BA7AEC" w:rsidP="000E2777">
          <w:pPr>
            <w:pStyle w:val="Footer"/>
            <w:rPr>
              <w:rFonts w:cs="Arial"/>
            </w:rPr>
          </w:pPr>
          <w:r>
            <w:rPr>
              <w:rFonts w:cs="Arial"/>
            </w:rPr>
            <w:t>Overcoming Indigenous disadvantage 2020</w:t>
          </w:r>
          <w:bookmarkStart w:id="3" w:name="DraftReportEven"/>
          <w:bookmarkEnd w:id="3"/>
        </w:p>
      </w:tc>
      <w:tc>
        <w:tcPr>
          <w:tcW w:w="510" w:type="dxa"/>
        </w:tcPr>
        <w:p w14:paraId="70FEFEB8" w14:textId="77777777" w:rsidR="00297930" w:rsidRDefault="00297930" w:rsidP="0019293B">
          <w:pPr>
            <w:pStyle w:val="Footer"/>
          </w:pPr>
        </w:p>
      </w:tc>
    </w:tr>
  </w:tbl>
  <w:p w14:paraId="7B1A0A83" w14:textId="77777777" w:rsidR="00297930" w:rsidRDefault="00297930" w:rsidP="0019293B">
    <w:pPr>
      <w:pStyle w:val="FooterEnd"/>
    </w:pPr>
  </w:p>
  <w:p w14:paraId="311249B7" w14:textId="77777777" w:rsidR="00297930" w:rsidRDefault="00297930"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97930" w14:paraId="285AE03F" w14:textId="77777777" w:rsidTr="000E2777">
      <w:trPr>
        <w:trHeight w:hRule="exact" w:val="567"/>
      </w:trPr>
      <w:tc>
        <w:tcPr>
          <w:tcW w:w="510" w:type="dxa"/>
        </w:tcPr>
        <w:p w14:paraId="6E22FFB4" w14:textId="77777777" w:rsidR="00297930" w:rsidRDefault="00297930">
          <w:pPr>
            <w:pStyle w:val="Footer"/>
            <w:ind w:right="360" w:firstLine="360"/>
          </w:pPr>
        </w:p>
      </w:tc>
      <w:tc>
        <w:tcPr>
          <w:tcW w:w="7767" w:type="dxa"/>
        </w:tcPr>
        <w:p w14:paraId="4FB899BF" w14:textId="77777777" w:rsidR="00297930" w:rsidRPr="00BA5B14" w:rsidRDefault="004C2428" w:rsidP="000E2777">
          <w:pPr>
            <w:pStyle w:val="Footer"/>
            <w:jc w:val="right"/>
            <w:rPr>
              <w:rFonts w:cs="Arial"/>
            </w:rPr>
          </w:pPr>
          <w:r w:rsidRPr="004C2428">
            <w:rPr>
              <w:rFonts w:cs="Arial"/>
            </w:rPr>
            <w:t>Understanding the outcomes and how they can be improved</w:t>
          </w:r>
        </w:p>
      </w:tc>
      <w:tc>
        <w:tcPr>
          <w:tcW w:w="510" w:type="dxa"/>
        </w:tcPr>
        <w:p w14:paraId="77EF09E0" w14:textId="77777777" w:rsidR="00297930" w:rsidRPr="00A24443" w:rsidRDefault="00297930">
          <w:pPr>
            <w:pStyle w:val="Footer"/>
            <w:jc w:val="right"/>
            <w:rPr>
              <w:caps w:val="0"/>
            </w:rPr>
          </w:pPr>
          <w:r>
            <w:rPr>
              <w:rStyle w:val="PageNumber"/>
              <w:caps w:val="0"/>
            </w:rPr>
            <w:t>3.</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F1454">
            <w:rPr>
              <w:rStyle w:val="PageNumber"/>
              <w:caps w:val="0"/>
              <w:noProof/>
            </w:rPr>
            <w:t>3</w:t>
          </w:r>
          <w:r w:rsidRPr="00A24443">
            <w:rPr>
              <w:rStyle w:val="PageNumber"/>
              <w:caps w:val="0"/>
            </w:rPr>
            <w:fldChar w:fldCharType="end"/>
          </w:r>
        </w:p>
      </w:tc>
    </w:tr>
  </w:tbl>
  <w:p w14:paraId="41598CC1" w14:textId="77777777" w:rsidR="00297930" w:rsidRDefault="00297930">
    <w:pPr>
      <w:pStyle w:val="FooterEnd"/>
    </w:pPr>
  </w:p>
  <w:p w14:paraId="2379A6F9" w14:textId="77777777" w:rsidR="00297930" w:rsidRDefault="0029793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E6234" w14:textId="77777777" w:rsidR="006E45C2" w:rsidRDefault="006E45C2">
      <w:r>
        <w:separator/>
      </w:r>
    </w:p>
  </w:footnote>
  <w:footnote w:type="continuationSeparator" w:id="0">
    <w:p w14:paraId="420C3576" w14:textId="77777777" w:rsidR="006E45C2" w:rsidRDefault="006E45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297930" w14:paraId="1050978B" w14:textId="77777777">
      <w:tc>
        <w:tcPr>
          <w:tcW w:w="2155" w:type="dxa"/>
          <w:tcBorders>
            <w:top w:val="single" w:sz="24" w:space="0" w:color="auto"/>
          </w:tcBorders>
        </w:tcPr>
        <w:p w14:paraId="0239FFF2" w14:textId="77777777" w:rsidR="00297930" w:rsidRDefault="00297930" w:rsidP="0019293B">
          <w:pPr>
            <w:pStyle w:val="HeaderEven"/>
          </w:pPr>
        </w:p>
      </w:tc>
      <w:tc>
        <w:tcPr>
          <w:tcW w:w="6634" w:type="dxa"/>
          <w:tcBorders>
            <w:top w:val="single" w:sz="6" w:space="0" w:color="auto"/>
          </w:tcBorders>
        </w:tcPr>
        <w:p w14:paraId="061C8CC2" w14:textId="2DDFB363" w:rsidR="00297930" w:rsidRPr="00774581" w:rsidRDefault="007A0B17" w:rsidP="007A0B17">
          <w:pPr>
            <w:pStyle w:val="HeaderEven"/>
            <w:tabs>
              <w:tab w:val="left" w:pos="795"/>
            </w:tabs>
            <w:rPr>
              <w:sz w:val="20"/>
            </w:rPr>
          </w:pPr>
          <w:r>
            <w:rPr>
              <w:sz w:val="20"/>
            </w:rPr>
            <w:tab/>
          </w:r>
        </w:p>
      </w:tc>
    </w:tr>
  </w:tbl>
  <w:p w14:paraId="7ED26847" w14:textId="77777777" w:rsidR="00297930" w:rsidRDefault="00297930"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97930" w14:paraId="00DDAA63" w14:textId="77777777">
      <w:tc>
        <w:tcPr>
          <w:tcW w:w="6634" w:type="dxa"/>
          <w:tcBorders>
            <w:top w:val="single" w:sz="6" w:space="0" w:color="auto"/>
          </w:tcBorders>
        </w:tcPr>
        <w:p w14:paraId="789C0466" w14:textId="64DBABF3" w:rsidR="00297930" w:rsidRDefault="00297930" w:rsidP="00E46731">
          <w:pPr>
            <w:pStyle w:val="HeaderOdd"/>
          </w:pPr>
        </w:p>
      </w:tc>
      <w:tc>
        <w:tcPr>
          <w:tcW w:w="2155" w:type="dxa"/>
          <w:tcBorders>
            <w:top w:val="single" w:sz="24" w:space="0" w:color="auto"/>
          </w:tcBorders>
        </w:tcPr>
        <w:p w14:paraId="1461A402" w14:textId="77777777" w:rsidR="00297930" w:rsidRDefault="00297930" w:rsidP="00E669E2">
          <w:pPr>
            <w:pStyle w:val="HeaderOdd"/>
          </w:pPr>
        </w:p>
      </w:tc>
    </w:tr>
  </w:tbl>
  <w:p w14:paraId="52DE3A48" w14:textId="77777777" w:rsidR="00297930" w:rsidRDefault="00297930"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5E3C9D"/>
    <w:multiLevelType w:val="hybridMultilevel"/>
    <w:tmpl w:val="B0FC4AE6"/>
    <w:lvl w:ilvl="0" w:tplc="62560290">
      <w:numFmt w:val="bullet"/>
      <w:lvlText w:val="—"/>
      <w:lvlJc w:val="left"/>
      <w:pPr>
        <w:ind w:left="870" w:hanging="51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4"/>
  </w:num>
  <w:num w:numId="3">
    <w:abstractNumId w:val="20"/>
  </w:num>
  <w:num w:numId="4">
    <w:abstractNumId w:val="2"/>
  </w:num>
  <w:num w:numId="5">
    <w:abstractNumId w:val="14"/>
  </w:num>
  <w:num w:numId="6">
    <w:abstractNumId w:val="3"/>
  </w:num>
  <w:num w:numId="7">
    <w:abstractNumId w:val="19"/>
  </w:num>
  <w:num w:numId="8">
    <w:abstractNumId w:val="16"/>
  </w:num>
  <w:num w:numId="9">
    <w:abstractNumId w:val="21"/>
  </w:num>
  <w:num w:numId="10">
    <w:abstractNumId w:val="9"/>
  </w:num>
  <w:num w:numId="11">
    <w:abstractNumId w:val="7"/>
  </w:num>
  <w:num w:numId="12">
    <w:abstractNumId w:val="15"/>
  </w:num>
  <w:num w:numId="13">
    <w:abstractNumId w:val="6"/>
  </w:num>
  <w:num w:numId="14">
    <w:abstractNumId w:val="5"/>
  </w:num>
  <w:num w:numId="15">
    <w:abstractNumId w:val="10"/>
  </w:num>
  <w:num w:numId="16">
    <w:abstractNumId w:val="12"/>
  </w:num>
  <w:num w:numId="17">
    <w:abstractNumId w:val="17"/>
  </w:num>
  <w:num w:numId="18">
    <w:abstractNumId w:val="13"/>
  </w:num>
  <w:num w:numId="19">
    <w:abstractNumId w:val="18"/>
  </w:num>
  <w:num w:numId="20">
    <w:abstractNumId w:val="8"/>
  </w:num>
  <w:num w:numId="21">
    <w:abstractNumId w:val="0"/>
  </w:num>
  <w:num w:numId="22">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Key themes and interpretation"/>
    <w:docVar w:name="ShortReportTitle" w:val="Overcoming Indigenous disadvantage 2020"/>
  </w:docVars>
  <w:rsids>
    <w:rsidRoot w:val="00D714FB"/>
    <w:rsid w:val="0000411A"/>
    <w:rsid w:val="0000533F"/>
    <w:rsid w:val="00017D47"/>
    <w:rsid w:val="000227D5"/>
    <w:rsid w:val="0002327E"/>
    <w:rsid w:val="000245AA"/>
    <w:rsid w:val="0003664B"/>
    <w:rsid w:val="0004111F"/>
    <w:rsid w:val="00042280"/>
    <w:rsid w:val="000422CB"/>
    <w:rsid w:val="0004754D"/>
    <w:rsid w:val="00050A2F"/>
    <w:rsid w:val="00050AF4"/>
    <w:rsid w:val="000533F3"/>
    <w:rsid w:val="000565B3"/>
    <w:rsid w:val="00060B29"/>
    <w:rsid w:val="000673EB"/>
    <w:rsid w:val="00070A1D"/>
    <w:rsid w:val="0007150B"/>
    <w:rsid w:val="00071C65"/>
    <w:rsid w:val="000722EF"/>
    <w:rsid w:val="00073022"/>
    <w:rsid w:val="00074653"/>
    <w:rsid w:val="00074FAD"/>
    <w:rsid w:val="0007638E"/>
    <w:rsid w:val="00076A1F"/>
    <w:rsid w:val="0008068F"/>
    <w:rsid w:val="000840C2"/>
    <w:rsid w:val="0008578B"/>
    <w:rsid w:val="00087E61"/>
    <w:rsid w:val="00092450"/>
    <w:rsid w:val="00093723"/>
    <w:rsid w:val="000938F5"/>
    <w:rsid w:val="00096E55"/>
    <w:rsid w:val="000A05ED"/>
    <w:rsid w:val="000A2632"/>
    <w:rsid w:val="000B32D6"/>
    <w:rsid w:val="000B601B"/>
    <w:rsid w:val="000C123D"/>
    <w:rsid w:val="000C207E"/>
    <w:rsid w:val="000C3B32"/>
    <w:rsid w:val="000C749C"/>
    <w:rsid w:val="000D1223"/>
    <w:rsid w:val="000D1BFE"/>
    <w:rsid w:val="000D20F2"/>
    <w:rsid w:val="000D3CAC"/>
    <w:rsid w:val="000D4F3E"/>
    <w:rsid w:val="000D6DD1"/>
    <w:rsid w:val="000D7B50"/>
    <w:rsid w:val="000D7D9B"/>
    <w:rsid w:val="000E2777"/>
    <w:rsid w:val="000E34D5"/>
    <w:rsid w:val="000E3775"/>
    <w:rsid w:val="000E5A17"/>
    <w:rsid w:val="000F0035"/>
    <w:rsid w:val="000F167A"/>
    <w:rsid w:val="000F2A6B"/>
    <w:rsid w:val="000F36B2"/>
    <w:rsid w:val="000F420B"/>
    <w:rsid w:val="000F502F"/>
    <w:rsid w:val="00100F8E"/>
    <w:rsid w:val="00102314"/>
    <w:rsid w:val="00105C2D"/>
    <w:rsid w:val="001065E4"/>
    <w:rsid w:val="00107795"/>
    <w:rsid w:val="00110116"/>
    <w:rsid w:val="001131A3"/>
    <w:rsid w:val="00114B50"/>
    <w:rsid w:val="00120072"/>
    <w:rsid w:val="001200B8"/>
    <w:rsid w:val="00121654"/>
    <w:rsid w:val="00126EB8"/>
    <w:rsid w:val="001274D4"/>
    <w:rsid w:val="00132029"/>
    <w:rsid w:val="00132B63"/>
    <w:rsid w:val="001363AA"/>
    <w:rsid w:val="00142A01"/>
    <w:rsid w:val="00166BC5"/>
    <w:rsid w:val="00166C0F"/>
    <w:rsid w:val="00171078"/>
    <w:rsid w:val="0017195D"/>
    <w:rsid w:val="00171AED"/>
    <w:rsid w:val="00171C9B"/>
    <w:rsid w:val="00183E82"/>
    <w:rsid w:val="00186324"/>
    <w:rsid w:val="001878BB"/>
    <w:rsid w:val="00190843"/>
    <w:rsid w:val="00190C81"/>
    <w:rsid w:val="00191AE0"/>
    <w:rsid w:val="0019293B"/>
    <w:rsid w:val="0019426B"/>
    <w:rsid w:val="00194C15"/>
    <w:rsid w:val="00195C90"/>
    <w:rsid w:val="00196330"/>
    <w:rsid w:val="001C0865"/>
    <w:rsid w:val="001C1C14"/>
    <w:rsid w:val="001C39CA"/>
    <w:rsid w:val="001C3ABA"/>
    <w:rsid w:val="001C5D6D"/>
    <w:rsid w:val="001D49F4"/>
    <w:rsid w:val="001D531F"/>
    <w:rsid w:val="001D76B0"/>
    <w:rsid w:val="001E4CC7"/>
    <w:rsid w:val="001E7BE8"/>
    <w:rsid w:val="001F0248"/>
    <w:rsid w:val="001F1AA1"/>
    <w:rsid w:val="001F1ED9"/>
    <w:rsid w:val="001F3EB3"/>
    <w:rsid w:val="001F4F86"/>
    <w:rsid w:val="0020052E"/>
    <w:rsid w:val="00202C2C"/>
    <w:rsid w:val="00203A49"/>
    <w:rsid w:val="0020730A"/>
    <w:rsid w:val="0021148C"/>
    <w:rsid w:val="0021172A"/>
    <w:rsid w:val="002118EE"/>
    <w:rsid w:val="00212D01"/>
    <w:rsid w:val="0021320D"/>
    <w:rsid w:val="002135AB"/>
    <w:rsid w:val="002144BE"/>
    <w:rsid w:val="00215E08"/>
    <w:rsid w:val="002161D5"/>
    <w:rsid w:val="00224C47"/>
    <w:rsid w:val="00227F5E"/>
    <w:rsid w:val="002300DE"/>
    <w:rsid w:val="002352EA"/>
    <w:rsid w:val="00240201"/>
    <w:rsid w:val="00240AFF"/>
    <w:rsid w:val="00242279"/>
    <w:rsid w:val="002443CF"/>
    <w:rsid w:val="0024544F"/>
    <w:rsid w:val="00245C82"/>
    <w:rsid w:val="002474C0"/>
    <w:rsid w:val="00247DB9"/>
    <w:rsid w:val="002506F4"/>
    <w:rsid w:val="00255C09"/>
    <w:rsid w:val="002566A5"/>
    <w:rsid w:val="00256931"/>
    <w:rsid w:val="00256DD4"/>
    <w:rsid w:val="00261C9B"/>
    <w:rsid w:val="00261E21"/>
    <w:rsid w:val="0026257F"/>
    <w:rsid w:val="0026442C"/>
    <w:rsid w:val="00267CF7"/>
    <w:rsid w:val="00273A87"/>
    <w:rsid w:val="00274FD0"/>
    <w:rsid w:val="00275224"/>
    <w:rsid w:val="002804DC"/>
    <w:rsid w:val="00280EBF"/>
    <w:rsid w:val="00283676"/>
    <w:rsid w:val="00291B40"/>
    <w:rsid w:val="00294D4F"/>
    <w:rsid w:val="0029522C"/>
    <w:rsid w:val="00295834"/>
    <w:rsid w:val="00295BAB"/>
    <w:rsid w:val="002966C5"/>
    <w:rsid w:val="00297930"/>
    <w:rsid w:val="002A0BCC"/>
    <w:rsid w:val="002A2F1F"/>
    <w:rsid w:val="002A3513"/>
    <w:rsid w:val="002A3695"/>
    <w:rsid w:val="002B0170"/>
    <w:rsid w:val="002B4008"/>
    <w:rsid w:val="002B79AA"/>
    <w:rsid w:val="002C08DE"/>
    <w:rsid w:val="002C6C56"/>
    <w:rsid w:val="002C7853"/>
    <w:rsid w:val="002D0E8E"/>
    <w:rsid w:val="002D5863"/>
    <w:rsid w:val="002E0167"/>
    <w:rsid w:val="002E0C78"/>
    <w:rsid w:val="002E65DB"/>
    <w:rsid w:val="002F315A"/>
    <w:rsid w:val="002F4B15"/>
    <w:rsid w:val="002F6A5B"/>
    <w:rsid w:val="0030071A"/>
    <w:rsid w:val="00301189"/>
    <w:rsid w:val="00305766"/>
    <w:rsid w:val="00305EEE"/>
    <w:rsid w:val="00310654"/>
    <w:rsid w:val="00315610"/>
    <w:rsid w:val="00315621"/>
    <w:rsid w:val="00323E09"/>
    <w:rsid w:val="0032606B"/>
    <w:rsid w:val="003337E3"/>
    <w:rsid w:val="00333932"/>
    <w:rsid w:val="00333B08"/>
    <w:rsid w:val="00336173"/>
    <w:rsid w:val="003375EF"/>
    <w:rsid w:val="00342C94"/>
    <w:rsid w:val="0034396A"/>
    <w:rsid w:val="00344FB2"/>
    <w:rsid w:val="00347B2D"/>
    <w:rsid w:val="00350B2F"/>
    <w:rsid w:val="00350FDD"/>
    <w:rsid w:val="003518AA"/>
    <w:rsid w:val="00352165"/>
    <w:rsid w:val="00353182"/>
    <w:rsid w:val="00354078"/>
    <w:rsid w:val="003565D9"/>
    <w:rsid w:val="003602E1"/>
    <w:rsid w:val="0037026F"/>
    <w:rsid w:val="00371240"/>
    <w:rsid w:val="003731AA"/>
    <w:rsid w:val="00374731"/>
    <w:rsid w:val="00376E59"/>
    <w:rsid w:val="003919F9"/>
    <w:rsid w:val="0039595E"/>
    <w:rsid w:val="003A169C"/>
    <w:rsid w:val="003A29C7"/>
    <w:rsid w:val="003A4566"/>
    <w:rsid w:val="003A744F"/>
    <w:rsid w:val="003B17C6"/>
    <w:rsid w:val="003B3B6E"/>
    <w:rsid w:val="003B7E6A"/>
    <w:rsid w:val="003C1CCD"/>
    <w:rsid w:val="003C38B5"/>
    <w:rsid w:val="003C5D99"/>
    <w:rsid w:val="003C649D"/>
    <w:rsid w:val="003C7E0A"/>
    <w:rsid w:val="003D097D"/>
    <w:rsid w:val="003D13A7"/>
    <w:rsid w:val="003D4384"/>
    <w:rsid w:val="003D6FE9"/>
    <w:rsid w:val="003D7EEA"/>
    <w:rsid w:val="003E008C"/>
    <w:rsid w:val="003E040D"/>
    <w:rsid w:val="003E2F59"/>
    <w:rsid w:val="003F050F"/>
    <w:rsid w:val="003F0789"/>
    <w:rsid w:val="003F27C3"/>
    <w:rsid w:val="003F688A"/>
    <w:rsid w:val="00401882"/>
    <w:rsid w:val="004062D3"/>
    <w:rsid w:val="004100C8"/>
    <w:rsid w:val="00411DBD"/>
    <w:rsid w:val="004122C8"/>
    <w:rsid w:val="00412ACE"/>
    <w:rsid w:val="0041392C"/>
    <w:rsid w:val="00413AC0"/>
    <w:rsid w:val="00413D4B"/>
    <w:rsid w:val="00414AB3"/>
    <w:rsid w:val="004159DE"/>
    <w:rsid w:val="00415C38"/>
    <w:rsid w:val="00416694"/>
    <w:rsid w:val="00422CE0"/>
    <w:rsid w:val="00431249"/>
    <w:rsid w:val="00434426"/>
    <w:rsid w:val="00434C19"/>
    <w:rsid w:val="00436EF1"/>
    <w:rsid w:val="0044175D"/>
    <w:rsid w:val="00442D23"/>
    <w:rsid w:val="00445961"/>
    <w:rsid w:val="00446D7D"/>
    <w:rsid w:val="00450810"/>
    <w:rsid w:val="004514CB"/>
    <w:rsid w:val="00452475"/>
    <w:rsid w:val="00452B20"/>
    <w:rsid w:val="00453245"/>
    <w:rsid w:val="00463045"/>
    <w:rsid w:val="00464F22"/>
    <w:rsid w:val="0046768E"/>
    <w:rsid w:val="00467DE0"/>
    <w:rsid w:val="0047174C"/>
    <w:rsid w:val="00473C4C"/>
    <w:rsid w:val="00474F90"/>
    <w:rsid w:val="004754CE"/>
    <w:rsid w:val="00477144"/>
    <w:rsid w:val="00480880"/>
    <w:rsid w:val="004842FA"/>
    <w:rsid w:val="00491380"/>
    <w:rsid w:val="0049459F"/>
    <w:rsid w:val="00495E62"/>
    <w:rsid w:val="004A2B1F"/>
    <w:rsid w:val="004A38DD"/>
    <w:rsid w:val="004A4390"/>
    <w:rsid w:val="004B35DE"/>
    <w:rsid w:val="004B43AE"/>
    <w:rsid w:val="004B4987"/>
    <w:rsid w:val="004C1079"/>
    <w:rsid w:val="004C2428"/>
    <w:rsid w:val="004C30ED"/>
    <w:rsid w:val="004C4164"/>
    <w:rsid w:val="004C738D"/>
    <w:rsid w:val="004D06AC"/>
    <w:rsid w:val="004D090F"/>
    <w:rsid w:val="004D2580"/>
    <w:rsid w:val="004D2C62"/>
    <w:rsid w:val="004D5675"/>
    <w:rsid w:val="004E1DA1"/>
    <w:rsid w:val="004E2EA1"/>
    <w:rsid w:val="004F03E0"/>
    <w:rsid w:val="004F240D"/>
    <w:rsid w:val="004F319B"/>
    <w:rsid w:val="004F3B2C"/>
    <w:rsid w:val="004F414B"/>
    <w:rsid w:val="004F5592"/>
    <w:rsid w:val="00504491"/>
    <w:rsid w:val="00510E40"/>
    <w:rsid w:val="005116FF"/>
    <w:rsid w:val="00511720"/>
    <w:rsid w:val="00516B47"/>
    <w:rsid w:val="00520430"/>
    <w:rsid w:val="00523368"/>
    <w:rsid w:val="00523639"/>
    <w:rsid w:val="00526F25"/>
    <w:rsid w:val="005273B5"/>
    <w:rsid w:val="00531FE5"/>
    <w:rsid w:val="00536842"/>
    <w:rsid w:val="005379DD"/>
    <w:rsid w:val="005402FA"/>
    <w:rsid w:val="00542DEA"/>
    <w:rsid w:val="00544D93"/>
    <w:rsid w:val="00544F6F"/>
    <w:rsid w:val="00547D67"/>
    <w:rsid w:val="00555020"/>
    <w:rsid w:val="00556FCB"/>
    <w:rsid w:val="00560E49"/>
    <w:rsid w:val="0056512D"/>
    <w:rsid w:val="00575C5C"/>
    <w:rsid w:val="00583BC0"/>
    <w:rsid w:val="00583C39"/>
    <w:rsid w:val="00587D6D"/>
    <w:rsid w:val="00587F28"/>
    <w:rsid w:val="005909CF"/>
    <w:rsid w:val="00591E71"/>
    <w:rsid w:val="00595B85"/>
    <w:rsid w:val="005A0D41"/>
    <w:rsid w:val="005A2BDF"/>
    <w:rsid w:val="005A4B32"/>
    <w:rsid w:val="005B10FD"/>
    <w:rsid w:val="005B1647"/>
    <w:rsid w:val="005C3AC1"/>
    <w:rsid w:val="005C5BA8"/>
    <w:rsid w:val="005C6134"/>
    <w:rsid w:val="005D20B7"/>
    <w:rsid w:val="005D2B69"/>
    <w:rsid w:val="005D4210"/>
    <w:rsid w:val="005D5244"/>
    <w:rsid w:val="005E277E"/>
    <w:rsid w:val="005E5450"/>
    <w:rsid w:val="005E68D4"/>
    <w:rsid w:val="005F2685"/>
    <w:rsid w:val="005F2AC0"/>
    <w:rsid w:val="005F3600"/>
    <w:rsid w:val="005F54AA"/>
    <w:rsid w:val="00603D1B"/>
    <w:rsid w:val="00604535"/>
    <w:rsid w:val="00604EE4"/>
    <w:rsid w:val="006076A9"/>
    <w:rsid w:val="00607BF1"/>
    <w:rsid w:val="00607F4F"/>
    <w:rsid w:val="0061255A"/>
    <w:rsid w:val="00613348"/>
    <w:rsid w:val="00613512"/>
    <w:rsid w:val="00616063"/>
    <w:rsid w:val="00616B27"/>
    <w:rsid w:val="00625A57"/>
    <w:rsid w:val="00630D4D"/>
    <w:rsid w:val="00632A74"/>
    <w:rsid w:val="006362FC"/>
    <w:rsid w:val="00640C11"/>
    <w:rsid w:val="006410A5"/>
    <w:rsid w:val="00646395"/>
    <w:rsid w:val="006474DA"/>
    <w:rsid w:val="00647CA7"/>
    <w:rsid w:val="0065116C"/>
    <w:rsid w:val="00652552"/>
    <w:rsid w:val="00652A38"/>
    <w:rsid w:val="0065423C"/>
    <w:rsid w:val="0065773B"/>
    <w:rsid w:val="00657BBD"/>
    <w:rsid w:val="006624D9"/>
    <w:rsid w:val="006656F5"/>
    <w:rsid w:val="00671930"/>
    <w:rsid w:val="0067259A"/>
    <w:rsid w:val="006726B2"/>
    <w:rsid w:val="00680827"/>
    <w:rsid w:val="0068240C"/>
    <w:rsid w:val="00691B55"/>
    <w:rsid w:val="006926C2"/>
    <w:rsid w:val="00693C7C"/>
    <w:rsid w:val="00695B26"/>
    <w:rsid w:val="006A0589"/>
    <w:rsid w:val="006A2473"/>
    <w:rsid w:val="006A4655"/>
    <w:rsid w:val="006A607B"/>
    <w:rsid w:val="006B2B3C"/>
    <w:rsid w:val="006B3CAB"/>
    <w:rsid w:val="006B4CC2"/>
    <w:rsid w:val="006C1D81"/>
    <w:rsid w:val="006C3B38"/>
    <w:rsid w:val="006C5D25"/>
    <w:rsid w:val="006C60AA"/>
    <w:rsid w:val="006C7038"/>
    <w:rsid w:val="006D6710"/>
    <w:rsid w:val="006E19A3"/>
    <w:rsid w:val="006E42D9"/>
    <w:rsid w:val="006E45C2"/>
    <w:rsid w:val="006E61D9"/>
    <w:rsid w:val="006E6A08"/>
    <w:rsid w:val="006E7249"/>
    <w:rsid w:val="006E73EF"/>
    <w:rsid w:val="006F082E"/>
    <w:rsid w:val="006F52AD"/>
    <w:rsid w:val="006F5AD3"/>
    <w:rsid w:val="006F7FE5"/>
    <w:rsid w:val="007037B4"/>
    <w:rsid w:val="007107E8"/>
    <w:rsid w:val="00712EC7"/>
    <w:rsid w:val="00714D4D"/>
    <w:rsid w:val="0071686E"/>
    <w:rsid w:val="00721B5A"/>
    <w:rsid w:val="00733677"/>
    <w:rsid w:val="00742AD0"/>
    <w:rsid w:val="0075368D"/>
    <w:rsid w:val="007604BB"/>
    <w:rsid w:val="00763407"/>
    <w:rsid w:val="0076357B"/>
    <w:rsid w:val="00763AA0"/>
    <w:rsid w:val="00764792"/>
    <w:rsid w:val="00767B57"/>
    <w:rsid w:val="00771A18"/>
    <w:rsid w:val="00773F79"/>
    <w:rsid w:val="00774581"/>
    <w:rsid w:val="0077484C"/>
    <w:rsid w:val="0077734F"/>
    <w:rsid w:val="00777A2B"/>
    <w:rsid w:val="00780386"/>
    <w:rsid w:val="00783EBE"/>
    <w:rsid w:val="00785232"/>
    <w:rsid w:val="007875AD"/>
    <w:rsid w:val="0079462C"/>
    <w:rsid w:val="00796DBE"/>
    <w:rsid w:val="007A0B17"/>
    <w:rsid w:val="007A21EB"/>
    <w:rsid w:val="007B0BC1"/>
    <w:rsid w:val="007B1A93"/>
    <w:rsid w:val="007B3FD8"/>
    <w:rsid w:val="007B5BE1"/>
    <w:rsid w:val="007C2A26"/>
    <w:rsid w:val="007C3018"/>
    <w:rsid w:val="007C36C9"/>
    <w:rsid w:val="007C47D1"/>
    <w:rsid w:val="007C4DFE"/>
    <w:rsid w:val="007D3083"/>
    <w:rsid w:val="007D6401"/>
    <w:rsid w:val="007D6F90"/>
    <w:rsid w:val="007D75E6"/>
    <w:rsid w:val="007D7D42"/>
    <w:rsid w:val="007E01E4"/>
    <w:rsid w:val="007E1FE3"/>
    <w:rsid w:val="007E4A28"/>
    <w:rsid w:val="007E5A9A"/>
    <w:rsid w:val="007E5AEA"/>
    <w:rsid w:val="007E5D82"/>
    <w:rsid w:val="007F1CA1"/>
    <w:rsid w:val="007F1E09"/>
    <w:rsid w:val="007F254F"/>
    <w:rsid w:val="007F3564"/>
    <w:rsid w:val="007F5FB4"/>
    <w:rsid w:val="007F7107"/>
    <w:rsid w:val="00800D4C"/>
    <w:rsid w:val="0080799A"/>
    <w:rsid w:val="0081030F"/>
    <w:rsid w:val="008111A7"/>
    <w:rsid w:val="00814316"/>
    <w:rsid w:val="00816836"/>
    <w:rsid w:val="008171C4"/>
    <w:rsid w:val="0082087D"/>
    <w:rsid w:val="00821930"/>
    <w:rsid w:val="00824CED"/>
    <w:rsid w:val="00826B80"/>
    <w:rsid w:val="008319C4"/>
    <w:rsid w:val="00835771"/>
    <w:rsid w:val="00835E5D"/>
    <w:rsid w:val="00840E04"/>
    <w:rsid w:val="00842933"/>
    <w:rsid w:val="00844776"/>
    <w:rsid w:val="0085236A"/>
    <w:rsid w:val="00854129"/>
    <w:rsid w:val="00860363"/>
    <w:rsid w:val="0086082C"/>
    <w:rsid w:val="00861D6D"/>
    <w:rsid w:val="00864740"/>
    <w:rsid w:val="00864ADC"/>
    <w:rsid w:val="00866936"/>
    <w:rsid w:val="00866F16"/>
    <w:rsid w:val="008737AE"/>
    <w:rsid w:val="008755D3"/>
    <w:rsid w:val="00880153"/>
    <w:rsid w:val="00880F97"/>
    <w:rsid w:val="0088133A"/>
    <w:rsid w:val="008822F8"/>
    <w:rsid w:val="0088454F"/>
    <w:rsid w:val="008878EF"/>
    <w:rsid w:val="0089285E"/>
    <w:rsid w:val="00893F99"/>
    <w:rsid w:val="0089436C"/>
    <w:rsid w:val="008B0B7D"/>
    <w:rsid w:val="008C2C26"/>
    <w:rsid w:val="008C4C98"/>
    <w:rsid w:val="008D268B"/>
    <w:rsid w:val="008D365C"/>
    <w:rsid w:val="008D48F2"/>
    <w:rsid w:val="008D4F20"/>
    <w:rsid w:val="008D5C25"/>
    <w:rsid w:val="008D7E9B"/>
    <w:rsid w:val="008E2826"/>
    <w:rsid w:val="008E5291"/>
    <w:rsid w:val="008E64E6"/>
    <w:rsid w:val="008F151E"/>
    <w:rsid w:val="008F2066"/>
    <w:rsid w:val="008F291C"/>
    <w:rsid w:val="008F2EC6"/>
    <w:rsid w:val="008F4505"/>
    <w:rsid w:val="008F504A"/>
    <w:rsid w:val="00902069"/>
    <w:rsid w:val="009022F1"/>
    <w:rsid w:val="00902498"/>
    <w:rsid w:val="009030BF"/>
    <w:rsid w:val="00906916"/>
    <w:rsid w:val="0091032F"/>
    <w:rsid w:val="00914368"/>
    <w:rsid w:val="00917E49"/>
    <w:rsid w:val="00920123"/>
    <w:rsid w:val="00921839"/>
    <w:rsid w:val="00921923"/>
    <w:rsid w:val="00922E70"/>
    <w:rsid w:val="00931076"/>
    <w:rsid w:val="00931D91"/>
    <w:rsid w:val="009344B0"/>
    <w:rsid w:val="009345D9"/>
    <w:rsid w:val="00934B15"/>
    <w:rsid w:val="00935C8E"/>
    <w:rsid w:val="00936CAA"/>
    <w:rsid w:val="00940C87"/>
    <w:rsid w:val="009419B1"/>
    <w:rsid w:val="00942B62"/>
    <w:rsid w:val="0094314F"/>
    <w:rsid w:val="00946457"/>
    <w:rsid w:val="009512DA"/>
    <w:rsid w:val="0095323B"/>
    <w:rsid w:val="00954737"/>
    <w:rsid w:val="00956A0C"/>
    <w:rsid w:val="00956BD9"/>
    <w:rsid w:val="00957086"/>
    <w:rsid w:val="0096244B"/>
    <w:rsid w:val="00962489"/>
    <w:rsid w:val="00964A4C"/>
    <w:rsid w:val="00964C90"/>
    <w:rsid w:val="00967462"/>
    <w:rsid w:val="00972F48"/>
    <w:rsid w:val="0097501A"/>
    <w:rsid w:val="00975AED"/>
    <w:rsid w:val="00975F75"/>
    <w:rsid w:val="009772D4"/>
    <w:rsid w:val="00986298"/>
    <w:rsid w:val="0098736C"/>
    <w:rsid w:val="00990B47"/>
    <w:rsid w:val="00990C2C"/>
    <w:rsid w:val="00991F7C"/>
    <w:rsid w:val="00994D9D"/>
    <w:rsid w:val="00995910"/>
    <w:rsid w:val="00995A41"/>
    <w:rsid w:val="009A3721"/>
    <w:rsid w:val="009B11DA"/>
    <w:rsid w:val="009B60BE"/>
    <w:rsid w:val="009C0BD6"/>
    <w:rsid w:val="009C2FA4"/>
    <w:rsid w:val="009D52A8"/>
    <w:rsid w:val="009E0384"/>
    <w:rsid w:val="009E1248"/>
    <w:rsid w:val="009E17FF"/>
    <w:rsid w:val="009E1844"/>
    <w:rsid w:val="009E4262"/>
    <w:rsid w:val="009E619A"/>
    <w:rsid w:val="009E77D7"/>
    <w:rsid w:val="009F0D1B"/>
    <w:rsid w:val="009F696D"/>
    <w:rsid w:val="009F6BC6"/>
    <w:rsid w:val="009F7EE3"/>
    <w:rsid w:val="00A003A3"/>
    <w:rsid w:val="00A0269E"/>
    <w:rsid w:val="00A02F58"/>
    <w:rsid w:val="00A10122"/>
    <w:rsid w:val="00A130CD"/>
    <w:rsid w:val="00A144EB"/>
    <w:rsid w:val="00A17328"/>
    <w:rsid w:val="00A23A20"/>
    <w:rsid w:val="00A24CB8"/>
    <w:rsid w:val="00A268B9"/>
    <w:rsid w:val="00A2703A"/>
    <w:rsid w:val="00A309A1"/>
    <w:rsid w:val="00A3385B"/>
    <w:rsid w:val="00A33DFF"/>
    <w:rsid w:val="00A341AB"/>
    <w:rsid w:val="00A34F3D"/>
    <w:rsid w:val="00A35115"/>
    <w:rsid w:val="00A356BA"/>
    <w:rsid w:val="00A36D9A"/>
    <w:rsid w:val="00A43A31"/>
    <w:rsid w:val="00A44E08"/>
    <w:rsid w:val="00A478FE"/>
    <w:rsid w:val="00A504C1"/>
    <w:rsid w:val="00A508FB"/>
    <w:rsid w:val="00A554AB"/>
    <w:rsid w:val="00A56E82"/>
    <w:rsid w:val="00A57062"/>
    <w:rsid w:val="00A57CF1"/>
    <w:rsid w:val="00A611D2"/>
    <w:rsid w:val="00A63D28"/>
    <w:rsid w:val="00A65D9E"/>
    <w:rsid w:val="00A702AF"/>
    <w:rsid w:val="00A736B5"/>
    <w:rsid w:val="00A7383D"/>
    <w:rsid w:val="00A75545"/>
    <w:rsid w:val="00A75C02"/>
    <w:rsid w:val="00A77698"/>
    <w:rsid w:val="00A77E2D"/>
    <w:rsid w:val="00A81C3E"/>
    <w:rsid w:val="00A847F8"/>
    <w:rsid w:val="00A85EB2"/>
    <w:rsid w:val="00A92B53"/>
    <w:rsid w:val="00A94FA6"/>
    <w:rsid w:val="00AA0233"/>
    <w:rsid w:val="00AA182C"/>
    <w:rsid w:val="00AA354C"/>
    <w:rsid w:val="00AA3E4A"/>
    <w:rsid w:val="00AA49A0"/>
    <w:rsid w:val="00AA6140"/>
    <w:rsid w:val="00AA6710"/>
    <w:rsid w:val="00AB02E2"/>
    <w:rsid w:val="00AB0681"/>
    <w:rsid w:val="00AB1D29"/>
    <w:rsid w:val="00AB25C1"/>
    <w:rsid w:val="00AC21F3"/>
    <w:rsid w:val="00AC443F"/>
    <w:rsid w:val="00AC740D"/>
    <w:rsid w:val="00AD520B"/>
    <w:rsid w:val="00AD6FDF"/>
    <w:rsid w:val="00AD77BE"/>
    <w:rsid w:val="00AE116C"/>
    <w:rsid w:val="00AE3AF5"/>
    <w:rsid w:val="00AE5D4D"/>
    <w:rsid w:val="00AF7BD2"/>
    <w:rsid w:val="00B042BC"/>
    <w:rsid w:val="00B04E56"/>
    <w:rsid w:val="00B10ECB"/>
    <w:rsid w:val="00B1114C"/>
    <w:rsid w:val="00B13266"/>
    <w:rsid w:val="00B15C5B"/>
    <w:rsid w:val="00B17F02"/>
    <w:rsid w:val="00B22E5C"/>
    <w:rsid w:val="00B2533A"/>
    <w:rsid w:val="00B26DDD"/>
    <w:rsid w:val="00B31925"/>
    <w:rsid w:val="00B337E3"/>
    <w:rsid w:val="00B4031B"/>
    <w:rsid w:val="00B404A1"/>
    <w:rsid w:val="00B425C3"/>
    <w:rsid w:val="00B4364D"/>
    <w:rsid w:val="00B440AD"/>
    <w:rsid w:val="00B474E9"/>
    <w:rsid w:val="00B479BB"/>
    <w:rsid w:val="00B500CD"/>
    <w:rsid w:val="00B509AA"/>
    <w:rsid w:val="00B509BB"/>
    <w:rsid w:val="00B53E7E"/>
    <w:rsid w:val="00B61C65"/>
    <w:rsid w:val="00B6342E"/>
    <w:rsid w:val="00B64D7E"/>
    <w:rsid w:val="00B65DFE"/>
    <w:rsid w:val="00B66091"/>
    <w:rsid w:val="00B66844"/>
    <w:rsid w:val="00B7113F"/>
    <w:rsid w:val="00B7618A"/>
    <w:rsid w:val="00B85A0E"/>
    <w:rsid w:val="00B94696"/>
    <w:rsid w:val="00B96F17"/>
    <w:rsid w:val="00B978D3"/>
    <w:rsid w:val="00BA4191"/>
    <w:rsid w:val="00BA68A6"/>
    <w:rsid w:val="00BA73B6"/>
    <w:rsid w:val="00BA7AEC"/>
    <w:rsid w:val="00BA7E27"/>
    <w:rsid w:val="00BA7EF6"/>
    <w:rsid w:val="00BB2603"/>
    <w:rsid w:val="00BB4699"/>
    <w:rsid w:val="00BB4FCD"/>
    <w:rsid w:val="00BC04E9"/>
    <w:rsid w:val="00BC59C8"/>
    <w:rsid w:val="00BC61FC"/>
    <w:rsid w:val="00BC7955"/>
    <w:rsid w:val="00BD0D6D"/>
    <w:rsid w:val="00BD13EA"/>
    <w:rsid w:val="00BD4125"/>
    <w:rsid w:val="00BD4205"/>
    <w:rsid w:val="00BE3808"/>
    <w:rsid w:val="00BE55C3"/>
    <w:rsid w:val="00BE6003"/>
    <w:rsid w:val="00BF0E29"/>
    <w:rsid w:val="00BF1454"/>
    <w:rsid w:val="00BF61BE"/>
    <w:rsid w:val="00C062E9"/>
    <w:rsid w:val="00C06E74"/>
    <w:rsid w:val="00C07B64"/>
    <w:rsid w:val="00C11E40"/>
    <w:rsid w:val="00C13721"/>
    <w:rsid w:val="00C14FE4"/>
    <w:rsid w:val="00C20C78"/>
    <w:rsid w:val="00C22580"/>
    <w:rsid w:val="00C2346F"/>
    <w:rsid w:val="00C239DA"/>
    <w:rsid w:val="00C23F93"/>
    <w:rsid w:val="00C25F52"/>
    <w:rsid w:val="00C3066D"/>
    <w:rsid w:val="00C345D6"/>
    <w:rsid w:val="00C40B23"/>
    <w:rsid w:val="00C4224C"/>
    <w:rsid w:val="00C42F47"/>
    <w:rsid w:val="00C46EAF"/>
    <w:rsid w:val="00C52416"/>
    <w:rsid w:val="00C543F4"/>
    <w:rsid w:val="00C6291C"/>
    <w:rsid w:val="00C633CB"/>
    <w:rsid w:val="00C63CB9"/>
    <w:rsid w:val="00C643B3"/>
    <w:rsid w:val="00C67F14"/>
    <w:rsid w:val="00C736B7"/>
    <w:rsid w:val="00C77387"/>
    <w:rsid w:val="00C81D4A"/>
    <w:rsid w:val="00C8762C"/>
    <w:rsid w:val="00C904F9"/>
    <w:rsid w:val="00C91688"/>
    <w:rsid w:val="00C916EC"/>
    <w:rsid w:val="00CA00F9"/>
    <w:rsid w:val="00CA2691"/>
    <w:rsid w:val="00CA2961"/>
    <w:rsid w:val="00CA3167"/>
    <w:rsid w:val="00CA4D66"/>
    <w:rsid w:val="00CA5EE3"/>
    <w:rsid w:val="00CA626A"/>
    <w:rsid w:val="00CB04F1"/>
    <w:rsid w:val="00CB24A0"/>
    <w:rsid w:val="00CB50D7"/>
    <w:rsid w:val="00CB64E2"/>
    <w:rsid w:val="00CB67B9"/>
    <w:rsid w:val="00CB6B2A"/>
    <w:rsid w:val="00CB7177"/>
    <w:rsid w:val="00CC0F9C"/>
    <w:rsid w:val="00CC1998"/>
    <w:rsid w:val="00CC2572"/>
    <w:rsid w:val="00CC4946"/>
    <w:rsid w:val="00CD08B6"/>
    <w:rsid w:val="00CD1851"/>
    <w:rsid w:val="00CD34F2"/>
    <w:rsid w:val="00CD3845"/>
    <w:rsid w:val="00CE057F"/>
    <w:rsid w:val="00CE2AAB"/>
    <w:rsid w:val="00CE4C2F"/>
    <w:rsid w:val="00CE7767"/>
    <w:rsid w:val="00CE7A7B"/>
    <w:rsid w:val="00CF34D2"/>
    <w:rsid w:val="00CF6E62"/>
    <w:rsid w:val="00D00668"/>
    <w:rsid w:val="00D01B57"/>
    <w:rsid w:val="00D02EAE"/>
    <w:rsid w:val="00D0355D"/>
    <w:rsid w:val="00D038D9"/>
    <w:rsid w:val="00D2093D"/>
    <w:rsid w:val="00D21572"/>
    <w:rsid w:val="00D270A4"/>
    <w:rsid w:val="00D27DB7"/>
    <w:rsid w:val="00D31FE9"/>
    <w:rsid w:val="00D3422E"/>
    <w:rsid w:val="00D34741"/>
    <w:rsid w:val="00D34E1B"/>
    <w:rsid w:val="00D35DD2"/>
    <w:rsid w:val="00D376BA"/>
    <w:rsid w:val="00D45634"/>
    <w:rsid w:val="00D47462"/>
    <w:rsid w:val="00D5568A"/>
    <w:rsid w:val="00D55CCD"/>
    <w:rsid w:val="00D60F0A"/>
    <w:rsid w:val="00D63364"/>
    <w:rsid w:val="00D63D5A"/>
    <w:rsid w:val="00D63D73"/>
    <w:rsid w:val="00D64452"/>
    <w:rsid w:val="00D66E1E"/>
    <w:rsid w:val="00D711FC"/>
    <w:rsid w:val="00D714FB"/>
    <w:rsid w:val="00D75722"/>
    <w:rsid w:val="00D7672E"/>
    <w:rsid w:val="00D80CF5"/>
    <w:rsid w:val="00D86E37"/>
    <w:rsid w:val="00D97521"/>
    <w:rsid w:val="00DA0718"/>
    <w:rsid w:val="00DA4EEF"/>
    <w:rsid w:val="00DA5BBA"/>
    <w:rsid w:val="00DA6EDD"/>
    <w:rsid w:val="00DA7A79"/>
    <w:rsid w:val="00DB1073"/>
    <w:rsid w:val="00DB26D2"/>
    <w:rsid w:val="00DB4805"/>
    <w:rsid w:val="00DB4DF4"/>
    <w:rsid w:val="00DB67C9"/>
    <w:rsid w:val="00DC065B"/>
    <w:rsid w:val="00DC0C95"/>
    <w:rsid w:val="00DC122B"/>
    <w:rsid w:val="00DD6580"/>
    <w:rsid w:val="00DE1D68"/>
    <w:rsid w:val="00DE1E11"/>
    <w:rsid w:val="00DE3133"/>
    <w:rsid w:val="00DE42FF"/>
    <w:rsid w:val="00DE6035"/>
    <w:rsid w:val="00DF039C"/>
    <w:rsid w:val="00DF4661"/>
    <w:rsid w:val="00E14AF3"/>
    <w:rsid w:val="00E14B7A"/>
    <w:rsid w:val="00E16C50"/>
    <w:rsid w:val="00E17C72"/>
    <w:rsid w:val="00E21FC6"/>
    <w:rsid w:val="00E22B87"/>
    <w:rsid w:val="00E24613"/>
    <w:rsid w:val="00E350FC"/>
    <w:rsid w:val="00E40E35"/>
    <w:rsid w:val="00E431A9"/>
    <w:rsid w:val="00E448B8"/>
    <w:rsid w:val="00E46731"/>
    <w:rsid w:val="00E46ECA"/>
    <w:rsid w:val="00E51A2F"/>
    <w:rsid w:val="00E60EE8"/>
    <w:rsid w:val="00E6119A"/>
    <w:rsid w:val="00E669E2"/>
    <w:rsid w:val="00E70DFC"/>
    <w:rsid w:val="00E70E24"/>
    <w:rsid w:val="00E72E75"/>
    <w:rsid w:val="00E749C9"/>
    <w:rsid w:val="00E750EE"/>
    <w:rsid w:val="00E7582E"/>
    <w:rsid w:val="00E76135"/>
    <w:rsid w:val="00E82F4F"/>
    <w:rsid w:val="00E851DF"/>
    <w:rsid w:val="00E91D6F"/>
    <w:rsid w:val="00E95951"/>
    <w:rsid w:val="00EA7F89"/>
    <w:rsid w:val="00EB064F"/>
    <w:rsid w:val="00EB1294"/>
    <w:rsid w:val="00EB1A6E"/>
    <w:rsid w:val="00EB429D"/>
    <w:rsid w:val="00EC1109"/>
    <w:rsid w:val="00EC1136"/>
    <w:rsid w:val="00EC19FD"/>
    <w:rsid w:val="00EC2844"/>
    <w:rsid w:val="00EC5500"/>
    <w:rsid w:val="00EC5C39"/>
    <w:rsid w:val="00EC6F84"/>
    <w:rsid w:val="00EC7056"/>
    <w:rsid w:val="00EC724C"/>
    <w:rsid w:val="00ED18F8"/>
    <w:rsid w:val="00ED3ECE"/>
    <w:rsid w:val="00ED5AE0"/>
    <w:rsid w:val="00ED6AED"/>
    <w:rsid w:val="00EE011B"/>
    <w:rsid w:val="00EE05FD"/>
    <w:rsid w:val="00EE06E3"/>
    <w:rsid w:val="00EE282D"/>
    <w:rsid w:val="00EE2EF6"/>
    <w:rsid w:val="00EE38AF"/>
    <w:rsid w:val="00EE4102"/>
    <w:rsid w:val="00EE6B82"/>
    <w:rsid w:val="00EF0D53"/>
    <w:rsid w:val="00EF20EA"/>
    <w:rsid w:val="00EF279C"/>
    <w:rsid w:val="00EF6C6C"/>
    <w:rsid w:val="00F056FC"/>
    <w:rsid w:val="00F10476"/>
    <w:rsid w:val="00F10567"/>
    <w:rsid w:val="00F10FA1"/>
    <w:rsid w:val="00F135D8"/>
    <w:rsid w:val="00F15204"/>
    <w:rsid w:val="00F22902"/>
    <w:rsid w:val="00F2458C"/>
    <w:rsid w:val="00F31299"/>
    <w:rsid w:val="00F327DA"/>
    <w:rsid w:val="00F32C81"/>
    <w:rsid w:val="00F34687"/>
    <w:rsid w:val="00F34A5B"/>
    <w:rsid w:val="00F3534A"/>
    <w:rsid w:val="00F37B48"/>
    <w:rsid w:val="00F40394"/>
    <w:rsid w:val="00F43D94"/>
    <w:rsid w:val="00F44875"/>
    <w:rsid w:val="00F46F76"/>
    <w:rsid w:val="00F51609"/>
    <w:rsid w:val="00F52B1F"/>
    <w:rsid w:val="00F53C35"/>
    <w:rsid w:val="00F56EE7"/>
    <w:rsid w:val="00F66132"/>
    <w:rsid w:val="00F71A88"/>
    <w:rsid w:val="00F7254A"/>
    <w:rsid w:val="00F75244"/>
    <w:rsid w:val="00F7540C"/>
    <w:rsid w:val="00F81006"/>
    <w:rsid w:val="00F85325"/>
    <w:rsid w:val="00F87691"/>
    <w:rsid w:val="00F9507E"/>
    <w:rsid w:val="00F958DE"/>
    <w:rsid w:val="00FA2AFA"/>
    <w:rsid w:val="00FA5EB1"/>
    <w:rsid w:val="00FA7771"/>
    <w:rsid w:val="00FB0DAE"/>
    <w:rsid w:val="00FB2849"/>
    <w:rsid w:val="00FB78A7"/>
    <w:rsid w:val="00FC2638"/>
    <w:rsid w:val="00FD08B3"/>
    <w:rsid w:val="00FD1B11"/>
    <w:rsid w:val="00FD22B1"/>
    <w:rsid w:val="00FD5E7C"/>
    <w:rsid w:val="00FE5397"/>
    <w:rsid w:val="00FE7C12"/>
    <w:rsid w:val="00FF0A2C"/>
    <w:rsid w:val="00FF1BA7"/>
    <w:rsid w:val="00FF2DC3"/>
    <w:rsid w:val="00FF4179"/>
    <w:rsid w:val="00FF49E2"/>
    <w:rsid w:val="00FF65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B6310B2"/>
  <w15:docId w15:val="{AE618D9B-7366-45BA-A8AD-F4AAE7FE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F1454"/>
    <w:rPr>
      <w:sz w:val="24"/>
      <w:szCs w:val="24"/>
    </w:rPr>
  </w:style>
  <w:style w:type="paragraph" w:styleId="Heading1">
    <w:name w:val="heading 1"/>
    <w:basedOn w:val="BodyText"/>
    <w:next w:val="BodyText"/>
    <w:rsid w:val="00BF1454"/>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BF1454"/>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BF1454"/>
    <w:pPr>
      <w:spacing w:before="560" w:line="320" w:lineRule="exact"/>
      <w:ind w:left="0" w:firstLine="0"/>
      <w:outlineLvl w:val="2"/>
    </w:pPr>
    <w:rPr>
      <w:sz w:val="26"/>
    </w:rPr>
  </w:style>
  <w:style w:type="paragraph" w:styleId="Heading4">
    <w:name w:val="heading 4"/>
    <w:basedOn w:val="Heading3"/>
    <w:next w:val="BodyText"/>
    <w:qFormat/>
    <w:rsid w:val="00BF1454"/>
    <w:pPr>
      <w:spacing w:before="480"/>
      <w:outlineLvl w:val="3"/>
    </w:pPr>
    <w:rPr>
      <w:b w:val="0"/>
      <w:sz w:val="24"/>
    </w:rPr>
  </w:style>
  <w:style w:type="paragraph" w:styleId="Heading5">
    <w:name w:val="heading 5"/>
    <w:basedOn w:val="Heading4"/>
    <w:next w:val="BodyText"/>
    <w:link w:val="Heading5Char"/>
    <w:qFormat/>
    <w:rsid w:val="00BF1454"/>
    <w:pPr>
      <w:outlineLvl w:val="4"/>
    </w:pPr>
    <w:rPr>
      <w:i/>
      <w:sz w:val="22"/>
    </w:rPr>
  </w:style>
  <w:style w:type="paragraph" w:styleId="Heading6">
    <w:name w:val="heading 6"/>
    <w:basedOn w:val="BodyText"/>
    <w:next w:val="BodyText"/>
    <w:rsid w:val="00BF1454"/>
    <w:pPr>
      <w:spacing w:after="60"/>
      <w:jc w:val="left"/>
      <w:outlineLvl w:val="5"/>
    </w:pPr>
    <w:rPr>
      <w:i/>
      <w:sz w:val="22"/>
    </w:rPr>
  </w:style>
  <w:style w:type="paragraph" w:styleId="Heading7">
    <w:name w:val="heading 7"/>
    <w:basedOn w:val="BodyText"/>
    <w:next w:val="BodyText"/>
    <w:rsid w:val="00BF1454"/>
    <w:pPr>
      <w:spacing w:after="60" w:line="240" w:lineRule="auto"/>
      <w:jc w:val="left"/>
      <w:outlineLvl w:val="6"/>
    </w:pPr>
    <w:rPr>
      <w:rFonts w:ascii="Arial" w:hAnsi="Arial"/>
      <w:sz w:val="20"/>
    </w:rPr>
  </w:style>
  <w:style w:type="paragraph" w:styleId="Heading8">
    <w:name w:val="heading 8"/>
    <w:basedOn w:val="BodyText"/>
    <w:next w:val="BodyText"/>
    <w:rsid w:val="00BF1454"/>
    <w:pPr>
      <w:spacing w:after="60" w:line="240" w:lineRule="auto"/>
      <w:jc w:val="left"/>
      <w:outlineLvl w:val="7"/>
    </w:pPr>
    <w:rPr>
      <w:rFonts w:ascii="Arial" w:hAnsi="Arial"/>
      <w:i/>
      <w:sz w:val="20"/>
    </w:rPr>
  </w:style>
  <w:style w:type="paragraph" w:styleId="Heading9">
    <w:name w:val="heading 9"/>
    <w:basedOn w:val="BodyText"/>
    <w:next w:val="BodyText"/>
    <w:rsid w:val="00BF1454"/>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BF14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1454"/>
  </w:style>
  <w:style w:type="paragraph" w:styleId="BodyText">
    <w:name w:val="Body Text"/>
    <w:link w:val="BodyTextChar"/>
    <w:qFormat/>
    <w:rsid w:val="00BF1454"/>
    <w:pPr>
      <w:spacing w:before="240" w:line="300" w:lineRule="atLeast"/>
      <w:jc w:val="both"/>
    </w:pPr>
    <w:rPr>
      <w:sz w:val="24"/>
    </w:rPr>
  </w:style>
  <w:style w:type="paragraph" w:styleId="Footer">
    <w:name w:val="footer"/>
    <w:basedOn w:val="BodyText"/>
    <w:link w:val="FooterChar"/>
    <w:rsid w:val="00BF1454"/>
    <w:pPr>
      <w:spacing w:before="80" w:line="200" w:lineRule="exact"/>
      <w:ind w:right="6"/>
      <w:jc w:val="left"/>
    </w:pPr>
    <w:rPr>
      <w:rFonts w:ascii="Arial" w:hAnsi="Arial"/>
      <w:caps/>
      <w:spacing w:val="-4"/>
      <w:sz w:val="16"/>
    </w:rPr>
  </w:style>
  <w:style w:type="paragraph" w:customStyle="1" w:styleId="FooterEnd">
    <w:name w:val="Footer End"/>
    <w:basedOn w:val="Footer"/>
    <w:rsid w:val="00BF1454"/>
    <w:pPr>
      <w:spacing w:before="0" w:line="20" w:lineRule="exact"/>
    </w:pPr>
  </w:style>
  <w:style w:type="paragraph" w:styleId="Header">
    <w:name w:val="header"/>
    <w:basedOn w:val="BodyText"/>
    <w:rsid w:val="00BF1454"/>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BF1454"/>
    <w:pPr>
      <w:spacing w:line="20" w:lineRule="exact"/>
    </w:pPr>
    <w:rPr>
      <w:sz w:val="16"/>
    </w:rPr>
  </w:style>
  <w:style w:type="paragraph" w:customStyle="1" w:styleId="HeaderEven">
    <w:name w:val="Header Even"/>
    <w:basedOn w:val="Header"/>
    <w:semiHidden/>
    <w:rsid w:val="00BF1454"/>
  </w:style>
  <w:style w:type="paragraph" w:customStyle="1" w:styleId="HeaderOdd">
    <w:name w:val="Header Odd"/>
    <w:basedOn w:val="Header"/>
    <w:semiHidden/>
    <w:rsid w:val="00BF1454"/>
  </w:style>
  <w:style w:type="character" w:styleId="PageNumber">
    <w:name w:val="page number"/>
    <w:basedOn w:val="DefaultParagraphFont"/>
    <w:rsid w:val="00BF1454"/>
    <w:rPr>
      <w:rFonts w:ascii="Arial" w:hAnsi="Arial"/>
      <w:b/>
      <w:sz w:val="16"/>
    </w:rPr>
  </w:style>
  <w:style w:type="paragraph" w:customStyle="1" w:styleId="Abbreviation">
    <w:name w:val="Abbreviation"/>
    <w:basedOn w:val="BodyText"/>
    <w:rsid w:val="00BF1454"/>
    <w:pPr>
      <w:spacing w:before="120"/>
      <w:ind w:left="2381" w:hanging="2381"/>
      <w:jc w:val="left"/>
    </w:pPr>
  </w:style>
  <w:style w:type="paragraph" w:customStyle="1" w:styleId="Box">
    <w:name w:val="Box"/>
    <w:basedOn w:val="BodyText"/>
    <w:qFormat/>
    <w:rsid w:val="00BF1454"/>
    <w:pPr>
      <w:keepNext/>
      <w:spacing w:before="120" w:line="260" w:lineRule="atLeast"/>
    </w:pPr>
    <w:rPr>
      <w:rFonts w:ascii="Arial" w:hAnsi="Arial"/>
      <w:sz w:val="20"/>
    </w:rPr>
  </w:style>
  <w:style w:type="paragraph" w:customStyle="1" w:styleId="BoxContinued">
    <w:name w:val="Box Continued"/>
    <w:basedOn w:val="BodyText"/>
    <w:next w:val="BodyText"/>
    <w:semiHidden/>
    <w:rsid w:val="00BF1454"/>
    <w:pPr>
      <w:spacing w:before="180" w:line="220" w:lineRule="exact"/>
      <w:jc w:val="right"/>
    </w:pPr>
    <w:rPr>
      <w:rFonts w:ascii="Arial" w:hAnsi="Arial"/>
      <w:sz w:val="18"/>
    </w:rPr>
  </w:style>
  <w:style w:type="paragraph" w:customStyle="1" w:styleId="BoxHeading1">
    <w:name w:val="Box Heading 1"/>
    <w:basedOn w:val="BodyText"/>
    <w:next w:val="Box"/>
    <w:rsid w:val="00BF1454"/>
    <w:pPr>
      <w:keepNext/>
      <w:spacing w:before="200" w:line="280" w:lineRule="atLeast"/>
    </w:pPr>
    <w:rPr>
      <w:rFonts w:ascii="Arial" w:hAnsi="Arial"/>
      <w:b/>
      <w:sz w:val="22"/>
    </w:rPr>
  </w:style>
  <w:style w:type="paragraph" w:customStyle="1" w:styleId="BoxHeading2">
    <w:name w:val="Box Heading 2"/>
    <w:basedOn w:val="BoxHeading1"/>
    <w:next w:val="Box"/>
    <w:rsid w:val="00BF1454"/>
    <w:rPr>
      <w:b w:val="0"/>
      <w:i/>
    </w:rPr>
  </w:style>
  <w:style w:type="paragraph" w:customStyle="1" w:styleId="BoxListBullet">
    <w:name w:val="Box List Bullet"/>
    <w:basedOn w:val="BodyText"/>
    <w:link w:val="BoxListBulletChar"/>
    <w:rsid w:val="00BF1454"/>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BF1454"/>
    <w:pPr>
      <w:numPr>
        <w:numId w:val="2"/>
      </w:numPr>
      <w:ind w:left="568" w:hanging="284"/>
    </w:pPr>
  </w:style>
  <w:style w:type="paragraph" w:customStyle="1" w:styleId="BoxListNumber">
    <w:name w:val="Box List Number"/>
    <w:basedOn w:val="BodyText"/>
    <w:rsid w:val="00BF1454"/>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BF1454"/>
    <w:pPr>
      <w:numPr>
        <w:ilvl w:val="1"/>
      </w:numPr>
      <w:ind w:left="681" w:hanging="397"/>
    </w:pPr>
  </w:style>
  <w:style w:type="paragraph" w:customStyle="1" w:styleId="BoxQuote">
    <w:name w:val="Box Quote"/>
    <w:basedOn w:val="BodyText"/>
    <w:next w:val="Box"/>
    <w:qFormat/>
    <w:rsid w:val="00BF1454"/>
    <w:pPr>
      <w:keepNext/>
      <w:spacing w:before="60" w:line="240" w:lineRule="exact"/>
      <w:ind w:left="284"/>
    </w:pPr>
    <w:rPr>
      <w:rFonts w:ascii="Arial" w:hAnsi="Arial"/>
      <w:sz w:val="18"/>
    </w:rPr>
  </w:style>
  <w:style w:type="paragraph" w:customStyle="1" w:styleId="Note">
    <w:name w:val="Note"/>
    <w:basedOn w:val="BodyText"/>
    <w:next w:val="BodyText"/>
    <w:rsid w:val="00BF1454"/>
    <w:pPr>
      <w:keepLines/>
      <w:spacing w:before="80" w:line="220" w:lineRule="exact"/>
    </w:pPr>
    <w:rPr>
      <w:rFonts w:ascii="Arial" w:hAnsi="Arial"/>
      <w:sz w:val="18"/>
    </w:rPr>
  </w:style>
  <w:style w:type="paragraph" w:customStyle="1" w:styleId="Source">
    <w:name w:val="Source"/>
    <w:basedOn w:val="Normal"/>
    <w:next w:val="BodyText"/>
    <w:rsid w:val="00BF1454"/>
    <w:pPr>
      <w:keepLines/>
      <w:spacing w:before="80" w:line="220" w:lineRule="exact"/>
      <w:jc w:val="both"/>
    </w:pPr>
    <w:rPr>
      <w:rFonts w:ascii="Arial" w:hAnsi="Arial"/>
      <w:sz w:val="18"/>
      <w:szCs w:val="20"/>
    </w:rPr>
  </w:style>
  <w:style w:type="paragraph" w:customStyle="1" w:styleId="BoxSource">
    <w:name w:val="Box Source"/>
    <w:basedOn w:val="Source"/>
    <w:next w:val="BodyText"/>
    <w:rsid w:val="00BF1454"/>
    <w:pPr>
      <w:spacing w:before="120"/>
    </w:pPr>
  </w:style>
  <w:style w:type="paragraph" w:customStyle="1" w:styleId="BoxSpaceAbove">
    <w:name w:val="Box Space Above"/>
    <w:basedOn w:val="BodyText"/>
    <w:rsid w:val="00BF1454"/>
    <w:pPr>
      <w:keepNext/>
      <w:spacing w:before="360" w:line="80" w:lineRule="exact"/>
      <w:jc w:val="left"/>
    </w:pPr>
  </w:style>
  <w:style w:type="paragraph" w:styleId="Caption">
    <w:name w:val="caption"/>
    <w:basedOn w:val="Normal"/>
    <w:next w:val="BodyText"/>
    <w:rsid w:val="00BF1454"/>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BF1454"/>
    <w:pPr>
      <w:spacing w:before="120" w:after="0"/>
    </w:pPr>
  </w:style>
  <w:style w:type="paragraph" w:customStyle="1" w:styleId="BoxSubtitle">
    <w:name w:val="Box Subtitle"/>
    <w:basedOn w:val="BoxTitle"/>
    <w:next w:val="Normal"/>
    <w:rsid w:val="00BF1454"/>
    <w:pPr>
      <w:spacing w:after="80" w:line="200" w:lineRule="exact"/>
      <w:ind w:firstLine="0"/>
    </w:pPr>
    <w:rPr>
      <w:b w:val="0"/>
      <w:sz w:val="20"/>
    </w:rPr>
  </w:style>
  <w:style w:type="paragraph" w:customStyle="1" w:styleId="Chapter">
    <w:name w:val="Chapter"/>
    <w:basedOn w:val="Heading1"/>
    <w:next w:val="BodyText"/>
    <w:semiHidden/>
    <w:rsid w:val="00BF1454"/>
    <w:pPr>
      <w:ind w:left="0" w:firstLine="0"/>
      <w:outlineLvl w:val="9"/>
    </w:pPr>
  </w:style>
  <w:style w:type="paragraph" w:customStyle="1" w:styleId="ChapterSummary">
    <w:name w:val="Chapter Summary"/>
    <w:basedOn w:val="BodyText"/>
    <w:rsid w:val="00BF1454"/>
    <w:pPr>
      <w:spacing w:line="280" w:lineRule="atLeast"/>
      <w:ind w:left="907"/>
    </w:pPr>
    <w:rPr>
      <w:rFonts w:ascii="Arial" w:hAnsi="Arial"/>
      <w:b/>
      <w:sz w:val="20"/>
    </w:rPr>
  </w:style>
  <w:style w:type="character" w:styleId="CommentReference">
    <w:name w:val="annotation reference"/>
    <w:basedOn w:val="DefaultParagraphFont"/>
    <w:semiHidden/>
    <w:rsid w:val="00BF1454"/>
    <w:rPr>
      <w:b/>
      <w:vanish/>
      <w:color w:val="FF00FF"/>
      <w:sz w:val="20"/>
    </w:rPr>
  </w:style>
  <w:style w:type="paragraph" w:styleId="CommentText">
    <w:name w:val="annotation text"/>
    <w:basedOn w:val="Normal"/>
    <w:link w:val="CommentTextChar"/>
    <w:semiHidden/>
    <w:rsid w:val="00BF1454"/>
    <w:pPr>
      <w:spacing w:before="120" w:line="240" w:lineRule="atLeast"/>
      <w:ind w:left="567" w:hanging="567"/>
    </w:pPr>
    <w:rPr>
      <w:sz w:val="20"/>
    </w:rPr>
  </w:style>
  <w:style w:type="paragraph" w:customStyle="1" w:styleId="Continued">
    <w:name w:val="Continued"/>
    <w:basedOn w:val="BoxContinued"/>
    <w:next w:val="BodyText"/>
    <w:rsid w:val="00BF1454"/>
  </w:style>
  <w:style w:type="character" w:customStyle="1" w:styleId="DocumentInfo">
    <w:name w:val="Document Info"/>
    <w:basedOn w:val="DefaultParagraphFont"/>
    <w:semiHidden/>
    <w:rsid w:val="00BF1454"/>
    <w:rPr>
      <w:rFonts w:ascii="Arial" w:hAnsi="Arial"/>
      <w:sz w:val="14"/>
    </w:rPr>
  </w:style>
  <w:style w:type="character" w:customStyle="1" w:styleId="DraftingNote">
    <w:name w:val="Drafting Note"/>
    <w:basedOn w:val="DefaultParagraphFont"/>
    <w:rsid w:val="00BF1454"/>
    <w:rPr>
      <w:b/>
      <w:color w:val="FF0000"/>
      <w:sz w:val="24"/>
      <w:u w:val="dotted"/>
    </w:rPr>
  </w:style>
  <w:style w:type="paragraph" w:customStyle="1" w:styleId="Figure">
    <w:name w:val="Figure"/>
    <w:basedOn w:val="BodyText"/>
    <w:rsid w:val="00BF1454"/>
    <w:pPr>
      <w:keepNext/>
      <w:spacing w:before="120" w:after="120" w:line="240" w:lineRule="atLeast"/>
      <w:jc w:val="center"/>
    </w:pPr>
  </w:style>
  <w:style w:type="paragraph" w:customStyle="1" w:styleId="FigureTitle">
    <w:name w:val="Figure Title"/>
    <w:basedOn w:val="Caption"/>
    <w:next w:val="Subtitle"/>
    <w:rsid w:val="00BF1454"/>
    <w:pPr>
      <w:spacing w:before="120"/>
    </w:pPr>
  </w:style>
  <w:style w:type="paragraph" w:styleId="Subtitle">
    <w:name w:val="Subtitle"/>
    <w:basedOn w:val="Caption"/>
    <w:link w:val="SubtitleChar"/>
    <w:qFormat/>
    <w:rsid w:val="00BF1454"/>
    <w:pPr>
      <w:spacing w:before="0" w:line="200" w:lineRule="exact"/>
      <w:ind w:firstLine="0"/>
    </w:pPr>
    <w:rPr>
      <w:b w:val="0"/>
      <w:sz w:val="20"/>
    </w:rPr>
  </w:style>
  <w:style w:type="paragraph" w:customStyle="1" w:styleId="Finding">
    <w:name w:val="Finding"/>
    <w:basedOn w:val="BodyText"/>
    <w:rsid w:val="00BF1454"/>
    <w:pPr>
      <w:keepLines/>
      <w:spacing w:before="120" w:line="280" w:lineRule="atLeast"/>
    </w:pPr>
    <w:rPr>
      <w:rFonts w:ascii="Arial" w:hAnsi="Arial"/>
      <w:sz w:val="22"/>
    </w:rPr>
  </w:style>
  <w:style w:type="paragraph" w:customStyle="1" w:styleId="FindingBullet">
    <w:name w:val="Finding Bullet"/>
    <w:basedOn w:val="Finding"/>
    <w:rsid w:val="00BF1454"/>
    <w:pPr>
      <w:numPr>
        <w:numId w:val="3"/>
      </w:numPr>
      <w:spacing w:before="80"/>
    </w:pPr>
  </w:style>
  <w:style w:type="paragraph" w:customStyle="1" w:styleId="FindingNoTitle">
    <w:name w:val="Finding NoTitle"/>
    <w:basedOn w:val="Finding"/>
    <w:semiHidden/>
    <w:rsid w:val="00BF1454"/>
    <w:pPr>
      <w:spacing w:before="240"/>
    </w:pPr>
  </w:style>
  <w:style w:type="paragraph" w:customStyle="1" w:styleId="RecTitle">
    <w:name w:val="Rec Title"/>
    <w:basedOn w:val="BodyText"/>
    <w:next w:val="Rec"/>
    <w:qFormat/>
    <w:rsid w:val="00BF1454"/>
    <w:pPr>
      <w:keepNext/>
      <w:keepLines/>
      <w:spacing w:line="280" w:lineRule="atLeast"/>
    </w:pPr>
    <w:rPr>
      <w:rFonts w:ascii="Arial" w:hAnsi="Arial"/>
      <w:caps/>
      <w:sz w:val="18"/>
    </w:rPr>
  </w:style>
  <w:style w:type="paragraph" w:customStyle="1" w:styleId="FindingTitle">
    <w:name w:val="Finding Title"/>
    <w:basedOn w:val="RecTitle"/>
    <w:next w:val="Finding"/>
    <w:rsid w:val="00BF1454"/>
  </w:style>
  <w:style w:type="character" w:styleId="FootnoteReference">
    <w:name w:val="footnote reference"/>
    <w:basedOn w:val="DefaultParagraphFont"/>
    <w:semiHidden/>
    <w:rsid w:val="00BF1454"/>
    <w:rPr>
      <w:rFonts w:ascii="Times New Roman" w:hAnsi="Times New Roman"/>
      <w:position w:val="6"/>
      <w:sz w:val="20"/>
      <w:vertAlign w:val="baseline"/>
    </w:rPr>
  </w:style>
  <w:style w:type="paragraph" w:styleId="FootnoteText">
    <w:name w:val="footnote text"/>
    <w:basedOn w:val="BodyText"/>
    <w:link w:val="FootnoteTextChar"/>
    <w:rsid w:val="00BF1454"/>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BF1454"/>
    <w:rPr>
      <w:i/>
    </w:rPr>
  </w:style>
  <w:style w:type="paragraph" w:customStyle="1" w:styleId="Jurisdictioncommentsbodytext">
    <w:name w:val="Jurisdiction comments body text"/>
    <w:rsid w:val="00BF1454"/>
    <w:pPr>
      <w:spacing w:after="140"/>
      <w:jc w:val="both"/>
    </w:pPr>
    <w:rPr>
      <w:rFonts w:ascii="Arial" w:hAnsi="Arial"/>
      <w:sz w:val="24"/>
      <w:lang w:eastAsia="en-US"/>
    </w:rPr>
  </w:style>
  <w:style w:type="paragraph" w:customStyle="1" w:styleId="Jurisdictioncommentsheading">
    <w:name w:val="Jurisdiction comments heading"/>
    <w:rsid w:val="00BF1454"/>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BF1454"/>
    <w:pPr>
      <w:numPr>
        <w:numId w:val="4"/>
      </w:numPr>
      <w:spacing w:after="140"/>
      <w:jc w:val="both"/>
    </w:pPr>
    <w:rPr>
      <w:rFonts w:ascii="Arial" w:hAnsi="Arial"/>
      <w:sz w:val="24"/>
      <w:lang w:eastAsia="en-US"/>
    </w:rPr>
  </w:style>
  <w:style w:type="paragraph" w:styleId="ListBullet">
    <w:name w:val="List Bullet"/>
    <w:basedOn w:val="BodyText"/>
    <w:link w:val="ListBulletChar"/>
    <w:rsid w:val="00BF1454"/>
    <w:pPr>
      <w:numPr>
        <w:numId w:val="5"/>
      </w:numPr>
      <w:spacing w:before="120"/>
    </w:pPr>
  </w:style>
  <w:style w:type="paragraph" w:styleId="ListBullet2">
    <w:name w:val="List Bullet 2"/>
    <w:basedOn w:val="BodyText"/>
    <w:rsid w:val="00BF1454"/>
    <w:pPr>
      <w:numPr>
        <w:numId w:val="6"/>
      </w:numPr>
      <w:spacing w:before="120"/>
    </w:pPr>
  </w:style>
  <w:style w:type="paragraph" w:styleId="ListBullet3">
    <w:name w:val="List Bullet 3"/>
    <w:basedOn w:val="BodyText"/>
    <w:rsid w:val="00BF1454"/>
    <w:pPr>
      <w:numPr>
        <w:numId w:val="7"/>
      </w:numPr>
      <w:spacing w:before="120"/>
      <w:ind w:left="1020" w:hanging="340"/>
    </w:pPr>
  </w:style>
  <w:style w:type="paragraph" w:styleId="ListNumber">
    <w:name w:val="List Number"/>
    <w:basedOn w:val="BodyText"/>
    <w:rsid w:val="00BF1454"/>
    <w:pPr>
      <w:numPr>
        <w:numId w:val="13"/>
      </w:numPr>
      <w:spacing w:before="120"/>
    </w:pPr>
  </w:style>
  <w:style w:type="paragraph" w:styleId="ListNumber2">
    <w:name w:val="List Number 2"/>
    <w:basedOn w:val="ListNumber"/>
    <w:rsid w:val="00BF1454"/>
    <w:pPr>
      <w:numPr>
        <w:ilvl w:val="1"/>
      </w:numPr>
    </w:pPr>
  </w:style>
  <w:style w:type="paragraph" w:styleId="ListNumber3">
    <w:name w:val="List Number 3"/>
    <w:basedOn w:val="ListNumber2"/>
    <w:rsid w:val="00BF1454"/>
    <w:pPr>
      <w:numPr>
        <w:ilvl w:val="2"/>
      </w:numPr>
    </w:pPr>
  </w:style>
  <w:style w:type="character" w:customStyle="1" w:styleId="NoteLabel">
    <w:name w:val="Note Label"/>
    <w:basedOn w:val="DefaultParagraphFont"/>
    <w:rsid w:val="00BF1454"/>
    <w:rPr>
      <w:rFonts w:ascii="Arial" w:hAnsi="Arial"/>
      <w:b/>
      <w:position w:val="6"/>
      <w:sz w:val="18"/>
    </w:rPr>
  </w:style>
  <w:style w:type="paragraph" w:customStyle="1" w:styleId="PartDivider">
    <w:name w:val="Part Divider"/>
    <w:basedOn w:val="BodyText"/>
    <w:next w:val="BodyText"/>
    <w:semiHidden/>
    <w:rsid w:val="00BF1454"/>
    <w:pPr>
      <w:spacing w:before="0" w:line="40" w:lineRule="exact"/>
      <w:jc w:val="right"/>
    </w:pPr>
    <w:rPr>
      <w:smallCaps/>
      <w:sz w:val="16"/>
    </w:rPr>
  </w:style>
  <w:style w:type="paragraph" w:customStyle="1" w:styleId="PartNumber">
    <w:name w:val="Part Number"/>
    <w:basedOn w:val="BodyText"/>
    <w:next w:val="BodyText"/>
    <w:semiHidden/>
    <w:rsid w:val="00BF1454"/>
    <w:pPr>
      <w:spacing w:before="4000" w:line="320" w:lineRule="exact"/>
      <w:ind w:left="6634"/>
      <w:jc w:val="right"/>
    </w:pPr>
    <w:rPr>
      <w:smallCaps/>
      <w:spacing w:val="60"/>
      <w:sz w:val="32"/>
    </w:rPr>
  </w:style>
  <w:style w:type="paragraph" w:customStyle="1" w:styleId="PartTitle">
    <w:name w:val="Part Title"/>
    <w:basedOn w:val="BodyText"/>
    <w:semiHidden/>
    <w:rsid w:val="00BF1454"/>
    <w:pPr>
      <w:spacing w:before="160" w:after="1360" w:line="520" w:lineRule="exact"/>
      <w:ind w:right="2381"/>
      <w:jc w:val="right"/>
    </w:pPr>
    <w:rPr>
      <w:smallCaps/>
      <w:sz w:val="52"/>
    </w:rPr>
  </w:style>
  <w:style w:type="paragraph" w:styleId="Quote">
    <w:name w:val="Quote"/>
    <w:basedOn w:val="BodyText"/>
    <w:next w:val="BodyText"/>
    <w:qFormat/>
    <w:rsid w:val="00BF1454"/>
    <w:pPr>
      <w:spacing w:before="120" w:line="280" w:lineRule="exact"/>
      <w:ind w:left="340"/>
    </w:pPr>
    <w:rPr>
      <w:sz w:val="22"/>
    </w:rPr>
  </w:style>
  <w:style w:type="paragraph" w:customStyle="1" w:styleId="QuoteBullet">
    <w:name w:val="Quote Bullet"/>
    <w:basedOn w:val="Quote"/>
    <w:rsid w:val="00BF1454"/>
    <w:pPr>
      <w:numPr>
        <w:numId w:val="8"/>
      </w:numPr>
    </w:pPr>
  </w:style>
  <w:style w:type="paragraph" w:customStyle="1" w:styleId="Rec">
    <w:name w:val="Rec"/>
    <w:basedOn w:val="BodyText"/>
    <w:qFormat/>
    <w:rsid w:val="00BF1454"/>
    <w:pPr>
      <w:keepLines/>
      <w:spacing w:before="120" w:line="280" w:lineRule="atLeast"/>
    </w:pPr>
    <w:rPr>
      <w:rFonts w:ascii="Arial" w:hAnsi="Arial"/>
      <w:sz w:val="22"/>
    </w:rPr>
  </w:style>
  <w:style w:type="paragraph" w:customStyle="1" w:styleId="RecBullet">
    <w:name w:val="Rec Bullet"/>
    <w:basedOn w:val="Rec"/>
    <w:rsid w:val="00BF1454"/>
    <w:pPr>
      <w:numPr>
        <w:numId w:val="9"/>
      </w:numPr>
      <w:spacing w:before="80"/>
    </w:pPr>
  </w:style>
  <w:style w:type="paragraph" w:customStyle="1" w:styleId="RecB">
    <w:name w:val="RecB"/>
    <w:basedOn w:val="Normal"/>
    <w:semiHidden/>
    <w:rsid w:val="00BF1454"/>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BF1454"/>
    <w:pPr>
      <w:numPr>
        <w:numId w:val="10"/>
      </w:numPr>
      <w:spacing w:before="80"/>
    </w:pPr>
  </w:style>
  <w:style w:type="paragraph" w:customStyle="1" w:styleId="RecBNoTitle">
    <w:name w:val="RecB NoTitle"/>
    <w:basedOn w:val="RecB"/>
    <w:semiHidden/>
    <w:rsid w:val="00BF1454"/>
    <w:pPr>
      <w:spacing w:before="240"/>
    </w:pPr>
  </w:style>
  <w:style w:type="paragraph" w:customStyle="1" w:styleId="Reference">
    <w:name w:val="Reference"/>
    <w:basedOn w:val="BodyText"/>
    <w:rsid w:val="00BF1454"/>
    <w:pPr>
      <w:spacing w:before="120"/>
      <w:ind w:left="340" w:hanging="340"/>
    </w:pPr>
  </w:style>
  <w:style w:type="paragraph" w:customStyle="1" w:styleId="SequenceInfo">
    <w:name w:val="Sequence Info"/>
    <w:basedOn w:val="BodyText"/>
    <w:semiHidden/>
    <w:rsid w:val="00BF1454"/>
    <w:rPr>
      <w:vanish/>
      <w:sz w:val="16"/>
    </w:rPr>
  </w:style>
  <w:style w:type="paragraph" w:customStyle="1" w:styleId="SideNote">
    <w:name w:val="Side Note"/>
    <w:basedOn w:val="BodyText"/>
    <w:next w:val="BodyText"/>
    <w:semiHidden/>
    <w:rsid w:val="00BF1454"/>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BF1454"/>
    <w:pPr>
      <w:framePr w:wrap="around"/>
      <w:numPr>
        <w:numId w:val="11"/>
      </w:numPr>
      <w:tabs>
        <w:tab w:val="left" w:pos="227"/>
      </w:tabs>
    </w:pPr>
  </w:style>
  <w:style w:type="paragraph" w:customStyle="1" w:styleId="SideNoteGraphic">
    <w:name w:val="Side Note Graphic"/>
    <w:basedOn w:val="SideNote"/>
    <w:next w:val="BodyText"/>
    <w:semiHidden/>
    <w:rsid w:val="00BF1454"/>
    <w:pPr>
      <w:framePr w:wrap="around"/>
    </w:pPr>
  </w:style>
  <w:style w:type="paragraph" w:customStyle="1" w:styleId="TableBodyText">
    <w:name w:val="Table Body Text"/>
    <w:basedOn w:val="BodyText"/>
    <w:rsid w:val="00BF1454"/>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BF1454"/>
    <w:pPr>
      <w:numPr>
        <w:numId w:val="12"/>
      </w:numPr>
      <w:jc w:val="left"/>
    </w:pPr>
  </w:style>
  <w:style w:type="paragraph" w:customStyle="1" w:styleId="TableColumnHeading">
    <w:name w:val="Table Column Heading"/>
    <w:basedOn w:val="TableBodyText"/>
    <w:rsid w:val="00BF1454"/>
    <w:pPr>
      <w:spacing w:before="80" w:after="80"/>
    </w:pPr>
    <w:rPr>
      <w:i/>
    </w:rPr>
  </w:style>
  <w:style w:type="paragraph" w:styleId="TOC2">
    <w:name w:val="toc 2"/>
    <w:basedOn w:val="TOC1"/>
    <w:rsid w:val="00BF1454"/>
    <w:pPr>
      <w:ind w:left="1134" w:hanging="624"/>
    </w:pPr>
    <w:rPr>
      <w:b w:val="0"/>
    </w:rPr>
  </w:style>
  <w:style w:type="paragraph" w:styleId="TOC3">
    <w:name w:val="toc 3"/>
    <w:basedOn w:val="TOC2"/>
    <w:rsid w:val="00BF1454"/>
    <w:pPr>
      <w:spacing w:before="60"/>
      <w:ind w:left="1190" w:hanging="680"/>
    </w:pPr>
  </w:style>
  <w:style w:type="paragraph" w:styleId="TableofFigures">
    <w:name w:val="table of figures"/>
    <w:basedOn w:val="TOC3"/>
    <w:next w:val="BodyText"/>
    <w:semiHidden/>
    <w:rsid w:val="00BF1454"/>
    <w:pPr>
      <w:ind w:left="737" w:hanging="737"/>
    </w:pPr>
  </w:style>
  <w:style w:type="paragraph" w:customStyle="1" w:styleId="TableTitle">
    <w:name w:val="Table Title"/>
    <w:basedOn w:val="Caption"/>
    <w:next w:val="Subtitle"/>
    <w:qFormat/>
    <w:rsid w:val="00BF1454"/>
    <w:pPr>
      <w:spacing w:before="120"/>
    </w:pPr>
  </w:style>
  <w:style w:type="paragraph" w:customStyle="1" w:styleId="TableUnitsRow">
    <w:name w:val="Table Units Row"/>
    <w:basedOn w:val="TableBodyText"/>
    <w:rsid w:val="00BF1454"/>
    <w:pPr>
      <w:spacing w:before="40"/>
    </w:pPr>
  </w:style>
  <w:style w:type="paragraph" w:styleId="TOC1">
    <w:name w:val="toc 1"/>
    <w:basedOn w:val="Normal"/>
    <w:next w:val="TOC2"/>
    <w:link w:val="TOC1Char"/>
    <w:rsid w:val="00BF1454"/>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BF1454"/>
    <w:pPr>
      <w:ind w:left="1191" w:firstLine="0"/>
    </w:pPr>
  </w:style>
  <w:style w:type="paragraph" w:customStyle="1" w:styleId="RecBBullet2">
    <w:name w:val="RecB Bullet 2"/>
    <w:basedOn w:val="ListBullet2"/>
    <w:semiHidden/>
    <w:rsid w:val="00BF1454"/>
    <w:pPr>
      <w:pBdr>
        <w:left w:val="single" w:sz="24" w:space="29" w:color="C0C0C0"/>
      </w:pBdr>
    </w:pPr>
    <w:rPr>
      <w:b/>
      <w:i/>
    </w:rPr>
  </w:style>
  <w:style w:type="paragraph" w:styleId="BalloonText">
    <w:name w:val="Balloon Text"/>
    <w:basedOn w:val="Normal"/>
    <w:link w:val="BalloonTextChar"/>
    <w:rsid w:val="00BF1454"/>
    <w:rPr>
      <w:rFonts w:ascii="Tahoma" w:hAnsi="Tahoma" w:cs="Tahoma"/>
      <w:sz w:val="16"/>
      <w:szCs w:val="16"/>
    </w:rPr>
  </w:style>
  <w:style w:type="character" w:customStyle="1" w:styleId="BalloonTextChar">
    <w:name w:val="Balloon Text Char"/>
    <w:basedOn w:val="DefaultParagraphFont"/>
    <w:link w:val="BalloonText"/>
    <w:rsid w:val="00BF1454"/>
    <w:rPr>
      <w:rFonts w:ascii="Tahoma" w:hAnsi="Tahoma" w:cs="Tahoma"/>
      <w:sz w:val="16"/>
      <w:szCs w:val="16"/>
    </w:rPr>
  </w:style>
  <w:style w:type="character" w:customStyle="1" w:styleId="SubtitleChar">
    <w:name w:val="Subtitle Char"/>
    <w:basedOn w:val="DefaultParagraphFont"/>
    <w:link w:val="Subtitle"/>
    <w:rsid w:val="00BF1454"/>
    <w:rPr>
      <w:rFonts w:ascii="Arial" w:hAnsi="Arial"/>
      <w:szCs w:val="24"/>
    </w:rPr>
  </w:style>
  <w:style w:type="paragraph" w:customStyle="1" w:styleId="BoxListBullet3">
    <w:name w:val="Box List Bullet 3"/>
    <w:basedOn w:val="ListBullet3"/>
    <w:rsid w:val="00BF1454"/>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BF1454"/>
    <w:rPr>
      <w:i/>
      <w:iCs/>
    </w:rPr>
  </w:style>
  <w:style w:type="paragraph" w:customStyle="1" w:styleId="BoxQuoteBullet">
    <w:name w:val="Box Quote Bullet"/>
    <w:basedOn w:val="BoxQuote"/>
    <w:next w:val="Box"/>
    <w:rsid w:val="00BF1454"/>
    <w:pPr>
      <w:numPr>
        <w:numId w:val="15"/>
      </w:numPr>
      <w:ind w:left="568" w:hanging="284"/>
    </w:pPr>
  </w:style>
  <w:style w:type="paragraph" w:customStyle="1" w:styleId="InformationRequestBullet">
    <w:name w:val="Information Request Bullet"/>
    <w:basedOn w:val="ListBullet"/>
    <w:next w:val="BodyText"/>
    <w:rsid w:val="00BF1454"/>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BF1454"/>
    <w:pPr>
      <w:keepNext w:val="0"/>
      <w:spacing w:before="60" w:after="60" w:line="80" w:lineRule="exact"/>
    </w:pPr>
    <w:rPr>
      <w:sz w:val="14"/>
    </w:rPr>
  </w:style>
  <w:style w:type="paragraph" w:styleId="CommentSubject">
    <w:name w:val="annotation subject"/>
    <w:basedOn w:val="CommentText"/>
    <w:next w:val="CommentText"/>
    <w:link w:val="CommentSubjectChar"/>
    <w:rsid w:val="0000533F"/>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00533F"/>
    <w:rPr>
      <w:szCs w:val="24"/>
    </w:rPr>
  </w:style>
  <w:style w:type="character" w:customStyle="1" w:styleId="CommentSubjectChar">
    <w:name w:val="Comment Subject Char"/>
    <w:basedOn w:val="CommentTextChar"/>
    <w:link w:val="CommentSubject"/>
    <w:rsid w:val="0000533F"/>
    <w:rPr>
      <w:b/>
      <w:bCs/>
      <w:szCs w:val="24"/>
    </w:rPr>
  </w:style>
  <w:style w:type="character" w:styleId="Hyperlink">
    <w:name w:val="Hyperlink"/>
    <w:basedOn w:val="DefaultParagraphFont"/>
    <w:rsid w:val="00920123"/>
    <w:rPr>
      <w:color w:val="78A22F" w:themeColor="hyperlink"/>
      <w:u w:val="single"/>
    </w:rPr>
  </w:style>
  <w:style w:type="paragraph" w:customStyle="1" w:styleId="KeyPointsListBullet">
    <w:name w:val="Key Points List Bullet"/>
    <w:basedOn w:val="Normal"/>
    <w:qFormat/>
    <w:rsid w:val="00BF1454"/>
    <w:pPr>
      <w:keepNext/>
      <w:numPr>
        <w:numId w:val="19"/>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BF1454"/>
    <w:pPr>
      <w:numPr>
        <w:numId w:val="20"/>
      </w:numPr>
      <w:ind w:left="568" w:hanging="284"/>
    </w:pPr>
  </w:style>
  <w:style w:type="paragraph" w:customStyle="1" w:styleId="InformationRequestTitle">
    <w:name w:val="Information Request Title"/>
    <w:basedOn w:val="FindingTitle"/>
    <w:next w:val="InformationRequest"/>
    <w:rsid w:val="00BF1454"/>
    <w:rPr>
      <w:i/>
    </w:rPr>
  </w:style>
  <w:style w:type="paragraph" w:customStyle="1" w:styleId="Space">
    <w:name w:val="Space"/>
    <w:basedOn w:val="Normal"/>
    <w:rsid w:val="00BF1454"/>
    <w:pPr>
      <w:keepNext/>
      <w:spacing w:line="120" w:lineRule="exact"/>
      <w:jc w:val="both"/>
    </w:pPr>
    <w:rPr>
      <w:rFonts w:ascii="Arial" w:hAnsi="Arial"/>
      <w:sz w:val="20"/>
      <w:szCs w:val="20"/>
    </w:rPr>
  </w:style>
  <w:style w:type="paragraph" w:customStyle="1" w:styleId="Heading1nochapterno">
    <w:name w:val="Heading 1 (no chapter no.)"/>
    <w:basedOn w:val="Heading1"/>
    <w:rsid w:val="00BF1454"/>
    <w:pPr>
      <w:spacing w:before="0"/>
      <w:ind w:left="0" w:firstLine="0"/>
    </w:pPr>
  </w:style>
  <w:style w:type="paragraph" w:customStyle="1" w:styleId="Heading2nosectionno">
    <w:name w:val="Heading 2 (no section no.)"/>
    <w:basedOn w:val="Heading2"/>
    <w:rsid w:val="00BF1454"/>
    <w:pPr>
      <w:ind w:left="0" w:firstLine="0"/>
    </w:pPr>
  </w:style>
  <w:style w:type="character" w:customStyle="1" w:styleId="Heading5Char">
    <w:name w:val="Heading 5 Char"/>
    <w:basedOn w:val="DefaultParagraphFont"/>
    <w:link w:val="Heading5"/>
    <w:rsid w:val="00BF1454"/>
    <w:rPr>
      <w:rFonts w:ascii="Arial" w:hAnsi="Arial"/>
      <w:i/>
      <w:sz w:val="22"/>
    </w:rPr>
  </w:style>
  <w:style w:type="paragraph" w:customStyle="1" w:styleId="Figurespace">
    <w:name w:val="Figure space"/>
    <w:basedOn w:val="Box"/>
    <w:rsid w:val="00BF1454"/>
    <w:pPr>
      <w:spacing w:before="0" w:line="120" w:lineRule="exact"/>
    </w:pPr>
  </w:style>
  <w:style w:type="paragraph" w:customStyle="1" w:styleId="FooterDraftReport">
    <w:name w:val="FooterDraftReport"/>
    <w:basedOn w:val="Footer"/>
    <w:link w:val="FooterDraftReportChar"/>
    <w:rsid w:val="00BF145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BF1454"/>
    <w:rPr>
      <w:sz w:val="24"/>
    </w:rPr>
  </w:style>
  <w:style w:type="character" w:customStyle="1" w:styleId="FooterChar">
    <w:name w:val="Footer Char"/>
    <w:basedOn w:val="BodyTextChar"/>
    <w:link w:val="Footer"/>
    <w:rsid w:val="00BF1454"/>
    <w:rPr>
      <w:rFonts w:ascii="Arial" w:hAnsi="Arial"/>
      <w:caps/>
      <w:spacing w:val="-4"/>
      <w:sz w:val="16"/>
    </w:rPr>
  </w:style>
  <w:style w:type="character" w:customStyle="1" w:styleId="FooterDraftReportChar">
    <w:name w:val="FooterDraftReport Char"/>
    <w:basedOn w:val="FooterChar"/>
    <w:link w:val="FooterDraftReport"/>
    <w:rsid w:val="00BF145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BF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BF1454"/>
    <w:rPr>
      <w:rFonts w:ascii="Arial" w:hAnsi="Arial"/>
      <w:b/>
      <w:sz w:val="26"/>
      <w:szCs w:val="26"/>
      <w:lang w:eastAsia="en-US"/>
    </w:rPr>
  </w:style>
  <w:style w:type="character" w:customStyle="1" w:styleId="BoxListBulletChar">
    <w:name w:val="Box List Bullet Char"/>
    <w:basedOn w:val="DefaultParagraphFont"/>
    <w:link w:val="BoxListBullet"/>
    <w:rsid w:val="007107E8"/>
    <w:rPr>
      <w:rFonts w:ascii="Arial" w:hAnsi="Arial"/>
    </w:rPr>
  </w:style>
  <w:style w:type="paragraph" w:styleId="Bibliography">
    <w:name w:val="Bibliography"/>
    <w:basedOn w:val="Normal"/>
    <w:next w:val="Normal"/>
    <w:uiPriority w:val="37"/>
    <w:unhideWhenUsed/>
    <w:rsid w:val="00A43A31"/>
    <w:pPr>
      <w:spacing w:after="240"/>
      <w:ind w:left="720" w:hanging="720"/>
    </w:pPr>
  </w:style>
  <w:style w:type="character" w:customStyle="1" w:styleId="Continuedintitle">
    <w:name w:val="Continued (in title)"/>
    <w:basedOn w:val="DefaultParagraphFont"/>
    <w:rsid w:val="00BF1454"/>
    <w:rPr>
      <w:rFonts w:ascii="Arial" w:hAnsi="Arial"/>
      <w:b/>
      <w:sz w:val="18"/>
    </w:rPr>
  </w:style>
  <w:style w:type="paragraph" w:styleId="Revision">
    <w:name w:val="Revision"/>
    <w:hidden/>
    <w:uiPriority w:val="99"/>
    <w:semiHidden/>
    <w:rsid w:val="007C4DFE"/>
    <w:rPr>
      <w:sz w:val="24"/>
      <w:szCs w:val="24"/>
    </w:rPr>
  </w:style>
  <w:style w:type="character" w:customStyle="1" w:styleId="Heading3Char">
    <w:name w:val="Heading 3 Char"/>
    <w:basedOn w:val="DefaultParagraphFont"/>
    <w:link w:val="Heading3"/>
    <w:rsid w:val="00E851DF"/>
    <w:rPr>
      <w:rFonts w:ascii="Arial" w:hAnsi="Arial"/>
      <w:b/>
      <w:sz w:val="26"/>
    </w:rPr>
  </w:style>
  <w:style w:type="character" w:customStyle="1" w:styleId="ListBulletChar">
    <w:name w:val="List Bullet Char"/>
    <w:basedOn w:val="DefaultParagraphFont"/>
    <w:link w:val="ListBullet"/>
    <w:rsid w:val="00E851DF"/>
    <w:rPr>
      <w:sz w:val="24"/>
    </w:rPr>
  </w:style>
  <w:style w:type="character" w:customStyle="1" w:styleId="FootnoteTextChar">
    <w:name w:val="Footnote Text Char"/>
    <w:basedOn w:val="DefaultParagraphFont"/>
    <w:link w:val="FootnoteText"/>
    <w:rsid w:val="00E851DF"/>
  </w:style>
  <w:style w:type="paragraph" w:customStyle="1" w:styleId="Body">
    <w:name w:val="Body"/>
    <w:basedOn w:val="BodyText"/>
    <w:link w:val="BodyChar"/>
    <w:qFormat/>
    <w:rsid w:val="00445961"/>
  </w:style>
  <w:style w:type="character" w:customStyle="1" w:styleId="BodyChar">
    <w:name w:val="Body Char"/>
    <w:basedOn w:val="BodyTextChar"/>
    <w:link w:val="Body"/>
    <w:rsid w:val="004459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821683">
      <w:bodyDiv w:val="1"/>
      <w:marLeft w:val="0"/>
      <w:marRight w:val="0"/>
      <w:marTop w:val="0"/>
      <w:marBottom w:val="0"/>
      <w:divBdr>
        <w:top w:val="none" w:sz="0" w:space="0" w:color="auto"/>
        <w:left w:val="none" w:sz="0" w:space="0" w:color="auto"/>
        <w:bottom w:val="none" w:sz="0" w:space="0" w:color="auto"/>
        <w:right w:val="none" w:sz="0" w:space="0" w:color="auto"/>
      </w:divBdr>
    </w:div>
    <w:div w:id="1040595811">
      <w:bodyDiv w:val="1"/>
      <w:marLeft w:val="0"/>
      <w:marRight w:val="0"/>
      <w:marTop w:val="0"/>
      <w:marBottom w:val="0"/>
      <w:divBdr>
        <w:top w:val="none" w:sz="0" w:space="0" w:color="auto"/>
        <w:left w:val="none" w:sz="0" w:space="0" w:color="auto"/>
        <w:bottom w:val="none" w:sz="0" w:space="0" w:color="auto"/>
        <w:right w:val="none" w:sz="0" w:space="0" w:color="auto"/>
      </w:divBdr>
    </w:div>
    <w:div w:id="1161391887">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437F2-6A00-4A10-B998-4E6A5458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4</TotalTime>
  <Pages>10</Pages>
  <Words>3678</Words>
  <Characters>22012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Overcoming Indigenous Disadvantage Report 2020</vt:lpstr>
    </vt:vector>
  </TitlesOfParts>
  <Company>Productivity Commission</Company>
  <LinksUpToDate>false</LinksUpToDate>
  <CharactersWithSpaces>25639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Indigenous Disadvantage Report 2020</dc:title>
  <dc:subject/>
  <dc:creator>Steering Committee for the Review of Government Service Provision</dc:creator>
  <cp:keywords/>
  <dc:description/>
  <cp:lastModifiedBy>Apeness, Kathryn</cp:lastModifiedBy>
  <cp:revision>6</cp:revision>
  <cp:lastPrinted>2020-09-15T01:05:00Z</cp:lastPrinted>
  <dcterms:created xsi:type="dcterms:W3CDTF">2020-11-09T06:13:00Z</dcterms:created>
  <dcterms:modified xsi:type="dcterms:W3CDTF">2020-11-22T23:10:00Z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id="xgbsWsmz"/&gt;&lt;style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