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9442F" w14:textId="77777777" w:rsidR="00C05E94" w:rsidRDefault="00C05E94">
      <w:pPr>
        <w:pStyle w:val="PartDivider"/>
      </w:pPr>
      <w:bookmarkStart w:id="0" w:name="ChapterNumber"/>
    </w:p>
    <w:p w14:paraId="699BE8B6" w14:textId="77777777" w:rsidR="00E321A9" w:rsidRDefault="00E321A9" w:rsidP="00E321A9">
      <w:pPr>
        <w:pStyle w:val="Heading1"/>
      </w:pPr>
    </w:p>
    <w:p w14:paraId="1D3B778B" w14:textId="77777777" w:rsidR="00E321A9" w:rsidRDefault="00E321A9" w:rsidP="00E321A9">
      <w:pPr>
        <w:pStyle w:val="BodyText"/>
      </w:pPr>
    </w:p>
    <w:p w14:paraId="0D65D8C8" w14:textId="77777777" w:rsidR="00E321A9" w:rsidRDefault="00E321A9" w:rsidP="00E321A9">
      <w:pPr>
        <w:pStyle w:val="BodyText"/>
      </w:pPr>
    </w:p>
    <w:p w14:paraId="173A167F" w14:textId="77777777" w:rsidR="00E321A9" w:rsidRDefault="00E321A9" w:rsidP="00E321A9">
      <w:pPr>
        <w:pStyle w:val="BodyText"/>
      </w:pPr>
    </w:p>
    <w:p w14:paraId="2A7DD590" w14:textId="77777777" w:rsidR="00E321A9" w:rsidRDefault="00E321A9" w:rsidP="00E321A9">
      <w:pPr>
        <w:pStyle w:val="BodyText"/>
      </w:pPr>
    </w:p>
    <w:p w14:paraId="3876BD78" w14:textId="77777777" w:rsidR="00E321A9" w:rsidRPr="00FB3DF6" w:rsidRDefault="00E321A9" w:rsidP="00E321A9">
      <w:pPr>
        <w:pStyle w:val="BodyText"/>
      </w:pPr>
    </w:p>
    <w:tbl>
      <w:tblPr>
        <w:tblW w:w="0" w:type="auto"/>
        <w:tblLayout w:type="fixed"/>
        <w:tblCellMar>
          <w:left w:w="0" w:type="dxa"/>
          <w:right w:w="0" w:type="dxa"/>
        </w:tblCellMar>
        <w:tblLook w:val="0000" w:firstRow="0" w:lastRow="0" w:firstColumn="0" w:lastColumn="0" w:noHBand="0" w:noVBand="0"/>
      </w:tblPr>
      <w:tblGrid>
        <w:gridCol w:w="6634"/>
        <w:gridCol w:w="2155"/>
      </w:tblGrid>
      <w:tr w:rsidR="00E321A9" w:rsidRPr="00FB3DF6" w14:paraId="4920CF82" w14:textId="77777777" w:rsidTr="009E1A4A">
        <w:tc>
          <w:tcPr>
            <w:tcW w:w="6634" w:type="dxa"/>
            <w:tcBorders>
              <w:top w:val="single" w:sz="6" w:space="0" w:color="auto"/>
            </w:tcBorders>
          </w:tcPr>
          <w:p w14:paraId="3E4F7B5C" w14:textId="77777777" w:rsidR="00E321A9" w:rsidRPr="00FB3DF6" w:rsidRDefault="00E321A9" w:rsidP="009E1A4A">
            <w:pPr>
              <w:pStyle w:val="BodyText"/>
            </w:pPr>
          </w:p>
        </w:tc>
        <w:tc>
          <w:tcPr>
            <w:tcW w:w="2155" w:type="dxa"/>
            <w:tcBorders>
              <w:top w:val="single" w:sz="24" w:space="0" w:color="auto"/>
            </w:tcBorders>
          </w:tcPr>
          <w:p w14:paraId="0A3C5F4D" w14:textId="77777777" w:rsidR="00E321A9" w:rsidRPr="00FB3DF6" w:rsidRDefault="00E321A9" w:rsidP="009E1A4A">
            <w:pPr>
              <w:pStyle w:val="BodyText"/>
            </w:pPr>
          </w:p>
        </w:tc>
      </w:tr>
    </w:tbl>
    <w:p w14:paraId="0AC59375" w14:textId="77777777" w:rsidR="00E321A9" w:rsidRDefault="00E321A9" w:rsidP="00E321A9">
      <w:pPr>
        <w:pStyle w:val="PartDivider"/>
      </w:pPr>
    </w:p>
    <w:p w14:paraId="58B6B230" w14:textId="77777777" w:rsidR="00E321A9" w:rsidRDefault="00E321A9" w:rsidP="00E321A9">
      <w:pPr>
        <w:pStyle w:val="PartTitle"/>
      </w:pPr>
      <w:r>
        <w:t>Overview</w:t>
      </w:r>
    </w:p>
    <w:p w14:paraId="063C04FF" w14:textId="5FEF19D9" w:rsidR="00C05E94" w:rsidRPr="00E55AB2" w:rsidRDefault="00C05E94">
      <w:pPr>
        <w:rPr>
          <w:sz w:val="52"/>
          <w:szCs w:val="20"/>
        </w:rPr>
      </w:pPr>
      <w:r>
        <w:br w:type="page"/>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tblGrid>
      <w:tr w:rsidR="00037871" w:rsidRPr="00037871" w14:paraId="3D33DB21" w14:textId="77777777" w:rsidTr="001E0609">
        <w:tc>
          <w:tcPr>
            <w:tcW w:w="8789" w:type="dxa"/>
            <w:tcBorders>
              <w:top w:val="single" w:sz="4" w:space="0" w:color="78A22F" w:themeColor="accent1"/>
              <w:left w:val="nil"/>
              <w:bottom w:val="nil"/>
              <w:right w:val="nil"/>
            </w:tcBorders>
            <w:shd w:val="clear" w:color="auto" w:fill="E5F1D0"/>
          </w:tcPr>
          <w:p w14:paraId="47986A53" w14:textId="77777777" w:rsidR="00C05E94" w:rsidRPr="00320D2D" w:rsidRDefault="00C05E94">
            <w:pPr>
              <w:pStyle w:val="BoxTitle"/>
            </w:pPr>
            <w:r w:rsidRPr="00320D2D">
              <w:lastRenderedPageBreak/>
              <w:t>Key points</w:t>
            </w:r>
          </w:p>
        </w:tc>
      </w:tr>
      <w:tr w:rsidR="00037871" w:rsidRPr="00037871" w14:paraId="0FCB0A79" w14:textId="77777777" w:rsidTr="001E0609">
        <w:tc>
          <w:tcPr>
            <w:tcW w:w="8789" w:type="dxa"/>
            <w:tcBorders>
              <w:top w:val="nil"/>
              <w:left w:val="nil"/>
              <w:bottom w:val="nil"/>
              <w:right w:val="nil"/>
            </w:tcBorders>
            <w:shd w:val="clear" w:color="auto" w:fill="E5F1D0"/>
          </w:tcPr>
          <w:p w14:paraId="096A46D3" w14:textId="6AE88F88" w:rsidR="00E82D12" w:rsidRPr="0020546F" w:rsidRDefault="00E82D12" w:rsidP="00D46639">
            <w:pPr>
              <w:pStyle w:val="BoxListBullet"/>
            </w:pPr>
            <w:r w:rsidRPr="0020546F">
              <w:t xml:space="preserve">This report measures the wellbeing of Aboriginal and Torres Strait Islander </w:t>
            </w:r>
            <w:r w:rsidR="00BB68CE" w:rsidRPr="0020546F">
              <w:t>people</w:t>
            </w:r>
            <w:r w:rsidR="00B43F9F">
              <w:t>.</w:t>
            </w:r>
            <w:r w:rsidR="00344B1E">
              <w:t xml:space="preserve"> It provides comprehensive</w:t>
            </w:r>
            <w:r w:rsidR="008335F8">
              <w:t xml:space="preserve"> data across a range of outcome</w:t>
            </w:r>
            <w:r w:rsidR="00344B1E">
              <w:t xml:space="preserve"> areas, along with supporting material on the strengths of Aboriginal and Torres Strait Islander people, and the structural and systemic barriers that need to be addressed if outcomes are to further improve.</w:t>
            </w:r>
            <w:r w:rsidR="00D46639" w:rsidRPr="0020546F">
              <w:t xml:space="preserve"> </w:t>
            </w:r>
          </w:p>
          <w:p w14:paraId="4281BDB5" w14:textId="62CF9829" w:rsidR="00E82D12" w:rsidRPr="00133ED0" w:rsidRDefault="00133ED0" w:rsidP="001E0609">
            <w:pPr>
              <w:pStyle w:val="BoxListBullet"/>
              <w:spacing w:before="80"/>
            </w:pPr>
            <w:r w:rsidRPr="00133ED0">
              <w:t xml:space="preserve">In many areas outcomes </w:t>
            </w:r>
            <w:r w:rsidR="00344B1E">
              <w:t>have</w:t>
            </w:r>
            <w:r w:rsidRPr="00133ED0">
              <w:t xml:space="preserve"> improv</w:t>
            </w:r>
            <w:r w:rsidR="00344B1E">
              <w:t>ed</w:t>
            </w:r>
            <w:r w:rsidRPr="00133ED0">
              <w:t xml:space="preserve"> for Aboriginal and Torres Strait Islander people</w:t>
            </w:r>
            <w:r w:rsidR="00E737C1">
              <w:t>.</w:t>
            </w:r>
          </w:p>
          <w:p w14:paraId="0C394913" w14:textId="234E1298" w:rsidR="00D46639" w:rsidRPr="00A512B5" w:rsidRDefault="00D46639" w:rsidP="00D46639">
            <w:pPr>
              <w:pStyle w:val="BoxListBullet2"/>
            </w:pPr>
            <w:r w:rsidRPr="00A512B5">
              <w:t xml:space="preserve">Mortality rates for children improved between 1998 </w:t>
            </w:r>
            <w:r>
              <w:t>and 2018</w:t>
            </w:r>
            <w:r w:rsidRPr="00A512B5">
              <w:t>, particular</w:t>
            </w:r>
            <w:r>
              <w:t>ly</w:t>
            </w:r>
            <w:r w:rsidRPr="00A512B5">
              <w:t xml:space="preserve"> for 0&lt;1 year olds, whose mortality rates m</w:t>
            </w:r>
            <w:r>
              <w:t xml:space="preserve">ore than halved (from </w:t>
            </w:r>
            <w:r w:rsidR="00E91245">
              <w:t xml:space="preserve">13 </w:t>
            </w:r>
            <w:r>
              <w:t>to 5</w:t>
            </w:r>
            <w:r w:rsidRPr="00A512B5">
              <w:t xml:space="preserve"> deaths per 1000 live births). </w:t>
            </w:r>
          </w:p>
          <w:p w14:paraId="0CB51128" w14:textId="77777777" w:rsidR="00D46639" w:rsidRDefault="00D46639" w:rsidP="00D46639">
            <w:pPr>
              <w:pStyle w:val="BoxListBullet2"/>
            </w:pPr>
            <w:r w:rsidRPr="006C1699">
              <w:t xml:space="preserve">Education improvements included increases in the </w:t>
            </w:r>
            <w:r>
              <w:t>proportion of 20–</w:t>
            </w:r>
            <w:r w:rsidRPr="006C1699">
              <w:t xml:space="preserve">24 year olds completing year 12 or above </w:t>
            </w:r>
            <w:r>
              <w:t>(from 2008 to 2018</w:t>
            </w:r>
            <w:r>
              <w:noBreakHyphen/>
            </w:r>
            <w:r w:rsidRPr="006C1699">
              <w:t>1</w:t>
            </w:r>
            <w:r>
              <w:t>9) and the proportion of 20–</w:t>
            </w:r>
            <w:r w:rsidRPr="006C1699">
              <w:t>64 year olds with or working towards post</w:t>
            </w:r>
            <w:r>
              <w:noBreakHyphen/>
            </w:r>
            <w:r w:rsidRPr="006C1699">
              <w:t>school q</w:t>
            </w:r>
            <w:r>
              <w:t>ualifications (almost doubling from 2002 to 2018</w:t>
            </w:r>
            <w:r>
              <w:noBreakHyphen/>
              <w:t>19</w:t>
            </w:r>
            <w:r w:rsidRPr="006C1699">
              <w:t>)</w:t>
            </w:r>
            <w:r w:rsidRPr="00064340">
              <w:t>.</w:t>
            </w:r>
          </w:p>
          <w:p w14:paraId="062EBDBE" w14:textId="1AE94500" w:rsidR="00D46639" w:rsidRDefault="00D46639" w:rsidP="00D46639">
            <w:pPr>
              <w:pStyle w:val="BoxListBullet2"/>
            </w:pPr>
            <w:r>
              <w:t xml:space="preserve">From 2014 to 2018, more </w:t>
            </w:r>
            <w:r w:rsidR="00BD2A6E">
              <w:t xml:space="preserve">people in the general community felt </w:t>
            </w:r>
            <w:r>
              <w:t>it was important to know about Aboriginal and Torres Strait Islander histories and cultures and more people rated their level of knowledge of both as high</w:t>
            </w:r>
            <w:r w:rsidRPr="00A512B5">
              <w:t>.</w:t>
            </w:r>
          </w:p>
          <w:p w14:paraId="40D84B42" w14:textId="0CEEAF6C" w:rsidR="00E82D12" w:rsidRPr="00133ED0" w:rsidRDefault="00133ED0" w:rsidP="001E0609">
            <w:pPr>
              <w:pStyle w:val="BoxListBullet"/>
              <w:spacing w:before="80"/>
            </w:pPr>
            <w:r w:rsidRPr="00133ED0">
              <w:t xml:space="preserve">But in some areas </w:t>
            </w:r>
            <w:r w:rsidR="007D79B2">
              <w:t>outcomes</w:t>
            </w:r>
            <w:r w:rsidR="007D79B2" w:rsidRPr="00133ED0">
              <w:t xml:space="preserve"> </w:t>
            </w:r>
            <w:r w:rsidRPr="00133ED0">
              <w:t>have not</w:t>
            </w:r>
            <w:r w:rsidR="007D79B2">
              <w:t xml:space="preserve"> improved</w:t>
            </w:r>
            <w:r w:rsidR="002F55D7">
              <w:t xml:space="preserve"> </w:t>
            </w:r>
            <w:r w:rsidR="002F55D7" w:rsidRPr="00133ED0">
              <w:t>for Aboriginal and Torres Strait Islander people</w:t>
            </w:r>
            <w:r w:rsidR="005B2FEF" w:rsidRPr="00133ED0">
              <w:t>.</w:t>
            </w:r>
            <w:r w:rsidR="00E82D12" w:rsidRPr="00133ED0">
              <w:t xml:space="preserve"> </w:t>
            </w:r>
          </w:p>
          <w:p w14:paraId="66E02F13" w14:textId="0D38BD3C" w:rsidR="00E737C1" w:rsidRPr="00E737C1" w:rsidRDefault="00E737C1" w:rsidP="00E737C1">
            <w:pPr>
              <w:pStyle w:val="BoxListBullet2"/>
            </w:pPr>
            <w:r w:rsidRPr="00E737C1">
              <w:t>Rate</w:t>
            </w:r>
            <w:r w:rsidR="00614897">
              <w:t>s</w:t>
            </w:r>
            <w:r w:rsidRPr="00E737C1">
              <w:t xml:space="preserve"> of children </w:t>
            </w:r>
            <w:r w:rsidR="00614897">
              <w:t xml:space="preserve">in </w:t>
            </w:r>
            <w:r w:rsidRPr="00E737C1">
              <w:t xml:space="preserve">out-of-home care </w:t>
            </w:r>
            <w:r>
              <w:t xml:space="preserve">have </w:t>
            </w:r>
            <w:r w:rsidRPr="00E737C1">
              <w:t>almost tripl</w:t>
            </w:r>
            <w:r>
              <w:t xml:space="preserve">ed </w:t>
            </w:r>
            <w:r w:rsidRPr="00E737C1">
              <w:t>in the past 15 years (</w:t>
            </w:r>
            <w:r w:rsidR="002519F7" w:rsidRPr="00E737C1">
              <w:t>6</w:t>
            </w:r>
            <w:r w:rsidR="002519F7">
              <w:t>0</w:t>
            </w:r>
            <w:r w:rsidR="002519F7" w:rsidRPr="00E737C1">
              <w:t xml:space="preserve"> </w:t>
            </w:r>
            <w:r w:rsidRPr="00E737C1">
              <w:t>per 1000</w:t>
            </w:r>
            <w:r w:rsidR="007C0ABE">
              <w:t> </w:t>
            </w:r>
            <w:r w:rsidRPr="00E737C1">
              <w:t>children in 2018-19)</w:t>
            </w:r>
            <w:r>
              <w:t>.</w:t>
            </w:r>
          </w:p>
          <w:p w14:paraId="417ACCC9" w14:textId="2135A072" w:rsidR="00E737C1" w:rsidRPr="003966D3" w:rsidRDefault="00E737C1" w:rsidP="00E737C1">
            <w:pPr>
              <w:pStyle w:val="BoxListBullet2"/>
            </w:pPr>
            <w:r w:rsidRPr="00E737C1">
              <w:t xml:space="preserve">The proportion of </w:t>
            </w:r>
            <w:r w:rsidRPr="003966D3">
              <w:t>adults reporting high levels of psychological distress increased from 27</w:t>
            </w:r>
            <w:r w:rsidR="006D6A9B" w:rsidRPr="003966D3">
              <w:t> </w:t>
            </w:r>
            <w:r w:rsidRPr="003966D3">
              <w:t>per cent in 2004</w:t>
            </w:r>
            <w:r w:rsidR="006D6A9B" w:rsidRPr="003966D3">
              <w:t>-</w:t>
            </w:r>
            <w:r w:rsidRPr="003966D3">
              <w:t>05 to</w:t>
            </w:r>
            <w:r w:rsidR="000A022C" w:rsidRPr="003966D3">
              <w:t xml:space="preserve"> 31 per cent in 2018-19</w:t>
            </w:r>
            <w:r w:rsidRPr="003966D3">
              <w:t xml:space="preserve">, and </w:t>
            </w:r>
            <w:r w:rsidR="00DD2ED6">
              <w:t xml:space="preserve">the rate of </w:t>
            </w:r>
            <w:r w:rsidRPr="003966D3">
              <w:t xml:space="preserve">deaths from suicide and self-harm increased by 40 per cent over the decade to 2018. </w:t>
            </w:r>
          </w:p>
          <w:p w14:paraId="1F0F0F8A" w14:textId="1459F489" w:rsidR="00E737C1" w:rsidRPr="003966D3" w:rsidRDefault="00E737C1" w:rsidP="00E737C1">
            <w:pPr>
              <w:pStyle w:val="BoxListBullet2"/>
            </w:pPr>
            <w:r w:rsidRPr="003966D3">
              <w:t xml:space="preserve">The adult imprisonment rate increased </w:t>
            </w:r>
            <w:r w:rsidR="00153678" w:rsidRPr="003966D3">
              <w:t>72</w:t>
            </w:r>
            <w:r w:rsidRPr="003966D3">
              <w:t xml:space="preserve"> per cent between 200</w:t>
            </w:r>
            <w:r w:rsidR="00153678" w:rsidRPr="003966D3">
              <w:t>0</w:t>
            </w:r>
            <w:r w:rsidRPr="003966D3">
              <w:t xml:space="preserve"> and 2019, and whilst the </w:t>
            </w:r>
            <w:r w:rsidR="00614897" w:rsidRPr="003966D3">
              <w:t xml:space="preserve">youth </w:t>
            </w:r>
            <w:r w:rsidRPr="003966D3">
              <w:t>detention rate has decreased it is still 2</w:t>
            </w:r>
            <w:r w:rsidR="00DD2ED6">
              <w:t>2</w:t>
            </w:r>
            <w:r w:rsidRPr="003966D3">
              <w:t xml:space="preserve"> times the rate for non-Indigenous youth.</w:t>
            </w:r>
          </w:p>
          <w:p w14:paraId="11C759BB" w14:textId="337830F0" w:rsidR="00BB5C5A" w:rsidRPr="003966D3" w:rsidRDefault="00133ED0" w:rsidP="00D46639">
            <w:pPr>
              <w:pStyle w:val="BoxListBullet"/>
            </w:pPr>
            <w:r w:rsidRPr="003966D3">
              <w:t>When outcomes have not improved they need to be understood with reference to the personal</w:t>
            </w:r>
            <w:r w:rsidR="00F32303" w:rsidRPr="003966D3">
              <w:t xml:space="preserve"> challenges and</w:t>
            </w:r>
            <w:r w:rsidRPr="003966D3">
              <w:t xml:space="preserve"> systemic and structural barriers that </w:t>
            </w:r>
            <w:r w:rsidR="007D79B2" w:rsidRPr="003966D3">
              <w:t xml:space="preserve">many </w:t>
            </w:r>
            <w:r w:rsidRPr="003966D3">
              <w:t xml:space="preserve">Aboriginal and Torres Strait Islander people </w:t>
            </w:r>
            <w:r w:rsidR="007D79B2" w:rsidRPr="003966D3">
              <w:t xml:space="preserve">have experienced </w:t>
            </w:r>
            <w:r w:rsidRPr="003966D3">
              <w:t xml:space="preserve">and continue to face. </w:t>
            </w:r>
          </w:p>
          <w:p w14:paraId="225DD9CF" w14:textId="3153980B" w:rsidR="00384266" w:rsidRDefault="0020546F" w:rsidP="0020546F">
            <w:pPr>
              <w:pStyle w:val="BoxListBullet2"/>
            </w:pPr>
            <w:r w:rsidRPr="003966D3">
              <w:t xml:space="preserve">Aboriginal and Torres Strait Islander people have a higher prevalence of the personal risk factors associated with poorer outcomes and are more likely </w:t>
            </w:r>
            <w:r w:rsidRPr="0020546F">
              <w:t>to have multiple risk factors.</w:t>
            </w:r>
          </w:p>
          <w:p w14:paraId="7744C624" w14:textId="4C00AE95" w:rsidR="0020546F" w:rsidRPr="00133ED0" w:rsidRDefault="0020546F" w:rsidP="0020546F">
            <w:pPr>
              <w:pStyle w:val="BoxListBullet2"/>
            </w:pPr>
            <w:r w:rsidRPr="0020546F">
              <w:t>Aboriginal and Torres Strait Islander people are often disproportionally affected by structural barriers due to their particular circumstances or the disadvantage they experience.</w:t>
            </w:r>
          </w:p>
          <w:p w14:paraId="693070AE" w14:textId="1CC3A3DF" w:rsidR="008335F8" w:rsidRPr="008335F8" w:rsidRDefault="008335F8" w:rsidP="008335F8">
            <w:pPr>
              <w:pStyle w:val="BoxListBullet"/>
              <w:rPr>
                <w:rStyle w:val="DraftingNote"/>
                <w:b w:val="0"/>
                <w:color w:val="auto"/>
                <w:sz w:val="20"/>
                <w:u w:val="none"/>
              </w:rPr>
            </w:pPr>
            <w:r>
              <w:t xml:space="preserve">Connection to culture is a key to many Aboriginal and Torres Strait Islander people’s identity and strength. These cultures are a foundation on which wellbeing can continue to be built. </w:t>
            </w:r>
          </w:p>
          <w:p w14:paraId="5590C77B" w14:textId="549DC494" w:rsidR="009A7835" w:rsidRPr="00B43F9F" w:rsidRDefault="00B43F9F" w:rsidP="00D46639">
            <w:pPr>
              <w:pStyle w:val="BoxListBullet"/>
              <w:rPr>
                <w:rStyle w:val="DraftingNote"/>
                <w:b w:val="0"/>
                <w:color w:val="auto"/>
                <w:sz w:val="20"/>
                <w:u w:val="none"/>
              </w:rPr>
            </w:pPr>
            <w:r>
              <w:rPr>
                <w:rStyle w:val="DraftingNote"/>
                <w:b w:val="0"/>
                <w:color w:val="auto"/>
                <w:sz w:val="20"/>
                <w:u w:val="none"/>
              </w:rPr>
              <w:t>Common characteristics of approaches that appear to be successful in</w:t>
            </w:r>
            <w:r w:rsidRPr="00B43F9F">
              <w:rPr>
                <w:rStyle w:val="DraftingNote"/>
                <w:b w:val="0"/>
                <w:color w:val="auto"/>
                <w:sz w:val="20"/>
                <w:u w:val="none"/>
              </w:rPr>
              <w:t xml:space="preserve"> improving outcomes for Aboriginal and Torres Strait Islander people include:</w:t>
            </w:r>
          </w:p>
          <w:p w14:paraId="5449AC2D" w14:textId="77777777" w:rsidR="00B43F9F" w:rsidRPr="00B43F9F" w:rsidRDefault="00B43F9F" w:rsidP="00B43F9F">
            <w:pPr>
              <w:pStyle w:val="BoxListBullet2"/>
              <w:rPr>
                <w:rStyle w:val="DraftingNote"/>
                <w:b w:val="0"/>
                <w:color w:val="auto"/>
                <w:sz w:val="20"/>
                <w:u w:val="none"/>
              </w:rPr>
            </w:pPr>
            <w:r w:rsidRPr="00B43F9F">
              <w:rPr>
                <w:rStyle w:val="DraftingNote"/>
                <w:b w:val="0"/>
                <w:color w:val="auto"/>
                <w:sz w:val="20"/>
                <w:u w:val="none"/>
              </w:rPr>
              <w:t>Addressing racism and discrimination in the Australian community, through structural changes, and building knowledge and education.</w:t>
            </w:r>
          </w:p>
          <w:p w14:paraId="295F256C" w14:textId="64A00209" w:rsidR="00B43F9F" w:rsidRPr="00B43F9F" w:rsidRDefault="00B43F9F" w:rsidP="00B43F9F">
            <w:pPr>
              <w:pStyle w:val="BoxListBullet2"/>
              <w:rPr>
                <w:rStyle w:val="DraftingNote"/>
                <w:b w:val="0"/>
                <w:color w:val="auto"/>
                <w:sz w:val="20"/>
                <w:u w:val="none"/>
              </w:rPr>
            </w:pPr>
            <w:r w:rsidRPr="00B43F9F">
              <w:rPr>
                <w:rStyle w:val="DraftingNote"/>
                <w:b w:val="0"/>
                <w:color w:val="auto"/>
                <w:sz w:val="20"/>
                <w:u w:val="none"/>
              </w:rPr>
              <w:t>Enabling Aboriginal and Torres Strait Islander people to share in decision</w:t>
            </w:r>
            <w:r w:rsidR="00BD2A6E">
              <w:rPr>
                <w:rStyle w:val="DraftingNote"/>
                <w:b w:val="0"/>
                <w:color w:val="auto"/>
                <w:sz w:val="20"/>
                <w:u w:val="none"/>
              </w:rPr>
              <w:noBreakHyphen/>
            </w:r>
            <w:r w:rsidRPr="00B43F9F">
              <w:rPr>
                <w:rStyle w:val="DraftingNote"/>
                <w:b w:val="0"/>
                <w:color w:val="auto"/>
                <w:sz w:val="20"/>
                <w:u w:val="none"/>
              </w:rPr>
              <w:t>making on things that affect them.</w:t>
            </w:r>
          </w:p>
          <w:p w14:paraId="422B695D" w14:textId="77777777" w:rsidR="00B43F9F" w:rsidRPr="00B43F9F" w:rsidRDefault="00B43F9F" w:rsidP="00B43F9F">
            <w:pPr>
              <w:pStyle w:val="BoxListBullet2"/>
              <w:rPr>
                <w:rStyle w:val="DraftingNote"/>
                <w:b w:val="0"/>
                <w:color w:val="auto"/>
                <w:sz w:val="20"/>
                <w:u w:val="none"/>
              </w:rPr>
            </w:pPr>
            <w:r w:rsidRPr="00B43F9F">
              <w:rPr>
                <w:rStyle w:val="DraftingNote"/>
                <w:b w:val="0"/>
                <w:color w:val="auto"/>
                <w:sz w:val="20"/>
                <w:u w:val="none"/>
              </w:rPr>
              <w:t>Addressing laws, policies, and practices that operate to the detriment of Aboriginal and Torres Strait Islander people.</w:t>
            </w:r>
          </w:p>
          <w:p w14:paraId="1675F96B" w14:textId="77777777" w:rsidR="00B43F9F" w:rsidRPr="00B43F9F" w:rsidRDefault="00B43F9F" w:rsidP="00B43F9F">
            <w:pPr>
              <w:pStyle w:val="BoxListBullet2"/>
              <w:rPr>
                <w:rStyle w:val="DraftingNote"/>
                <w:b w:val="0"/>
                <w:color w:val="auto"/>
                <w:sz w:val="20"/>
                <w:u w:val="none"/>
              </w:rPr>
            </w:pPr>
            <w:r w:rsidRPr="00B43F9F">
              <w:rPr>
                <w:rStyle w:val="DraftingNote"/>
                <w:b w:val="0"/>
                <w:color w:val="auto"/>
                <w:sz w:val="20"/>
                <w:u w:val="none"/>
              </w:rPr>
              <w:t>Ongoing government investment, collaboration and coordination.</w:t>
            </w:r>
          </w:p>
          <w:p w14:paraId="27CA1D19" w14:textId="4D15A78B" w:rsidR="00B43F9F" w:rsidRPr="00B43F9F" w:rsidRDefault="00BD2A6E" w:rsidP="00B43F9F">
            <w:pPr>
              <w:pStyle w:val="BoxListBullet2"/>
              <w:rPr>
                <w:rStyle w:val="DraftingNote"/>
                <w:b w:val="0"/>
                <w:color w:val="auto"/>
                <w:sz w:val="20"/>
                <w:u w:val="none"/>
              </w:rPr>
            </w:pPr>
            <w:r w:rsidRPr="00B43F9F">
              <w:rPr>
                <w:rStyle w:val="DraftingNote"/>
                <w:b w:val="0"/>
                <w:color w:val="auto"/>
                <w:sz w:val="20"/>
                <w:u w:val="none"/>
              </w:rPr>
              <w:t>Ensuring access to effective culturally safe services, at the right time and suited to the local context.</w:t>
            </w:r>
          </w:p>
        </w:tc>
      </w:tr>
      <w:tr w:rsidR="00037871" w:rsidRPr="00037871" w14:paraId="4B59F365" w14:textId="77777777" w:rsidTr="001E0609">
        <w:tc>
          <w:tcPr>
            <w:tcW w:w="8789" w:type="dxa"/>
            <w:tcBorders>
              <w:top w:val="nil"/>
              <w:left w:val="nil"/>
              <w:bottom w:val="single" w:sz="4" w:space="0" w:color="78A22F" w:themeColor="accent1"/>
              <w:right w:val="nil"/>
            </w:tcBorders>
            <w:shd w:val="clear" w:color="auto" w:fill="E5F1D0"/>
          </w:tcPr>
          <w:p w14:paraId="7B5D74E2" w14:textId="77777777" w:rsidR="00C05E94" w:rsidRPr="00A512B5" w:rsidRDefault="00C05E94">
            <w:pPr>
              <w:pStyle w:val="Box"/>
              <w:spacing w:before="0" w:line="120" w:lineRule="exact"/>
            </w:pPr>
          </w:p>
        </w:tc>
      </w:tr>
      <w:tr w:rsidR="00037871" w:rsidRPr="00037871" w14:paraId="78A9A1DF" w14:textId="77777777" w:rsidTr="001E0609">
        <w:tc>
          <w:tcPr>
            <w:tcW w:w="8789" w:type="dxa"/>
            <w:tcBorders>
              <w:top w:val="single" w:sz="4" w:space="0" w:color="78A22F" w:themeColor="accent1"/>
              <w:left w:val="nil"/>
              <w:bottom w:val="nil"/>
              <w:right w:val="nil"/>
            </w:tcBorders>
          </w:tcPr>
          <w:p w14:paraId="54DB35BE" w14:textId="77777777" w:rsidR="00C05E94" w:rsidRPr="00037871" w:rsidRDefault="00C05E94">
            <w:pPr>
              <w:pStyle w:val="Box"/>
              <w:keepNext w:val="0"/>
              <w:spacing w:before="60" w:after="60" w:line="80" w:lineRule="exact"/>
              <w:rPr>
                <w:color w:val="00B050"/>
              </w:rPr>
            </w:pPr>
          </w:p>
        </w:tc>
      </w:tr>
    </w:tbl>
    <w:bookmarkEnd w:id="0"/>
    <w:p w14:paraId="03E44B38" w14:textId="7B6C30FD" w:rsidR="00E82D12" w:rsidRPr="00037871" w:rsidRDefault="00E82D12" w:rsidP="006C1699">
      <w:pPr>
        <w:pStyle w:val="Heading3"/>
      </w:pPr>
      <w:r w:rsidRPr="00037871">
        <w:lastRenderedPageBreak/>
        <w:t>What is the Overcoming Indigenous Disadvantage report?</w:t>
      </w:r>
    </w:p>
    <w:p w14:paraId="6826497B" w14:textId="6EFCB669" w:rsidR="00E82D12" w:rsidRPr="00037871" w:rsidRDefault="00E82D12" w:rsidP="00E82D12">
      <w:pPr>
        <w:pStyle w:val="BodyText"/>
        <w:rPr>
          <w:color w:val="000000" w:themeColor="text1"/>
        </w:rPr>
      </w:pPr>
      <w:r w:rsidRPr="00037871">
        <w:rPr>
          <w:color w:val="000000" w:themeColor="text1"/>
        </w:rPr>
        <w:t>The Overcoming Indigenous Disadvantage (</w:t>
      </w:r>
      <w:proofErr w:type="spellStart"/>
      <w:r w:rsidRPr="00037871">
        <w:rPr>
          <w:color w:val="000000" w:themeColor="text1"/>
        </w:rPr>
        <w:t>OID</w:t>
      </w:r>
      <w:proofErr w:type="spellEnd"/>
      <w:r w:rsidRPr="00037871">
        <w:rPr>
          <w:color w:val="000000" w:themeColor="text1"/>
        </w:rPr>
        <w:t xml:space="preserve">) report measures the wellbeing of Aboriginal and Torres Strait Islander </w:t>
      </w:r>
      <w:r w:rsidR="00F2444E">
        <w:rPr>
          <w:color w:val="000000" w:themeColor="text1"/>
        </w:rPr>
        <w:t>people</w:t>
      </w:r>
      <w:r w:rsidRPr="00037871">
        <w:rPr>
          <w:color w:val="000000" w:themeColor="text1"/>
        </w:rPr>
        <w:t xml:space="preserve">. It is the </w:t>
      </w:r>
      <w:r w:rsidR="00F2444E">
        <w:rPr>
          <w:color w:val="000000" w:themeColor="text1"/>
        </w:rPr>
        <w:t>eighth</w:t>
      </w:r>
      <w:r w:rsidRPr="00037871">
        <w:rPr>
          <w:color w:val="000000" w:themeColor="text1"/>
        </w:rPr>
        <w:t xml:space="preserve"> report in a series commissioned by all Australian governments, designed to measure progress in </w:t>
      </w:r>
      <w:r w:rsidR="008F6CB1">
        <w:rPr>
          <w:color w:val="000000" w:themeColor="text1"/>
        </w:rPr>
        <w:t xml:space="preserve">improving the wellbeing of </w:t>
      </w:r>
      <w:r w:rsidRPr="00037871">
        <w:rPr>
          <w:color w:val="000000" w:themeColor="text1"/>
        </w:rPr>
        <w:t xml:space="preserve">Aboriginal and Torres Strait Islander </w:t>
      </w:r>
      <w:r w:rsidR="00F2444E">
        <w:rPr>
          <w:color w:val="000000" w:themeColor="text1"/>
        </w:rPr>
        <w:t>people</w:t>
      </w:r>
      <w:r w:rsidRPr="00037871">
        <w:rPr>
          <w:color w:val="000000" w:themeColor="text1"/>
        </w:rPr>
        <w:t xml:space="preserve">. </w:t>
      </w:r>
      <w:r w:rsidR="008F6CB1" w:rsidRPr="008F6CB1">
        <w:rPr>
          <w:color w:val="000000" w:themeColor="text1"/>
        </w:rPr>
        <w:t xml:space="preserve">It identifies where progress is being made and draws attention to where more </w:t>
      </w:r>
      <w:r w:rsidR="00614897">
        <w:rPr>
          <w:color w:val="000000" w:themeColor="text1"/>
        </w:rPr>
        <w:t xml:space="preserve">action </w:t>
      </w:r>
      <w:r w:rsidR="008F6CB1" w:rsidRPr="008F6CB1">
        <w:rPr>
          <w:color w:val="000000" w:themeColor="text1"/>
        </w:rPr>
        <w:t>is needed.</w:t>
      </w:r>
    </w:p>
    <w:p w14:paraId="6EC7399B" w14:textId="55AEBA40" w:rsidR="00E82D12" w:rsidRPr="00EE387E" w:rsidRDefault="00E82D12" w:rsidP="00E82D12">
      <w:pPr>
        <w:pStyle w:val="BodyText"/>
        <w:rPr>
          <w:color w:val="000000" w:themeColor="text1"/>
        </w:rPr>
      </w:pPr>
      <w:r w:rsidRPr="00EE387E">
        <w:rPr>
          <w:color w:val="000000" w:themeColor="text1"/>
        </w:rPr>
        <w:t xml:space="preserve">The information in the </w:t>
      </w:r>
      <w:proofErr w:type="spellStart"/>
      <w:r w:rsidRPr="00EE387E">
        <w:rPr>
          <w:color w:val="000000" w:themeColor="text1"/>
        </w:rPr>
        <w:t>OID</w:t>
      </w:r>
      <w:proofErr w:type="spellEnd"/>
      <w:r w:rsidRPr="00EE387E">
        <w:rPr>
          <w:color w:val="000000" w:themeColor="text1"/>
        </w:rPr>
        <w:t xml:space="preserve"> report can be used to exa</w:t>
      </w:r>
      <w:r w:rsidR="00D11B56" w:rsidRPr="00EE387E">
        <w:rPr>
          <w:color w:val="000000" w:themeColor="text1"/>
        </w:rPr>
        <w:t>m</w:t>
      </w:r>
      <w:r w:rsidRPr="00EE387E">
        <w:rPr>
          <w:color w:val="000000" w:themeColor="text1"/>
        </w:rPr>
        <w:t xml:space="preserve">ine the </w:t>
      </w:r>
      <w:r w:rsidR="00BD2A6E" w:rsidRPr="003966D3">
        <w:t>existing strengths of Aboriginal and Torres Strait Islander people and the</w:t>
      </w:r>
      <w:r w:rsidR="00BD2A6E" w:rsidRPr="00A21376">
        <w:rPr>
          <w:color w:val="FF0000"/>
        </w:rPr>
        <w:t xml:space="preserve"> </w:t>
      </w:r>
      <w:r w:rsidRPr="00EE387E">
        <w:rPr>
          <w:color w:val="000000" w:themeColor="text1"/>
        </w:rPr>
        <w:t>nature of disadvantage</w:t>
      </w:r>
      <w:r w:rsidR="00DE3105" w:rsidRPr="00EE387E">
        <w:rPr>
          <w:color w:val="000000" w:themeColor="text1"/>
        </w:rPr>
        <w:t xml:space="preserve"> </w:t>
      </w:r>
      <w:r w:rsidR="00BD2A6E">
        <w:rPr>
          <w:color w:val="000000" w:themeColor="text1"/>
        </w:rPr>
        <w:t xml:space="preserve">they </w:t>
      </w:r>
      <w:r w:rsidR="00DE3105" w:rsidRPr="00EE387E">
        <w:rPr>
          <w:color w:val="000000" w:themeColor="text1"/>
        </w:rPr>
        <w:t>experience</w:t>
      </w:r>
      <w:r w:rsidRPr="00EE387E">
        <w:rPr>
          <w:color w:val="000000" w:themeColor="text1"/>
        </w:rPr>
        <w:t xml:space="preserve"> and can help inform the design of policies. However, the </w:t>
      </w:r>
      <w:r w:rsidR="002A7728">
        <w:rPr>
          <w:color w:val="000000" w:themeColor="text1"/>
        </w:rPr>
        <w:t>R</w:t>
      </w:r>
      <w:r w:rsidR="002A7728" w:rsidRPr="00EE387E">
        <w:rPr>
          <w:color w:val="000000" w:themeColor="text1"/>
        </w:rPr>
        <w:t xml:space="preserve">eport </w:t>
      </w:r>
      <w:r w:rsidRPr="00EE387E">
        <w:rPr>
          <w:color w:val="000000" w:themeColor="text1"/>
        </w:rPr>
        <w:t>is not designed to evaluate specific policies or programs and, except for the COAG targets</w:t>
      </w:r>
      <w:r w:rsidR="007740CE">
        <w:rPr>
          <w:color w:val="000000" w:themeColor="text1"/>
        </w:rPr>
        <w:t xml:space="preserve"> in the National Indigenous Reform Agreement</w:t>
      </w:r>
      <w:r w:rsidRPr="00EE387E">
        <w:rPr>
          <w:color w:val="000000" w:themeColor="text1"/>
        </w:rPr>
        <w:t xml:space="preserve"> (which </w:t>
      </w:r>
      <w:r w:rsidR="005840B6">
        <w:rPr>
          <w:color w:val="000000" w:themeColor="text1"/>
        </w:rPr>
        <w:t>was</w:t>
      </w:r>
      <w:r w:rsidR="002A7728">
        <w:rPr>
          <w:color w:val="000000" w:themeColor="text1"/>
        </w:rPr>
        <w:t xml:space="preserve"> </w:t>
      </w:r>
      <w:r w:rsidR="007740CE">
        <w:rPr>
          <w:color w:val="000000" w:themeColor="text1"/>
        </w:rPr>
        <w:t xml:space="preserve">in effect at the time of preparing this </w:t>
      </w:r>
      <w:r w:rsidR="00662EA0">
        <w:rPr>
          <w:color w:val="000000" w:themeColor="text1"/>
        </w:rPr>
        <w:t>Report</w:t>
      </w:r>
      <w:r w:rsidRPr="00EE387E">
        <w:rPr>
          <w:color w:val="000000" w:themeColor="text1"/>
        </w:rPr>
        <w:t xml:space="preserve">), the </w:t>
      </w:r>
      <w:r w:rsidR="002A7728">
        <w:rPr>
          <w:color w:val="000000" w:themeColor="text1"/>
        </w:rPr>
        <w:t>R</w:t>
      </w:r>
      <w:r w:rsidR="002A7728" w:rsidRPr="00EE387E">
        <w:rPr>
          <w:color w:val="000000" w:themeColor="text1"/>
        </w:rPr>
        <w:t xml:space="preserve">eport </w:t>
      </w:r>
      <w:r w:rsidRPr="00EE387E">
        <w:rPr>
          <w:color w:val="000000" w:themeColor="text1"/>
        </w:rPr>
        <w:t>does not include targets.</w:t>
      </w:r>
      <w:r w:rsidR="00DF2BD7">
        <w:rPr>
          <w:color w:val="000000" w:themeColor="text1"/>
        </w:rPr>
        <w:t xml:space="preserve"> (The National Agreement on Closing the Gap came into effect too late for the associated targets to be included in this edition of the </w:t>
      </w:r>
      <w:r w:rsidR="002A7728">
        <w:rPr>
          <w:color w:val="000000" w:themeColor="text1"/>
        </w:rPr>
        <w:t>Report</w:t>
      </w:r>
      <w:r w:rsidR="00DF2BD7">
        <w:rPr>
          <w:color w:val="000000" w:themeColor="text1"/>
        </w:rPr>
        <w:t>).</w:t>
      </w:r>
    </w:p>
    <w:p w14:paraId="6BF9EE76" w14:textId="77777777" w:rsidR="00E82D12" w:rsidRPr="00EE387E" w:rsidRDefault="00E82D12" w:rsidP="00E82D12">
      <w:pPr>
        <w:pStyle w:val="BodyText"/>
        <w:rPr>
          <w:color w:val="000000" w:themeColor="text1"/>
        </w:rPr>
      </w:pPr>
      <w:r w:rsidRPr="00EE387E">
        <w:rPr>
          <w:color w:val="000000" w:themeColor="text1"/>
        </w:rPr>
        <w:t xml:space="preserve">The </w:t>
      </w:r>
      <w:proofErr w:type="spellStart"/>
      <w:r w:rsidRPr="00EE387E">
        <w:rPr>
          <w:color w:val="000000" w:themeColor="text1"/>
        </w:rPr>
        <w:t>OID</w:t>
      </w:r>
      <w:proofErr w:type="spellEnd"/>
      <w:r w:rsidRPr="00EE387E">
        <w:rPr>
          <w:color w:val="000000" w:themeColor="text1"/>
        </w:rPr>
        <w:t xml:space="preserve"> report has several elements:</w:t>
      </w:r>
    </w:p>
    <w:p w14:paraId="6E3E0825" w14:textId="3206FFEC" w:rsidR="00E82D12" w:rsidRPr="00EE387E" w:rsidRDefault="00E82D12" w:rsidP="00E82D12">
      <w:pPr>
        <w:pStyle w:val="ListBullet"/>
        <w:rPr>
          <w:color w:val="000000" w:themeColor="text1"/>
        </w:rPr>
      </w:pPr>
      <w:r w:rsidRPr="00EE387E">
        <w:rPr>
          <w:color w:val="000000" w:themeColor="text1"/>
        </w:rPr>
        <w:t xml:space="preserve">this overview, which summarises the </w:t>
      </w:r>
      <w:r w:rsidR="002A7728">
        <w:rPr>
          <w:color w:val="000000" w:themeColor="text1"/>
        </w:rPr>
        <w:t>R</w:t>
      </w:r>
      <w:r w:rsidR="002A7728" w:rsidRPr="00EE387E">
        <w:rPr>
          <w:color w:val="000000" w:themeColor="text1"/>
        </w:rPr>
        <w:t xml:space="preserve">eport’s </w:t>
      </w:r>
      <w:r w:rsidRPr="00EE387E">
        <w:rPr>
          <w:color w:val="000000" w:themeColor="text1"/>
        </w:rPr>
        <w:t xml:space="preserve">key messages </w:t>
      </w:r>
    </w:p>
    <w:p w14:paraId="5CCB6734" w14:textId="5456C5D1" w:rsidR="00E82D12" w:rsidRPr="00EE387E" w:rsidRDefault="00E82D12" w:rsidP="00E82D12">
      <w:pPr>
        <w:pStyle w:val="ListBullet"/>
        <w:rPr>
          <w:color w:val="000000" w:themeColor="text1"/>
        </w:rPr>
      </w:pPr>
      <w:r w:rsidRPr="00EE387E">
        <w:rPr>
          <w:color w:val="000000" w:themeColor="text1"/>
        </w:rPr>
        <w:t xml:space="preserve">the main </w:t>
      </w:r>
      <w:r w:rsidR="003D7A8A">
        <w:rPr>
          <w:color w:val="000000" w:themeColor="text1"/>
        </w:rPr>
        <w:t>R</w:t>
      </w:r>
      <w:r w:rsidR="003D7A8A" w:rsidRPr="00EE387E">
        <w:rPr>
          <w:color w:val="000000" w:themeColor="text1"/>
        </w:rPr>
        <w:t xml:space="preserve">eport </w:t>
      </w:r>
      <w:r w:rsidRPr="00EE387E">
        <w:rPr>
          <w:color w:val="000000" w:themeColor="text1"/>
        </w:rPr>
        <w:t xml:space="preserve">(available electronically), which provides the evidence base supporting the </w:t>
      </w:r>
      <w:r w:rsidR="002A7728">
        <w:rPr>
          <w:color w:val="000000" w:themeColor="text1"/>
        </w:rPr>
        <w:t>R</w:t>
      </w:r>
      <w:r w:rsidR="002A7728" w:rsidRPr="00EE387E">
        <w:rPr>
          <w:color w:val="000000" w:themeColor="text1"/>
        </w:rPr>
        <w:t xml:space="preserve">eport’s </w:t>
      </w:r>
      <w:r w:rsidRPr="00EE387E">
        <w:rPr>
          <w:color w:val="000000" w:themeColor="text1"/>
        </w:rPr>
        <w:t xml:space="preserve">framework, and more detailed information on outcomes </w:t>
      </w:r>
    </w:p>
    <w:p w14:paraId="02432829" w14:textId="1FEFCB01" w:rsidR="004E69B2" w:rsidRPr="00372B87" w:rsidRDefault="00E82D12" w:rsidP="004E69B2">
      <w:pPr>
        <w:pStyle w:val="ListBullet"/>
      </w:pPr>
      <w:r w:rsidRPr="00064340">
        <w:rPr>
          <w:color w:val="000000" w:themeColor="text1"/>
        </w:rPr>
        <w:t xml:space="preserve">attachment tables (available electronically), which expand on the data used in the </w:t>
      </w:r>
      <w:r w:rsidR="002A7728">
        <w:rPr>
          <w:color w:val="000000" w:themeColor="text1"/>
        </w:rPr>
        <w:t>R</w:t>
      </w:r>
      <w:r w:rsidR="002A7728" w:rsidRPr="00064340">
        <w:rPr>
          <w:color w:val="000000" w:themeColor="text1"/>
        </w:rPr>
        <w:t>eport</w:t>
      </w:r>
      <w:r w:rsidRPr="00064340">
        <w:rPr>
          <w:color w:val="000000" w:themeColor="text1"/>
        </w:rPr>
        <w:t>.</w:t>
      </w:r>
    </w:p>
    <w:p w14:paraId="6DCFCD60" w14:textId="036DCBD4" w:rsidR="000D21D9" w:rsidRPr="00EE387E" w:rsidRDefault="000D21D9" w:rsidP="000D21D9">
      <w:pPr>
        <w:pStyle w:val="BodyText"/>
      </w:pPr>
      <w:bookmarkStart w:id="1" w:name="begin"/>
      <w:bookmarkEnd w:id="1"/>
      <w:r w:rsidRPr="00037871">
        <w:t xml:space="preserve">The </w:t>
      </w:r>
      <w:proofErr w:type="spellStart"/>
      <w:r w:rsidRPr="00037871">
        <w:t>OID</w:t>
      </w:r>
      <w:proofErr w:type="spellEnd"/>
      <w:r w:rsidRPr="00037871">
        <w:t xml:space="preserve"> report is produced by the </w:t>
      </w:r>
      <w:r>
        <w:t xml:space="preserve">intergovernmental </w:t>
      </w:r>
      <w:r w:rsidRPr="00037871">
        <w:t>Steering Committee for the Review of Government Service Provision</w:t>
      </w:r>
      <w:r>
        <w:t xml:space="preserve"> </w:t>
      </w:r>
      <w:r w:rsidR="007D5535">
        <w:t xml:space="preserve">(Steering Committee) </w:t>
      </w:r>
      <w:r>
        <w:t>(</w:t>
      </w:r>
      <w:r w:rsidRPr="00037871">
        <w:t xml:space="preserve">see page </w:t>
      </w:r>
      <w:r w:rsidRPr="00E92224">
        <w:t>i</w:t>
      </w:r>
      <w:r w:rsidR="005840B6">
        <w:t>v</w:t>
      </w:r>
      <w:r w:rsidRPr="00E92224">
        <w:t xml:space="preserve"> f</w:t>
      </w:r>
      <w:r w:rsidRPr="00037871">
        <w:t>or a list of members)</w:t>
      </w:r>
      <w:r>
        <w:t>. The Steering Committee is advised</w:t>
      </w:r>
      <w:r w:rsidRPr="00EE387E">
        <w:t xml:space="preserve"> by the </w:t>
      </w:r>
      <w:proofErr w:type="spellStart"/>
      <w:r w:rsidRPr="00EE387E">
        <w:t>OID</w:t>
      </w:r>
      <w:proofErr w:type="spellEnd"/>
      <w:r w:rsidRPr="00EE387E">
        <w:t xml:space="preserve"> working group</w:t>
      </w:r>
      <w:r>
        <w:t xml:space="preserve"> </w:t>
      </w:r>
      <w:r w:rsidRPr="00EE387E">
        <w:t xml:space="preserve">(see page </w:t>
      </w:r>
      <w:r w:rsidRPr="00E92224">
        <w:t>v for</w:t>
      </w:r>
      <w:r w:rsidRPr="00EE387E">
        <w:t xml:space="preserve"> a list of members). </w:t>
      </w:r>
    </w:p>
    <w:p w14:paraId="7048CE0E" w14:textId="1E0DEBDA" w:rsidR="00E82D12" w:rsidRPr="0020351C" w:rsidRDefault="00E82D12" w:rsidP="006C1699">
      <w:pPr>
        <w:pStyle w:val="Heading3"/>
      </w:pPr>
      <w:r w:rsidRPr="0020351C">
        <w:t xml:space="preserve">Understanding </w:t>
      </w:r>
      <w:r w:rsidR="000F2DEC" w:rsidRPr="0020351C">
        <w:t xml:space="preserve">the </w:t>
      </w:r>
      <w:r w:rsidR="003C0091">
        <w:t>outcomes for A</w:t>
      </w:r>
      <w:r w:rsidR="00C9760B">
        <w:t xml:space="preserve">boriginal and Torres Strait Islander people </w:t>
      </w:r>
      <w:r w:rsidR="003C0091">
        <w:t xml:space="preserve">requires an understanding of our shared history </w:t>
      </w:r>
    </w:p>
    <w:p w14:paraId="733E5024" w14:textId="77777777" w:rsidR="0097127D" w:rsidRDefault="00C9760B" w:rsidP="0097127D">
      <w:pPr>
        <w:pStyle w:val="BodyText"/>
      </w:pPr>
      <w:r w:rsidRPr="00C9760B">
        <w:t>Before colonisation, Aboriginal and Torres Strait Islander people thrived and their cultures were strong and well developed</w:t>
      </w:r>
      <w:r>
        <w:t>.</w:t>
      </w:r>
      <w:r w:rsidRPr="00C9760B">
        <w:t xml:space="preserve"> </w:t>
      </w:r>
    </w:p>
    <w:p w14:paraId="4C946B8E" w14:textId="26313000" w:rsidR="00C9760B" w:rsidRDefault="00CC78D4" w:rsidP="0097127D">
      <w:pPr>
        <w:pStyle w:val="BodyText"/>
        <w:rPr>
          <w:color w:val="000000" w:themeColor="text1"/>
        </w:rPr>
      </w:pPr>
      <w:r>
        <w:rPr>
          <w:color w:val="000000" w:themeColor="text1"/>
        </w:rPr>
        <w:t>T</w:t>
      </w:r>
      <w:r w:rsidRPr="0018003B">
        <w:rPr>
          <w:color w:val="000000" w:themeColor="text1"/>
        </w:rPr>
        <w:t>he history of Aboriginal and Torres Strait Islander</w:t>
      </w:r>
      <w:r>
        <w:rPr>
          <w:color w:val="000000" w:themeColor="text1"/>
        </w:rPr>
        <w:t xml:space="preserve"> people</w:t>
      </w:r>
      <w:r w:rsidRPr="0018003B">
        <w:rPr>
          <w:color w:val="000000" w:themeColor="text1"/>
        </w:rPr>
        <w:t xml:space="preserve"> since </w:t>
      </w:r>
      <w:r>
        <w:rPr>
          <w:color w:val="000000" w:themeColor="text1"/>
        </w:rPr>
        <w:t>colonisation</w:t>
      </w:r>
      <w:r w:rsidRPr="0018003B">
        <w:rPr>
          <w:color w:val="000000" w:themeColor="text1"/>
        </w:rPr>
        <w:t>,</w:t>
      </w:r>
      <w:r>
        <w:t xml:space="preserve"> and</w:t>
      </w:r>
      <w:r w:rsidR="00C9760B" w:rsidRPr="001445C6">
        <w:t xml:space="preserve"> the </w:t>
      </w:r>
      <w:r>
        <w:t xml:space="preserve">intergenerational and ongoing </w:t>
      </w:r>
      <w:r w:rsidR="00C9760B" w:rsidRPr="001445C6">
        <w:t>effect</w:t>
      </w:r>
      <w:r>
        <w:t>s</w:t>
      </w:r>
      <w:r w:rsidR="00C9760B" w:rsidRPr="001445C6">
        <w:t xml:space="preserve"> on Aboriginal and Torres Strait Islander people</w:t>
      </w:r>
      <w:r>
        <w:t>,</w:t>
      </w:r>
      <w:r w:rsidR="00C9760B" w:rsidRPr="001445C6">
        <w:t xml:space="preserve"> need to be acknowledged</w:t>
      </w:r>
      <w:r w:rsidR="00C9760B">
        <w:t xml:space="preserve"> and understood when </w:t>
      </w:r>
      <w:r w:rsidR="00344B1E" w:rsidRPr="0018003B">
        <w:rPr>
          <w:color w:val="000000" w:themeColor="text1"/>
        </w:rPr>
        <w:t>consider</w:t>
      </w:r>
      <w:r w:rsidR="00C9760B">
        <w:rPr>
          <w:color w:val="000000" w:themeColor="text1"/>
        </w:rPr>
        <w:t>ing</w:t>
      </w:r>
      <w:r w:rsidR="00344B1E" w:rsidRPr="0018003B">
        <w:rPr>
          <w:color w:val="000000" w:themeColor="text1"/>
        </w:rPr>
        <w:t xml:space="preserve"> the outcomes </w:t>
      </w:r>
      <w:r w:rsidR="00C9760B">
        <w:rPr>
          <w:color w:val="000000" w:themeColor="text1"/>
        </w:rPr>
        <w:t xml:space="preserve">in this </w:t>
      </w:r>
      <w:r w:rsidR="00662EA0">
        <w:rPr>
          <w:color w:val="000000" w:themeColor="text1"/>
        </w:rPr>
        <w:t>Report</w:t>
      </w:r>
      <w:r w:rsidR="00344B1E" w:rsidRPr="0018003B">
        <w:rPr>
          <w:color w:val="000000" w:themeColor="text1"/>
        </w:rPr>
        <w:t xml:space="preserve">. </w:t>
      </w:r>
    </w:p>
    <w:p w14:paraId="3415DB5C" w14:textId="03C22DAB" w:rsidR="00E82D12" w:rsidRDefault="00344B1E" w:rsidP="00E82D12">
      <w:pPr>
        <w:pStyle w:val="BodyText"/>
        <w:rPr>
          <w:color w:val="000000" w:themeColor="text1"/>
        </w:rPr>
      </w:pPr>
      <w:r w:rsidRPr="0018003B">
        <w:rPr>
          <w:color w:val="000000" w:themeColor="text1"/>
        </w:rPr>
        <w:t xml:space="preserve">Many readers will be </w:t>
      </w:r>
      <w:r w:rsidR="00CC78D4">
        <w:rPr>
          <w:color w:val="000000" w:themeColor="text1"/>
        </w:rPr>
        <w:t>familiar</w:t>
      </w:r>
      <w:r w:rsidRPr="0018003B">
        <w:rPr>
          <w:color w:val="000000" w:themeColor="text1"/>
        </w:rPr>
        <w:t xml:space="preserve"> </w:t>
      </w:r>
      <w:r w:rsidR="0097127D">
        <w:rPr>
          <w:color w:val="000000" w:themeColor="text1"/>
        </w:rPr>
        <w:t xml:space="preserve">with </w:t>
      </w:r>
      <w:r w:rsidRPr="0018003B">
        <w:rPr>
          <w:color w:val="000000" w:themeColor="text1"/>
        </w:rPr>
        <w:t xml:space="preserve">much of </w:t>
      </w:r>
      <w:r w:rsidR="00CC78D4">
        <w:rPr>
          <w:color w:val="000000" w:themeColor="text1"/>
        </w:rPr>
        <w:t>this</w:t>
      </w:r>
      <w:r w:rsidRPr="0018003B">
        <w:rPr>
          <w:color w:val="000000" w:themeColor="text1"/>
        </w:rPr>
        <w:t xml:space="preserve"> history</w:t>
      </w:r>
      <w:r w:rsidR="00CC78D4">
        <w:rPr>
          <w:color w:val="000000" w:themeColor="text1"/>
        </w:rPr>
        <w:t xml:space="preserve">, but others will not and are encouraged to become familiar </w:t>
      </w:r>
      <w:r w:rsidR="00C607A4">
        <w:rPr>
          <w:color w:val="000000" w:themeColor="text1"/>
        </w:rPr>
        <w:t>with</w:t>
      </w:r>
      <w:r w:rsidR="00DF2BD7">
        <w:rPr>
          <w:color w:val="000000" w:themeColor="text1"/>
        </w:rPr>
        <w:t xml:space="preserve"> this history s</w:t>
      </w:r>
      <w:r w:rsidR="00CC78D4">
        <w:rPr>
          <w:color w:val="000000" w:themeColor="text1"/>
        </w:rPr>
        <w:t xml:space="preserve">o they are able to </w:t>
      </w:r>
      <w:r w:rsidR="00C607A4">
        <w:rPr>
          <w:color w:val="000000" w:themeColor="text1"/>
        </w:rPr>
        <w:t>better</w:t>
      </w:r>
      <w:r w:rsidR="00CC78D4">
        <w:rPr>
          <w:color w:val="000000" w:themeColor="text1"/>
        </w:rPr>
        <w:t xml:space="preserve"> understand this </w:t>
      </w:r>
      <w:r w:rsidR="00662EA0">
        <w:rPr>
          <w:color w:val="000000" w:themeColor="text1"/>
        </w:rPr>
        <w:t>Report</w:t>
      </w:r>
      <w:r w:rsidR="00CC78D4">
        <w:rPr>
          <w:color w:val="000000" w:themeColor="text1"/>
        </w:rPr>
        <w:t>.</w:t>
      </w:r>
      <w:r w:rsidRPr="0018003B">
        <w:rPr>
          <w:color w:val="000000" w:themeColor="text1"/>
        </w:rPr>
        <w:t xml:space="preserve"> The main </w:t>
      </w:r>
      <w:r w:rsidR="003D7A8A">
        <w:rPr>
          <w:color w:val="000000" w:themeColor="text1"/>
        </w:rPr>
        <w:t>R</w:t>
      </w:r>
      <w:r w:rsidR="003D7A8A" w:rsidRPr="0018003B">
        <w:rPr>
          <w:color w:val="000000" w:themeColor="text1"/>
        </w:rPr>
        <w:t xml:space="preserve">eport </w:t>
      </w:r>
      <w:r w:rsidRPr="0018003B">
        <w:rPr>
          <w:color w:val="000000" w:themeColor="text1"/>
        </w:rPr>
        <w:t>includes a brief summary of the historical context</w:t>
      </w:r>
      <w:r>
        <w:rPr>
          <w:color w:val="000000" w:themeColor="text1"/>
        </w:rPr>
        <w:t xml:space="preserve"> (chapter 1, section</w:t>
      </w:r>
      <w:r w:rsidR="00614897">
        <w:rPr>
          <w:color w:val="000000" w:themeColor="text1"/>
        </w:rPr>
        <w:t> </w:t>
      </w:r>
      <w:r>
        <w:rPr>
          <w:color w:val="000000" w:themeColor="text1"/>
        </w:rPr>
        <w:t>1.2)</w:t>
      </w:r>
      <w:r w:rsidRPr="0018003B">
        <w:rPr>
          <w:color w:val="000000" w:themeColor="text1"/>
        </w:rPr>
        <w:t xml:space="preserve">, and an extensive list of additional sources providing a range of views on how historical </w:t>
      </w:r>
      <w:r w:rsidR="00C607A4">
        <w:rPr>
          <w:color w:val="000000" w:themeColor="text1"/>
        </w:rPr>
        <w:t xml:space="preserve">policies and </w:t>
      </w:r>
      <w:r w:rsidRPr="0018003B">
        <w:rPr>
          <w:color w:val="000000" w:themeColor="text1"/>
        </w:rPr>
        <w:t>events affected</w:t>
      </w:r>
      <w:r w:rsidR="000F2DEC">
        <w:rPr>
          <w:color w:val="000000" w:themeColor="text1"/>
        </w:rPr>
        <w:t>, and continue to affect,</w:t>
      </w:r>
      <w:r w:rsidRPr="0018003B">
        <w:rPr>
          <w:color w:val="000000" w:themeColor="text1"/>
        </w:rPr>
        <w:t xml:space="preserve"> the lives of Aboriginal and Torr</w:t>
      </w:r>
      <w:r>
        <w:rPr>
          <w:color w:val="000000" w:themeColor="text1"/>
        </w:rPr>
        <w:t xml:space="preserve">es Strait Islander </w:t>
      </w:r>
      <w:r w:rsidR="00331572">
        <w:rPr>
          <w:color w:val="000000" w:themeColor="text1"/>
        </w:rPr>
        <w:t>people</w:t>
      </w:r>
      <w:r w:rsidR="000F2DEC">
        <w:rPr>
          <w:color w:val="000000" w:themeColor="text1"/>
        </w:rPr>
        <w:t xml:space="preserve"> today</w:t>
      </w:r>
      <w:r>
        <w:rPr>
          <w:color w:val="000000" w:themeColor="text1"/>
        </w:rPr>
        <w:t>.</w:t>
      </w:r>
    </w:p>
    <w:p w14:paraId="67F2A9B5" w14:textId="58BE0699" w:rsidR="00CC78D4" w:rsidRPr="00127FB7" w:rsidRDefault="00CC78D4" w:rsidP="00127FB7">
      <w:pPr>
        <w:pStyle w:val="Heading3"/>
      </w:pPr>
      <w:r w:rsidRPr="00127FB7">
        <w:lastRenderedPageBreak/>
        <w:t xml:space="preserve">Understanding </w:t>
      </w:r>
      <w:r w:rsidR="003C0091" w:rsidRPr="00127FB7">
        <w:t xml:space="preserve">the outcomes </w:t>
      </w:r>
      <w:r w:rsidRPr="00127FB7">
        <w:t xml:space="preserve">also requires a knowledge of where </w:t>
      </w:r>
      <w:r w:rsidR="00960D21" w:rsidRPr="00127FB7">
        <w:t>Aboriginal and</w:t>
      </w:r>
      <w:r w:rsidRPr="00127FB7">
        <w:t xml:space="preserve"> Torres Strait Islander people live</w:t>
      </w:r>
      <w:r w:rsidR="005B591C" w:rsidRPr="00127FB7">
        <w:t xml:space="preserve"> and their diversity</w:t>
      </w:r>
    </w:p>
    <w:p w14:paraId="34CCA269" w14:textId="29ED8386" w:rsidR="00881BCC" w:rsidRDefault="00881BCC" w:rsidP="00881BCC">
      <w:pPr>
        <w:pStyle w:val="BodyText"/>
      </w:pPr>
      <w:r w:rsidRPr="00881BCC">
        <w:t xml:space="preserve">Based on the most recent available national Census data, </w:t>
      </w:r>
      <w:r w:rsidR="000274E1">
        <w:t xml:space="preserve">the final </w:t>
      </w:r>
      <w:r w:rsidRPr="00881BCC">
        <w:t xml:space="preserve">estimated </w:t>
      </w:r>
      <w:r w:rsidR="000274E1">
        <w:t xml:space="preserve">resident </w:t>
      </w:r>
      <w:r w:rsidRPr="00881BCC">
        <w:t xml:space="preserve">Aboriginal and Torres Strait Islander </w:t>
      </w:r>
      <w:r w:rsidR="000274E1">
        <w:t>population of Australia as at 30 June 2016 was 798 400 people, or</w:t>
      </w:r>
      <w:r w:rsidRPr="00B54BAA">
        <w:t xml:space="preserve"> </w:t>
      </w:r>
      <w:r w:rsidR="000A022C" w:rsidRPr="003966D3">
        <w:t>3.3</w:t>
      </w:r>
      <w:r w:rsidR="000F0BC8">
        <w:t> </w:t>
      </w:r>
      <w:r w:rsidRPr="00B54BAA">
        <w:t xml:space="preserve">per cent of the total Australian population. </w:t>
      </w:r>
    </w:p>
    <w:p w14:paraId="7ECF4142" w14:textId="38DB93EF" w:rsidR="001E0609" w:rsidRDefault="001E0609">
      <w:pPr>
        <w:pStyle w:val="BoxSpaceAbove"/>
      </w:pPr>
    </w:p>
    <w:tbl>
      <w:tblPr>
        <w:tblW w:w="5000" w:type="pct"/>
        <w:tblBorders>
          <w:top w:val="single" w:sz="6" w:space="0" w:color="78A22F"/>
          <w:left w:val="single" w:sz="6" w:space="0" w:color="78A22F"/>
          <w:bottom w:val="single" w:sz="6" w:space="0" w:color="78A22F"/>
          <w:right w:val="single" w:sz="6" w:space="0" w:color="78A22F"/>
        </w:tblBorders>
        <w:tblCellMar>
          <w:left w:w="142" w:type="dxa"/>
          <w:right w:w="142" w:type="dxa"/>
        </w:tblCellMar>
        <w:tblLook w:val="0000" w:firstRow="0" w:lastRow="0" w:firstColumn="0" w:lastColumn="0" w:noHBand="0" w:noVBand="0"/>
        <w:tblDescription w:val="Table used for design layout."/>
      </w:tblPr>
      <w:tblGrid>
        <w:gridCol w:w="8789"/>
      </w:tblGrid>
      <w:tr w:rsidR="001E0609" w14:paraId="6B668E48" w14:textId="77777777" w:rsidTr="001E0609">
        <w:trPr>
          <w:tblHeader/>
        </w:trPr>
        <w:tc>
          <w:tcPr>
            <w:tcW w:w="5000" w:type="pct"/>
            <w:tcBorders>
              <w:top w:val="single" w:sz="6" w:space="0" w:color="78A22F"/>
              <w:left w:val="nil"/>
              <w:bottom w:val="nil"/>
              <w:right w:val="nil"/>
            </w:tcBorders>
            <w:shd w:val="clear" w:color="auto" w:fill="F2F2F2"/>
          </w:tcPr>
          <w:p w14:paraId="7007842C" w14:textId="719A4FC5" w:rsidR="001E0609" w:rsidRDefault="001E0609">
            <w:pPr>
              <w:pStyle w:val="BoxTitle"/>
            </w:pPr>
            <w:r w:rsidRPr="00E8132B">
              <w:rPr>
                <w:color w:val="000000" w:themeColor="text1"/>
              </w:rPr>
              <w:t xml:space="preserve">Aboriginal and Torres Strait Islander people </w:t>
            </w:r>
            <w:r>
              <w:rPr>
                <w:color w:val="000000" w:themeColor="text1"/>
              </w:rPr>
              <w:t>by Indigenous region, 2016</w:t>
            </w:r>
            <w:r w:rsidRPr="00E8132B">
              <w:rPr>
                <w:rStyle w:val="NoteLabel"/>
                <w:b/>
                <w:color w:val="000000" w:themeColor="text1"/>
              </w:rPr>
              <w:t>a</w:t>
            </w:r>
          </w:p>
        </w:tc>
      </w:tr>
      <w:tr w:rsidR="001E0609" w14:paraId="765E8371" w14:textId="77777777" w:rsidTr="001E0609">
        <w:tc>
          <w:tcPr>
            <w:tcW w:w="5000" w:type="pct"/>
            <w:tcBorders>
              <w:top w:val="nil"/>
              <w:left w:val="nil"/>
              <w:bottom w:val="nil"/>
              <w:right w:val="nil"/>
            </w:tcBorders>
            <w:shd w:val="clear" w:color="auto" w:fill="F2F2F2"/>
          </w:tcPr>
          <w:p w14:paraId="586D5B90" w14:textId="346E7CD4" w:rsidR="001E0609" w:rsidRDefault="001E0609" w:rsidP="00ED66C9">
            <w:pPr>
              <w:pStyle w:val="Box"/>
              <w:jc w:val="center"/>
            </w:pPr>
            <w:r>
              <w:rPr>
                <w:rFonts w:cs="Arial"/>
                <w:noProof/>
                <w:sz w:val="18"/>
                <w:szCs w:val="18"/>
              </w:rPr>
              <w:drawing>
                <wp:inline distT="0" distB="0" distL="0" distR="0" wp14:anchorId="0DB79FB2" wp14:editId="08D2632F">
                  <wp:extent cx="5111750" cy="2927294"/>
                  <wp:effectExtent l="0" t="0" r="0" b="6985"/>
                  <wp:docPr id="2" name="Picture 2" descr="Aboriginal and Torres Strait Islander people by Indigenous region, 2016&#10;&#10;Map of Australia&#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boriginal and Torres Strait Islander people by Indigenous region, 2016&#10;&#10;Map of Australia&#10;&#10;More details can be found within the text surrounding this image. "/>
                          <pic:cNvPicPr/>
                        </pic:nvPicPr>
                        <pic:blipFill rotWithShape="1">
                          <a:blip r:embed="rId8" cstate="print">
                            <a:extLst>
                              <a:ext uri="{28A0092B-C50C-407E-A947-70E740481C1C}">
                                <a14:useLocalDpi xmlns:a14="http://schemas.microsoft.com/office/drawing/2010/main" val="0"/>
                              </a:ext>
                            </a:extLst>
                          </a:blip>
                          <a:srcRect l="4236" t="1987" r="5412" b="3659"/>
                          <a:stretch/>
                        </pic:blipFill>
                        <pic:spPr bwMode="auto">
                          <a:xfrm>
                            <a:off x="0" y="0"/>
                            <a:ext cx="5111750" cy="2927294"/>
                          </a:xfrm>
                          <a:prstGeom prst="rect">
                            <a:avLst/>
                          </a:prstGeom>
                          <a:ln>
                            <a:noFill/>
                          </a:ln>
                          <a:extLst>
                            <a:ext uri="{53640926-AAD7-44D8-BBD7-CCE9431645EC}">
                              <a14:shadowObscured xmlns:a14="http://schemas.microsoft.com/office/drawing/2010/main"/>
                            </a:ext>
                          </a:extLst>
                        </pic:spPr>
                      </pic:pic>
                    </a:graphicData>
                  </a:graphic>
                </wp:inline>
              </w:drawing>
            </w:r>
          </w:p>
        </w:tc>
      </w:tr>
      <w:tr w:rsidR="001E0609" w14:paraId="5A9E5A76" w14:textId="77777777" w:rsidTr="001E0609">
        <w:tc>
          <w:tcPr>
            <w:tcW w:w="5000" w:type="pct"/>
            <w:tcBorders>
              <w:top w:val="nil"/>
              <w:left w:val="nil"/>
              <w:bottom w:val="nil"/>
              <w:right w:val="nil"/>
            </w:tcBorders>
            <w:shd w:val="clear" w:color="auto" w:fill="F2F2F2"/>
          </w:tcPr>
          <w:p w14:paraId="22E587FB" w14:textId="6247D09E" w:rsidR="001E0609" w:rsidRDefault="001E0609" w:rsidP="001E0609">
            <w:pPr>
              <w:pStyle w:val="BoxSource"/>
            </w:pPr>
            <w:proofErr w:type="spellStart"/>
            <w:r w:rsidRPr="00E8132B">
              <w:rPr>
                <w:rStyle w:val="NoteLabel"/>
                <w:rFonts w:cs="Arial"/>
                <w:color w:val="000000" w:themeColor="text1"/>
              </w:rPr>
              <w:t>a</w:t>
            </w:r>
            <w:proofErr w:type="spellEnd"/>
            <w:r w:rsidRPr="00E8132B">
              <w:rPr>
                <w:rStyle w:val="NoteLabel"/>
                <w:rFonts w:cs="Arial"/>
                <w:color w:val="000000" w:themeColor="text1"/>
              </w:rPr>
              <w:t xml:space="preserve"> </w:t>
            </w:r>
            <w:r w:rsidRPr="00331572">
              <w:rPr>
                <w:color w:val="000000" w:themeColor="text1"/>
              </w:rPr>
              <w:t xml:space="preserve">The estimated </w:t>
            </w:r>
            <w:r>
              <w:rPr>
                <w:color w:val="000000" w:themeColor="text1"/>
              </w:rPr>
              <w:t xml:space="preserve">resident </w:t>
            </w:r>
            <w:r w:rsidRPr="00331572">
              <w:rPr>
                <w:color w:val="000000" w:themeColor="text1"/>
              </w:rPr>
              <w:t xml:space="preserve">number of Aboriginal and Torres Strait Islander </w:t>
            </w:r>
            <w:r>
              <w:rPr>
                <w:color w:val="000000" w:themeColor="text1"/>
              </w:rPr>
              <w:t>people</w:t>
            </w:r>
            <w:r w:rsidRPr="00331572">
              <w:rPr>
                <w:color w:val="000000" w:themeColor="text1"/>
              </w:rPr>
              <w:t xml:space="preserve"> in the 37 ABS Indigenous regions as at 30 June 2016.</w:t>
            </w:r>
            <w:r w:rsidRPr="007740CE">
              <w:rPr>
                <w:color w:val="FF0000"/>
              </w:rPr>
              <w:t xml:space="preserve"> </w:t>
            </w:r>
            <w:r>
              <w:rPr>
                <w:i/>
              </w:rPr>
              <w:t>Source(s)</w:t>
            </w:r>
            <w:r w:rsidRPr="00167F06">
              <w:t xml:space="preserve">: </w:t>
            </w:r>
            <w:r>
              <w:t>Author (year); Author (year, year).</w:t>
            </w:r>
          </w:p>
        </w:tc>
      </w:tr>
      <w:tr w:rsidR="001E0609" w14:paraId="4DF9C6EC" w14:textId="77777777" w:rsidTr="001E0609">
        <w:tc>
          <w:tcPr>
            <w:tcW w:w="5000" w:type="pct"/>
            <w:tcBorders>
              <w:top w:val="nil"/>
              <w:left w:val="nil"/>
              <w:bottom w:val="nil"/>
              <w:right w:val="nil"/>
            </w:tcBorders>
            <w:shd w:val="clear" w:color="auto" w:fill="F2F2F2"/>
          </w:tcPr>
          <w:p w14:paraId="43C74047" w14:textId="75B158E8" w:rsidR="001E0609" w:rsidRPr="00E8132B" w:rsidRDefault="001E0609" w:rsidP="001E0609">
            <w:pPr>
              <w:pStyle w:val="BoxSource"/>
              <w:rPr>
                <w:rStyle w:val="NoteLabel"/>
                <w:rFonts w:cs="Arial"/>
                <w:color w:val="000000" w:themeColor="text1"/>
              </w:rPr>
            </w:pPr>
            <w:r w:rsidRPr="001445C6">
              <w:rPr>
                <w:i/>
              </w:rPr>
              <w:t>Source</w:t>
            </w:r>
            <w:r w:rsidRPr="001445C6">
              <w:t xml:space="preserve">: ABS 2019, </w:t>
            </w:r>
            <w:r w:rsidRPr="001445C6">
              <w:rPr>
                <w:i/>
              </w:rPr>
              <w:t>Estimates and Projections, Aboriginal and Torres Strait Islander Australians, 2006 to 2031</w:t>
            </w:r>
            <w:r w:rsidRPr="001445C6">
              <w:t xml:space="preserve">, Cat. no. 3238.0, Canberra; ABS 2018, </w:t>
            </w:r>
            <w:r w:rsidRPr="001445C6">
              <w:rPr>
                <w:i/>
              </w:rPr>
              <w:t>Australian Demographic Statistics, June 2018</w:t>
            </w:r>
            <w:r w:rsidRPr="001445C6">
              <w:t>, Cat. no. 3101.0, Canberra;</w:t>
            </w:r>
            <w:r>
              <w:t xml:space="preserve"> Appendix A, table </w:t>
            </w:r>
            <w:proofErr w:type="spellStart"/>
            <w:r>
              <w:t>A.2</w:t>
            </w:r>
            <w:proofErr w:type="spellEnd"/>
            <w:r>
              <w:t>.</w:t>
            </w:r>
          </w:p>
        </w:tc>
      </w:tr>
      <w:tr w:rsidR="001E0609" w14:paraId="3186AB51" w14:textId="77777777" w:rsidTr="001E0609">
        <w:tc>
          <w:tcPr>
            <w:tcW w:w="5000" w:type="pct"/>
            <w:tcBorders>
              <w:top w:val="nil"/>
              <w:left w:val="nil"/>
              <w:bottom w:val="single" w:sz="6" w:space="0" w:color="78A22F"/>
              <w:right w:val="nil"/>
            </w:tcBorders>
            <w:shd w:val="clear" w:color="auto" w:fill="F2F2F2"/>
          </w:tcPr>
          <w:p w14:paraId="08013624" w14:textId="77777777" w:rsidR="001E0609" w:rsidRDefault="001E0609">
            <w:pPr>
              <w:pStyle w:val="Box"/>
              <w:spacing w:before="0" w:line="120" w:lineRule="exact"/>
            </w:pPr>
          </w:p>
        </w:tc>
      </w:tr>
      <w:tr w:rsidR="001E0609" w:rsidRPr="000863A5" w14:paraId="0A10ACC5" w14:textId="77777777" w:rsidTr="001E0609">
        <w:tc>
          <w:tcPr>
            <w:tcW w:w="5000" w:type="pct"/>
            <w:tcBorders>
              <w:top w:val="single" w:sz="6" w:space="0" w:color="78A22F"/>
              <w:left w:val="nil"/>
              <w:bottom w:val="nil"/>
              <w:right w:val="nil"/>
            </w:tcBorders>
          </w:tcPr>
          <w:p w14:paraId="16670AA9" w14:textId="5AC6FB69" w:rsidR="001E0609" w:rsidRPr="00626D32" w:rsidRDefault="001E0609" w:rsidP="001E0609">
            <w:pPr>
              <w:pStyle w:val="BoxSpaceBelow"/>
            </w:pPr>
          </w:p>
        </w:tc>
      </w:tr>
    </w:tbl>
    <w:p w14:paraId="2B357551" w14:textId="428A5B87" w:rsidR="003C0091" w:rsidRPr="003C0091" w:rsidRDefault="005E0C12" w:rsidP="003C0091">
      <w:pPr>
        <w:pStyle w:val="BodyText"/>
      </w:pPr>
      <w:r>
        <w:t>Three in five</w:t>
      </w:r>
      <w:r w:rsidR="003C0091" w:rsidRPr="003C0091">
        <w:t xml:space="preserve"> Aboriginal and Torres Strait Islander people live in NSW or Queensland. However, the NT has the largest proportion of their population who identify as Aboriginal and Torres Strait Islander.</w:t>
      </w:r>
    </w:p>
    <w:p w14:paraId="0AD868B4" w14:textId="2FACB6CA" w:rsidR="003C0091" w:rsidRDefault="003C0091"/>
    <w:p w14:paraId="0FED3CA0" w14:textId="77777777" w:rsidR="001E0609" w:rsidRDefault="001E0609"/>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4253"/>
        <w:gridCol w:w="4536"/>
      </w:tblGrid>
      <w:tr w:rsidR="00077B7D" w:rsidRPr="00037871" w14:paraId="66102E59" w14:textId="77777777" w:rsidTr="009E1A4A">
        <w:tc>
          <w:tcPr>
            <w:tcW w:w="8789" w:type="dxa"/>
            <w:gridSpan w:val="2"/>
            <w:tcBorders>
              <w:top w:val="single" w:sz="6" w:space="0" w:color="78A22F"/>
              <w:left w:val="nil"/>
              <w:bottom w:val="nil"/>
              <w:right w:val="nil"/>
            </w:tcBorders>
            <w:shd w:val="clear" w:color="auto" w:fill="F2F2F2"/>
          </w:tcPr>
          <w:p w14:paraId="0D5A8E42" w14:textId="0630814E" w:rsidR="00077B7D" w:rsidRPr="00077B7D" w:rsidRDefault="00077B7D" w:rsidP="00896290">
            <w:pPr>
              <w:pStyle w:val="BoxTitle"/>
              <w:rPr>
                <w:sz w:val="22"/>
                <w:szCs w:val="22"/>
              </w:rPr>
            </w:pPr>
            <w:r w:rsidRPr="00077B7D">
              <w:rPr>
                <w:color w:val="000000" w:themeColor="text1"/>
                <w:sz w:val="22"/>
                <w:szCs w:val="22"/>
              </w:rPr>
              <w:lastRenderedPageBreak/>
              <w:t>Aboriginal and Torres Strait Islander people, by State or Territory, 2016</w:t>
            </w:r>
          </w:p>
        </w:tc>
      </w:tr>
      <w:tr w:rsidR="00331572" w:rsidRPr="00037871" w14:paraId="133028E7" w14:textId="77777777" w:rsidTr="009E1A4A">
        <w:trPr>
          <w:cantSplit/>
        </w:trPr>
        <w:tc>
          <w:tcPr>
            <w:tcW w:w="4253" w:type="dxa"/>
            <w:tcBorders>
              <w:top w:val="nil"/>
              <w:left w:val="nil"/>
              <w:bottom w:val="nil"/>
            </w:tcBorders>
            <w:shd w:val="clear" w:color="auto" w:fill="F2F2F2"/>
          </w:tcPr>
          <w:p w14:paraId="6B4C383F" w14:textId="1BAE2749" w:rsidR="00331572" w:rsidRPr="000D21D9" w:rsidRDefault="00331572" w:rsidP="000D21D9">
            <w:pPr>
              <w:pStyle w:val="Box"/>
              <w:jc w:val="center"/>
              <w:rPr>
                <w:rFonts w:cs="Arial"/>
                <w:b/>
                <w:sz w:val="18"/>
                <w:szCs w:val="18"/>
              </w:rPr>
            </w:pPr>
            <w:r w:rsidRPr="000D21D9">
              <w:rPr>
                <w:rFonts w:cs="Arial"/>
                <w:b/>
                <w:sz w:val="18"/>
                <w:szCs w:val="18"/>
              </w:rPr>
              <w:t>Proportion of Aboriginal and Torres Strait Islander population in each State or Territory</w:t>
            </w:r>
          </w:p>
        </w:tc>
        <w:tc>
          <w:tcPr>
            <w:tcW w:w="4536" w:type="dxa"/>
            <w:tcBorders>
              <w:top w:val="nil"/>
              <w:bottom w:val="nil"/>
              <w:right w:val="nil"/>
            </w:tcBorders>
            <w:shd w:val="clear" w:color="auto" w:fill="F2F2F2"/>
          </w:tcPr>
          <w:p w14:paraId="6616C929" w14:textId="0325E900" w:rsidR="00331572" w:rsidRPr="000D21D9" w:rsidRDefault="00331572" w:rsidP="000D21D9">
            <w:pPr>
              <w:pStyle w:val="Box"/>
              <w:jc w:val="center"/>
              <w:rPr>
                <w:rFonts w:cs="Arial"/>
                <w:b/>
                <w:sz w:val="18"/>
                <w:szCs w:val="18"/>
              </w:rPr>
            </w:pPr>
            <w:r w:rsidRPr="000D21D9">
              <w:rPr>
                <w:rFonts w:cs="Arial"/>
                <w:b/>
                <w:sz w:val="18"/>
                <w:szCs w:val="18"/>
              </w:rPr>
              <w:t>Proportion of population in State or Territory who are Aboriginal and Torres Strait Islander people</w:t>
            </w:r>
          </w:p>
        </w:tc>
      </w:tr>
      <w:tr w:rsidR="00331572" w:rsidRPr="00037871" w14:paraId="00D792D9" w14:textId="77777777" w:rsidTr="00DD348B">
        <w:tblPrEx>
          <w:tblCellMar>
            <w:left w:w="108" w:type="dxa"/>
            <w:right w:w="108" w:type="dxa"/>
          </w:tblCellMar>
        </w:tblPrEx>
        <w:trPr>
          <w:cantSplit/>
          <w:trHeight w:val="2542"/>
        </w:trPr>
        <w:tc>
          <w:tcPr>
            <w:tcW w:w="4253" w:type="dxa"/>
            <w:tcBorders>
              <w:top w:val="nil"/>
              <w:left w:val="nil"/>
              <w:bottom w:val="nil"/>
              <w:right w:val="nil"/>
            </w:tcBorders>
            <w:shd w:val="clear" w:color="auto" w:fill="F2F2F2"/>
          </w:tcPr>
          <w:p w14:paraId="399DD4D3" w14:textId="615E1384" w:rsidR="00331572" w:rsidRPr="00E337FF" w:rsidRDefault="009E3E9E" w:rsidP="00331572">
            <w:pPr>
              <w:pStyle w:val="Box"/>
              <w:jc w:val="center"/>
            </w:pPr>
            <w:r w:rsidRPr="009E3E9E">
              <w:rPr>
                <w:noProof/>
              </w:rPr>
              <w:drawing>
                <wp:inline distT="0" distB="0" distL="0" distR="0" wp14:anchorId="666289CF" wp14:editId="343BA4DB">
                  <wp:extent cx="2552700" cy="1952625"/>
                  <wp:effectExtent l="0" t="0" r="0" b="0"/>
                  <wp:docPr id="3" name="Picture 3" descr="Proportion of Aboriginal and Torres Strait Islander population in each State or Territory&#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52700" cy="1952625"/>
                          </a:xfrm>
                          <a:prstGeom prst="rect">
                            <a:avLst/>
                          </a:prstGeom>
                          <a:noFill/>
                          <a:ln>
                            <a:noFill/>
                          </a:ln>
                        </pic:spPr>
                      </pic:pic>
                    </a:graphicData>
                  </a:graphic>
                </wp:inline>
              </w:drawing>
            </w:r>
          </w:p>
        </w:tc>
        <w:tc>
          <w:tcPr>
            <w:tcW w:w="4536" w:type="dxa"/>
            <w:tcBorders>
              <w:top w:val="nil"/>
              <w:left w:val="nil"/>
              <w:bottom w:val="nil"/>
              <w:right w:val="nil"/>
            </w:tcBorders>
            <w:shd w:val="clear" w:color="auto" w:fill="F2F2F2"/>
          </w:tcPr>
          <w:p w14:paraId="76FA7140" w14:textId="67B55199" w:rsidR="00331572" w:rsidRPr="00E8132B" w:rsidRDefault="009E3E9E" w:rsidP="00331572">
            <w:pPr>
              <w:pStyle w:val="Box"/>
              <w:spacing w:line="120" w:lineRule="atLeast"/>
              <w:jc w:val="center"/>
              <w:rPr>
                <w:color w:val="000000" w:themeColor="text1"/>
              </w:rPr>
            </w:pPr>
            <w:r w:rsidRPr="009E3E9E">
              <w:rPr>
                <w:noProof/>
              </w:rPr>
              <w:drawing>
                <wp:inline distT="0" distB="0" distL="0" distR="0" wp14:anchorId="1BF3B19D" wp14:editId="6F30429E">
                  <wp:extent cx="2705100" cy="1981200"/>
                  <wp:effectExtent l="0" t="0" r="0" b="0"/>
                  <wp:docPr id="4" name="Picture 4" descr="Proportion of population in State and Territory who are Aboriginal and Torres Strait Islander people&#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05100" cy="1981200"/>
                          </a:xfrm>
                          <a:prstGeom prst="rect">
                            <a:avLst/>
                          </a:prstGeom>
                          <a:noFill/>
                          <a:ln>
                            <a:noFill/>
                          </a:ln>
                        </pic:spPr>
                      </pic:pic>
                    </a:graphicData>
                  </a:graphic>
                </wp:inline>
              </w:drawing>
            </w:r>
          </w:p>
        </w:tc>
      </w:tr>
      <w:tr w:rsidR="00331572" w:rsidRPr="00037871" w14:paraId="6F771BA5" w14:textId="77777777" w:rsidTr="001E0609">
        <w:trPr>
          <w:cantSplit/>
        </w:trPr>
        <w:tc>
          <w:tcPr>
            <w:tcW w:w="8789" w:type="dxa"/>
            <w:gridSpan w:val="2"/>
            <w:tcBorders>
              <w:top w:val="nil"/>
              <w:left w:val="nil"/>
              <w:bottom w:val="nil"/>
              <w:right w:val="nil"/>
            </w:tcBorders>
            <w:shd w:val="clear" w:color="auto" w:fill="F2F2F2"/>
          </w:tcPr>
          <w:p w14:paraId="69294634" w14:textId="768F2315" w:rsidR="00331572" w:rsidRPr="00D82150" w:rsidRDefault="00331572" w:rsidP="000859C7">
            <w:pPr>
              <w:pStyle w:val="BoxSource"/>
              <w:spacing w:before="40"/>
              <w:rPr>
                <w:color w:val="000000" w:themeColor="text1"/>
              </w:rPr>
            </w:pPr>
            <w:r w:rsidRPr="001445C6">
              <w:rPr>
                <w:i/>
              </w:rPr>
              <w:t>Source</w:t>
            </w:r>
            <w:r w:rsidRPr="001445C6">
              <w:t>: ABS 2019</w:t>
            </w:r>
            <w:r w:rsidR="000859C7">
              <w:t>,</w:t>
            </w:r>
            <w:r w:rsidRPr="001445C6">
              <w:t xml:space="preserve"> </w:t>
            </w:r>
            <w:r w:rsidRPr="001445C6">
              <w:rPr>
                <w:i/>
              </w:rPr>
              <w:t>Estimates and Projections, Aboriginal and Torres Strait Islander Australians, 2006 to 2031</w:t>
            </w:r>
            <w:r w:rsidRPr="001445C6">
              <w:t>, Cat. no. 3238.0, Canberra; ABS 2018</w:t>
            </w:r>
            <w:r w:rsidR="000859C7">
              <w:t>,</w:t>
            </w:r>
            <w:r w:rsidR="00614897" w:rsidRPr="001445C6">
              <w:t xml:space="preserve"> </w:t>
            </w:r>
            <w:r w:rsidRPr="001445C6">
              <w:rPr>
                <w:i/>
              </w:rPr>
              <w:t>Australian Demographic Statistics, June 2018</w:t>
            </w:r>
            <w:r w:rsidRPr="001445C6">
              <w:t>, Cat. no. 3101.0, Canberra;</w:t>
            </w:r>
            <w:r>
              <w:t xml:space="preserve"> Appendix </w:t>
            </w:r>
            <w:r w:rsidR="002F796D">
              <w:t>A</w:t>
            </w:r>
            <w:r>
              <w:t xml:space="preserve">, table </w:t>
            </w:r>
            <w:proofErr w:type="spellStart"/>
            <w:r>
              <w:t>A.1</w:t>
            </w:r>
            <w:proofErr w:type="spellEnd"/>
            <w:r>
              <w:t>.</w:t>
            </w:r>
          </w:p>
        </w:tc>
      </w:tr>
      <w:tr w:rsidR="00331572" w:rsidRPr="00037871" w14:paraId="281E560D" w14:textId="77777777" w:rsidTr="001E0609">
        <w:trPr>
          <w:cantSplit/>
        </w:trPr>
        <w:tc>
          <w:tcPr>
            <w:tcW w:w="8789" w:type="dxa"/>
            <w:gridSpan w:val="2"/>
            <w:tcBorders>
              <w:top w:val="nil"/>
              <w:left w:val="nil"/>
              <w:bottom w:val="single" w:sz="6" w:space="0" w:color="78A22F"/>
              <w:right w:val="nil"/>
            </w:tcBorders>
            <w:shd w:val="clear" w:color="auto" w:fill="F2F2F2"/>
          </w:tcPr>
          <w:p w14:paraId="476C7DAE" w14:textId="77777777" w:rsidR="00331572" w:rsidRPr="00D82150" w:rsidRDefault="00331572" w:rsidP="00331572">
            <w:pPr>
              <w:pStyle w:val="Box"/>
              <w:spacing w:before="0" w:line="120" w:lineRule="exact"/>
              <w:rPr>
                <w:color w:val="000000" w:themeColor="text1"/>
                <w:sz w:val="10"/>
                <w:szCs w:val="10"/>
              </w:rPr>
            </w:pPr>
          </w:p>
        </w:tc>
      </w:tr>
      <w:tr w:rsidR="00331572" w:rsidRPr="00037871" w14:paraId="2FE0B615" w14:textId="77777777" w:rsidTr="001E0609">
        <w:tc>
          <w:tcPr>
            <w:tcW w:w="8789" w:type="dxa"/>
            <w:gridSpan w:val="2"/>
            <w:tcBorders>
              <w:top w:val="single" w:sz="6" w:space="0" w:color="78A22F"/>
              <w:left w:val="nil"/>
              <w:bottom w:val="nil"/>
              <w:right w:val="nil"/>
            </w:tcBorders>
          </w:tcPr>
          <w:p w14:paraId="2ED80265" w14:textId="77777777" w:rsidR="00331572" w:rsidRPr="00D82150" w:rsidRDefault="00331572" w:rsidP="00331572">
            <w:pPr>
              <w:pStyle w:val="BoxSpaceBelow"/>
              <w:rPr>
                <w:color w:val="000000" w:themeColor="text1"/>
              </w:rPr>
            </w:pPr>
          </w:p>
        </w:tc>
      </w:tr>
    </w:tbl>
    <w:p w14:paraId="4049D527" w14:textId="00E10E74" w:rsidR="003C0091" w:rsidRPr="003C0091" w:rsidRDefault="003C0091" w:rsidP="003C0091">
      <w:pPr>
        <w:pStyle w:val="BodyText"/>
      </w:pPr>
      <w:r w:rsidRPr="003C0091">
        <w:t xml:space="preserve">Most Aboriginal and Torres Strait Islander people live in major cities or regional areas. However, they are significantly overrepresented in the population who live in remote and very remote areas (30 per cent in these areas, compared to </w:t>
      </w:r>
      <w:r w:rsidR="000A022C">
        <w:t xml:space="preserve">3.3 </w:t>
      </w:r>
      <w:r w:rsidRPr="003C0091">
        <w:t>per cent in the total population).</w:t>
      </w:r>
    </w:p>
    <w:p w14:paraId="5AB611DA" w14:textId="77777777" w:rsidR="0093605E" w:rsidRPr="00037871" w:rsidRDefault="0093605E">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4253"/>
        <w:gridCol w:w="4536"/>
      </w:tblGrid>
      <w:tr w:rsidR="00037871" w:rsidRPr="00037871" w14:paraId="12792B0B" w14:textId="77777777" w:rsidTr="00A81CE0">
        <w:tc>
          <w:tcPr>
            <w:tcW w:w="8789" w:type="dxa"/>
            <w:gridSpan w:val="2"/>
            <w:tcBorders>
              <w:top w:val="single" w:sz="6" w:space="0" w:color="78A22F"/>
              <w:left w:val="nil"/>
              <w:bottom w:val="nil"/>
              <w:right w:val="nil"/>
            </w:tcBorders>
            <w:shd w:val="clear" w:color="auto" w:fill="F2F2F2"/>
          </w:tcPr>
          <w:p w14:paraId="15D7CA50" w14:textId="32BF3FA7" w:rsidR="0093605E" w:rsidRPr="00077B7D" w:rsidRDefault="00077B7D" w:rsidP="0093605E">
            <w:pPr>
              <w:pStyle w:val="BoxTitle"/>
              <w:rPr>
                <w:sz w:val="22"/>
                <w:szCs w:val="22"/>
              </w:rPr>
            </w:pPr>
            <w:r w:rsidRPr="00077B7D">
              <w:rPr>
                <w:color w:val="000000" w:themeColor="text1"/>
                <w:sz w:val="22"/>
                <w:szCs w:val="22"/>
              </w:rPr>
              <w:t>Aboriginal and Torres Strait Islander population, by remoteness area, 2016</w:t>
            </w:r>
          </w:p>
        </w:tc>
      </w:tr>
      <w:tr w:rsidR="007B3C3A" w:rsidRPr="00037871" w14:paraId="29E96A3B" w14:textId="77777777" w:rsidTr="00A81CE0">
        <w:trPr>
          <w:cantSplit/>
        </w:trPr>
        <w:tc>
          <w:tcPr>
            <w:tcW w:w="4253" w:type="dxa"/>
            <w:tcBorders>
              <w:top w:val="nil"/>
              <w:left w:val="nil"/>
              <w:bottom w:val="nil"/>
            </w:tcBorders>
            <w:shd w:val="clear" w:color="auto" w:fill="F2F2F2"/>
          </w:tcPr>
          <w:p w14:paraId="69551105" w14:textId="6CA0DC0E" w:rsidR="00F41B38" w:rsidRPr="00F41B38" w:rsidRDefault="007B3C3A" w:rsidP="00F41B38">
            <w:pPr>
              <w:pStyle w:val="Box"/>
              <w:jc w:val="center"/>
              <w:rPr>
                <w:rFonts w:cs="Arial"/>
                <w:b/>
                <w:sz w:val="18"/>
                <w:szCs w:val="18"/>
              </w:rPr>
            </w:pPr>
            <w:r w:rsidRPr="001445C6">
              <w:rPr>
                <w:rFonts w:cs="Arial"/>
                <w:b/>
                <w:sz w:val="18"/>
                <w:szCs w:val="18"/>
              </w:rPr>
              <w:t>Proportion of Aboriginal and Torres Strait Islander people, in each area</w:t>
            </w:r>
          </w:p>
        </w:tc>
        <w:tc>
          <w:tcPr>
            <w:tcW w:w="4536" w:type="dxa"/>
            <w:tcBorders>
              <w:top w:val="nil"/>
              <w:bottom w:val="nil"/>
              <w:right w:val="nil"/>
            </w:tcBorders>
            <w:shd w:val="clear" w:color="auto" w:fill="F2F2F2"/>
          </w:tcPr>
          <w:p w14:paraId="7F7AED2A" w14:textId="6D182630" w:rsidR="00F41B38" w:rsidRPr="00F41B38" w:rsidRDefault="007B3C3A" w:rsidP="00F41B38">
            <w:pPr>
              <w:pStyle w:val="Box"/>
              <w:jc w:val="center"/>
              <w:rPr>
                <w:rFonts w:cs="Arial"/>
                <w:b/>
                <w:sz w:val="18"/>
                <w:szCs w:val="18"/>
              </w:rPr>
            </w:pPr>
            <w:r w:rsidRPr="001445C6">
              <w:rPr>
                <w:rFonts w:cs="Arial"/>
                <w:b/>
                <w:sz w:val="18"/>
                <w:szCs w:val="18"/>
              </w:rPr>
              <w:t>Proportion of people in each area who are of Aboriginal and Torres Strait Islander origin</w:t>
            </w:r>
          </w:p>
        </w:tc>
      </w:tr>
      <w:tr w:rsidR="00037871" w:rsidRPr="00037871" w14:paraId="516E81AB" w14:textId="77777777" w:rsidTr="00BE4426">
        <w:tblPrEx>
          <w:tblCellMar>
            <w:left w:w="108" w:type="dxa"/>
            <w:right w:w="108" w:type="dxa"/>
          </w:tblCellMar>
        </w:tblPrEx>
        <w:trPr>
          <w:cantSplit/>
        </w:trPr>
        <w:tc>
          <w:tcPr>
            <w:tcW w:w="4253" w:type="dxa"/>
            <w:tcBorders>
              <w:top w:val="nil"/>
              <w:left w:val="nil"/>
              <w:bottom w:val="nil"/>
              <w:right w:val="nil"/>
            </w:tcBorders>
            <w:shd w:val="clear" w:color="auto" w:fill="F2F2F2"/>
          </w:tcPr>
          <w:p w14:paraId="7A9D2A94" w14:textId="00309094" w:rsidR="0093605E" w:rsidRPr="00037871" w:rsidRDefault="009E3E9E" w:rsidP="002526E3">
            <w:pPr>
              <w:pStyle w:val="Box"/>
              <w:jc w:val="center"/>
              <w:rPr>
                <w:color w:val="00B050"/>
              </w:rPr>
            </w:pPr>
            <w:r w:rsidRPr="009E3E9E">
              <w:rPr>
                <w:noProof/>
              </w:rPr>
              <w:drawing>
                <wp:inline distT="0" distB="0" distL="0" distR="0" wp14:anchorId="0027F6BD" wp14:editId="58989B6A">
                  <wp:extent cx="2552700" cy="1905000"/>
                  <wp:effectExtent l="0" t="0" r="0" b="0"/>
                  <wp:docPr id="5" name="Picture 5" descr="Proportion of Aboriginal and Torres Strait Islander people, in each remoteness area&#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905000"/>
                          </a:xfrm>
                          <a:prstGeom prst="rect">
                            <a:avLst/>
                          </a:prstGeom>
                          <a:noFill/>
                          <a:ln>
                            <a:noFill/>
                          </a:ln>
                        </pic:spPr>
                      </pic:pic>
                    </a:graphicData>
                  </a:graphic>
                </wp:inline>
              </w:drawing>
            </w:r>
          </w:p>
        </w:tc>
        <w:tc>
          <w:tcPr>
            <w:tcW w:w="4536" w:type="dxa"/>
            <w:tcBorders>
              <w:top w:val="nil"/>
              <w:left w:val="nil"/>
              <w:bottom w:val="nil"/>
              <w:right w:val="nil"/>
            </w:tcBorders>
            <w:shd w:val="clear" w:color="auto" w:fill="F2F2F2"/>
          </w:tcPr>
          <w:p w14:paraId="7A77651A" w14:textId="69EFDCB8" w:rsidR="0093605E" w:rsidRPr="00037871" w:rsidRDefault="009E3E9E" w:rsidP="002526E3">
            <w:pPr>
              <w:pStyle w:val="Box"/>
              <w:jc w:val="center"/>
              <w:rPr>
                <w:color w:val="00B050"/>
              </w:rPr>
            </w:pPr>
            <w:r w:rsidRPr="009E3E9E">
              <w:rPr>
                <w:noProof/>
              </w:rPr>
              <w:drawing>
                <wp:inline distT="0" distB="0" distL="0" distR="0" wp14:anchorId="3176AFB2" wp14:editId="3417351E">
                  <wp:extent cx="2705100" cy="1943100"/>
                  <wp:effectExtent l="0" t="0" r="0" b="0"/>
                  <wp:docPr id="59" name="Picture 59" descr="Proportion of people in each remoteness area who are of Aboriginal and Torres Strait Islander origin&#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100" cy="1943100"/>
                          </a:xfrm>
                          <a:prstGeom prst="rect">
                            <a:avLst/>
                          </a:prstGeom>
                          <a:noFill/>
                          <a:ln>
                            <a:noFill/>
                          </a:ln>
                        </pic:spPr>
                      </pic:pic>
                    </a:graphicData>
                  </a:graphic>
                </wp:inline>
              </w:drawing>
            </w:r>
          </w:p>
        </w:tc>
      </w:tr>
      <w:tr w:rsidR="00037871" w:rsidRPr="00037871" w14:paraId="71BA71B1" w14:textId="77777777" w:rsidTr="007F5DB2">
        <w:trPr>
          <w:cantSplit/>
        </w:trPr>
        <w:tc>
          <w:tcPr>
            <w:tcW w:w="8789" w:type="dxa"/>
            <w:gridSpan w:val="2"/>
            <w:tcBorders>
              <w:top w:val="nil"/>
              <w:left w:val="nil"/>
              <w:bottom w:val="nil"/>
              <w:right w:val="nil"/>
            </w:tcBorders>
            <w:shd w:val="clear" w:color="auto" w:fill="F2F2F2"/>
          </w:tcPr>
          <w:p w14:paraId="17715444" w14:textId="3F76EEE0" w:rsidR="00F174BD" w:rsidRPr="00037871" w:rsidRDefault="00F174BD" w:rsidP="002F796D">
            <w:pPr>
              <w:pStyle w:val="Source"/>
              <w:rPr>
                <w:color w:val="00B050"/>
              </w:rPr>
            </w:pPr>
            <w:r w:rsidRPr="00E337FF">
              <w:rPr>
                <w:i/>
                <w:color w:val="000000" w:themeColor="text1"/>
              </w:rPr>
              <w:t>Source</w:t>
            </w:r>
            <w:r w:rsidRPr="00E337FF">
              <w:rPr>
                <w:color w:val="000000" w:themeColor="text1"/>
              </w:rPr>
              <w:t xml:space="preserve">: </w:t>
            </w:r>
            <w:r w:rsidR="00D92979" w:rsidRPr="001445C6">
              <w:t xml:space="preserve">ABS 2019, </w:t>
            </w:r>
            <w:r w:rsidR="00D92979" w:rsidRPr="001445C6">
              <w:rPr>
                <w:i/>
              </w:rPr>
              <w:t>Estimates and Projections, Aboriginal and Torres Strait Islander Australians, 2006 to 2031</w:t>
            </w:r>
            <w:r w:rsidR="00D92979" w:rsidRPr="001445C6">
              <w:t xml:space="preserve">, Cat. no. 3238.0, Canberra; ABS 2017, </w:t>
            </w:r>
            <w:r w:rsidR="00D92979" w:rsidRPr="001445C6">
              <w:rPr>
                <w:i/>
              </w:rPr>
              <w:t>Regional Population Growth, Australia, Population Estimates by Remoteness Area</w:t>
            </w:r>
            <w:r w:rsidR="00D92979" w:rsidRPr="001445C6">
              <w:t>, 2006 to 2016, Cat. no. 3218.0</w:t>
            </w:r>
            <w:r w:rsidR="00D92979">
              <w:t xml:space="preserve">; Appendix </w:t>
            </w:r>
            <w:r w:rsidR="002F796D">
              <w:t>A</w:t>
            </w:r>
            <w:r w:rsidR="00D92979">
              <w:t xml:space="preserve">, table </w:t>
            </w:r>
            <w:proofErr w:type="spellStart"/>
            <w:r w:rsidR="006D40DE">
              <w:t>A.3</w:t>
            </w:r>
            <w:proofErr w:type="spellEnd"/>
            <w:r w:rsidR="00D92979" w:rsidRPr="001445C6">
              <w:t>.</w:t>
            </w:r>
          </w:p>
        </w:tc>
      </w:tr>
      <w:tr w:rsidR="00037871" w:rsidRPr="00037871" w14:paraId="155AD72F" w14:textId="77777777" w:rsidTr="007F5DB2">
        <w:trPr>
          <w:cantSplit/>
        </w:trPr>
        <w:tc>
          <w:tcPr>
            <w:tcW w:w="8789" w:type="dxa"/>
            <w:gridSpan w:val="2"/>
            <w:tcBorders>
              <w:top w:val="nil"/>
              <w:left w:val="nil"/>
              <w:bottom w:val="single" w:sz="6" w:space="0" w:color="78A22F"/>
              <w:right w:val="nil"/>
            </w:tcBorders>
            <w:shd w:val="clear" w:color="auto" w:fill="F2F2F2"/>
          </w:tcPr>
          <w:p w14:paraId="18A88DF6" w14:textId="77777777" w:rsidR="0093605E" w:rsidRPr="00037871" w:rsidRDefault="0093605E">
            <w:pPr>
              <w:pStyle w:val="Box"/>
              <w:spacing w:before="0" w:line="120" w:lineRule="exact"/>
              <w:rPr>
                <w:color w:val="00B050"/>
              </w:rPr>
            </w:pPr>
          </w:p>
        </w:tc>
      </w:tr>
      <w:tr w:rsidR="00037871" w:rsidRPr="00037871" w14:paraId="1E3F2002" w14:textId="77777777" w:rsidTr="007A78CE">
        <w:tc>
          <w:tcPr>
            <w:tcW w:w="8789" w:type="dxa"/>
            <w:gridSpan w:val="2"/>
            <w:tcBorders>
              <w:top w:val="single" w:sz="6" w:space="0" w:color="78A22F"/>
              <w:left w:val="nil"/>
              <w:bottom w:val="nil"/>
              <w:right w:val="nil"/>
            </w:tcBorders>
          </w:tcPr>
          <w:p w14:paraId="58FDDE1F" w14:textId="77777777" w:rsidR="0093605E" w:rsidRPr="00037871" w:rsidRDefault="0093605E" w:rsidP="00F409A2">
            <w:pPr>
              <w:pStyle w:val="BoxSpaceBelow"/>
              <w:rPr>
                <w:color w:val="00B050"/>
              </w:rPr>
            </w:pPr>
          </w:p>
        </w:tc>
      </w:tr>
      <w:tr w:rsidR="001D0CAC" w:rsidRPr="00037871" w14:paraId="6D211508" w14:textId="77777777" w:rsidTr="007A78CE">
        <w:tc>
          <w:tcPr>
            <w:tcW w:w="8789" w:type="dxa"/>
            <w:gridSpan w:val="2"/>
            <w:tcBorders>
              <w:top w:val="nil"/>
              <w:left w:val="nil"/>
              <w:bottom w:val="nil"/>
              <w:right w:val="nil"/>
            </w:tcBorders>
          </w:tcPr>
          <w:p w14:paraId="0D861D5C" w14:textId="77777777" w:rsidR="001D0CAC" w:rsidRPr="00037871" w:rsidRDefault="001D0CAC" w:rsidP="005A37DC">
            <w:pPr>
              <w:pStyle w:val="BoxSpaceBelow"/>
              <w:rPr>
                <w:color w:val="00B050"/>
              </w:rPr>
            </w:pPr>
          </w:p>
        </w:tc>
      </w:tr>
    </w:tbl>
    <w:p w14:paraId="03ABB473" w14:textId="77777777" w:rsidR="007B6206" w:rsidRPr="00037871" w:rsidRDefault="007B6206" w:rsidP="007B6206">
      <w:pPr>
        <w:pStyle w:val="Heading3"/>
        <w:spacing w:before="240"/>
        <w:rPr>
          <w:color w:val="000000" w:themeColor="text1"/>
        </w:rPr>
      </w:pPr>
      <w:r w:rsidRPr="00037871">
        <w:rPr>
          <w:color w:val="000000" w:themeColor="text1"/>
        </w:rPr>
        <w:lastRenderedPageBreak/>
        <w:t>How have trends in outcomes over time been assessed?</w:t>
      </w:r>
    </w:p>
    <w:p w14:paraId="6D36583C" w14:textId="77777777" w:rsidR="007B6206" w:rsidRPr="00037871" w:rsidRDefault="007B6206" w:rsidP="007B6206">
      <w:pPr>
        <w:pStyle w:val="BodyText"/>
        <w:rPr>
          <w:color w:val="000000" w:themeColor="text1"/>
        </w:rPr>
      </w:pPr>
      <w:r w:rsidRPr="00037871">
        <w:rPr>
          <w:color w:val="000000" w:themeColor="text1"/>
        </w:rPr>
        <w:t>The figure on the next page summarises changes in outcomes over time. The following approach was taken to assessing change over time:</w:t>
      </w:r>
    </w:p>
    <w:p w14:paraId="58E3DDAF" w14:textId="784980FA" w:rsidR="007B6206" w:rsidRPr="00037871" w:rsidRDefault="007B6206" w:rsidP="007B6206">
      <w:pPr>
        <w:pStyle w:val="ListBullet"/>
        <w:rPr>
          <w:color w:val="000000" w:themeColor="text1"/>
        </w:rPr>
      </w:pPr>
      <w:r w:rsidRPr="00037871">
        <w:rPr>
          <w:color w:val="000000" w:themeColor="text1"/>
        </w:rPr>
        <w:t xml:space="preserve">The key consideration was change over time in outcomes for Aboriginal and Torres Strait Islander </w:t>
      </w:r>
      <w:r>
        <w:rPr>
          <w:color w:val="000000" w:themeColor="text1"/>
        </w:rPr>
        <w:t>people</w:t>
      </w:r>
      <w:r w:rsidRPr="00037871">
        <w:rPr>
          <w:color w:val="000000" w:themeColor="text1"/>
        </w:rPr>
        <w:t xml:space="preserve"> NOT the gap to non-Indigenous </w:t>
      </w:r>
      <w:r>
        <w:rPr>
          <w:color w:val="000000" w:themeColor="text1"/>
        </w:rPr>
        <w:t>people</w:t>
      </w:r>
      <w:r w:rsidRPr="00037871">
        <w:rPr>
          <w:color w:val="000000" w:themeColor="text1"/>
        </w:rPr>
        <w:t xml:space="preserve">. It is important to acknowledge improvements in outcomes for Aboriginal and Torres Strait </w:t>
      </w:r>
      <w:r w:rsidR="00C607A4">
        <w:rPr>
          <w:color w:val="000000" w:themeColor="text1"/>
        </w:rPr>
        <w:t>I</w:t>
      </w:r>
      <w:r w:rsidRPr="00037871">
        <w:rPr>
          <w:color w:val="000000" w:themeColor="text1"/>
        </w:rPr>
        <w:t xml:space="preserve">slander </w:t>
      </w:r>
      <w:r>
        <w:rPr>
          <w:color w:val="000000" w:themeColor="text1"/>
        </w:rPr>
        <w:t>people</w:t>
      </w:r>
      <w:r w:rsidRPr="00037871">
        <w:rPr>
          <w:color w:val="000000" w:themeColor="text1"/>
        </w:rPr>
        <w:t xml:space="preserve">, even if improvements for non-Indigenous </w:t>
      </w:r>
      <w:r>
        <w:rPr>
          <w:color w:val="000000" w:themeColor="text1"/>
        </w:rPr>
        <w:t>people</w:t>
      </w:r>
      <w:r w:rsidRPr="00037871">
        <w:rPr>
          <w:color w:val="000000" w:themeColor="text1"/>
        </w:rPr>
        <w:t xml:space="preserve"> mean that the gap has not narrowed</w:t>
      </w:r>
      <w:r w:rsidR="00C26F43">
        <w:rPr>
          <w:color w:val="000000" w:themeColor="text1"/>
        </w:rPr>
        <w:t xml:space="preserve"> and/or the outcomes for non-Indigenous</w:t>
      </w:r>
      <w:r w:rsidR="00241CA7">
        <w:rPr>
          <w:color w:val="000000" w:themeColor="text1"/>
        </w:rPr>
        <w:t xml:space="preserve"> people are</w:t>
      </w:r>
      <w:r w:rsidR="00C26F43">
        <w:rPr>
          <w:color w:val="000000" w:themeColor="text1"/>
        </w:rPr>
        <w:t xml:space="preserve"> significantly better</w:t>
      </w:r>
      <w:r w:rsidRPr="00037871">
        <w:rPr>
          <w:color w:val="000000" w:themeColor="text1"/>
        </w:rPr>
        <w:t xml:space="preserve">. </w:t>
      </w:r>
    </w:p>
    <w:p w14:paraId="38BC69C0" w14:textId="6E5EC51D" w:rsidR="007B6206" w:rsidRPr="00037871" w:rsidRDefault="007B6206" w:rsidP="007B6206">
      <w:pPr>
        <w:pStyle w:val="ListBullet"/>
        <w:rPr>
          <w:color w:val="000000" w:themeColor="text1"/>
        </w:rPr>
      </w:pPr>
      <w:r w:rsidRPr="00037871">
        <w:rPr>
          <w:color w:val="000000" w:themeColor="text1"/>
        </w:rPr>
        <w:t xml:space="preserve">Change has been assessed by comparing the latest available data to the earliest available data for each indicator in this </w:t>
      </w:r>
      <w:r w:rsidR="00662EA0">
        <w:rPr>
          <w:color w:val="000000" w:themeColor="text1"/>
        </w:rPr>
        <w:t>R</w:t>
      </w:r>
      <w:r w:rsidR="00662EA0" w:rsidRPr="00037871">
        <w:rPr>
          <w:color w:val="000000" w:themeColor="text1"/>
        </w:rPr>
        <w:t>eport</w:t>
      </w:r>
      <w:r w:rsidRPr="00037871">
        <w:rPr>
          <w:color w:val="000000" w:themeColor="text1"/>
        </w:rPr>
        <w:t xml:space="preserve">. Therefore, the time period may be different for different indicators. </w:t>
      </w:r>
    </w:p>
    <w:p w14:paraId="2F31C929" w14:textId="44BCEEFC" w:rsidR="007B6206" w:rsidRPr="00037871" w:rsidRDefault="002A7728" w:rsidP="007B6206">
      <w:pPr>
        <w:pStyle w:val="ListBullet"/>
        <w:rPr>
          <w:color w:val="000000" w:themeColor="text1"/>
        </w:rPr>
      </w:pPr>
      <w:r w:rsidRPr="00037871">
        <w:rPr>
          <w:color w:val="000000" w:themeColor="text1"/>
        </w:rPr>
        <w:t xml:space="preserve">If apparent change was not statistically significant this was recorded as no </w:t>
      </w:r>
      <w:r w:rsidR="00060320">
        <w:rPr>
          <w:color w:val="000000" w:themeColor="text1"/>
        </w:rPr>
        <w:t xml:space="preserve">significant </w:t>
      </w:r>
      <w:r w:rsidRPr="00037871">
        <w:rPr>
          <w:color w:val="000000" w:themeColor="text1"/>
        </w:rPr>
        <w:t>change.</w:t>
      </w:r>
    </w:p>
    <w:p w14:paraId="23FEFEA4" w14:textId="77777777" w:rsidR="007B6206" w:rsidRPr="00037871" w:rsidRDefault="007B6206" w:rsidP="007B6206">
      <w:pPr>
        <w:pStyle w:val="ListBullet"/>
        <w:rPr>
          <w:color w:val="000000" w:themeColor="text1"/>
        </w:rPr>
      </w:pPr>
      <w:r w:rsidRPr="00037871">
        <w:rPr>
          <w:color w:val="000000" w:themeColor="text1"/>
        </w:rPr>
        <w:t>The focus has been on the main measure/s identified for each indicator. Supplementary measures for some indicators may show different trends.</w:t>
      </w:r>
    </w:p>
    <w:p w14:paraId="087B9DC4" w14:textId="77777777" w:rsidR="007B6206" w:rsidRPr="00037871" w:rsidRDefault="007B6206" w:rsidP="007B6206">
      <w:pPr>
        <w:pStyle w:val="ListBullet"/>
        <w:rPr>
          <w:color w:val="000000" w:themeColor="text1"/>
        </w:rPr>
      </w:pPr>
      <w:r w:rsidRPr="00037871">
        <w:rPr>
          <w:color w:val="000000" w:themeColor="text1"/>
        </w:rPr>
        <w:t xml:space="preserve">No trend has been identified where it is not clear whether an observed change in the main measure is positive or negative, or where improvements to data collections have created a break in series. </w:t>
      </w:r>
    </w:p>
    <w:p w14:paraId="096026EC" w14:textId="77777777" w:rsidR="007B6206" w:rsidRPr="00037871" w:rsidRDefault="007B6206" w:rsidP="007B6206">
      <w:pPr>
        <w:pStyle w:val="BodyText"/>
        <w:rPr>
          <w:color w:val="000000" w:themeColor="text1"/>
        </w:rPr>
      </w:pPr>
      <w:r w:rsidRPr="00037871">
        <w:rPr>
          <w:color w:val="000000" w:themeColor="text1"/>
        </w:rPr>
        <w:t>Results have been summarised into the following five categories:</w:t>
      </w:r>
    </w:p>
    <w:p w14:paraId="48C1E07C" w14:textId="77777777" w:rsidR="007B6206" w:rsidRPr="00037871" w:rsidRDefault="007B6206" w:rsidP="007B6206">
      <w:pPr>
        <w:pStyle w:val="ListBullet"/>
        <w:rPr>
          <w:color w:val="000000" w:themeColor="text1"/>
        </w:rPr>
      </w:pPr>
      <w:r w:rsidRPr="00037871">
        <w:rPr>
          <w:b/>
          <w:color w:val="000000" w:themeColor="text1"/>
        </w:rPr>
        <w:t>progress</w:t>
      </w:r>
      <w:r w:rsidRPr="00037871">
        <w:rPr>
          <w:color w:val="000000" w:themeColor="text1"/>
        </w:rPr>
        <w:t xml:space="preserve"> — where the main measure for an indicator shows outcomes for Aboriginal and Torres Strait Islander </w:t>
      </w:r>
      <w:r>
        <w:rPr>
          <w:color w:val="000000" w:themeColor="text1"/>
        </w:rPr>
        <w:t>people</w:t>
      </w:r>
      <w:r w:rsidRPr="00037871">
        <w:rPr>
          <w:color w:val="000000" w:themeColor="text1"/>
        </w:rPr>
        <w:t xml:space="preserve"> improving over time</w:t>
      </w:r>
    </w:p>
    <w:p w14:paraId="50CDCA17" w14:textId="77777777" w:rsidR="007B6206" w:rsidRPr="00037871" w:rsidRDefault="007B6206" w:rsidP="007B6206">
      <w:pPr>
        <w:pStyle w:val="ListBullet"/>
        <w:rPr>
          <w:color w:val="000000" w:themeColor="text1"/>
        </w:rPr>
      </w:pPr>
      <w:r w:rsidRPr="00037871">
        <w:rPr>
          <w:b/>
          <w:color w:val="000000" w:themeColor="text1"/>
        </w:rPr>
        <w:t>no significant change</w:t>
      </w:r>
      <w:r w:rsidRPr="00037871">
        <w:rPr>
          <w:color w:val="000000" w:themeColor="text1"/>
        </w:rPr>
        <w:t xml:space="preserve"> — where the main measure for an indicator shows no meaningful change in outcomes for Aboriginal and Torres Strait Islander </w:t>
      </w:r>
      <w:r>
        <w:rPr>
          <w:color w:val="000000" w:themeColor="text1"/>
        </w:rPr>
        <w:t>people</w:t>
      </w:r>
      <w:r w:rsidRPr="00037871">
        <w:rPr>
          <w:color w:val="000000" w:themeColor="text1"/>
        </w:rPr>
        <w:t xml:space="preserve"> </w:t>
      </w:r>
    </w:p>
    <w:p w14:paraId="01CEB46B" w14:textId="77777777" w:rsidR="007B6206" w:rsidRPr="00037871" w:rsidRDefault="007B6206" w:rsidP="007B6206">
      <w:pPr>
        <w:pStyle w:val="ListBullet"/>
        <w:rPr>
          <w:color w:val="000000" w:themeColor="text1"/>
        </w:rPr>
      </w:pPr>
      <w:r w:rsidRPr="00037871">
        <w:rPr>
          <w:b/>
          <w:color w:val="000000" w:themeColor="text1"/>
        </w:rPr>
        <w:t>regress —</w:t>
      </w:r>
      <w:r w:rsidRPr="00037871">
        <w:rPr>
          <w:color w:val="000000" w:themeColor="text1"/>
        </w:rPr>
        <w:t xml:space="preserve"> where the main measure for an indicator shows a decline in outcomes for Aboriginal and Torres Strait Islander</w:t>
      </w:r>
      <w:r>
        <w:rPr>
          <w:color w:val="000000" w:themeColor="text1"/>
        </w:rPr>
        <w:t xml:space="preserve"> people</w:t>
      </w:r>
      <w:r w:rsidRPr="00037871">
        <w:rPr>
          <w:color w:val="000000" w:themeColor="text1"/>
        </w:rPr>
        <w:t xml:space="preserve"> </w:t>
      </w:r>
    </w:p>
    <w:p w14:paraId="71EC1B19" w14:textId="77777777" w:rsidR="007B6206" w:rsidRPr="00037871" w:rsidRDefault="007B6206" w:rsidP="007B6206">
      <w:pPr>
        <w:pStyle w:val="ListBullet"/>
        <w:rPr>
          <w:color w:val="000000" w:themeColor="text1"/>
        </w:rPr>
      </w:pPr>
      <w:r w:rsidRPr="00037871">
        <w:rPr>
          <w:b/>
          <w:color w:val="000000" w:themeColor="text1"/>
        </w:rPr>
        <w:t>data gap</w:t>
      </w:r>
      <w:r w:rsidRPr="00037871">
        <w:rPr>
          <w:color w:val="000000" w:themeColor="text1"/>
        </w:rPr>
        <w:t xml:space="preserve"> — where no suitable trend data are available (this does not include indicators where improvements to data collections have created a break in series, which are labelled ‘unclear’)</w:t>
      </w:r>
    </w:p>
    <w:p w14:paraId="09D89110" w14:textId="1F29005B" w:rsidR="007B6206" w:rsidRPr="00037871" w:rsidRDefault="007B6206" w:rsidP="007B6206">
      <w:pPr>
        <w:pStyle w:val="ListBullet"/>
        <w:rPr>
          <w:color w:val="000000" w:themeColor="text1"/>
        </w:rPr>
      </w:pPr>
      <w:r w:rsidRPr="00037871">
        <w:rPr>
          <w:b/>
          <w:color w:val="000000" w:themeColor="text1"/>
        </w:rPr>
        <w:t>unclear</w:t>
      </w:r>
      <w:r w:rsidRPr="00037871">
        <w:rPr>
          <w:color w:val="000000" w:themeColor="text1"/>
        </w:rPr>
        <w:t xml:space="preserve"> — where it is not clear whether an observed change in the main measure is positive or negative, or where improvements to data collections have created a break in series. Results should be considered in the light of the contextual material in the relevant section of the </w:t>
      </w:r>
      <w:r w:rsidR="002A7728">
        <w:rPr>
          <w:color w:val="000000" w:themeColor="text1"/>
        </w:rPr>
        <w:t>R</w:t>
      </w:r>
      <w:r w:rsidR="002A7728" w:rsidRPr="00037871">
        <w:rPr>
          <w:color w:val="000000" w:themeColor="text1"/>
        </w:rPr>
        <w:t>eport</w:t>
      </w:r>
      <w:r w:rsidRPr="00037871">
        <w:rPr>
          <w:color w:val="000000" w:themeColor="text1"/>
        </w:rPr>
        <w:t>.</w:t>
      </w:r>
    </w:p>
    <w:p w14:paraId="5441CA7C" w14:textId="02FF6F7D" w:rsidR="007B6206" w:rsidRPr="00344B1E" w:rsidRDefault="007B6206" w:rsidP="007B6206">
      <w:pPr>
        <w:pStyle w:val="BodyText"/>
        <w:rPr>
          <w:color w:val="000000" w:themeColor="text1"/>
        </w:rPr>
      </w:pPr>
      <w:r w:rsidRPr="00037871">
        <w:rPr>
          <w:color w:val="000000" w:themeColor="text1"/>
        </w:rPr>
        <w:t xml:space="preserve">There are 52 indicators in this </w:t>
      </w:r>
      <w:r w:rsidR="00662EA0">
        <w:rPr>
          <w:color w:val="000000" w:themeColor="text1"/>
        </w:rPr>
        <w:t>R</w:t>
      </w:r>
      <w:r w:rsidR="00662EA0" w:rsidRPr="00037871">
        <w:rPr>
          <w:color w:val="000000" w:themeColor="text1"/>
        </w:rPr>
        <w:t>eport</w:t>
      </w:r>
      <w:r w:rsidRPr="00037871">
        <w:rPr>
          <w:color w:val="000000" w:themeColor="text1"/>
        </w:rPr>
        <w:t xml:space="preserve">. However, one indicator (5.4 </w:t>
      </w:r>
      <w:r w:rsidRPr="00060320">
        <w:rPr>
          <w:i/>
          <w:color w:val="000000" w:themeColor="text1"/>
        </w:rPr>
        <w:t>Case studies in governance</w:t>
      </w:r>
      <w:r w:rsidRPr="00037871">
        <w:rPr>
          <w:color w:val="000000" w:themeColor="text1"/>
        </w:rPr>
        <w:t>) is not designed to</w:t>
      </w:r>
      <w:r>
        <w:rPr>
          <w:color w:val="000000" w:themeColor="text1"/>
        </w:rPr>
        <w:t xml:space="preserve"> include quantitative measures.</w:t>
      </w:r>
    </w:p>
    <w:p w14:paraId="7B01CF4F" w14:textId="77777777" w:rsidR="007B6206" w:rsidRDefault="007B6206" w:rsidP="007B6206">
      <w:pPr>
        <w:rPr>
          <w:rFonts w:ascii="Arial" w:hAnsi="Arial"/>
          <w:b/>
          <w:sz w:val="26"/>
          <w:szCs w:val="20"/>
        </w:rPr>
      </w:pPr>
      <w:r>
        <w:br w:type="page"/>
      </w: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7B6206" w:rsidRPr="00037871" w14:paraId="7E0F7679" w14:textId="77777777" w:rsidTr="007F5DB2">
        <w:tc>
          <w:tcPr>
            <w:tcW w:w="8789" w:type="dxa"/>
            <w:tcBorders>
              <w:top w:val="single" w:sz="6" w:space="0" w:color="78A22F"/>
              <w:left w:val="nil"/>
              <w:bottom w:val="nil"/>
              <w:right w:val="nil"/>
            </w:tcBorders>
            <w:shd w:val="clear" w:color="auto" w:fill="auto"/>
          </w:tcPr>
          <w:p w14:paraId="0F7B08DB" w14:textId="3D17E5D0" w:rsidR="007B6206" w:rsidRPr="007F5DB2" w:rsidRDefault="007B6206" w:rsidP="007F5DB2">
            <w:pPr>
              <w:pStyle w:val="FigureTitle"/>
              <w:spacing w:before="0" w:after="0"/>
              <w:rPr>
                <w:rStyle w:val="DraftingNote"/>
                <w:sz w:val="20"/>
                <w:szCs w:val="20"/>
              </w:rPr>
            </w:pPr>
          </w:p>
        </w:tc>
      </w:tr>
      <w:tr w:rsidR="007B6206" w:rsidRPr="00037871" w14:paraId="0094F28B" w14:textId="77777777" w:rsidTr="007F5DB2">
        <w:tc>
          <w:tcPr>
            <w:tcW w:w="8789" w:type="dxa"/>
            <w:tcBorders>
              <w:top w:val="nil"/>
              <w:left w:val="nil"/>
              <w:bottom w:val="nil"/>
              <w:right w:val="nil"/>
            </w:tcBorders>
            <w:shd w:val="clear" w:color="auto" w:fill="auto"/>
            <w:tcMar>
              <w:top w:w="28" w:type="dxa"/>
              <w:bottom w:w="28" w:type="dxa"/>
            </w:tcMar>
          </w:tcPr>
          <w:p w14:paraId="43A3DE53" w14:textId="04857AAD" w:rsidR="007B6206" w:rsidRPr="00037871" w:rsidRDefault="00523CD9" w:rsidP="000E2C4D">
            <w:pPr>
              <w:pStyle w:val="Figure"/>
              <w:rPr>
                <w:color w:val="00B050"/>
              </w:rPr>
            </w:pPr>
            <w:r>
              <w:rPr>
                <w:noProof/>
              </w:rPr>
              <w:drawing>
                <wp:inline distT="0" distB="0" distL="0" distR="0" wp14:anchorId="504FEB56" wp14:editId="10E47587">
                  <wp:extent cx="5490845" cy="7389495"/>
                  <wp:effectExtent l="0" t="0" r="0" b="1905"/>
                  <wp:docPr id="27" name="Picture 27" descr="Overcoming Indigenous Disadvantage: &#10;Key Indicators 2020 - trends in national outcomes&#10;&#10;COAG targets and headline indicators&#10;&#10;Strategic areas for action&#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Overcoming Indigenous Disadvantage: &#10;Key Indicators 2020 - trends in national outcomes&#10;&#10;COAG targets and headline indicators&#10;&#10;Strategic areas for action&#10;&#10;More details can be found within the text surrounding this imag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90845" cy="7389495"/>
                          </a:xfrm>
                          <a:prstGeom prst="rect">
                            <a:avLst/>
                          </a:prstGeom>
                          <a:noFill/>
                          <a:ln>
                            <a:noFill/>
                          </a:ln>
                        </pic:spPr>
                      </pic:pic>
                    </a:graphicData>
                  </a:graphic>
                </wp:inline>
              </w:drawing>
            </w:r>
          </w:p>
        </w:tc>
      </w:tr>
      <w:tr w:rsidR="007B6206" w:rsidRPr="00037871" w14:paraId="6B875DCC" w14:textId="77777777" w:rsidTr="007F5DB2">
        <w:tc>
          <w:tcPr>
            <w:tcW w:w="8789" w:type="dxa"/>
            <w:tcBorders>
              <w:top w:val="nil"/>
              <w:left w:val="nil"/>
              <w:bottom w:val="single" w:sz="6" w:space="0" w:color="78A22F"/>
              <w:right w:val="nil"/>
            </w:tcBorders>
            <w:shd w:val="clear" w:color="auto" w:fill="auto"/>
          </w:tcPr>
          <w:p w14:paraId="6D297C03" w14:textId="77777777" w:rsidR="007B6206" w:rsidRPr="00037871" w:rsidRDefault="007B6206" w:rsidP="00C607A4">
            <w:pPr>
              <w:pStyle w:val="Figurespace"/>
              <w:rPr>
                <w:color w:val="00B050"/>
              </w:rPr>
            </w:pPr>
          </w:p>
        </w:tc>
      </w:tr>
      <w:tr w:rsidR="007B6206" w:rsidRPr="00037871" w14:paraId="30EEA4CB" w14:textId="77777777" w:rsidTr="007F5DB2">
        <w:tc>
          <w:tcPr>
            <w:tcW w:w="8789" w:type="dxa"/>
            <w:tcBorders>
              <w:top w:val="single" w:sz="6" w:space="0" w:color="78A22F"/>
              <w:left w:val="nil"/>
              <w:bottom w:val="nil"/>
              <w:right w:val="nil"/>
            </w:tcBorders>
          </w:tcPr>
          <w:p w14:paraId="43265744" w14:textId="77777777" w:rsidR="007B6206" w:rsidRPr="00037871" w:rsidRDefault="007B6206" w:rsidP="00C607A4">
            <w:pPr>
              <w:pStyle w:val="BoxSpaceBelow"/>
              <w:rPr>
                <w:color w:val="00B050"/>
              </w:rPr>
            </w:pPr>
          </w:p>
        </w:tc>
      </w:tr>
    </w:tbl>
    <w:p w14:paraId="2930C01B" w14:textId="191AD4A3" w:rsidR="001D0CAC" w:rsidRPr="00EF6B4B" w:rsidRDefault="001D0CAC" w:rsidP="001D0CAC">
      <w:pPr>
        <w:pStyle w:val="Heading3"/>
      </w:pPr>
      <w:r w:rsidRPr="00EF6B4B">
        <w:lastRenderedPageBreak/>
        <w:t>Why is so much of the information reported at the national level?</w:t>
      </w:r>
    </w:p>
    <w:p w14:paraId="4E468A60" w14:textId="3CC2906A" w:rsidR="001D0CAC" w:rsidRPr="00EF6B4B" w:rsidRDefault="001D0CAC" w:rsidP="001D0CAC">
      <w:pPr>
        <w:pStyle w:val="BodyText"/>
      </w:pPr>
      <w:r w:rsidRPr="00EF6B4B">
        <w:t xml:space="preserve">This report measures outcomes for Aboriginal and Torres Strait Islander </w:t>
      </w:r>
      <w:r>
        <w:t>people</w:t>
      </w:r>
      <w:r w:rsidRPr="00EF6B4B">
        <w:t xml:space="preserve">, often at the aggregate (national and State and Territory) level. It is important to have an aggregate picture of outcomes, because Aboriginal and Torres Strait Islander </w:t>
      </w:r>
      <w:r>
        <w:t>people</w:t>
      </w:r>
      <w:r w:rsidRPr="00EF6B4B">
        <w:t xml:space="preserve"> are over-represented among Australians facing disadvantage, and this disadvantage appears more persistent over time and across generations. The </w:t>
      </w:r>
      <w:r w:rsidR="00614897" w:rsidRPr="00EF6B4B">
        <w:t xml:space="preserve">indigenous </w:t>
      </w:r>
      <w:r w:rsidRPr="00EF6B4B">
        <w:t xml:space="preserve">peoples of countries with similar colonial histories to Australia, such as Canada, the United States of America and New Zealand, also experience high rates of disadvantage. A focus on what is happening at the aggregate level is important, to help ensure the underlying causes of disadvantage are being addressed. </w:t>
      </w:r>
    </w:p>
    <w:p w14:paraId="0337520E" w14:textId="1C64CC61" w:rsidR="001D0CAC" w:rsidRPr="00282F67" w:rsidRDefault="001D0CAC" w:rsidP="001D0CAC">
      <w:pPr>
        <w:pStyle w:val="BodyText"/>
        <w:rPr>
          <w:color w:val="000000" w:themeColor="text1"/>
        </w:rPr>
      </w:pPr>
      <w:r w:rsidRPr="00EF6B4B">
        <w:rPr>
          <w:color w:val="000000" w:themeColor="text1"/>
        </w:rPr>
        <w:t>However, the Steering Committee acknowledges that</w:t>
      </w:r>
      <w:r>
        <w:rPr>
          <w:color w:val="000000" w:themeColor="text1"/>
        </w:rPr>
        <w:t xml:space="preserve"> Aboriginal and Torres Strait Islander </w:t>
      </w:r>
      <w:r w:rsidR="001A3E52">
        <w:rPr>
          <w:color w:val="000000" w:themeColor="text1"/>
        </w:rPr>
        <w:t xml:space="preserve">people, </w:t>
      </w:r>
      <w:r>
        <w:rPr>
          <w:color w:val="000000" w:themeColor="text1"/>
        </w:rPr>
        <w:t>cultures and experiences are diverse and</w:t>
      </w:r>
      <w:r w:rsidRPr="00EF6B4B">
        <w:rPr>
          <w:color w:val="000000" w:themeColor="text1"/>
        </w:rPr>
        <w:t xml:space="preserve"> outcomes can vary markedly by</w:t>
      </w:r>
      <w:r>
        <w:rPr>
          <w:color w:val="000000" w:themeColor="text1"/>
        </w:rPr>
        <w:t xml:space="preserve"> readily measured factors such as</w:t>
      </w:r>
      <w:r w:rsidRPr="00EF6B4B">
        <w:rPr>
          <w:color w:val="000000" w:themeColor="text1"/>
        </w:rPr>
        <w:t xml:space="preserve"> geography, age, sex, employment and other factors</w:t>
      </w:r>
      <w:r>
        <w:rPr>
          <w:color w:val="000000" w:themeColor="text1"/>
        </w:rPr>
        <w:t>, and other less easily measured factors such as connection to Country</w:t>
      </w:r>
      <w:r w:rsidRPr="00EF6B4B">
        <w:rPr>
          <w:color w:val="000000" w:themeColor="text1"/>
        </w:rPr>
        <w:t xml:space="preserve">. Throughout the </w:t>
      </w:r>
      <w:r w:rsidR="00614897">
        <w:rPr>
          <w:color w:val="000000" w:themeColor="text1"/>
        </w:rPr>
        <w:t>R</w:t>
      </w:r>
      <w:r w:rsidRPr="00EF6B4B">
        <w:rPr>
          <w:color w:val="000000" w:themeColor="text1"/>
        </w:rPr>
        <w:t>eport and in the attachment tables, outcomes are presented by remoteness and other relevant characteristics wherever possible</w:t>
      </w:r>
      <w:r w:rsidRPr="00282F67">
        <w:rPr>
          <w:color w:val="000000" w:themeColor="text1"/>
        </w:rPr>
        <w:t xml:space="preserve">. </w:t>
      </w:r>
    </w:p>
    <w:p w14:paraId="7C539A01" w14:textId="69F45ECC" w:rsidR="001D0CAC" w:rsidRDefault="001D0CAC" w:rsidP="001D0CAC">
      <w:pPr>
        <w:pStyle w:val="BodyText"/>
        <w:rPr>
          <w:color w:val="000000" w:themeColor="text1"/>
        </w:rPr>
      </w:pPr>
      <w:r w:rsidRPr="00282F67">
        <w:rPr>
          <w:color w:val="000000" w:themeColor="text1"/>
        </w:rPr>
        <w:t>The</w:t>
      </w:r>
      <w:r>
        <w:rPr>
          <w:color w:val="000000" w:themeColor="text1"/>
        </w:rPr>
        <w:t xml:space="preserve"> strengths and needs of the Aboriginal and Torres Strait Islander population differ across groups and regions. The relatively </w:t>
      </w:r>
      <w:r w:rsidRPr="00282F67">
        <w:rPr>
          <w:color w:val="000000" w:themeColor="text1"/>
        </w:rPr>
        <w:t xml:space="preserve">small number of Torres Strait Islander people makes reporting difficult, but available data are presented in chapter 12 of the main </w:t>
      </w:r>
      <w:r w:rsidR="003D7A8A">
        <w:rPr>
          <w:color w:val="000000" w:themeColor="text1"/>
        </w:rPr>
        <w:t>R</w:t>
      </w:r>
      <w:r w:rsidR="003D7A8A" w:rsidRPr="00282F67">
        <w:rPr>
          <w:color w:val="000000" w:themeColor="text1"/>
        </w:rPr>
        <w:t xml:space="preserve">eport </w:t>
      </w:r>
      <w:r w:rsidRPr="00282F67">
        <w:rPr>
          <w:color w:val="000000" w:themeColor="text1"/>
        </w:rPr>
        <w:t xml:space="preserve">and summarised in this </w:t>
      </w:r>
      <w:r w:rsidR="00614897">
        <w:rPr>
          <w:color w:val="000000" w:themeColor="text1"/>
        </w:rPr>
        <w:t>O</w:t>
      </w:r>
      <w:r w:rsidRPr="00282F67">
        <w:rPr>
          <w:color w:val="000000" w:themeColor="text1"/>
        </w:rPr>
        <w:t>verview in the section on ‘Outcomes for Torres Strait Islander people’.</w:t>
      </w:r>
    </w:p>
    <w:p w14:paraId="752452B7" w14:textId="14A6FF8E" w:rsidR="001D0CAC" w:rsidRPr="001D0CAC" w:rsidRDefault="001D0CAC" w:rsidP="001D0CAC">
      <w:pPr>
        <w:pStyle w:val="BodyText"/>
        <w:rPr>
          <w:color w:val="000000" w:themeColor="text1"/>
        </w:rPr>
      </w:pPr>
      <w:r w:rsidRPr="00802BA5">
        <w:t xml:space="preserve">Given </w:t>
      </w:r>
      <w:r>
        <w:t>these limitations</w:t>
      </w:r>
      <w:r w:rsidRPr="00802BA5">
        <w:t>,</w:t>
      </w:r>
      <w:r>
        <w:rPr>
          <w:color w:val="FF0000"/>
        </w:rPr>
        <w:t xml:space="preserve"> </w:t>
      </w:r>
      <w:r w:rsidRPr="00802BA5">
        <w:t xml:space="preserve">access to reliable data at local levels is </w:t>
      </w:r>
      <w:r>
        <w:t>needed to</w:t>
      </w:r>
      <w:r w:rsidRPr="00802BA5">
        <w:t xml:space="preserve"> ensure good decisions can be made across regions</w:t>
      </w:r>
      <w:r>
        <w:t xml:space="preserve"> and local </w:t>
      </w:r>
      <w:r w:rsidR="001A3E52">
        <w:t>communities</w:t>
      </w:r>
      <w:r w:rsidRPr="00802BA5">
        <w:t xml:space="preserve">. Reliable data that are easy to access and understand can empower </w:t>
      </w:r>
      <w:r w:rsidR="001A3E52">
        <w:t xml:space="preserve">Aboriginal and Torres Strait Islander people and </w:t>
      </w:r>
      <w:r w:rsidRPr="00802BA5">
        <w:t>communities to advocate for the local needs of their communities and assist governments</w:t>
      </w:r>
      <w:r>
        <w:t xml:space="preserve"> to</w:t>
      </w:r>
      <w:r w:rsidRPr="00802BA5">
        <w:t xml:space="preserve"> make more informed decisions and improve its efficiency and accountability</w:t>
      </w:r>
      <w:r>
        <w:t xml:space="preserve">. Developing data sets that can be used by regions and </w:t>
      </w:r>
      <w:r w:rsidR="00DF2BD7">
        <w:t xml:space="preserve">local </w:t>
      </w:r>
      <w:r>
        <w:t xml:space="preserve">communities to identify local needs and </w:t>
      </w:r>
      <w:r w:rsidR="001A3E52">
        <w:t>improve</w:t>
      </w:r>
      <w:r>
        <w:t xml:space="preserve"> decision</w:t>
      </w:r>
      <w:r w:rsidR="001A3E52">
        <w:t>-making</w:t>
      </w:r>
      <w:r>
        <w:t xml:space="preserve"> is a key future development for reporting on what contributes to the wellbeing of </w:t>
      </w:r>
      <w:r w:rsidRPr="0043323E">
        <w:t xml:space="preserve">Aboriginal and Torres Strait Islander </w:t>
      </w:r>
      <w:r>
        <w:t>people.</w:t>
      </w:r>
    </w:p>
    <w:p w14:paraId="38ABFBC4" w14:textId="2DEF49D5" w:rsidR="00E966F1" w:rsidRPr="00215DAA" w:rsidRDefault="00E966F1">
      <w:pPr>
        <w:pStyle w:val="Heading3"/>
      </w:pPr>
      <w:r w:rsidRPr="00215DAA">
        <w:t xml:space="preserve">The </w:t>
      </w:r>
      <w:proofErr w:type="spellStart"/>
      <w:r w:rsidRPr="00215DAA">
        <w:t>OID</w:t>
      </w:r>
      <w:proofErr w:type="spellEnd"/>
      <w:r w:rsidRPr="00215DAA">
        <w:t xml:space="preserve"> indicator framework logic</w:t>
      </w:r>
    </w:p>
    <w:p w14:paraId="38E655FC" w14:textId="2CDFB21E" w:rsidR="00E966F1" w:rsidRPr="00282F67" w:rsidRDefault="003D56F7" w:rsidP="00E966F1">
      <w:pPr>
        <w:pStyle w:val="BodyText"/>
        <w:rPr>
          <w:color w:val="000000" w:themeColor="text1"/>
        </w:rPr>
      </w:pPr>
      <w:r>
        <w:rPr>
          <w:color w:val="000000" w:themeColor="text1"/>
        </w:rPr>
        <w:t xml:space="preserve">The </w:t>
      </w:r>
      <w:r w:rsidR="002A7728">
        <w:rPr>
          <w:color w:val="000000" w:themeColor="text1"/>
        </w:rPr>
        <w:t>R</w:t>
      </w:r>
      <w:r w:rsidR="002A7728" w:rsidRPr="00282F67">
        <w:rPr>
          <w:color w:val="000000" w:themeColor="text1"/>
        </w:rPr>
        <w:t xml:space="preserve">eport </w:t>
      </w:r>
      <w:r w:rsidR="00E966F1" w:rsidRPr="00282F67">
        <w:rPr>
          <w:color w:val="000000" w:themeColor="text1"/>
        </w:rPr>
        <w:t xml:space="preserve">is based on a framework of indicators that aim to measure the wellbeing of Aboriginal and Torres Strait Islander </w:t>
      </w:r>
      <w:r w:rsidR="00E966F1">
        <w:rPr>
          <w:color w:val="000000" w:themeColor="text1"/>
        </w:rPr>
        <w:t xml:space="preserve">people (see chapter 2 in the main </w:t>
      </w:r>
      <w:r w:rsidR="003D7A8A">
        <w:rPr>
          <w:color w:val="000000" w:themeColor="text1"/>
        </w:rPr>
        <w:t xml:space="preserve">Report </w:t>
      </w:r>
      <w:r w:rsidR="00E966F1">
        <w:rPr>
          <w:color w:val="000000" w:themeColor="text1"/>
        </w:rPr>
        <w:t>for the details on the complete framework)</w:t>
      </w:r>
      <w:r w:rsidR="00E966F1" w:rsidRPr="00282F67">
        <w:rPr>
          <w:color w:val="000000" w:themeColor="text1"/>
        </w:rPr>
        <w:t xml:space="preserve">. The framework is based on evidence about the underlying causes of disadvantage, and the positive factors that contribute to wellbeing. </w:t>
      </w:r>
    </w:p>
    <w:p w14:paraId="777D7ED5" w14:textId="1CC0ED4F" w:rsidR="00E966F1" w:rsidRPr="00282F67" w:rsidRDefault="00E966F1" w:rsidP="00E966F1">
      <w:pPr>
        <w:pStyle w:val="BodyText"/>
        <w:rPr>
          <w:color w:val="000000" w:themeColor="text1"/>
        </w:rPr>
      </w:pPr>
      <w:r w:rsidRPr="00282F67">
        <w:rPr>
          <w:color w:val="000000" w:themeColor="text1"/>
        </w:rPr>
        <w:t>At the top of the framework, three closely li</w:t>
      </w:r>
      <w:r>
        <w:rPr>
          <w:color w:val="000000" w:themeColor="text1"/>
        </w:rPr>
        <w:t>nked priority outcomes reflect the</w:t>
      </w:r>
      <w:r w:rsidRPr="00282F67">
        <w:rPr>
          <w:color w:val="000000" w:themeColor="text1"/>
        </w:rPr>
        <w:t xml:space="preserve"> vision</w:t>
      </w:r>
      <w:r>
        <w:rPr>
          <w:color w:val="000000" w:themeColor="text1"/>
        </w:rPr>
        <w:t xml:space="preserve"> for Aboriginal and Torres Strait Islander people to have the same life opportunities as other Australians</w:t>
      </w:r>
      <w:r w:rsidRPr="00282F67">
        <w:rPr>
          <w:color w:val="000000" w:themeColor="text1"/>
        </w:rPr>
        <w:t xml:space="preserve">. </w:t>
      </w:r>
    </w:p>
    <w:p w14:paraId="2477ACDD" w14:textId="2ABB4479" w:rsidR="00E966F1" w:rsidRPr="00282F67" w:rsidRDefault="00E966F1" w:rsidP="00E966F1">
      <w:pPr>
        <w:pStyle w:val="BodyText"/>
        <w:rPr>
          <w:color w:val="000000" w:themeColor="text1"/>
        </w:rPr>
      </w:pPr>
      <w:r w:rsidRPr="00282F67">
        <w:rPr>
          <w:color w:val="000000" w:themeColor="text1"/>
        </w:rPr>
        <w:t xml:space="preserve">It is difficult to measure progress against such broadly stated outcomes. </w:t>
      </w:r>
      <w:r w:rsidR="00854EAB" w:rsidRPr="00282F67">
        <w:rPr>
          <w:color w:val="000000" w:themeColor="text1"/>
        </w:rPr>
        <w:t>S</w:t>
      </w:r>
      <w:r w:rsidR="00854EAB">
        <w:rPr>
          <w:color w:val="000000" w:themeColor="text1"/>
        </w:rPr>
        <w:t>o,</w:t>
      </w:r>
      <w:r w:rsidRPr="00282F67">
        <w:rPr>
          <w:color w:val="000000" w:themeColor="text1"/>
        </w:rPr>
        <w:t xml:space="preserve"> the framework includes two layers of measurable indicators.</w:t>
      </w:r>
    </w:p>
    <w:p w14:paraId="1E2F5AF3" w14:textId="6C41C1B4" w:rsidR="00E966F1" w:rsidRPr="00282F67" w:rsidRDefault="00E966F1" w:rsidP="00E966F1">
      <w:pPr>
        <w:pStyle w:val="ListBullet"/>
        <w:rPr>
          <w:color w:val="000000" w:themeColor="text1"/>
        </w:rPr>
      </w:pPr>
      <w:r w:rsidRPr="00282F67">
        <w:rPr>
          <w:color w:val="000000" w:themeColor="text1"/>
        </w:rPr>
        <w:lastRenderedPageBreak/>
        <w:t xml:space="preserve">The first layer of indicators is made up of the seven Closing the Gap targets </w:t>
      </w:r>
      <w:r>
        <w:rPr>
          <w:color w:val="000000" w:themeColor="text1"/>
        </w:rPr>
        <w:t xml:space="preserve">(in the National Indigenous Reform Agreement agreed by COAG, which was in </w:t>
      </w:r>
      <w:r w:rsidR="00614897">
        <w:rPr>
          <w:color w:val="000000" w:themeColor="text1"/>
        </w:rPr>
        <w:t>e</w:t>
      </w:r>
      <w:r>
        <w:rPr>
          <w:color w:val="000000" w:themeColor="text1"/>
        </w:rPr>
        <w:t xml:space="preserve">ffect at the time of preparing this </w:t>
      </w:r>
      <w:r w:rsidR="00662EA0">
        <w:rPr>
          <w:color w:val="000000" w:themeColor="text1"/>
        </w:rPr>
        <w:t>Report</w:t>
      </w:r>
      <w:r>
        <w:rPr>
          <w:color w:val="000000" w:themeColor="text1"/>
        </w:rPr>
        <w:t>)</w:t>
      </w:r>
      <w:r w:rsidRPr="00282F67">
        <w:rPr>
          <w:color w:val="000000" w:themeColor="text1"/>
        </w:rPr>
        <w:t xml:space="preserve">, and six headline indicators developed by the Steering Committee. These indicators measure important </w:t>
      </w:r>
      <w:r w:rsidR="00854EAB" w:rsidRPr="00282F67">
        <w:rPr>
          <w:color w:val="000000" w:themeColor="text1"/>
        </w:rPr>
        <w:t>high</w:t>
      </w:r>
      <w:r w:rsidR="00854EAB">
        <w:rPr>
          <w:color w:val="000000" w:themeColor="text1"/>
        </w:rPr>
        <w:t>-</w:t>
      </w:r>
      <w:r w:rsidR="00854EAB" w:rsidRPr="00282F67">
        <w:rPr>
          <w:color w:val="000000" w:themeColor="text1"/>
        </w:rPr>
        <w:t>level</w:t>
      </w:r>
      <w:r w:rsidRPr="00282F67">
        <w:rPr>
          <w:color w:val="000000" w:themeColor="text1"/>
        </w:rPr>
        <w:t xml:space="preserve"> outcomes, which typi</w:t>
      </w:r>
      <w:r>
        <w:rPr>
          <w:color w:val="000000" w:themeColor="text1"/>
        </w:rPr>
        <w:t>cally require coordinated, long-</w:t>
      </w:r>
      <w:r w:rsidRPr="00282F67">
        <w:rPr>
          <w:color w:val="000000" w:themeColor="text1"/>
        </w:rPr>
        <w:t xml:space="preserve">term action to achieve significant progress. </w:t>
      </w:r>
    </w:p>
    <w:p w14:paraId="19C0ECC1" w14:textId="77777777" w:rsidR="00E966F1" w:rsidRPr="006C1699" w:rsidRDefault="00E966F1" w:rsidP="00E966F1">
      <w:pPr>
        <w:pStyle w:val="ListBullet"/>
        <w:rPr>
          <w:color w:val="000000" w:themeColor="text1"/>
        </w:rPr>
      </w:pPr>
      <w:r w:rsidRPr="006C4E61">
        <w:rPr>
          <w:color w:val="000000" w:themeColor="text1"/>
        </w:rPr>
        <w:t xml:space="preserve">The second layer of indicators measure shorter-term outcomes in seven strategic areas. Evidence shows that targeted action in these areas is needed in order to achieve the COAG targets and headline indicators. </w:t>
      </w:r>
    </w:p>
    <w:p w14:paraId="19475EBD" w14:textId="77777777" w:rsidR="00E966F1" w:rsidRPr="006C4E61" w:rsidRDefault="00E966F1" w:rsidP="00E966F1">
      <w:pPr>
        <w:pStyle w:val="BodyText"/>
        <w:rPr>
          <w:color w:val="000000" w:themeColor="text1"/>
        </w:rPr>
      </w:pPr>
      <w:r w:rsidRPr="006C4E61">
        <w:rPr>
          <w:color w:val="000000" w:themeColor="text1"/>
        </w:rPr>
        <w:t xml:space="preserve">The logic behind the framework is that, over time, improvements in the strategic change indicators will lead to changes in the COAG targets and headline indicators, demonstrating progress toward the priority outcomes. </w:t>
      </w:r>
    </w:p>
    <w:p w14:paraId="620A3C18" w14:textId="1E9B574D" w:rsidR="00E966F1" w:rsidRPr="006C4E61" w:rsidRDefault="00E966F1" w:rsidP="00E966F1">
      <w:pPr>
        <w:pStyle w:val="BodyText"/>
        <w:rPr>
          <w:color w:val="000000" w:themeColor="text1"/>
        </w:rPr>
      </w:pPr>
      <w:r w:rsidRPr="006C4E61">
        <w:rPr>
          <w:color w:val="000000" w:themeColor="text1"/>
        </w:rPr>
        <w:t xml:space="preserve">As illustrated in the diagrams below, coordinated action across strategic areas is usually required to achieve better outcomes. </w:t>
      </w:r>
      <w:r w:rsidR="00614897">
        <w:rPr>
          <w:color w:val="000000" w:themeColor="text1"/>
        </w:rPr>
        <w:t>C</w:t>
      </w:r>
      <w:r w:rsidRPr="006C4E61">
        <w:rPr>
          <w:color w:val="000000" w:themeColor="text1"/>
        </w:rPr>
        <w:t xml:space="preserve">onversely, sometimes a single, well-targeted action can lead to improvements across many strategic areas. </w:t>
      </w:r>
    </w:p>
    <w:p w14:paraId="3DB050D7" w14:textId="50DE43D0" w:rsidR="00E966F1" w:rsidRDefault="00E966F1" w:rsidP="00E966F1">
      <w:pPr>
        <w:pStyle w:val="BoxSpaceAbove"/>
        <w:rPr>
          <w:color w:val="00B050"/>
        </w:rPr>
      </w:pPr>
    </w:p>
    <w:p w14:paraId="79DC6577" w14:textId="77777777" w:rsidR="00127FB7" w:rsidRPr="00037871" w:rsidRDefault="00127FB7" w:rsidP="00E966F1">
      <w:pPr>
        <w:pStyle w:val="BoxSpaceAbove"/>
        <w:rPr>
          <w:color w:val="00B050"/>
        </w:rPr>
      </w:pPr>
    </w:p>
    <w:tbl>
      <w:tblPr>
        <w:tblW w:w="0" w:type="auto"/>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966F1" w:rsidRPr="00037871" w14:paraId="76332B78" w14:textId="77777777" w:rsidTr="007F5DB2">
        <w:tc>
          <w:tcPr>
            <w:tcW w:w="8789" w:type="dxa"/>
            <w:tcBorders>
              <w:top w:val="single" w:sz="6" w:space="0" w:color="78A22F"/>
              <w:left w:val="nil"/>
              <w:bottom w:val="nil"/>
              <w:right w:val="nil"/>
            </w:tcBorders>
            <w:shd w:val="clear" w:color="auto" w:fill="F2F2F2"/>
          </w:tcPr>
          <w:p w14:paraId="301A2611" w14:textId="4870FA9E" w:rsidR="00E966F1" w:rsidRPr="006C4E61" w:rsidRDefault="00122D3D" w:rsidP="00CB66BE">
            <w:pPr>
              <w:pStyle w:val="BoxTitle"/>
              <w:rPr>
                <w:color w:val="000000" w:themeColor="text1"/>
              </w:rPr>
            </w:pPr>
            <w:r>
              <w:rPr>
                <w:color w:val="000000" w:themeColor="text1"/>
              </w:rPr>
              <w:t xml:space="preserve">Wellbeing is </w:t>
            </w:r>
            <w:r w:rsidR="00571BEE">
              <w:rPr>
                <w:color w:val="000000" w:themeColor="text1"/>
              </w:rPr>
              <w:t>supported by</w:t>
            </w:r>
            <w:r w:rsidR="009F5CBF">
              <w:rPr>
                <w:color w:val="000000" w:themeColor="text1"/>
              </w:rPr>
              <w:t xml:space="preserve"> multiple</w:t>
            </w:r>
            <w:r w:rsidR="00571BEE">
              <w:rPr>
                <w:color w:val="000000" w:themeColor="text1"/>
              </w:rPr>
              <w:t xml:space="preserve"> actions</w:t>
            </w:r>
            <w:r w:rsidR="00E966F1">
              <w:rPr>
                <w:color w:val="000000" w:themeColor="text1"/>
              </w:rPr>
              <w:t>…</w:t>
            </w:r>
          </w:p>
        </w:tc>
      </w:tr>
      <w:tr w:rsidR="00E966F1" w:rsidRPr="00037871" w14:paraId="3910307B" w14:textId="77777777" w:rsidTr="007F5DB2">
        <w:trPr>
          <w:cantSplit/>
        </w:trPr>
        <w:tc>
          <w:tcPr>
            <w:tcW w:w="8789" w:type="dxa"/>
            <w:tcBorders>
              <w:top w:val="nil"/>
              <w:left w:val="nil"/>
              <w:bottom w:val="nil"/>
              <w:right w:val="nil"/>
            </w:tcBorders>
            <w:shd w:val="clear" w:color="auto" w:fill="F2F2F2"/>
          </w:tcPr>
          <w:p w14:paraId="24179DDF" w14:textId="77777777" w:rsidR="00E966F1" w:rsidRPr="006C4E61" w:rsidRDefault="00E966F1" w:rsidP="007D79B2">
            <w:pPr>
              <w:pStyle w:val="Box"/>
              <w:rPr>
                <w:color w:val="000000" w:themeColor="text1"/>
              </w:rPr>
            </w:pPr>
            <w:r w:rsidRPr="006C4E61">
              <w:rPr>
                <w:color w:val="000000" w:themeColor="text1"/>
              </w:rPr>
              <w:t>The COAG target</w:t>
            </w:r>
            <w:r>
              <w:rPr>
                <w:color w:val="000000" w:themeColor="text1"/>
              </w:rPr>
              <w:t>s</w:t>
            </w:r>
            <w:r w:rsidRPr="006C4E61">
              <w:rPr>
                <w:color w:val="000000" w:themeColor="text1"/>
              </w:rPr>
              <w:t xml:space="preserve"> of ‘Life expectancy’ </w:t>
            </w:r>
            <w:r>
              <w:rPr>
                <w:color w:val="000000" w:themeColor="text1"/>
              </w:rPr>
              <w:t>and</w:t>
            </w:r>
            <w:r w:rsidRPr="006C4E61">
              <w:rPr>
                <w:color w:val="000000" w:themeColor="text1"/>
              </w:rPr>
              <w:t xml:space="preserve"> ‘Young child mortality’ </w:t>
            </w:r>
            <w:r>
              <w:rPr>
                <w:color w:val="000000" w:themeColor="text1"/>
              </w:rPr>
              <w:t xml:space="preserve">are clearly linked, and closely related to </w:t>
            </w:r>
            <w:r w:rsidRPr="006C4E61">
              <w:rPr>
                <w:color w:val="000000" w:themeColor="text1"/>
              </w:rPr>
              <w:t xml:space="preserve">the ‘Disability and chronic disease’ headline indicator. In turn, these outcomes are influenced by outcomes </w:t>
            </w:r>
            <w:r>
              <w:rPr>
                <w:color w:val="000000" w:themeColor="text1"/>
              </w:rPr>
              <w:t xml:space="preserve">in the </w:t>
            </w:r>
            <w:r w:rsidRPr="006C4E61">
              <w:rPr>
                <w:color w:val="000000" w:themeColor="text1"/>
              </w:rPr>
              <w:t>‘Early child development’</w:t>
            </w:r>
            <w:r>
              <w:rPr>
                <w:color w:val="000000" w:themeColor="text1"/>
              </w:rPr>
              <w:t xml:space="preserve"> and ‘Healthy lives’</w:t>
            </w:r>
            <w:r w:rsidRPr="006C4E61">
              <w:rPr>
                <w:color w:val="000000" w:themeColor="text1"/>
              </w:rPr>
              <w:t xml:space="preserve"> strategic area</w:t>
            </w:r>
            <w:r>
              <w:rPr>
                <w:color w:val="000000" w:themeColor="text1"/>
              </w:rPr>
              <w:t>s</w:t>
            </w:r>
            <w:r w:rsidRPr="006C4E61">
              <w:rPr>
                <w:color w:val="000000" w:themeColor="text1"/>
              </w:rPr>
              <w:t xml:space="preserve"> for action. But actions in these areas must be supported by actions </w:t>
            </w:r>
            <w:r>
              <w:rPr>
                <w:color w:val="000000" w:themeColor="text1"/>
              </w:rPr>
              <w:t>to address outcomes in the ‘Economic participation’ and ‘Governance, leadership and culture’ strategic areas</w:t>
            </w:r>
            <w:r w:rsidRPr="006C4E61">
              <w:rPr>
                <w:color w:val="000000" w:themeColor="text1"/>
              </w:rPr>
              <w:t>. Other social determinants of health in the education and employment areas must also be addressed.</w:t>
            </w:r>
          </w:p>
        </w:tc>
      </w:tr>
      <w:tr w:rsidR="00E966F1" w:rsidRPr="00037871" w14:paraId="28EF79E6" w14:textId="77777777" w:rsidTr="007F5DB2">
        <w:trPr>
          <w:cantSplit/>
        </w:trPr>
        <w:tc>
          <w:tcPr>
            <w:tcW w:w="8789" w:type="dxa"/>
            <w:tcBorders>
              <w:top w:val="nil"/>
              <w:left w:val="nil"/>
              <w:bottom w:val="nil"/>
              <w:right w:val="nil"/>
            </w:tcBorders>
            <w:shd w:val="clear" w:color="auto" w:fill="F2F2F2"/>
          </w:tcPr>
          <w:p w14:paraId="3D20A890" w14:textId="55F26E92" w:rsidR="00E966F1" w:rsidRPr="00037871" w:rsidRDefault="00896290" w:rsidP="007D79B2">
            <w:pPr>
              <w:pStyle w:val="Box"/>
              <w:jc w:val="center"/>
              <w:rPr>
                <w:color w:val="00B050"/>
              </w:rPr>
            </w:pPr>
            <w:r>
              <w:rPr>
                <w:noProof/>
                <w:color w:val="00B050"/>
              </w:rPr>
              <w:drawing>
                <wp:inline distT="0" distB="0" distL="0" distR="0" wp14:anchorId="69035357" wp14:editId="19853CC4">
                  <wp:extent cx="3848743" cy="6562725"/>
                  <wp:effectExtent l="0" t="0" r="0" b="0"/>
                  <wp:docPr id="7" name="Picture 7" descr="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More details can be found within the text surrounding this image.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58222" cy="6578888"/>
                          </a:xfrm>
                          <a:prstGeom prst="rect">
                            <a:avLst/>
                          </a:prstGeom>
                          <a:noFill/>
                        </pic:spPr>
                      </pic:pic>
                    </a:graphicData>
                  </a:graphic>
                </wp:inline>
              </w:drawing>
            </w:r>
          </w:p>
        </w:tc>
      </w:tr>
      <w:tr w:rsidR="00E966F1" w:rsidRPr="00037871" w14:paraId="37ECCB07" w14:textId="77777777" w:rsidTr="007F5DB2">
        <w:trPr>
          <w:cantSplit/>
        </w:trPr>
        <w:tc>
          <w:tcPr>
            <w:tcW w:w="8789" w:type="dxa"/>
            <w:tcBorders>
              <w:top w:val="nil"/>
              <w:left w:val="nil"/>
              <w:bottom w:val="single" w:sz="6" w:space="0" w:color="78A22F"/>
              <w:right w:val="nil"/>
            </w:tcBorders>
            <w:shd w:val="clear" w:color="auto" w:fill="F2F2F2"/>
          </w:tcPr>
          <w:p w14:paraId="06244161" w14:textId="77777777" w:rsidR="00E966F1" w:rsidRPr="00037871" w:rsidRDefault="00E966F1" w:rsidP="007D79B2">
            <w:pPr>
              <w:pStyle w:val="Box"/>
              <w:spacing w:before="0" w:line="120" w:lineRule="exact"/>
              <w:rPr>
                <w:color w:val="00B050"/>
              </w:rPr>
            </w:pPr>
          </w:p>
        </w:tc>
      </w:tr>
      <w:tr w:rsidR="00E966F1" w:rsidRPr="00037871" w14:paraId="302785FD" w14:textId="77777777" w:rsidTr="007F5DB2">
        <w:tc>
          <w:tcPr>
            <w:tcW w:w="8789" w:type="dxa"/>
            <w:tcBorders>
              <w:top w:val="single" w:sz="6" w:space="0" w:color="78A22F"/>
              <w:left w:val="nil"/>
              <w:bottom w:val="nil"/>
              <w:right w:val="nil"/>
            </w:tcBorders>
          </w:tcPr>
          <w:p w14:paraId="1235AC81" w14:textId="77777777" w:rsidR="00E966F1" w:rsidRPr="00037871" w:rsidRDefault="00E966F1" w:rsidP="007D79B2">
            <w:pPr>
              <w:pStyle w:val="BoxSpaceBelow"/>
              <w:rPr>
                <w:color w:val="00B050"/>
              </w:rPr>
            </w:pPr>
          </w:p>
        </w:tc>
      </w:tr>
    </w:tbl>
    <w:p w14:paraId="774C0C6E" w14:textId="77777777" w:rsidR="00E966F1" w:rsidRPr="00037871" w:rsidRDefault="00E966F1" w:rsidP="00E966F1">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E966F1" w:rsidRPr="00037871" w14:paraId="169AADD7" w14:textId="77777777" w:rsidTr="007F5DB2">
        <w:tc>
          <w:tcPr>
            <w:tcW w:w="8789" w:type="dxa"/>
            <w:tcBorders>
              <w:top w:val="single" w:sz="6" w:space="0" w:color="78A22F"/>
              <w:left w:val="nil"/>
              <w:bottom w:val="nil"/>
              <w:right w:val="nil"/>
            </w:tcBorders>
            <w:shd w:val="clear" w:color="auto" w:fill="F2F2F2"/>
          </w:tcPr>
          <w:p w14:paraId="3B85C9C7" w14:textId="253E3B3D" w:rsidR="00E966F1" w:rsidRPr="006C4E61" w:rsidRDefault="00E966F1" w:rsidP="009F5CBF">
            <w:pPr>
              <w:pStyle w:val="BoxTitle"/>
              <w:rPr>
                <w:color w:val="000000" w:themeColor="text1"/>
              </w:rPr>
            </w:pPr>
            <w:r>
              <w:rPr>
                <w:color w:val="000000" w:themeColor="text1"/>
              </w:rPr>
              <w:t xml:space="preserve">…and a single, well targeted action </w:t>
            </w:r>
            <w:r w:rsidRPr="006C4E61">
              <w:rPr>
                <w:color w:val="000000" w:themeColor="text1"/>
              </w:rPr>
              <w:t xml:space="preserve">can </w:t>
            </w:r>
            <w:r w:rsidR="009F5CBF">
              <w:rPr>
                <w:color w:val="000000" w:themeColor="text1"/>
              </w:rPr>
              <w:t>have multiple effects</w:t>
            </w:r>
          </w:p>
        </w:tc>
      </w:tr>
      <w:tr w:rsidR="00E966F1" w:rsidRPr="00037871" w14:paraId="277D7858" w14:textId="77777777" w:rsidTr="007F5DB2">
        <w:trPr>
          <w:cantSplit/>
        </w:trPr>
        <w:tc>
          <w:tcPr>
            <w:tcW w:w="8789" w:type="dxa"/>
            <w:tcBorders>
              <w:top w:val="nil"/>
              <w:left w:val="nil"/>
              <w:bottom w:val="nil"/>
              <w:right w:val="nil"/>
            </w:tcBorders>
            <w:shd w:val="clear" w:color="auto" w:fill="F2F2F2"/>
          </w:tcPr>
          <w:p w14:paraId="470BBCB7" w14:textId="7EF7C191" w:rsidR="00E966F1" w:rsidRPr="006C4E61" w:rsidRDefault="00E966F1" w:rsidP="007D79B2">
            <w:pPr>
              <w:pStyle w:val="Box"/>
              <w:rPr>
                <w:color w:val="000000" w:themeColor="text1"/>
              </w:rPr>
            </w:pPr>
            <w:r>
              <w:rPr>
                <w:color w:val="000000" w:themeColor="text1"/>
              </w:rPr>
              <w:t>‘</w:t>
            </w:r>
            <w:r w:rsidRPr="007034D6">
              <w:rPr>
                <w:color w:val="000000" w:themeColor="text1"/>
              </w:rPr>
              <w:t xml:space="preserve">Valuing Aboriginal and Torres Strait Islander people and their cultures’ can affect the COAG target of ‘Reading, writing and numeracy’, and headline indicators of ‘Disability and chronic disease’ and ‘Family and community violence’ as well as outcomes in the ‘Education and training’, ‘Healthy lives’, ‘Home environment’ and ‘Safe and supportive communities’ strategic areas. Although other influences are also important in each of these areas, there is sufficient evidence throughout this </w:t>
            </w:r>
            <w:r w:rsidR="00662EA0">
              <w:rPr>
                <w:color w:val="000000" w:themeColor="text1"/>
              </w:rPr>
              <w:t>R</w:t>
            </w:r>
            <w:r w:rsidR="00662EA0" w:rsidRPr="007034D6">
              <w:rPr>
                <w:color w:val="000000" w:themeColor="text1"/>
              </w:rPr>
              <w:t xml:space="preserve">eport </w:t>
            </w:r>
            <w:r w:rsidRPr="007034D6">
              <w:rPr>
                <w:color w:val="000000" w:themeColor="text1"/>
              </w:rPr>
              <w:t xml:space="preserve">to be concerned about the </w:t>
            </w:r>
            <w:r w:rsidR="001A3E52">
              <w:rPr>
                <w:color w:val="000000" w:themeColor="text1"/>
              </w:rPr>
              <w:t xml:space="preserve">negative </w:t>
            </w:r>
            <w:r w:rsidRPr="007034D6">
              <w:rPr>
                <w:color w:val="000000" w:themeColor="text1"/>
              </w:rPr>
              <w:t xml:space="preserve">impact of not addressing cultural </w:t>
            </w:r>
            <w:r w:rsidR="00E34A99">
              <w:rPr>
                <w:color w:val="000000" w:themeColor="text1"/>
              </w:rPr>
              <w:t xml:space="preserve">matters </w:t>
            </w:r>
            <w:r w:rsidRPr="007034D6">
              <w:rPr>
                <w:color w:val="000000" w:themeColor="text1"/>
              </w:rPr>
              <w:t xml:space="preserve">on multiple </w:t>
            </w:r>
            <w:r w:rsidR="00614897" w:rsidRPr="007034D6">
              <w:rPr>
                <w:color w:val="000000" w:themeColor="text1"/>
              </w:rPr>
              <w:t>outcomes</w:t>
            </w:r>
            <w:r w:rsidRPr="006C4E61">
              <w:rPr>
                <w:color w:val="000000" w:themeColor="text1"/>
              </w:rPr>
              <w:t>.</w:t>
            </w:r>
          </w:p>
          <w:p w14:paraId="28538762" w14:textId="112A2849" w:rsidR="00E966F1" w:rsidRPr="006C4E61" w:rsidRDefault="00896290" w:rsidP="007D79B2">
            <w:pPr>
              <w:pStyle w:val="Box"/>
              <w:jc w:val="center"/>
              <w:rPr>
                <w:color w:val="000000" w:themeColor="text1"/>
              </w:rPr>
            </w:pPr>
            <w:r>
              <w:rPr>
                <w:noProof/>
                <w:color w:val="000000" w:themeColor="text1"/>
              </w:rPr>
              <w:drawing>
                <wp:inline distT="0" distB="0" distL="0" distR="0" wp14:anchorId="1EDFA81C" wp14:editId="67677850">
                  <wp:extent cx="4842083" cy="6278880"/>
                  <wp:effectExtent l="0" t="0" r="0" b="7620"/>
                  <wp:docPr id="8" name="Picture 8" descr="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More details can be found within the text surrounding this image.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43176" cy="6280297"/>
                          </a:xfrm>
                          <a:prstGeom prst="rect">
                            <a:avLst/>
                          </a:prstGeom>
                          <a:noFill/>
                        </pic:spPr>
                      </pic:pic>
                    </a:graphicData>
                  </a:graphic>
                </wp:inline>
              </w:drawing>
            </w:r>
          </w:p>
        </w:tc>
      </w:tr>
      <w:tr w:rsidR="00E966F1" w:rsidRPr="00037871" w14:paraId="7A2F6998" w14:textId="77777777" w:rsidTr="007F5DB2">
        <w:trPr>
          <w:cantSplit/>
        </w:trPr>
        <w:tc>
          <w:tcPr>
            <w:tcW w:w="8789" w:type="dxa"/>
            <w:tcBorders>
              <w:top w:val="nil"/>
              <w:left w:val="nil"/>
              <w:bottom w:val="single" w:sz="6" w:space="0" w:color="78A22F"/>
              <w:right w:val="nil"/>
            </w:tcBorders>
            <w:shd w:val="clear" w:color="auto" w:fill="F2F2F2"/>
          </w:tcPr>
          <w:p w14:paraId="137E9539" w14:textId="77777777" w:rsidR="00E966F1" w:rsidRPr="00037871" w:rsidRDefault="00E966F1" w:rsidP="007D79B2">
            <w:pPr>
              <w:pStyle w:val="Box"/>
              <w:spacing w:before="0" w:line="120" w:lineRule="exact"/>
              <w:rPr>
                <w:color w:val="00B050"/>
              </w:rPr>
            </w:pPr>
          </w:p>
        </w:tc>
      </w:tr>
    </w:tbl>
    <w:p w14:paraId="13CA7FDD" w14:textId="63C9A250" w:rsidR="00345B01" w:rsidRPr="001D3089" w:rsidRDefault="005B591C" w:rsidP="00345B01">
      <w:pPr>
        <w:pStyle w:val="Heading3"/>
      </w:pPr>
      <w:r>
        <w:lastRenderedPageBreak/>
        <w:t xml:space="preserve">In addition to reporting on the framework, this edition identifies approaches that </w:t>
      </w:r>
      <w:r w:rsidR="00E418BF">
        <w:t>may</w:t>
      </w:r>
      <w:r>
        <w:t xml:space="preserve"> help to improve outcomes </w:t>
      </w:r>
    </w:p>
    <w:p w14:paraId="59237614" w14:textId="3075044F" w:rsidR="004F69E8" w:rsidRDefault="004F69E8" w:rsidP="00345B01">
      <w:pPr>
        <w:pStyle w:val="BodyText"/>
      </w:pPr>
      <w:r>
        <w:t>In addition to reporting on the outcomes</w:t>
      </w:r>
      <w:r w:rsidRPr="00412B01">
        <w:t xml:space="preserve"> experienced by </w:t>
      </w:r>
      <w:r w:rsidR="000D21D9">
        <w:t>A</w:t>
      </w:r>
      <w:r w:rsidRPr="004F69E8">
        <w:t>boriginal and Torres Strait Islander people</w:t>
      </w:r>
      <w:r>
        <w:t>, t</w:t>
      </w:r>
      <w:r w:rsidR="00412B01" w:rsidRPr="00412B01">
        <w:t xml:space="preserve">his edition of the </w:t>
      </w:r>
      <w:r w:rsidR="002A7728">
        <w:t>R</w:t>
      </w:r>
      <w:r w:rsidR="002A7728" w:rsidRPr="00412B01">
        <w:t xml:space="preserve">eport </w:t>
      </w:r>
      <w:r w:rsidR="00412B01" w:rsidRPr="00412B01">
        <w:t>seeks to</w:t>
      </w:r>
      <w:r>
        <w:t>:</w:t>
      </w:r>
    </w:p>
    <w:p w14:paraId="1FF36058" w14:textId="485D0C79" w:rsidR="004F69E8" w:rsidRPr="00122D3D" w:rsidRDefault="004F69E8" w:rsidP="00122D3D">
      <w:pPr>
        <w:pStyle w:val="ListBullet"/>
      </w:pPr>
      <w:r w:rsidRPr="00122D3D">
        <w:t>identify</w:t>
      </w:r>
      <w:r w:rsidR="00412B01" w:rsidRPr="00122D3D">
        <w:t xml:space="preserve"> the significant strengths of, and sources of wellbeing for, Aboriginal and Torres Strait Islander people </w:t>
      </w:r>
    </w:p>
    <w:p w14:paraId="56FCBFC4" w14:textId="191AFD38" w:rsidR="004F69E8" w:rsidRPr="00122D3D" w:rsidRDefault="00412B01" w:rsidP="00122D3D">
      <w:pPr>
        <w:pStyle w:val="ListBullet"/>
      </w:pPr>
      <w:r w:rsidRPr="00122D3D">
        <w:t>focus</w:t>
      </w:r>
      <w:r w:rsidR="004F69E8" w:rsidRPr="00122D3D">
        <w:t xml:space="preserve"> </w:t>
      </w:r>
      <w:r w:rsidRPr="00122D3D">
        <w:t xml:space="preserve">on </w:t>
      </w:r>
      <w:r w:rsidR="00122D3D" w:rsidRPr="000D21D9">
        <w:rPr>
          <w:rStyle w:val="ListBulletChar2"/>
        </w:rPr>
        <w:t xml:space="preserve">the key structural </w:t>
      </w:r>
      <w:r w:rsidRPr="00122D3D">
        <w:t xml:space="preserve">and systemic barriers that contribute to </w:t>
      </w:r>
      <w:r w:rsidR="004F69E8" w:rsidRPr="00122D3D">
        <w:t>these outcomes</w:t>
      </w:r>
    </w:p>
    <w:p w14:paraId="5CE1444E" w14:textId="58EBEEF8" w:rsidR="004F69E8" w:rsidRPr="00122D3D" w:rsidRDefault="004F69E8" w:rsidP="00122D3D">
      <w:pPr>
        <w:pStyle w:val="ListBullet"/>
      </w:pPr>
      <w:r w:rsidRPr="00122D3D">
        <w:t xml:space="preserve">identify approaches that the research tells </w:t>
      </w:r>
      <w:r w:rsidR="000D21D9" w:rsidRPr="00122D3D">
        <w:t xml:space="preserve">us </w:t>
      </w:r>
      <w:r w:rsidRPr="00122D3D">
        <w:t>might help improve</w:t>
      </w:r>
      <w:r w:rsidR="001D3089" w:rsidRPr="00122D3D">
        <w:t xml:space="preserve"> these</w:t>
      </w:r>
      <w:r w:rsidRPr="00122D3D">
        <w:t xml:space="preserve"> outcomes.</w:t>
      </w:r>
      <w:r w:rsidR="00412B01" w:rsidRPr="00122D3D">
        <w:t xml:space="preserve"> </w:t>
      </w:r>
    </w:p>
    <w:p w14:paraId="5A9807CB" w14:textId="07F83A94" w:rsidR="00345B01" w:rsidRDefault="001D3089" w:rsidP="00345B01">
      <w:pPr>
        <w:pStyle w:val="BodyText"/>
      </w:pPr>
      <w:r>
        <w:t xml:space="preserve">This material </w:t>
      </w:r>
      <w:r w:rsidR="00412B01" w:rsidRPr="00412B01">
        <w:t>support</w:t>
      </w:r>
      <w:r>
        <w:t>s</w:t>
      </w:r>
      <w:r w:rsidR="00412B01" w:rsidRPr="00412B01">
        <w:t xml:space="preserve"> the existing quantitative reporting for the </w:t>
      </w:r>
      <w:proofErr w:type="spellStart"/>
      <w:r w:rsidR="00412B01" w:rsidRPr="00412B01">
        <w:t>OID</w:t>
      </w:r>
      <w:proofErr w:type="spellEnd"/>
      <w:r w:rsidR="00412B01" w:rsidRPr="00412B01">
        <w:t xml:space="preserve"> indicator framework.</w:t>
      </w:r>
    </w:p>
    <w:p w14:paraId="4A2CBAC4" w14:textId="769A7441" w:rsidR="00FF2B76" w:rsidRDefault="0025104C" w:rsidP="00FF2B76">
      <w:pPr>
        <w:pStyle w:val="BodyText"/>
      </w:pPr>
      <w:r>
        <w:t xml:space="preserve">A </w:t>
      </w:r>
      <w:r w:rsidRPr="00412B01">
        <w:t xml:space="preserve">significant </w:t>
      </w:r>
      <w:r>
        <w:t>source of strength</w:t>
      </w:r>
      <w:r w:rsidRPr="00412B01">
        <w:t xml:space="preserve"> </w:t>
      </w:r>
      <w:r>
        <w:t>and</w:t>
      </w:r>
      <w:r w:rsidRPr="00412B01">
        <w:t xml:space="preserve"> </w:t>
      </w:r>
      <w:r>
        <w:t>the foundation for the wellbeing of</w:t>
      </w:r>
      <w:r w:rsidRPr="00412B01">
        <w:t xml:space="preserve"> Aboriginal and Torres Strait Islander people</w:t>
      </w:r>
      <w:r w:rsidR="00E418BF">
        <w:t xml:space="preserve"> are their</w:t>
      </w:r>
      <w:r>
        <w:t xml:space="preserve"> cultures.</w:t>
      </w:r>
      <w:r w:rsidRPr="00412B01">
        <w:t xml:space="preserve"> </w:t>
      </w:r>
      <w:r w:rsidR="00FF2B76" w:rsidRPr="00C46EAF">
        <w:t xml:space="preserve">Connection to culture is </w:t>
      </w:r>
      <w:r w:rsidR="00FF2B76">
        <w:t>a key element of</w:t>
      </w:r>
      <w:r w:rsidR="00FF2B76" w:rsidRPr="00C46EAF">
        <w:t xml:space="preserve"> </w:t>
      </w:r>
      <w:r w:rsidR="00FF2B76">
        <w:t xml:space="preserve">many </w:t>
      </w:r>
      <w:r w:rsidR="00FF2B76" w:rsidRPr="00C46EAF">
        <w:t>Aboriginal and</w:t>
      </w:r>
      <w:r w:rsidR="00FF2B76">
        <w:t xml:space="preserve"> Torres Strait Islander people’s</w:t>
      </w:r>
      <w:r w:rsidR="00FF2B76" w:rsidRPr="00C46EAF">
        <w:t xml:space="preserve"> identity</w:t>
      </w:r>
      <w:r w:rsidR="00FF2B76">
        <w:t>.</w:t>
      </w:r>
      <w:r w:rsidR="00FF2B76" w:rsidRPr="00C46EAF">
        <w:t xml:space="preserve"> </w:t>
      </w:r>
      <w:r w:rsidR="00FF2B76">
        <w:t>While cultures are</w:t>
      </w:r>
      <w:r>
        <w:t xml:space="preserve"> diverse</w:t>
      </w:r>
      <w:r w:rsidR="00FF2B76">
        <w:t xml:space="preserve">, some of the strengths provided by the cultures of </w:t>
      </w:r>
      <w:r w:rsidR="00FF2B76" w:rsidRPr="001200B8">
        <w:t>Aboriginal and Torres Strait Islander</w:t>
      </w:r>
      <w:r w:rsidR="00FF2B76">
        <w:t xml:space="preserve"> people include</w:t>
      </w:r>
      <w:r w:rsidR="00684830">
        <w:t>:</w:t>
      </w:r>
      <w:r>
        <w:t xml:space="preserve">  </w:t>
      </w:r>
    </w:p>
    <w:p w14:paraId="7D599C1C" w14:textId="26794E95" w:rsidR="00FF2B76" w:rsidRDefault="00FF2B76">
      <w:pPr>
        <w:pStyle w:val="ListBullet"/>
      </w:pPr>
      <w:r w:rsidRPr="00C46EAF">
        <w:t>strong connections with family and ki</w:t>
      </w:r>
      <w:r>
        <w:t xml:space="preserve">n, and </w:t>
      </w:r>
      <w:r w:rsidR="00614897">
        <w:t xml:space="preserve">the </w:t>
      </w:r>
      <w:r w:rsidRPr="003E040D">
        <w:t>belief that it is the responsibility of family to provide care and support</w:t>
      </w:r>
      <w:r w:rsidR="0025104C">
        <w:t xml:space="preserve"> for each other</w:t>
      </w:r>
    </w:p>
    <w:p w14:paraId="40B3F16F" w14:textId="09EAE9DA" w:rsidR="0025104C" w:rsidRDefault="00FF2B76" w:rsidP="00F32303">
      <w:pPr>
        <w:pStyle w:val="ListBullet"/>
      </w:pPr>
      <w:r>
        <w:t>respect for the leadership of</w:t>
      </w:r>
      <w:r w:rsidR="00614897">
        <w:t xml:space="preserve"> Elders</w:t>
      </w:r>
      <w:r>
        <w:t xml:space="preserve">, their role in </w:t>
      </w:r>
      <w:r w:rsidR="00122D3D">
        <w:t>decision</w:t>
      </w:r>
      <w:r w:rsidR="00122D3D">
        <w:noBreakHyphen/>
      </w:r>
      <w:r>
        <w:t xml:space="preserve">making and the value of spending time with them </w:t>
      </w:r>
    </w:p>
    <w:p w14:paraId="7A46EFDC" w14:textId="16C876A2" w:rsidR="0025104C" w:rsidRDefault="00FF2B76" w:rsidP="00684830">
      <w:pPr>
        <w:pStyle w:val="ListBullet"/>
      </w:pPr>
      <w:r>
        <w:t xml:space="preserve">connection with, and caring for, Country, which is </w:t>
      </w:r>
      <w:r w:rsidRPr="008D7E9B">
        <w:t>considered as caring for oneself and one’s community</w:t>
      </w:r>
      <w:r w:rsidR="00614897">
        <w:t>,</w:t>
      </w:r>
      <w:r>
        <w:t xml:space="preserve"> and is also</w:t>
      </w:r>
      <w:r w:rsidRPr="008D7E9B">
        <w:t xml:space="preserve"> </w:t>
      </w:r>
      <w:r>
        <w:t>associated with the management of land</w:t>
      </w:r>
      <w:r w:rsidR="00E34A99">
        <w:t xml:space="preserve"> and waters</w:t>
      </w:r>
      <w:r w:rsidR="001D3089">
        <w:t>.</w:t>
      </w:r>
      <w:r>
        <w:t xml:space="preserve"> </w:t>
      </w:r>
    </w:p>
    <w:p w14:paraId="7E222085" w14:textId="0A48BA0E" w:rsidR="005C5786" w:rsidRDefault="005C5786" w:rsidP="00345B01">
      <w:pPr>
        <w:pStyle w:val="BodyText"/>
      </w:pPr>
      <w:r>
        <w:t>In contrast, a range of structural barriers</w:t>
      </w:r>
      <w:r w:rsidR="005A18D5">
        <w:t xml:space="preserve"> and</w:t>
      </w:r>
      <w:r>
        <w:t xml:space="preserve"> racism </w:t>
      </w:r>
      <w:r w:rsidR="004B02B5">
        <w:t xml:space="preserve">can </w:t>
      </w:r>
      <w:r w:rsidR="004F69E8">
        <w:t xml:space="preserve">undermine or </w:t>
      </w:r>
      <w:r>
        <w:t xml:space="preserve">erode </w:t>
      </w:r>
      <w:r w:rsidRPr="005C5786">
        <w:t>Aboriginal and Torres Strait Islander people</w:t>
      </w:r>
      <w:r>
        <w:t>’s wellbeing</w:t>
      </w:r>
      <w:r w:rsidR="004B02B5">
        <w:t>, for example</w:t>
      </w:r>
      <w:r>
        <w:t>:</w:t>
      </w:r>
    </w:p>
    <w:p w14:paraId="5B3A36BA" w14:textId="5D4B8E21" w:rsidR="005C5786" w:rsidRDefault="005C5786" w:rsidP="004B02B5">
      <w:pPr>
        <w:pStyle w:val="ListBullet"/>
      </w:pPr>
      <w:r w:rsidRPr="005C6134">
        <w:t>policies, laws and practices that appear neutral</w:t>
      </w:r>
      <w:r>
        <w:t>,</w:t>
      </w:r>
      <w:r w:rsidRPr="005C6134">
        <w:t xml:space="preserve"> </w:t>
      </w:r>
      <w:r w:rsidR="004B02B5">
        <w:t xml:space="preserve">but </w:t>
      </w:r>
      <w:r w:rsidRPr="005C6134">
        <w:t xml:space="preserve">operate in an uneven or unfair manner that is detrimental to </w:t>
      </w:r>
      <w:r w:rsidR="004B02B5" w:rsidRPr="004B02B5">
        <w:t>Aboriginal and</w:t>
      </w:r>
      <w:r w:rsidR="004B02B5">
        <w:t xml:space="preserve"> Torres Strait Islander people because of their particular circumstances</w:t>
      </w:r>
      <w:r>
        <w:t>, f</w:t>
      </w:r>
      <w:r w:rsidRPr="005C6134">
        <w:t>or example</w:t>
      </w:r>
      <w:r w:rsidRPr="00A508FB">
        <w:t xml:space="preserve"> </w:t>
      </w:r>
      <w:r>
        <w:t>in the areas of:</w:t>
      </w:r>
    </w:p>
    <w:p w14:paraId="63525635" w14:textId="766970C6" w:rsidR="005C5786" w:rsidRDefault="005C5786" w:rsidP="005C5786">
      <w:pPr>
        <w:pStyle w:val="ListBullet2"/>
      </w:pPr>
      <w:r>
        <w:t>criminal justice, where laws that declare people with cognitive impairments unfit to plead,</w:t>
      </w:r>
      <w:r w:rsidRPr="00A508FB">
        <w:t xml:space="preserve"> </w:t>
      </w:r>
      <w:r>
        <w:t xml:space="preserve">and bail laws that favour those with secure accommodation, have a greater </w:t>
      </w:r>
      <w:r w:rsidR="00060320">
        <w:t xml:space="preserve">negative </w:t>
      </w:r>
      <w:r>
        <w:t xml:space="preserve">impact on Aboriginal and Torres Strait Islander </w:t>
      </w:r>
      <w:r w:rsidR="00122D3D">
        <w:t xml:space="preserve">people  </w:t>
      </w:r>
    </w:p>
    <w:p w14:paraId="7BF41510" w14:textId="568363F1" w:rsidR="005C5786" w:rsidRPr="004C738D" w:rsidRDefault="005C5786">
      <w:pPr>
        <w:pStyle w:val="ListBullet2"/>
      </w:pPr>
      <w:r>
        <w:t xml:space="preserve">child protection, where </w:t>
      </w:r>
      <w:r w:rsidRPr="00A508FB">
        <w:t xml:space="preserve">factors related to </w:t>
      </w:r>
      <w:r>
        <w:t xml:space="preserve">decision-making processes </w:t>
      </w:r>
      <w:r w:rsidRPr="005A2BDF">
        <w:t>compounded by difficulties in getting the suppor</w:t>
      </w:r>
      <w:r>
        <w:t>t needed to navigate the system</w:t>
      </w:r>
      <w:r w:rsidRPr="005A2BDF">
        <w:t xml:space="preserve">, </w:t>
      </w:r>
      <w:r>
        <w:t xml:space="preserve">may </w:t>
      </w:r>
      <w:r w:rsidRPr="005A2BDF">
        <w:t xml:space="preserve">mean that </w:t>
      </w:r>
      <w:r w:rsidRPr="004C738D">
        <w:t xml:space="preserve">Aboriginal and Torres Strait Islander children are more vulnerable to entering the child protection system </w:t>
      </w:r>
    </w:p>
    <w:p w14:paraId="5DD8F568" w14:textId="267C8318" w:rsidR="005C5786" w:rsidRDefault="004B02B5" w:rsidP="005C5786">
      <w:pPr>
        <w:pStyle w:val="ListBullet"/>
      </w:pPr>
      <w:r>
        <w:t>m</w:t>
      </w:r>
      <w:r w:rsidR="005C5786">
        <w:t xml:space="preserve">any </w:t>
      </w:r>
      <w:r w:rsidR="005C5786" w:rsidRPr="005C6134">
        <w:t>Aboriginal and Torres Strait Islander people experience</w:t>
      </w:r>
      <w:r w:rsidR="005C5786">
        <w:t xml:space="preserve"> discrimination </w:t>
      </w:r>
      <w:r>
        <w:t>and racism</w:t>
      </w:r>
      <w:r w:rsidR="005A18D5">
        <w:t>, including institutional racism,</w:t>
      </w:r>
      <w:r>
        <w:t xml:space="preserve"> that </w:t>
      </w:r>
      <w:r w:rsidR="005A18D5">
        <w:t>can cause both immediate and long</w:t>
      </w:r>
      <w:r w:rsidR="001D6CD7">
        <w:t>-</w:t>
      </w:r>
      <w:r w:rsidR="005A18D5">
        <w:t>term harm</w:t>
      </w:r>
      <w:r>
        <w:t>.</w:t>
      </w:r>
      <w:r w:rsidR="005C5786" w:rsidRPr="00796DBE">
        <w:t xml:space="preserve"> </w:t>
      </w:r>
    </w:p>
    <w:p w14:paraId="7FFF4892" w14:textId="604584FB" w:rsidR="004F69E8" w:rsidRDefault="004F69E8" w:rsidP="000D21D9">
      <w:pPr>
        <w:pStyle w:val="BodyText"/>
      </w:pPr>
      <w:r>
        <w:t>Common characteristics of approaches that appear to be successful in improving outcomes for Aboriginal and Torres Strait Islander people include:</w:t>
      </w:r>
    </w:p>
    <w:p w14:paraId="7F90026B" w14:textId="0FC310FF" w:rsidR="004F69E8" w:rsidRDefault="001D6CD7" w:rsidP="004F69E8">
      <w:pPr>
        <w:pStyle w:val="ListBullet"/>
      </w:pPr>
      <w:r>
        <w:lastRenderedPageBreak/>
        <w:t>a</w:t>
      </w:r>
      <w:r w:rsidR="004F69E8">
        <w:t xml:space="preserve">ddressing racism and discrimination in the Australian community, through structural changes, and building knowledge and </w:t>
      </w:r>
      <w:r w:rsidR="00122D3D">
        <w:t xml:space="preserve">providing </w:t>
      </w:r>
      <w:r w:rsidR="004F69E8">
        <w:t>education</w:t>
      </w:r>
    </w:p>
    <w:p w14:paraId="52B9CCF7" w14:textId="5F4390B2" w:rsidR="004F69E8" w:rsidRDefault="001D6CD7" w:rsidP="004F69E8">
      <w:pPr>
        <w:pStyle w:val="ListBullet"/>
      </w:pPr>
      <w:r>
        <w:t>e</w:t>
      </w:r>
      <w:r w:rsidR="004F69E8">
        <w:t>nabling Aboriginal and Torres Strait Islander people to share in decision</w:t>
      </w:r>
      <w:r w:rsidR="00614897">
        <w:noBreakHyphen/>
      </w:r>
      <w:r w:rsidR="004F69E8">
        <w:t xml:space="preserve">making </w:t>
      </w:r>
      <w:r w:rsidR="00614897">
        <w:t xml:space="preserve">about </w:t>
      </w:r>
      <w:r w:rsidR="004F69E8">
        <w:t>things that affect them</w:t>
      </w:r>
    </w:p>
    <w:p w14:paraId="3CF8F094" w14:textId="76316836" w:rsidR="004F69E8" w:rsidRDefault="001D6CD7" w:rsidP="004F69E8">
      <w:pPr>
        <w:pStyle w:val="ListBullet"/>
      </w:pPr>
      <w:r>
        <w:t>a</w:t>
      </w:r>
      <w:r w:rsidR="004F69E8">
        <w:t>ddressing laws, policies, and practices that operate to the detriment of Aboriginal and Torres Strait Islander people</w:t>
      </w:r>
    </w:p>
    <w:p w14:paraId="3532373B" w14:textId="6EBBD086" w:rsidR="004F69E8" w:rsidRDefault="001D6CD7" w:rsidP="004F69E8">
      <w:pPr>
        <w:pStyle w:val="ListBullet"/>
      </w:pPr>
      <w:r>
        <w:t>o</w:t>
      </w:r>
      <w:r w:rsidR="004F69E8">
        <w:t>ngoing government investment, collaboration and coordination</w:t>
      </w:r>
    </w:p>
    <w:p w14:paraId="0DE74D10" w14:textId="363B92D3" w:rsidR="004F69E8" w:rsidRPr="00412B01" w:rsidRDefault="001D6CD7" w:rsidP="004F69E8">
      <w:pPr>
        <w:pStyle w:val="ListBullet"/>
      </w:pPr>
      <w:r>
        <w:t>e</w:t>
      </w:r>
      <w:r w:rsidR="004F69E8">
        <w:t>nsuring access to effective culturally safe services, at the right time and suited to the local context.</w:t>
      </w:r>
    </w:p>
    <w:p w14:paraId="725BDE05" w14:textId="01C5CBFB" w:rsidR="004F3501" w:rsidRDefault="00345B01" w:rsidP="004F3501">
      <w:pPr>
        <w:pStyle w:val="BodyText"/>
      </w:pPr>
      <w:r w:rsidRPr="004F69E8">
        <w:t>Since</w:t>
      </w:r>
      <w:r w:rsidRPr="00412B01">
        <w:t xml:space="preserve"> the 2005 edition, case studies on ‘Things that work’ have been included in the </w:t>
      </w:r>
      <w:r w:rsidR="002A7728">
        <w:t>R</w:t>
      </w:r>
      <w:r w:rsidR="002A7728" w:rsidRPr="00412B01">
        <w:t xml:space="preserve">eport </w:t>
      </w:r>
      <w:r w:rsidRPr="00412B01">
        <w:t>which highlight programs or services that are making a difference. For this edition</w:t>
      </w:r>
      <w:r w:rsidR="00854EAB">
        <w:t>,</w:t>
      </w:r>
      <w:r w:rsidRPr="00412B01">
        <w:t xml:space="preserve"> the case studies are focussed on governance, with a specific focus on arrangements that support shared decision</w:t>
      </w:r>
      <w:r w:rsidR="00122D3D">
        <w:noBreakHyphen/>
      </w:r>
      <w:r w:rsidRPr="00412B01">
        <w:t>making between Aboriginal and Torres Strait Islander people and governments</w:t>
      </w:r>
      <w:r w:rsidR="00684830">
        <w:t xml:space="preserve"> (see section 5.4 of the main </w:t>
      </w:r>
      <w:r w:rsidR="00753517">
        <w:t>Report</w:t>
      </w:r>
      <w:r w:rsidR="00684830">
        <w:t>)</w:t>
      </w:r>
      <w:r w:rsidRPr="00412B01">
        <w:t>. This focus on shared decision</w:t>
      </w:r>
      <w:r w:rsidR="00122D3D">
        <w:noBreakHyphen/>
      </w:r>
      <w:r w:rsidRPr="00412B01">
        <w:t>making recognises that it is a critical component underpinning improved outcomes for Aboriginal and Torres Strait Islander people.</w:t>
      </w:r>
    </w:p>
    <w:p w14:paraId="438B93A7" w14:textId="77777777" w:rsidR="009F5CBF" w:rsidRDefault="009F5CBF">
      <w:pPr>
        <w:rPr>
          <w:rFonts w:ascii="Arial" w:hAnsi="Arial"/>
          <w:b/>
          <w:color w:val="000000" w:themeColor="text1"/>
          <w:sz w:val="32"/>
          <w:szCs w:val="20"/>
        </w:rPr>
      </w:pPr>
      <w:r>
        <w:rPr>
          <w:color w:val="000000" w:themeColor="text1"/>
        </w:rPr>
        <w:br w:type="page"/>
      </w:r>
    </w:p>
    <w:p w14:paraId="49615F33" w14:textId="34D30090" w:rsidR="00976114" w:rsidRPr="00B32236" w:rsidRDefault="0074663B" w:rsidP="0074663B">
      <w:pPr>
        <w:pStyle w:val="Heading2"/>
        <w:rPr>
          <w:color w:val="000000" w:themeColor="text1"/>
        </w:rPr>
      </w:pPr>
      <w:r w:rsidRPr="00B32236">
        <w:rPr>
          <w:color w:val="000000" w:themeColor="text1"/>
        </w:rPr>
        <w:lastRenderedPageBreak/>
        <w:t>COAG targets and headline indicators</w:t>
      </w:r>
    </w:p>
    <w:p w14:paraId="378E0B42" w14:textId="1A1E19F6" w:rsidR="00124A61" w:rsidRDefault="00124A61" w:rsidP="00124A61">
      <w:pPr>
        <w:pStyle w:val="BodyText"/>
        <w:rPr>
          <w:color w:val="000000" w:themeColor="text1"/>
        </w:rPr>
      </w:pPr>
      <w:r w:rsidRPr="00B32236">
        <w:rPr>
          <w:color w:val="000000" w:themeColor="text1"/>
        </w:rPr>
        <w:t>The s</w:t>
      </w:r>
      <w:r w:rsidR="00B32236" w:rsidRPr="00B32236">
        <w:rPr>
          <w:color w:val="000000" w:themeColor="text1"/>
        </w:rPr>
        <w:t>even</w:t>
      </w:r>
      <w:r w:rsidRPr="00B32236">
        <w:rPr>
          <w:color w:val="000000" w:themeColor="text1"/>
        </w:rPr>
        <w:t xml:space="preserve"> COAG targets and six headline indicators are high level social and economic outcomes that must improve in order to achieve the priority outcomes. Numbers beside each indicator refer to section numbers in the main </w:t>
      </w:r>
      <w:r w:rsidR="003D7A8A">
        <w:rPr>
          <w:color w:val="000000" w:themeColor="text1"/>
        </w:rPr>
        <w:t>R</w:t>
      </w:r>
      <w:r w:rsidR="003D7A8A" w:rsidRPr="00B32236">
        <w:rPr>
          <w:color w:val="000000" w:themeColor="text1"/>
        </w:rPr>
        <w:t>eport</w:t>
      </w:r>
      <w:r w:rsidRPr="00B32236">
        <w:rPr>
          <w:color w:val="000000" w:themeColor="text1"/>
        </w:rPr>
        <w:t>.</w:t>
      </w:r>
    </w:p>
    <w:p w14:paraId="5F52B3BF" w14:textId="63B8E0F4" w:rsidR="001D733F" w:rsidRPr="00B32236" w:rsidRDefault="001D733F" w:rsidP="00124A61">
      <w:pPr>
        <w:pStyle w:val="BodyText"/>
        <w:rPr>
          <w:color w:val="000000" w:themeColor="text1"/>
        </w:rPr>
      </w:pPr>
      <w:r w:rsidRPr="00E92224">
        <w:rPr>
          <w:color w:val="000000" w:themeColor="text1"/>
        </w:rPr>
        <w:t>COAG targets are covered in sections 4.1 to 4.7. Headlines indicators are covered in sections 4.8 to 4.13.</w:t>
      </w:r>
    </w:p>
    <w:p w14:paraId="02C69F40" w14:textId="062BDAEA" w:rsidR="00124A61" w:rsidRPr="00B32236" w:rsidRDefault="00124A61" w:rsidP="00124A61">
      <w:pPr>
        <w:pStyle w:val="BodyText"/>
        <w:rPr>
          <w:color w:val="000000" w:themeColor="text1"/>
        </w:rPr>
      </w:pPr>
      <w:r w:rsidRPr="00B32236">
        <w:rPr>
          <w:color w:val="000000" w:themeColor="text1"/>
        </w:rPr>
        <w:t>These indicators are often closely inter-related and positive change will generally require action across a range of areas. In addition, most of these high</w:t>
      </w:r>
      <w:r w:rsidR="00854EAB">
        <w:rPr>
          <w:color w:val="000000" w:themeColor="text1"/>
        </w:rPr>
        <w:t>-</w:t>
      </w:r>
      <w:r w:rsidRPr="00B32236">
        <w:rPr>
          <w:color w:val="000000" w:themeColor="text1"/>
        </w:rPr>
        <w:t>level indicators are likely to take some time to improve, even if effective policies are implemented.</w:t>
      </w:r>
    </w:p>
    <w:p w14:paraId="18D80D34" w14:textId="144A5FCD" w:rsidR="0074663B" w:rsidRPr="002F7C99" w:rsidRDefault="0074663B">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3572D7AF" w14:textId="77777777" w:rsidTr="007F5DB2">
        <w:tc>
          <w:tcPr>
            <w:tcW w:w="8789" w:type="dxa"/>
            <w:gridSpan w:val="3"/>
            <w:tcBorders>
              <w:top w:val="single" w:sz="6" w:space="0" w:color="78A22F"/>
              <w:left w:val="nil"/>
              <w:bottom w:val="nil"/>
              <w:right w:val="nil"/>
            </w:tcBorders>
            <w:shd w:val="clear" w:color="auto" w:fill="F2F2F2"/>
          </w:tcPr>
          <w:p w14:paraId="337F4B27" w14:textId="4DD59B4F" w:rsidR="0074663B" w:rsidRPr="002F7C99" w:rsidRDefault="0074663B" w:rsidP="0074663B">
            <w:pPr>
              <w:pStyle w:val="BoxTitle"/>
            </w:pPr>
            <w:r w:rsidRPr="002F7C99">
              <w:t xml:space="preserve">4.1 </w:t>
            </w:r>
            <w:r w:rsidR="00142B01" w:rsidRPr="002F7C99">
              <w:tab/>
              <w:t>Life expectancy</w:t>
            </w:r>
          </w:p>
        </w:tc>
      </w:tr>
      <w:tr w:rsidR="00037871" w:rsidRPr="00037871" w14:paraId="2C439687" w14:textId="77777777" w:rsidTr="00237AD4">
        <w:trPr>
          <w:cantSplit/>
        </w:trPr>
        <w:tc>
          <w:tcPr>
            <w:tcW w:w="3970" w:type="dxa"/>
            <w:tcBorders>
              <w:top w:val="nil"/>
              <w:left w:val="nil"/>
              <w:bottom w:val="nil"/>
              <w:right w:val="nil"/>
            </w:tcBorders>
            <w:shd w:val="clear" w:color="auto" w:fill="F2F2F2"/>
          </w:tcPr>
          <w:p w14:paraId="0F999C1C" w14:textId="3D7D509A" w:rsidR="0074663B" w:rsidRPr="009909B8" w:rsidRDefault="00077C9E">
            <w:pPr>
              <w:pStyle w:val="Box"/>
            </w:pPr>
            <w:r w:rsidRPr="00077C9E">
              <w:t>Life expectancy is a widely used measure of population health measuring the length but not the quality of life. It is a limited measure for Aboriginal and Torres Strait Islander people whose understanding of health is holistic; to be healthy is to be well physically, spiritually and emotionally and connected with family, community, culture, language, and Country</w:t>
            </w:r>
            <w:r w:rsidR="00124A61" w:rsidRPr="009909B8">
              <w:t>.</w:t>
            </w:r>
          </w:p>
        </w:tc>
        <w:tc>
          <w:tcPr>
            <w:tcW w:w="992" w:type="dxa"/>
            <w:tcBorders>
              <w:top w:val="nil"/>
              <w:left w:val="nil"/>
              <w:bottom w:val="nil"/>
              <w:right w:val="nil"/>
            </w:tcBorders>
            <w:shd w:val="clear" w:color="auto" w:fill="418A50"/>
          </w:tcPr>
          <w:p w14:paraId="7C1A357A" w14:textId="322F83BE" w:rsidR="0074663B" w:rsidRPr="00655D2E" w:rsidRDefault="0074663B" w:rsidP="0074663B">
            <w:pPr>
              <w:pStyle w:val="Box"/>
            </w:pPr>
          </w:p>
          <w:p w14:paraId="14827D3D" w14:textId="1DC95341" w:rsidR="0074663B" w:rsidRPr="00655D2E" w:rsidRDefault="00B42D63" w:rsidP="0074663B">
            <w:pPr>
              <w:pStyle w:val="Box"/>
              <w:jc w:val="center"/>
              <w:rPr>
                <w:rFonts w:ascii="Wingdings 2" w:hAnsi="Wingdings 2"/>
              </w:rPr>
            </w:pPr>
            <w:r w:rsidRPr="00B42D63">
              <w:rPr>
                <w:rFonts w:cs="Arial"/>
                <w:b/>
                <w:noProof/>
                <w:sz w:val="48"/>
                <w:szCs w:val="48"/>
              </w:rPr>
              <mc:AlternateContent>
                <mc:Choice Requires="wpg">
                  <w:drawing>
                    <wp:anchor distT="0" distB="0" distL="114300" distR="114300" simplePos="0" relativeHeight="251737088" behindDoc="0" locked="0" layoutInCell="1" allowOverlap="1" wp14:anchorId="3BAC7D5C" wp14:editId="7309DC34">
                      <wp:simplePos x="0" y="0"/>
                      <wp:positionH relativeFrom="column">
                        <wp:posOffset>120015</wp:posOffset>
                      </wp:positionH>
                      <wp:positionV relativeFrom="paragraph">
                        <wp:posOffset>400179</wp:posOffset>
                      </wp:positionV>
                      <wp:extent cx="205105" cy="279400"/>
                      <wp:effectExtent l="19050" t="0" r="61595" b="6350"/>
                      <wp:wrapNone/>
                      <wp:docPr id="6"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0" name="Straight Connector 10"/>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1" name="Straight Connector 11"/>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0E2192B" id="Group 2" o:spid="_x0000_s1026" alt="Tick symbol" style="position:absolute;margin-left:9.45pt;margin-top:31.5pt;width:16.15pt;height:22pt;z-index:251737088;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">
                      <v:line id="Straight Connector 10"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" strokecolor="white [3212]" strokeweight="3pt">
                        <o:lock v:ext="edit" shapetype="f"/>
                      </v:line>
                      <v:line id="Straight Connector 11"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" strokecolor="white [3212]" strokeweight="3pt">
                        <o:lock v:ext="edit" shapetype="f"/>
                      </v:line>
                    </v:group>
                  </w:pict>
                </mc:Fallback>
              </mc:AlternateContent>
            </w:r>
            <w:r w:rsidR="00124A61" w:rsidRPr="00655D2E">
              <w:rPr>
                <w:rFonts w:cs="Arial"/>
                <w:b/>
                <w:sz w:val="48"/>
                <w:szCs w:val="48"/>
              </w:rPr>
              <w:br/>
            </w:r>
          </w:p>
        </w:tc>
        <w:tc>
          <w:tcPr>
            <w:tcW w:w="3827" w:type="dxa"/>
            <w:tcBorders>
              <w:top w:val="nil"/>
              <w:left w:val="nil"/>
              <w:bottom w:val="nil"/>
              <w:right w:val="nil"/>
            </w:tcBorders>
            <w:shd w:val="clear" w:color="auto" w:fill="F2F2F2"/>
          </w:tcPr>
          <w:p w14:paraId="2AFFA401" w14:textId="01C77CFA" w:rsidR="0074663B" w:rsidRPr="00655D2E" w:rsidRDefault="00566EE0" w:rsidP="0054404F">
            <w:pPr>
              <w:pStyle w:val="Box"/>
            </w:pPr>
            <w:r w:rsidRPr="00566EE0">
              <w:t>Aboriginal and Torres Strait Islander boys born in 2015</w:t>
            </w:r>
            <w:r w:rsidR="00FA3978">
              <w:rPr>
                <w:rFonts w:cs="Arial"/>
              </w:rPr>
              <w:t>–</w:t>
            </w:r>
            <w:r w:rsidRPr="00566EE0">
              <w:t>2017 are expected to live to 71.6 years and girls to 75.6 years. This is 4.1 years longer than for boys and 2.5</w:t>
            </w:r>
            <w:r w:rsidR="000F0BC8">
              <w:t> </w:t>
            </w:r>
            <w:r w:rsidRPr="00566EE0">
              <w:t>years longer for girls born 10</w:t>
            </w:r>
            <w:r w:rsidR="0054404F">
              <w:t> </w:t>
            </w:r>
            <w:r w:rsidRPr="00566EE0">
              <w:t>years earlier</w:t>
            </w:r>
            <w:r w:rsidR="00692D7D">
              <w:t xml:space="preserve"> (20052007)</w:t>
            </w:r>
            <w:r w:rsidRPr="00566EE0">
              <w:t>, but changes were not statistically significant for girls</w:t>
            </w:r>
            <w:r w:rsidR="00124A61" w:rsidRPr="00655D2E">
              <w:t>.</w:t>
            </w:r>
          </w:p>
        </w:tc>
      </w:tr>
      <w:tr w:rsidR="00037871" w:rsidRPr="00037871" w14:paraId="6CA1204F" w14:textId="77777777" w:rsidTr="007F5DB2">
        <w:trPr>
          <w:cantSplit/>
        </w:trPr>
        <w:tc>
          <w:tcPr>
            <w:tcW w:w="8789" w:type="dxa"/>
            <w:gridSpan w:val="3"/>
            <w:tcBorders>
              <w:top w:val="nil"/>
              <w:left w:val="nil"/>
              <w:bottom w:val="single" w:sz="6" w:space="0" w:color="78A22F"/>
              <w:right w:val="nil"/>
            </w:tcBorders>
            <w:shd w:val="clear" w:color="auto" w:fill="F2F2F2"/>
          </w:tcPr>
          <w:p w14:paraId="37F27C8E" w14:textId="61BA122F" w:rsidR="0074663B" w:rsidRPr="00037871" w:rsidRDefault="0074663B">
            <w:pPr>
              <w:pStyle w:val="Box"/>
              <w:spacing w:before="0" w:line="120" w:lineRule="exact"/>
              <w:rPr>
                <w:color w:val="00B050"/>
              </w:rPr>
            </w:pPr>
          </w:p>
        </w:tc>
      </w:tr>
      <w:tr w:rsidR="00037871" w:rsidRPr="00037871" w14:paraId="421B4DAA" w14:textId="77777777" w:rsidTr="007F5DB2">
        <w:tc>
          <w:tcPr>
            <w:tcW w:w="8789" w:type="dxa"/>
            <w:gridSpan w:val="3"/>
            <w:tcBorders>
              <w:top w:val="single" w:sz="6" w:space="0" w:color="78A22F"/>
              <w:left w:val="nil"/>
              <w:bottom w:val="nil"/>
              <w:right w:val="nil"/>
            </w:tcBorders>
          </w:tcPr>
          <w:p w14:paraId="7C6176E6" w14:textId="74507A79" w:rsidR="0074663B" w:rsidRPr="00037871" w:rsidRDefault="0074663B" w:rsidP="00F409A2">
            <w:pPr>
              <w:pStyle w:val="BoxSpaceBelow"/>
              <w:rPr>
                <w:color w:val="00B050"/>
              </w:rPr>
            </w:pPr>
          </w:p>
        </w:tc>
      </w:tr>
    </w:tbl>
    <w:p w14:paraId="2C7F5331" w14:textId="77777777" w:rsidR="0074663B" w:rsidRPr="00037871" w:rsidRDefault="0074663B">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4CB00C61" w14:textId="77777777" w:rsidTr="007F5DB2">
        <w:tc>
          <w:tcPr>
            <w:tcW w:w="8789" w:type="dxa"/>
            <w:gridSpan w:val="3"/>
            <w:tcBorders>
              <w:top w:val="single" w:sz="6" w:space="0" w:color="78A22F"/>
              <w:left w:val="nil"/>
              <w:bottom w:val="nil"/>
              <w:right w:val="nil"/>
            </w:tcBorders>
            <w:shd w:val="clear" w:color="auto" w:fill="F2F2F2"/>
          </w:tcPr>
          <w:p w14:paraId="2BA74FE0" w14:textId="77777777" w:rsidR="0074663B" w:rsidRPr="002F7C99" w:rsidRDefault="0074663B" w:rsidP="0074663B">
            <w:pPr>
              <w:pStyle w:val="BoxTitle"/>
            </w:pPr>
            <w:r w:rsidRPr="009909B8">
              <w:t>4.</w:t>
            </w:r>
            <w:r w:rsidRPr="002F7C99">
              <w:t>2</w:t>
            </w:r>
            <w:r w:rsidRPr="002F7C99">
              <w:tab/>
              <w:t>Young child mortality</w:t>
            </w:r>
          </w:p>
        </w:tc>
      </w:tr>
      <w:tr w:rsidR="00037871" w:rsidRPr="00037871" w14:paraId="1FA2DD39" w14:textId="77777777" w:rsidTr="00237AD4">
        <w:trPr>
          <w:cantSplit/>
        </w:trPr>
        <w:tc>
          <w:tcPr>
            <w:tcW w:w="3970" w:type="dxa"/>
            <w:tcBorders>
              <w:top w:val="nil"/>
              <w:left w:val="nil"/>
              <w:bottom w:val="nil"/>
              <w:right w:val="nil"/>
            </w:tcBorders>
            <w:shd w:val="clear" w:color="auto" w:fill="F2F2F2"/>
          </w:tcPr>
          <w:p w14:paraId="42AB8F11" w14:textId="01C9E179" w:rsidR="0015485D" w:rsidRDefault="00124A61" w:rsidP="0015485D">
            <w:pPr>
              <w:pStyle w:val="Box"/>
            </w:pPr>
            <w:r w:rsidRPr="009909B8">
              <w:t>Young child mortality (particularly infant mortality) is a long</w:t>
            </w:r>
            <w:r w:rsidR="00854EAB">
              <w:t>-</w:t>
            </w:r>
            <w:r w:rsidRPr="009909B8">
              <w:t>established indicator of child health and the physical and social environment.</w:t>
            </w:r>
          </w:p>
          <w:p w14:paraId="579B3A6A" w14:textId="1F4BB1A2" w:rsidR="00077C9E" w:rsidRPr="009909B8" w:rsidRDefault="00077C9E" w:rsidP="00934F0E">
            <w:pPr>
              <w:pStyle w:val="Box"/>
            </w:pPr>
            <w:r>
              <w:t>T</w:t>
            </w:r>
            <w:r w:rsidRPr="00077C9E">
              <w:t>he vast majority of babies of Aboriginal and Torres Strait Islander mothers (</w:t>
            </w:r>
            <w:r w:rsidR="00934F0E">
              <w:t xml:space="preserve">about </w:t>
            </w:r>
            <w:r w:rsidRPr="00077C9E">
              <w:t xml:space="preserve">97 </w:t>
            </w:r>
            <w:r>
              <w:t>per cent) are born healthy.</w:t>
            </w:r>
          </w:p>
        </w:tc>
        <w:tc>
          <w:tcPr>
            <w:tcW w:w="992" w:type="dxa"/>
            <w:tcBorders>
              <w:top w:val="nil"/>
              <w:left w:val="nil"/>
              <w:bottom w:val="nil"/>
              <w:right w:val="nil"/>
            </w:tcBorders>
            <w:shd w:val="clear" w:color="auto" w:fill="418A50"/>
          </w:tcPr>
          <w:p w14:paraId="791CE0C7" w14:textId="77777777" w:rsidR="0015485D" w:rsidRPr="00554197" w:rsidRDefault="0015485D" w:rsidP="0015485D">
            <w:pPr>
              <w:pStyle w:val="BoxHeading1"/>
              <w:jc w:val="center"/>
              <w:rPr>
                <w:rFonts w:cs="Arial"/>
                <w:b w:val="0"/>
                <w:sz w:val="48"/>
                <w:szCs w:val="48"/>
              </w:rPr>
            </w:pPr>
          </w:p>
          <w:p w14:paraId="63E81E30" w14:textId="5B675171" w:rsidR="0015485D" w:rsidRPr="000D7EAE" w:rsidRDefault="00B42D63" w:rsidP="00523CD9">
            <w:pPr>
              <w:pStyle w:val="BoxHeading1"/>
              <w:spacing w:before="120"/>
              <w:jc w:val="center"/>
            </w:pPr>
            <w:r w:rsidRPr="00B42D63">
              <w:rPr>
                <w:rFonts w:cs="Arial"/>
                <w:noProof/>
                <w:sz w:val="48"/>
                <w:szCs w:val="48"/>
              </w:rPr>
              <mc:AlternateContent>
                <mc:Choice Requires="wpg">
                  <w:drawing>
                    <wp:anchor distT="0" distB="0" distL="114300" distR="114300" simplePos="0" relativeHeight="251739136" behindDoc="0" locked="0" layoutInCell="1" allowOverlap="1" wp14:anchorId="25AC5596" wp14:editId="6473DF82">
                      <wp:simplePos x="0" y="0"/>
                      <wp:positionH relativeFrom="column">
                        <wp:posOffset>128141</wp:posOffset>
                      </wp:positionH>
                      <wp:positionV relativeFrom="paragraph">
                        <wp:posOffset>103505</wp:posOffset>
                      </wp:positionV>
                      <wp:extent cx="205105" cy="279400"/>
                      <wp:effectExtent l="19050" t="0" r="61595" b="6350"/>
                      <wp:wrapNone/>
                      <wp:docPr id="12"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3" name="Straight Connector 13"/>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 name="Straight Connector 14"/>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79112E9" id="Group 2" o:spid="_x0000_s1026" alt="Tick symbol" style="position:absolute;margin-left:10.1pt;margin-top:8.15pt;width:16.15pt;height:22pt;z-index:251739136;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">
                      <v:line id="Straight Connector 13"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" strokecolor="white [3212]" strokeweight="3pt">
                        <o:lock v:ext="edit" shapetype="f"/>
                      </v:line>
                      <v:line id="Straight Connector 14"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" strokecolor="white [3212]" strokeweight="3pt">
                        <o:lock v:ext="edit" shapetype="f"/>
                      </v:line>
                    </v:group>
                  </w:pict>
                </mc:Fallback>
              </mc:AlternateContent>
            </w:r>
          </w:p>
        </w:tc>
        <w:tc>
          <w:tcPr>
            <w:tcW w:w="3827" w:type="dxa"/>
            <w:tcBorders>
              <w:top w:val="nil"/>
              <w:left w:val="nil"/>
              <w:bottom w:val="nil"/>
              <w:right w:val="nil"/>
            </w:tcBorders>
            <w:shd w:val="clear" w:color="auto" w:fill="F2F2F2"/>
          </w:tcPr>
          <w:p w14:paraId="5ADB06DB" w14:textId="11357A1D" w:rsidR="0015485D" w:rsidRPr="00554197" w:rsidRDefault="001C57D0" w:rsidP="002929EE">
            <w:pPr>
              <w:pStyle w:val="Box"/>
            </w:pPr>
            <w:r w:rsidRPr="00554197">
              <w:t>From 1998 to 201</w:t>
            </w:r>
            <w:r>
              <w:t>8</w:t>
            </w:r>
            <w:r w:rsidRPr="00554197">
              <w:t xml:space="preserve">, there was a significant decline in mortality rates for Aboriginal and Torres Strait Islander children </w:t>
            </w:r>
            <w:r>
              <w:t>aged 0–4 years (</w:t>
            </w:r>
            <w:r w:rsidR="00356D8A">
              <w:t xml:space="preserve">from </w:t>
            </w:r>
            <w:r w:rsidR="000A022C" w:rsidRPr="003966D3">
              <w:t>217</w:t>
            </w:r>
            <w:r w:rsidR="000A022C">
              <w:t xml:space="preserve"> </w:t>
            </w:r>
            <w:r w:rsidR="00356D8A">
              <w:t>to 141</w:t>
            </w:r>
            <w:r w:rsidR="00B97C7F" w:rsidRPr="00554197">
              <w:t> </w:t>
            </w:r>
            <w:r w:rsidR="00124A61" w:rsidRPr="00554197">
              <w:t>deaths per 100 000 population), with the great</w:t>
            </w:r>
            <w:r w:rsidR="00B97C7F" w:rsidRPr="00554197">
              <w:t xml:space="preserve">est decrease in the infant </w:t>
            </w:r>
            <w:r w:rsidRPr="00554197">
              <w:t>(0</w:t>
            </w:r>
            <w:r w:rsidRPr="00C534CE">
              <w:rPr>
                <w:i/>
              </w:rPr>
              <w:t>–</w:t>
            </w:r>
            <w:r w:rsidRPr="00554197">
              <w:t>&lt;1 year)</w:t>
            </w:r>
            <w:r w:rsidR="00554197" w:rsidRPr="00554197">
              <w:t xml:space="preserve"> mortality rate (f</w:t>
            </w:r>
            <w:r w:rsidR="00356D8A">
              <w:t xml:space="preserve">rom </w:t>
            </w:r>
            <w:r w:rsidR="002929EE">
              <w:t xml:space="preserve">13 </w:t>
            </w:r>
            <w:r w:rsidR="00022839">
              <w:t xml:space="preserve">to </w:t>
            </w:r>
            <w:r w:rsidR="00356D8A">
              <w:t>5</w:t>
            </w:r>
            <w:r w:rsidR="00B97C7F" w:rsidRPr="00554197">
              <w:t> </w:t>
            </w:r>
            <w:r w:rsidR="00124A61" w:rsidRPr="00554197">
              <w:t>deaths per 1000 live births).</w:t>
            </w:r>
          </w:p>
        </w:tc>
      </w:tr>
      <w:tr w:rsidR="00037871" w:rsidRPr="00037871" w14:paraId="1052A463" w14:textId="77777777" w:rsidTr="007F5DB2">
        <w:trPr>
          <w:cantSplit/>
        </w:trPr>
        <w:tc>
          <w:tcPr>
            <w:tcW w:w="8789" w:type="dxa"/>
            <w:gridSpan w:val="3"/>
            <w:tcBorders>
              <w:top w:val="nil"/>
              <w:left w:val="nil"/>
              <w:bottom w:val="nil"/>
              <w:right w:val="nil"/>
            </w:tcBorders>
            <w:shd w:val="clear" w:color="auto" w:fill="F2F2F2"/>
          </w:tcPr>
          <w:p w14:paraId="460D8922" w14:textId="2D2B56BE" w:rsidR="0015485D" w:rsidRPr="00037871" w:rsidRDefault="00356D8A" w:rsidP="00AA3068">
            <w:pPr>
              <w:pStyle w:val="BoxHeading1"/>
              <w:rPr>
                <w:rStyle w:val="NoteLabel"/>
                <w:color w:val="00B050"/>
              </w:rPr>
            </w:pPr>
            <w:r>
              <w:t>Aboriginal and Torres Strait Islander young child mortality rates,</w:t>
            </w:r>
            <w:r w:rsidR="0015485D" w:rsidRPr="00554197">
              <w:t xml:space="preserve"> 1998 to 201</w:t>
            </w:r>
            <w:r>
              <w:t>8</w:t>
            </w:r>
            <w:proofErr w:type="spellStart"/>
            <w:r w:rsidR="0015485D" w:rsidRPr="00554197">
              <w:rPr>
                <w:rStyle w:val="NoteLabel"/>
                <w:b/>
              </w:rPr>
              <w:t>a,b</w:t>
            </w:r>
            <w:proofErr w:type="spellEnd"/>
          </w:p>
        </w:tc>
      </w:tr>
      <w:tr w:rsidR="00037871" w:rsidRPr="00037871" w14:paraId="547974A9" w14:textId="77777777" w:rsidTr="003C571D">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3B8ABCCA" w14:textId="1D2B4B73" w:rsidR="006263E3" w:rsidRPr="006406E1" w:rsidRDefault="009E3E9E" w:rsidP="006406E1">
            <w:pPr>
              <w:pStyle w:val="Box"/>
              <w:jc w:val="center"/>
            </w:pPr>
            <w:r w:rsidRPr="009E3E9E">
              <w:rPr>
                <w:noProof/>
              </w:rPr>
              <w:drawing>
                <wp:inline distT="0" distB="0" distL="0" distR="0" wp14:anchorId="4B5BCB27" wp14:editId="20FA493B">
                  <wp:extent cx="5400675" cy="2876550"/>
                  <wp:effectExtent l="0" t="0" r="0" b="0"/>
                  <wp:docPr id="60" name="Picture 60" descr="Aboriginal and Torres Strait Islander young child mortality rates, 1998 to 2018&#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r w:rsidR="00037871" w:rsidRPr="00037871" w14:paraId="3081EFDA" w14:textId="77777777" w:rsidTr="007F5DB2">
        <w:trPr>
          <w:cantSplit/>
        </w:trPr>
        <w:tc>
          <w:tcPr>
            <w:tcW w:w="8789" w:type="dxa"/>
            <w:gridSpan w:val="3"/>
            <w:tcBorders>
              <w:top w:val="nil"/>
              <w:left w:val="nil"/>
              <w:bottom w:val="nil"/>
              <w:right w:val="nil"/>
            </w:tcBorders>
            <w:shd w:val="clear" w:color="auto" w:fill="F2F2F2"/>
          </w:tcPr>
          <w:p w14:paraId="527D6B15" w14:textId="44F0EF43" w:rsidR="0074663B" w:rsidRPr="00554197" w:rsidRDefault="0074663B" w:rsidP="00AA3068">
            <w:pPr>
              <w:pStyle w:val="Note"/>
            </w:pPr>
            <w:r w:rsidRPr="00554197">
              <w:rPr>
                <w:rStyle w:val="NoteLabel"/>
              </w:rPr>
              <w:t>a</w:t>
            </w:r>
            <w:r w:rsidRPr="00554197">
              <w:rPr>
                <w:rFonts w:ascii="Arial Bold" w:hAnsi="Arial Bold"/>
                <w:b/>
                <w:vertAlign w:val="superscript"/>
              </w:rPr>
              <w:t xml:space="preserve"> </w:t>
            </w:r>
            <w:r w:rsidR="00124A61" w:rsidRPr="00554197">
              <w:t xml:space="preserve">Small numbers of </w:t>
            </w:r>
            <w:r w:rsidR="00D42A93" w:rsidRPr="00554197">
              <w:t>Aboriginal and Torres Strait Islander</w:t>
            </w:r>
            <w:r w:rsidR="00124A61" w:rsidRPr="00554197">
              <w:t xml:space="preserve"> infant </w:t>
            </w:r>
            <w:r w:rsidR="00512AE6" w:rsidRPr="00554197">
              <w:t xml:space="preserve">(0&lt;1 year old) </w:t>
            </w:r>
            <w:r w:rsidR="00124A61" w:rsidRPr="00554197">
              <w:t xml:space="preserve">deaths contribute to variability in the reported rates. </w:t>
            </w:r>
            <w:r w:rsidR="00124A61" w:rsidRPr="00554197">
              <w:rPr>
                <w:rStyle w:val="NoteLabel"/>
              </w:rPr>
              <w:t>b </w:t>
            </w:r>
            <w:r w:rsidR="00124A61" w:rsidRPr="00554197">
              <w:t xml:space="preserve">Totals here include NSW, Queensland, WA, SA and the NT. These five jurisdictions have sufficient </w:t>
            </w:r>
            <w:r w:rsidR="00315B62">
              <w:t xml:space="preserve">levels of </w:t>
            </w:r>
            <w:r w:rsidR="000D7EAE">
              <w:t>Aboriginal and Torres Strait Islander</w:t>
            </w:r>
            <w:r w:rsidR="00124A61" w:rsidRPr="00554197">
              <w:t xml:space="preserve"> </w:t>
            </w:r>
            <w:r w:rsidR="00E9056C">
              <w:t xml:space="preserve">identification and </w:t>
            </w:r>
            <w:r w:rsidR="00E9056C" w:rsidRPr="00554197">
              <w:t>numbers of</w:t>
            </w:r>
            <w:r w:rsidR="00E9056C">
              <w:t xml:space="preserve"> </w:t>
            </w:r>
            <w:r w:rsidR="00124A61" w:rsidRPr="00554197">
              <w:t>deaths for reporting purposes.</w:t>
            </w:r>
            <w:r w:rsidR="00F759AF">
              <w:t xml:space="preserve"> </w:t>
            </w:r>
          </w:p>
        </w:tc>
      </w:tr>
      <w:tr w:rsidR="00037871" w:rsidRPr="00037871" w14:paraId="1062C7BB" w14:textId="77777777" w:rsidTr="007F5DB2">
        <w:trPr>
          <w:cantSplit/>
        </w:trPr>
        <w:tc>
          <w:tcPr>
            <w:tcW w:w="8789" w:type="dxa"/>
            <w:gridSpan w:val="3"/>
            <w:tcBorders>
              <w:top w:val="nil"/>
              <w:left w:val="nil"/>
              <w:bottom w:val="nil"/>
              <w:right w:val="nil"/>
            </w:tcBorders>
            <w:shd w:val="clear" w:color="auto" w:fill="F2F2F2"/>
          </w:tcPr>
          <w:p w14:paraId="03DB5544" w14:textId="1A4E326B" w:rsidR="0074663B" w:rsidRPr="00554197" w:rsidRDefault="0074663B" w:rsidP="003D7A8A">
            <w:pPr>
              <w:pStyle w:val="BoxSource"/>
            </w:pPr>
            <w:r w:rsidRPr="00554197">
              <w:rPr>
                <w:i/>
              </w:rPr>
              <w:t>Source</w:t>
            </w:r>
            <w:r w:rsidRPr="00554197">
              <w:t xml:space="preserve">: </w:t>
            </w:r>
            <w:r w:rsidR="00356D8A">
              <w:rPr>
                <w:iCs/>
              </w:rPr>
              <w:t xml:space="preserve">Figure </w:t>
            </w:r>
            <w:r w:rsidR="001C57D0">
              <w:rPr>
                <w:iCs/>
              </w:rPr>
              <w:t>4.2.2</w:t>
            </w:r>
            <w:r w:rsidR="001C57D0" w:rsidRPr="00554197">
              <w:rPr>
                <w:iCs/>
              </w:rPr>
              <w:t xml:space="preserve"> in </w:t>
            </w:r>
            <w:r w:rsidRPr="00554197">
              <w:rPr>
                <w:iCs/>
              </w:rPr>
              <w:t xml:space="preserve">the main </w:t>
            </w:r>
            <w:r w:rsidR="003D7A8A">
              <w:rPr>
                <w:iCs/>
              </w:rPr>
              <w:t>R</w:t>
            </w:r>
            <w:r w:rsidR="003D7A8A" w:rsidRPr="00554197">
              <w:rPr>
                <w:iCs/>
              </w:rPr>
              <w:t>eport</w:t>
            </w:r>
            <w:r w:rsidRPr="00554197">
              <w:rPr>
                <w:iCs/>
              </w:rPr>
              <w:t>.</w:t>
            </w:r>
          </w:p>
        </w:tc>
      </w:tr>
      <w:tr w:rsidR="00037871" w:rsidRPr="00037871" w14:paraId="47A06446" w14:textId="77777777" w:rsidTr="007F5DB2">
        <w:trPr>
          <w:cantSplit/>
        </w:trPr>
        <w:tc>
          <w:tcPr>
            <w:tcW w:w="8789" w:type="dxa"/>
            <w:gridSpan w:val="3"/>
            <w:tcBorders>
              <w:top w:val="nil"/>
              <w:left w:val="nil"/>
              <w:bottom w:val="single" w:sz="6" w:space="0" w:color="78A22F"/>
              <w:right w:val="nil"/>
            </w:tcBorders>
            <w:shd w:val="clear" w:color="auto" w:fill="F2F2F2"/>
          </w:tcPr>
          <w:p w14:paraId="389502FD" w14:textId="77777777" w:rsidR="0074663B" w:rsidRPr="00037871" w:rsidRDefault="0074663B">
            <w:pPr>
              <w:pStyle w:val="Box"/>
              <w:spacing w:before="0" w:line="120" w:lineRule="exact"/>
              <w:rPr>
                <w:color w:val="00B050"/>
              </w:rPr>
            </w:pPr>
          </w:p>
        </w:tc>
      </w:tr>
      <w:tr w:rsidR="00037871" w:rsidRPr="00037871" w14:paraId="2C6965CD" w14:textId="77777777" w:rsidTr="007F5DB2">
        <w:tc>
          <w:tcPr>
            <w:tcW w:w="8789" w:type="dxa"/>
            <w:gridSpan w:val="3"/>
            <w:tcBorders>
              <w:top w:val="single" w:sz="6" w:space="0" w:color="78A22F"/>
              <w:left w:val="nil"/>
              <w:bottom w:val="nil"/>
              <w:right w:val="nil"/>
            </w:tcBorders>
          </w:tcPr>
          <w:p w14:paraId="6F33AC64" w14:textId="77777777" w:rsidR="0074663B" w:rsidRPr="00037871" w:rsidRDefault="0074663B" w:rsidP="00F409A2">
            <w:pPr>
              <w:pStyle w:val="BoxSpaceBelow"/>
              <w:rPr>
                <w:color w:val="00B050"/>
              </w:rPr>
            </w:pPr>
          </w:p>
        </w:tc>
      </w:tr>
    </w:tbl>
    <w:p w14:paraId="62732B7C" w14:textId="77777777" w:rsidR="00444B6F" w:rsidRPr="00037871" w:rsidRDefault="00444B6F">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083EED76" w14:textId="77777777" w:rsidTr="007F5DB2">
        <w:tc>
          <w:tcPr>
            <w:tcW w:w="8789" w:type="dxa"/>
            <w:gridSpan w:val="3"/>
            <w:tcBorders>
              <w:top w:val="single" w:sz="6" w:space="0" w:color="78A22F"/>
              <w:left w:val="nil"/>
              <w:bottom w:val="nil"/>
              <w:right w:val="nil"/>
            </w:tcBorders>
            <w:shd w:val="clear" w:color="auto" w:fill="F2F2F2"/>
          </w:tcPr>
          <w:p w14:paraId="77580EDB" w14:textId="77777777" w:rsidR="00444B6F" w:rsidRPr="002F7C99" w:rsidRDefault="00444B6F" w:rsidP="00B962F2">
            <w:pPr>
              <w:pStyle w:val="BoxTitle"/>
            </w:pPr>
            <w:r w:rsidRPr="002F7C99">
              <w:t>4.3</w:t>
            </w:r>
            <w:r w:rsidRPr="002F7C99">
              <w:tab/>
              <w:t>Early childhood education</w:t>
            </w:r>
            <w:r w:rsidR="00554197">
              <w:t xml:space="preserve"> </w:t>
            </w:r>
          </w:p>
        </w:tc>
      </w:tr>
      <w:tr w:rsidR="00037871" w:rsidRPr="00037871" w14:paraId="2E96C432" w14:textId="77777777" w:rsidTr="00237AD4">
        <w:trPr>
          <w:cantSplit/>
        </w:trPr>
        <w:tc>
          <w:tcPr>
            <w:tcW w:w="3970" w:type="dxa"/>
            <w:tcBorders>
              <w:top w:val="nil"/>
              <w:left w:val="nil"/>
              <w:bottom w:val="nil"/>
              <w:right w:val="nil"/>
            </w:tcBorders>
            <w:shd w:val="clear" w:color="auto" w:fill="F2F2F2"/>
          </w:tcPr>
          <w:p w14:paraId="371F53DC" w14:textId="0FB8CB23" w:rsidR="00077C9E" w:rsidRPr="009909B8" w:rsidRDefault="00077C9E" w:rsidP="00444B6F">
            <w:pPr>
              <w:pStyle w:val="Box"/>
            </w:pPr>
            <w:r w:rsidRPr="00077C9E">
              <w:t>Participating in early childhood education (through a preschool program) is important for all children to furthe</w:t>
            </w:r>
            <w:r>
              <w:t>r build their cognitive and non-</w:t>
            </w:r>
            <w:r w:rsidRPr="00077C9E">
              <w:t>cognitive skills, which also assists in preparing them for the formal school system</w:t>
            </w:r>
            <w:r>
              <w:t>.</w:t>
            </w:r>
          </w:p>
        </w:tc>
        <w:tc>
          <w:tcPr>
            <w:tcW w:w="992" w:type="dxa"/>
            <w:tcBorders>
              <w:top w:val="nil"/>
              <w:left w:val="nil"/>
              <w:bottom w:val="nil"/>
              <w:right w:val="nil"/>
            </w:tcBorders>
            <w:shd w:val="clear" w:color="auto" w:fill="418A50"/>
          </w:tcPr>
          <w:p w14:paraId="47E0F9E2" w14:textId="77777777" w:rsidR="00444B6F" w:rsidRPr="00B962F2" w:rsidRDefault="00444B6F" w:rsidP="00444B6F">
            <w:pPr>
              <w:pStyle w:val="BoxHeading1"/>
            </w:pPr>
          </w:p>
          <w:p w14:paraId="1CDF4093" w14:textId="2B207D93" w:rsidR="00444B6F" w:rsidRPr="00B962F2" w:rsidRDefault="00444B6F" w:rsidP="00444B6F">
            <w:pPr>
              <w:pStyle w:val="Box"/>
            </w:pPr>
          </w:p>
          <w:p w14:paraId="3BBD0957" w14:textId="4484972A" w:rsidR="00444B6F" w:rsidRPr="005254A0" w:rsidRDefault="00B42D63" w:rsidP="00523CD9">
            <w:pPr>
              <w:pStyle w:val="Box"/>
              <w:spacing w:before="0"/>
              <w:jc w:val="center"/>
              <w:rPr>
                <w:b/>
                <w:sz w:val="48"/>
                <w:szCs w:val="48"/>
              </w:rPr>
            </w:pPr>
            <w:r w:rsidRPr="00B42D63">
              <w:rPr>
                <w:rFonts w:cs="Arial"/>
                <w:b/>
                <w:noProof/>
                <w:sz w:val="48"/>
                <w:szCs w:val="48"/>
              </w:rPr>
              <mc:AlternateContent>
                <mc:Choice Requires="wpg">
                  <w:drawing>
                    <wp:anchor distT="0" distB="0" distL="114300" distR="114300" simplePos="0" relativeHeight="251741184" behindDoc="0" locked="0" layoutInCell="1" allowOverlap="1" wp14:anchorId="2DA80FAF" wp14:editId="112871E6">
                      <wp:simplePos x="0" y="0"/>
                      <wp:positionH relativeFrom="column">
                        <wp:posOffset>111889</wp:posOffset>
                      </wp:positionH>
                      <wp:positionV relativeFrom="paragraph">
                        <wp:posOffset>3175</wp:posOffset>
                      </wp:positionV>
                      <wp:extent cx="205105" cy="279400"/>
                      <wp:effectExtent l="19050" t="0" r="61595" b="6350"/>
                      <wp:wrapNone/>
                      <wp:docPr id="17"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9" name="Straight Connector 19"/>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2" name="Straight Connector 22"/>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F69D8DF" id="Group 2" o:spid="_x0000_s1026" alt="Tick symbol" style="position:absolute;margin-left:8.8pt;margin-top:.25pt;width:16.15pt;height:22pt;z-index:251741184;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">
                      <v:line id="Straight Connector 19"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" strokecolor="white [3212]" strokeweight="3pt">
                        <o:lock v:ext="edit" shapetype="f"/>
                      </v:line>
                      <v:line id="Straight Connector 22"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" strokecolor="white [3212]" strokeweight="3pt">
                        <o:lock v:ext="edit" shapetype="f"/>
                      </v:line>
                    </v:group>
                  </w:pict>
                </mc:Fallback>
              </mc:AlternateContent>
            </w:r>
          </w:p>
        </w:tc>
        <w:tc>
          <w:tcPr>
            <w:tcW w:w="3827" w:type="dxa"/>
            <w:tcBorders>
              <w:top w:val="nil"/>
              <w:left w:val="nil"/>
              <w:bottom w:val="nil"/>
              <w:right w:val="nil"/>
            </w:tcBorders>
            <w:shd w:val="clear" w:color="auto" w:fill="F2F2F2"/>
          </w:tcPr>
          <w:p w14:paraId="5E1C2273" w14:textId="77777777" w:rsidR="00B97C7F" w:rsidRPr="00B962F2" w:rsidRDefault="00444B6F" w:rsidP="00B97C7F">
            <w:pPr>
              <w:pStyle w:val="Box"/>
            </w:pPr>
            <w:r w:rsidRPr="00B962F2">
              <w:t>In 201</w:t>
            </w:r>
            <w:r w:rsidR="00356D8A">
              <w:t>9</w:t>
            </w:r>
            <w:r w:rsidRPr="00B962F2">
              <w:t>, for Aboriginal and Torres Strait Islander children in the y</w:t>
            </w:r>
            <w:r w:rsidR="00B97C7F" w:rsidRPr="00B962F2">
              <w:t>ear before full time schooling:</w:t>
            </w:r>
          </w:p>
          <w:p w14:paraId="7862796E" w14:textId="4B9A5DA3" w:rsidR="00444B6F" w:rsidRPr="00B962F2" w:rsidRDefault="00356D8A" w:rsidP="00B97C7F">
            <w:pPr>
              <w:pStyle w:val="BoxListBullet"/>
            </w:pPr>
            <w:r>
              <w:t xml:space="preserve">92 </w:t>
            </w:r>
            <w:r w:rsidR="00444B6F" w:rsidRPr="00B962F2">
              <w:t>per cent were enrolled in preschool</w:t>
            </w:r>
            <w:r>
              <w:t>, a</w:t>
            </w:r>
            <w:r w:rsidR="00BC33A4">
              <w:t>n</w:t>
            </w:r>
            <w:r>
              <w:t xml:space="preserve"> increase since 2016</w:t>
            </w:r>
          </w:p>
          <w:p w14:paraId="527005AE" w14:textId="47A13F2E" w:rsidR="00D44B60" w:rsidRPr="00B962F2" w:rsidRDefault="00356D8A" w:rsidP="00A82426">
            <w:pPr>
              <w:pStyle w:val="BoxListBullet"/>
            </w:pPr>
            <w:r>
              <w:t>94</w:t>
            </w:r>
            <w:r w:rsidR="00444B6F" w:rsidRPr="00B962F2">
              <w:t xml:space="preserve"> per cent were attending preschool</w:t>
            </w:r>
            <w:r>
              <w:t>, similar to 2016</w:t>
            </w:r>
            <w:r w:rsidR="00B962F2" w:rsidRPr="00B962F2">
              <w:t>.</w:t>
            </w:r>
          </w:p>
        </w:tc>
      </w:tr>
      <w:tr w:rsidR="00215DAA" w:rsidRPr="00215DAA" w14:paraId="13C0491E" w14:textId="77777777" w:rsidTr="007F5DB2">
        <w:trPr>
          <w:cantSplit/>
        </w:trPr>
        <w:tc>
          <w:tcPr>
            <w:tcW w:w="8789" w:type="dxa"/>
            <w:gridSpan w:val="3"/>
            <w:tcBorders>
              <w:top w:val="nil"/>
              <w:left w:val="nil"/>
              <w:bottom w:val="nil"/>
              <w:right w:val="nil"/>
            </w:tcBorders>
            <w:shd w:val="clear" w:color="auto" w:fill="F2F2F2"/>
          </w:tcPr>
          <w:p w14:paraId="68F17FCA" w14:textId="77777777" w:rsidR="00444B6F" w:rsidRPr="00215DAA" w:rsidRDefault="009C1978" w:rsidP="00831664">
            <w:pPr>
              <w:pStyle w:val="BoxHeading1"/>
              <w:rPr>
                <w:i/>
              </w:rPr>
            </w:pPr>
            <w:r>
              <w:t>C</w:t>
            </w:r>
            <w:r w:rsidR="00831664" w:rsidRPr="00EA1062">
              <w:t>hildren enrolled in</w:t>
            </w:r>
            <w:r>
              <w:t xml:space="preserve"> a preschool program in the year before full time schooling, by Indigenous status</w:t>
            </w:r>
          </w:p>
        </w:tc>
      </w:tr>
      <w:tr w:rsidR="00831664" w:rsidRPr="00037871" w14:paraId="6F81AE91" w14:textId="77777777" w:rsidTr="007F486F">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3B721B9F" w14:textId="77777777" w:rsidR="006263E3" w:rsidRPr="006263E3" w:rsidRDefault="006263E3" w:rsidP="006D7435">
            <w:pPr>
              <w:pStyle w:val="Figure"/>
              <w:spacing w:before="0" w:after="0" w:line="40" w:lineRule="atLeast"/>
              <w:jc w:val="both"/>
              <w:rPr>
                <w:rFonts w:ascii="Arial" w:hAnsi="Arial" w:cs="Arial"/>
                <w:sz w:val="12"/>
                <w:szCs w:val="12"/>
              </w:rPr>
            </w:pPr>
          </w:p>
          <w:p w14:paraId="52C1CA7B" w14:textId="407B204D" w:rsidR="006263E3" w:rsidRPr="00831664" w:rsidRDefault="009E3E9E" w:rsidP="006406E1">
            <w:pPr>
              <w:pStyle w:val="Figure"/>
              <w:spacing w:before="60" w:after="60"/>
              <w:rPr>
                <w:rFonts w:cs="Arial"/>
                <w:sz w:val="18"/>
                <w:szCs w:val="18"/>
              </w:rPr>
            </w:pPr>
            <w:r w:rsidRPr="009E3E9E">
              <w:rPr>
                <w:noProof/>
              </w:rPr>
              <w:drawing>
                <wp:inline distT="0" distB="0" distL="0" distR="0" wp14:anchorId="6AF520DB" wp14:editId="4E92FF77">
                  <wp:extent cx="2847975" cy="2447925"/>
                  <wp:effectExtent l="0" t="0" r="0" b="0"/>
                  <wp:docPr id="61" name="Picture 61" descr="Children enrolled in a preschool program in the year before full time schooling, by Indigenous status&#10;&#10;Aboriginal and Torres Strait Islander&#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7975" cy="2447925"/>
                          </a:xfrm>
                          <a:prstGeom prst="rect">
                            <a:avLst/>
                          </a:prstGeom>
                          <a:noFill/>
                          <a:ln>
                            <a:noFill/>
                          </a:ln>
                        </pic:spPr>
                      </pic:pic>
                    </a:graphicData>
                  </a:graphic>
                </wp:inline>
              </w:drawing>
            </w:r>
            <w:r w:rsidRPr="009E3E9E">
              <w:rPr>
                <w:noProof/>
              </w:rPr>
              <w:drawing>
                <wp:inline distT="0" distB="0" distL="0" distR="0" wp14:anchorId="491CD1D0" wp14:editId="785F5BBB">
                  <wp:extent cx="2524125" cy="2447925"/>
                  <wp:effectExtent l="0" t="0" r="0" b="0"/>
                  <wp:docPr id="62" name="Picture 62" descr="Children enrolled in a preschool program in the year before full time schooling, by Indigenous status&#10;&#10;Non-Indigenous&#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4125" cy="2447925"/>
                          </a:xfrm>
                          <a:prstGeom prst="rect">
                            <a:avLst/>
                          </a:prstGeom>
                          <a:noFill/>
                          <a:ln>
                            <a:noFill/>
                          </a:ln>
                        </pic:spPr>
                      </pic:pic>
                    </a:graphicData>
                  </a:graphic>
                </wp:inline>
              </w:drawing>
            </w:r>
            <w:r w:rsidR="00831664">
              <w:rPr>
                <w:rFonts w:ascii="Arial" w:hAnsi="Arial" w:cs="Arial"/>
                <w:sz w:val="18"/>
                <w:szCs w:val="18"/>
              </w:rPr>
              <w:br/>
            </w:r>
            <w:r w:rsidRPr="009E3E9E">
              <w:rPr>
                <w:rFonts w:cs="Arial"/>
                <w:noProof/>
                <w:sz w:val="18"/>
                <w:szCs w:val="18"/>
              </w:rPr>
              <w:drawing>
                <wp:inline distT="0" distB="0" distL="0" distR="0" wp14:anchorId="545ACC5F" wp14:editId="7D4F1D86">
                  <wp:extent cx="5362575" cy="247650"/>
                  <wp:effectExtent l="0" t="0" r="0" b="0"/>
                  <wp:docPr id="63" name="Picture 63" descr="Legend to Figure - Children enrolled in a preschool program in the year before full time schooling, by Indigenous status&#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362575" cy="247650"/>
                          </a:xfrm>
                          <a:prstGeom prst="rect">
                            <a:avLst/>
                          </a:prstGeom>
                          <a:noFill/>
                          <a:ln>
                            <a:noFill/>
                          </a:ln>
                        </pic:spPr>
                      </pic:pic>
                    </a:graphicData>
                  </a:graphic>
                </wp:inline>
              </w:drawing>
            </w:r>
          </w:p>
        </w:tc>
      </w:tr>
      <w:tr w:rsidR="00037871" w:rsidRPr="00037871" w14:paraId="385CB42E" w14:textId="77777777" w:rsidTr="007F5DB2">
        <w:trPr>
          <w:cantSplit/>
        </w:trPr>
        <w:tc>
          <w:tcPr>
            <w:tcW w:w="8789" w:type="dxa"/>
            <w:gridSpan w:val="3"/>
            <w:tcBorders>
              <w:top w:val="nil"/>
              <w:left w:val="nil"/>
              <w:bottom w:val="nil"/>
              <w:right w:val="nil"/>
            </w:tcBorders>
            <w:shd w:val="clear" w:color="auto" w:fill="F2F2F2"/>
          </w:tcPr>
          <w:p w14:paraId="5D12E15E" w14:textId="3A124945" w:rsidR="00444B6F" w:rsidRPr="00143FA8" w:rsidRDefault="00831664" w:rsidP="003D7A8A">
            <w:pPr>
              <w:pStyle w:val="Box"/>
              <w:rPr>
                <w:color w:val="00B050"/>
                <w:sz w:val="18"/>
                <w:szCs w:val="18"/>
              </w:rPr>
            </w:pPr>
            <w:r w:rsidRPr="00143FA8">
              <w:rPr>
                <w:i/>
                <w:sz w:val="18"/>
                <w:szCs w:val="18"/>
              </w:rPr>
              <w:t>Source</w:t>
            </w:r>
            <w:r w:rsidRPr="00143FA8">
              <w:rPr>
                <w:sz w:val="18"/>
                <w:szCs w:val="18"/>
              </w:rPr>
              <w:t xml:space="preserve">: </w:t>
            </w:r>
            <w:r w:rsidRPr="00143FA8">
              <w:rPr>
                <w:iCs/>
                <w:sz w:val="18"/>
                <w:szCs w:val="18"/>
              </w:rPr>
              <w:t>Figure 4.</w:t>
            </w:r>
            <w:r w:rsidR="009C1978" w:rsidRPr="00143FA8">
              <w:rPr>
                <w:iCs/>
                <w:sz w:val="18"/>
                <w:szCs w:val="18"/>
              </w:rPr>
              <w:t>3</w:t>
            </w:r>
            <w:r w:rsidRPr="00143FA8">
              <w:rPr>
                <w:iCs/>
                <w:sz w:val="18"/>
                <w:szCs w:val="18"/>
              </w:rPr>
              <w:t xml:space="preserve">.1 in the main </w:t>
            </w:r>
            <w:r w:rsidR="003D7A8A" w:rsidRPr="00143FA8">
              <w:rPr>
                <w:iCs/>
                <w:sz w:val="18"/>
                <w:szCs w:val="18"/>
              </w:rPr>
              <w:t>Report</w:t>
            </w:r>
            <w:r w:rsidRPr="00143FA8">
              <w:rPr>
                <w:iCs/>
                <w:sz w:val="18"/>
                <w:szCs w:val="18"/>
              </w:rPr>
              <w:t>.</w:t>
            </w:r>
          </w:p>
        </w:tc>
      </w:tr>
      <w:tr w:rsidR="00037871" w:rsidRPr="00037871" w14:paraId="5E79DE05" w14:textId="77777777" w:rsidTr="007F5DB2">
        <w:trPr>
          <w:cantSplit/>
        </w:trPr>
        <w:tc>
          <w:tcPr>
            <w:tcW w:w="8789" w:type="dxa"/>
            <w:gridSpan w:val="3"/>
            <w:tcBorders>
              <w:top w:val="nil"/>
              <w:left w:val="nil"/>
              <w:bottom w:val="single" w:sz="6" w:space="0" w:color="78A22F"/>
              <w:right w:val="nil"/>
            </w:tcBorders>
            <w:shd w:val="clear" w:color="auto" w:fill="F2F2F2"/>
          </w:tcPr>
          <w:p w14:paraId="57792B2A" w14:textId="77777777" w:rsidR="00444B6F" w:rsidRPr="00037871" w:rsidRDefault="00444B6F">
            <w:pPr>
              <w:pStyle w:val="Box"/>
              <w:spacing w:before="0" w:line="120" w:lineRule="exact"/>
              <w:rPr>
                <w:color w:val="00B050"/>
              </w:rPr>
            </w:pPr>
          </w:p>
        </w:tc>
      </w:tr>
    </w:tbl>
    <w:p w14:paraId="1180FE40" w14:textId="77777777" w:rsidR="00444B6F" w:rsidRPr="00037871" w:rsidRDefault="00444B6F">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3C4D49C7" w14:textId="77777777" w:rsidTr="007F5DB2">
        <w:tc>
          <w:tcPr>
            <w:tcW w:w="8789" w:type="dxa"/>
            <w:gridSpan w:val="3"/>
            <w:tcBorders>
              <w:top w:val="single" w:sz="6" w:space="0" w:color="78A22F"/>
              <w:left w:val="nil"/>
              <w:bottom w:val="nil"/>
              <w:right w:val="nil"/>
            </w:tcBorders>
            <w:shd w:val="clear" w:color="auto" w:fill="F2F2F2"/>
          </w:tcPr>
          <w:p w14:paraId="1CA68BC8" w14:textId="77777777" w:rsidR="00444B6F" w:rsidRPr="002F7C99" w:rsidRDefault="00444B6F" w:rsidP="00444B6F">
            <w:pPr>
              <w:pStyle w:val="BoxTitle"/>
            </w:pPr>
            <w:r w:rsidRPr="002F7C99">
              <w:t>4.4</w:t>
            </w:r>
            <w:r w:rsidRPr="002F7C99">
              <w:tab/>
              <w:t>Reading, writing and numeracy</w:t>
            </w:r>
          </w:p>
        </w:tc>
      </w:tr>
      <w:tr w:rsidR="00037871" w:rsidRPr="00037871" w14:paraId="2E20B1DA" w14:textId="77777777" w:rsidTr="007F5DB2">
        <w:trPr>
          <w:cantSplit/>
        </w:trPr>
        <w:tc>
          <w:tcPr>
            <w:tcW w:w="8789" w:type="dxa"/>
            <w:gridSpan w:val="3"/>
            <w:tcBorders>
              <w:top w:val="nil"/>
              <w:left w:val="nil"/>
              <w:bottom w:val="nil"/>
              <w:right w:val="nil"/>
            </w:tcBorders>
            <w:shd w:val="clear" w:color="auto" w:fill="F2F2F2"/>
          </w:tcPr>
          <w:p w14:paraId="7C143420" w14:textId="77777777" w:rsidR="00444B6F" w:rsidRPr="00E4557C" w:rsidRDefault="00444B6F" w:rsidP="008528B1">
            <w:pPr>
              <w:pStyle w:val="Box"/>
              <w:spacing w:after="120"/>
            </w:pPr>
          </w:p>
        </w:tc>
      </w:tr>
      <w:tr w:rsidR="00554197" w:rsidRPr="00037871" w14:paraId="18E1297C" w14:textId="77777777" w:rsidTr="00237AD4">
        <w:trPr>
          <w:cantSplit/>
        </w:trPr>
        <w:tc>
          <w:tcPr>
            <w:tcW w:w="3970" w:type="dxa"/>
            <w:tcBorders>
              <w:top w:val="nil"/>
              <w:left w:val="nil"/>
              <w:bottom w:val="nil"/>
              <w:right w:val="nil"/>
            </w:tcBorders>
            <w:shd w:val="clear" w:color="auto" w:fill="F2F2F2"/>
          </w:tcPr>
          <w:p w14:paraId="3753C659" w14:textId="30B18CDD" w:rsidR="00554197" w:rsidRPr="00E4557C" w:rsidRDefault="00413682" w:rsidP="00834478">
            <w:pPr>
              <w:pStyle w:val="Box"/>
            </w:pPr>
            <w:r w:rsidRPr="00413682">
              <w:t>Developing a strong grounding in reading, writing and numeracy is a key part of a quality education and important for all children</w:t>
            </w:r>
            <w:r w:rsidR="00554197" w:rsidRPr="00E4557C">
              <w:t>.</w:t>
            </w:r>
          </w:p>
        </w:tc>
        <w:tc>
          <w:tcPr>
            <w:tcW w:w="992" w:type="dxa"/>
            <w:tcBorders>
              <w:top w:val="nil"/>
              <w:left w:val="nil"/>
              <w:bottom w:val="nil"/>
              <w:right w:val="nil"/>
            </w:tcBorders>
            <w:shd w:val="clear" w:color="auto" w:fill="7E7397"/>
          </w:tcPr>
          <w:p w14:paraId="23ED091E" w14:textId="77777777" w:rsidR="00554197" w:rsidRPr="003774EF" w:rsidRDefault="00554197" w:rsidP="00834478">
            <w:pPr>
              <w:pStyle w:val="BoxHeading1"/>
              <w:jc w:val="center"/>
              <w:rPr>
                <w:rFonts w:cs="Arial"/>
                <w:b w:val="0"/>
                <w:sz w:val="48"/>
                <w:szCs w:val="48"/>
              </w:rPr>
            </w:pPr>
          </w:p>
          <w:p w14:paraId="578393FF" w14:textId="77777777" w:rsidR="00554197" w:rsidRPr="003774EF" w:rsidRDefault="002D76C7" w:rsidP="00523CD9">
            <w:pPr>
              <w:pStyle w:val="BoxHeading1"/>
              <w:spacing w:before="320"/>
              <w:jc w:val="center"/>
            </w:pPr>
            <w:r w:rsidRPr="005254A0">
              <w:rPr>
                <w:color w:val="FFFFFF" w:themeColor="background1"/>
                <w:sz w:val="48"/>
                <w:szCs w:val="48"/>
              </w:rPr>
              <w:t>?</w:t>
            </w:r>
          </w:p>
        </w:tc>
        <w:tc>
          <w:tcPr>
            <w:tcW w:w="3827" w:type="dxa"/>
            <w:tcBorders>
              <w:top w:val="nil"/>
              <w:left w:val="nil"/>
              <w:bottom w:val="nil"/>
              <w:right w:val="nil"/>
            </w:tcBorders>
            <w:shd w:val="clear" w:color="auto" w:fill="F2F2F2"/>
          </w:tcPr>
          <w:p w14:paraId="6DD17E24" w14:textId="77777777" w:rsidR="00494726" w:rsidRPr="009C1978" w:rsidRDefault="009737B6" w:rsidP="009C1978">
            <w:pPr>
              <w:pStyle w:val="Box"/>
            </w:pPr>
            <w:r w:rsidRPr="002D76C7">
              <w:t xml:space="preserve">Comparing </w:t>
            </w:r>
            <w:r w:rsidR="00554197" w:rsidRPr="002D76C7">
              <w:t xml:space="preserve">2008 </w:t>
            </w:r>
            <w:r w:rsidRPr="002D76C7">
              <w:t>and</w:t>
            </w:r>
            <w:r w:rsidR="00CE26DA" w:rsidRPr="002D76C7">
              <w:t xml:space="preserve"> </w:t>
            </w:r>
            <w:r w:rsidR="009C1978">
              <w:t>2019</w:t>
            </w:r>
            <w:r w:rsidR="00554197" w:rsidRPr="002D76C7">
              <w:t>, the proportion of Aboriginal and Torres Strait Islander students achieving national minimum standards increased for Years 3</w:t>
            </w:r>
            <w:r w:rsidR="009C1978">
              <w:t xml:space="preserve"> and</w:t>
            </w:r>
            <w:r w:rsidR="00554197" w:rsidRPr="002D76C7">
              <w:t xml:space="preserve"> 5 for reading, and for Years </w:t>
            </w:r>
            <w:r w:rsidR="00215DAA" w:rsidRPr="002D76C7">
              <w:t>5 and 9</w:t>
            </w:r>
            <w:r w:rsidR="00554197" w:rsidRPr="002D76C7">
              <w:t xml:space="preserve"> for numeracy. </w:t>
            </w:r>
            <w:r w:rsidRPr="002D76C7">
              <w:t xml:space="preserve"> However, volatility in the data means conclusions drawn from comparisons </w:t>
            </w:r>
            <w:r w:rsidR="005D6C71" w:rsidRPr="002D76C7">
              <w:t xml:space="preserve">should not be interpreted as consistent improvement </w:t>
            </w:r>
            <w:r w:rsidRPr="002D76C7">
              <w:t>over time.</w:t>
            </w:r>
          </w:p>
        </w:tc>
      </w:tr>
      <w:tr w:rsidR="002D76C7" w:rsidRPr="00037871" w14:paraId="77B4A2E6" w14:textId="77777777" w:rsidTr="007F5DB2">
        <w:trPr>
          <w:cantSplit/>
        </w:trPr>
        <w:tc>
          <w:tcPr>
            <w:tcW w:w="8789" w:type="dxa"/>
            <w:gridSpan w:val="3"/>
            <w:tcBorders>
              <w:top w:val="nil"/>
              <w:left w:val="nil"/>
              <w:bottom w:val="nil"/>
              <w:right w:val="nil"/>
            </w:tcBorders>
            <w:shd w:val="clear" w:color="auto" w:fill="F2F2F2"/>
          </w:tcPr>
          <w:p w14:paraId="11013E03" w14:textId="77777777" w:rsidR="002D76C7" w:rsidRPr="00FE5D53" w:rsidRDefault="00FE5D53" w:rsidP="002D76C7">
            <w:pPr>
              <w:pStyle w:val="BoxHeading2"/>
              <w:spacing w:before="120"/>
              <w:rPr>
                <w:sz w:val="20"/>
              </w:rPr>
            </w:pPr>
            <w:r w:rsidRPr="00FE5D53">
              <w:rPr>
                <w:sz w:val="20"/>
              </w:rPr>
              <w:t>Results for this indicator have fluctuated over time with no clear trend</w:t>
            </w:r>
            <w:r w:rsidR="002D76C7" w:rsidRPr="00FE5D53">
              <w:rPr>
                <w:sz w:val="20"/>
              </w:rPr>
              <w:t>.</w:t>
            </w:r>
          </w:p>
        </w:tc>
      </w:tr>
      <w:tr w:rsidR="00037871" w:rsidRPr="00037871" w14:paraId="161D6B5F" w14:textId="77777777" w:rsidTr="007F5DB2">
        <w:trPr>
          <w:cantSplit/>
        </w:trPr>
        <w:tc>
          <w:tcPr>
            <w:tcW w:w="8789" w:type="dxa"/>
            <w:gridSpan w:val="3"/>
            <w:tcBorders>
              <w:top w:val="nil"/>
              <w:left w:val="nil"/>
              <w:bottom w:val="single" w:sz="6" w:space="0" w:color="78A22F"/>
              <w:right w:val="nil"/>
            </w:tcBorders>
            <w:shd w:val="clear" w:color="auto" w:fill="F2F2F2"/>
          </w:tcPr>
          <w:p w14:paraId="31975826" w14:textId="77777777" w:rsidR="00444B6F" w:rsidRPr="00037871" w:rsidRDefault="00444B6F">
            <w:pPr>
              <w:pStyle w:val="Box"/>
              <w:spacing w:before="0" w:line="120" w:lineRule="exact"/>
              <w:rPr>
                <w:color w:val="00B050"/>
              </w:rPr>
            </w:pPr>
          </w:p>
        </w:tc>
      </w:tr>
      <w:tr w:rsidR="00037871" w:rsidRPr="00037871" w14:paraId="5D2EB5D9" w14:textId="77777777" w:rsidTr="007F5DB2">
        <w:tc>
          <w:tcPr>
            <w:tcW w:w="8789" w:type="dxa"/>
            <w:gridSpan w:val="3"/>
            <w:tcBorders>
              <w:top w:val="single" w:sz="6" w:space="0" w:color="78A22F"/>
              <w:left w:val="nil"/>
              <w:bottom w:val="nil"/>
              <w:right w:val="nil"/>
            </w:tcBorders>
          </w:tcPr>
          <w:p w14:paraId="01ACCC85" w14:textId="77777777" w:rsidR="00444B6F" w:rsidRPr="00037871" w:rsidRDefault="00444B6F" w:rsidP="00F409A2">
            <w:pPr>
              <w:pStyle w:val="BoxSpaceBelow"/>
              <w:rPr>
                <w:color w:val="00B050"/>
              </w:rPr>
            </w:pPr>
          </w:p>
        </w:tc>
      </w:tr>
    </w:tbl>
    <w:p w14:paraId="64033420" w14:textId="77777777" w:rsidR="002F7C99" w:rsidRPr="00037871" w:rsidRDefault="002F7C99" w:rsidP="002F7C99">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2F7C99" w:rsidRPr="00037871" w14:paraId="4487CB5E" w14:textId="77777777" w:rsidTr="007F5DB2">
        <w:tc>
          <w:tcPr>
            <w:tcW w:w="8789" w:type="dxa"/>
            <w:gridSpan w:val="3"/>
            <w:tcBorders>
              <w:top w:val="single" w:sz="6" w:space="0" w:color="78A22F"/>
              <w:left w:val="nil"/>
              <w:bottom w:val="nil"/>
              <w:right w:val="nil"/>
            </w:tcBorders>
            <w:shd w:val="clear" w:color="auto" w:fill="F2F2F2"/>
          </w:tcPr>
          <w:p w14:paraId="69F3AEDA" w14:textId="77777777" w:rsidR="002F7C99" w:rsidRPr="002F7C99" w:rsidRDefault="002F7C99" w:rsidP="002F7C99">
            <w:pPr>
              <w:pStyle w:val="BoxTitle"/>
            </w:pPr>
            <w:r w:rsidRPr="002F7C99">
              <w:t>4.5</w:t>
            </w:r>
            <w:r w:rsidRPr="002F7C99">
              <w:tab/>
              <w:t>Year 1 to 10 attendance</w:t>
            </w:r>
          </w:p>
        </w:tc>
      </w:tr>
      <w:tr w:rsidR="002F7C99" w:rsidRPr="00037871" w14:paraId="7A29381A" w14:textId="77777777" w:rsidTr="007F5DB2">
        <w:tc>
          <w:tcPr>
            <w:tcW w:w="8789" w:type="dxa"/>
            <w:gridSpan w:val="3"/>
            <w:tcBorders>
              <w:top w:val="nil"/>
              <w:left w:val="nil"/>
              <w:bottom w:val="nil"/>
              <w:right w:val="nil"/>
            </w:tcBorders>
            <w:shd w:val="clear" w:color="auto" w:fill="F2F2F2"/>
          </w:tcPr>
          <w:p w14:paraId="2891BDC0" w14:textId="77777777" w:rsidR="002F7C99" w:rsidRPr="00E4557C" w:rsidRDefault="002F7C99" w:rsidP="00E4557C">
            <w:pPr>
              <w:pStyle w:val="Box"/>
              <w:spacing w:after="120"/>
            </w:pPr>
          </w:p>
        </w:tc>
      </w:tr>
      <w:tr w:rsidR="00304C13" w:rsidRPr="00037871" w14:paraId="433C2DC9" w14:textId="77777777" w:rsidTr="007F5DB2">
        <w:trPr>
          <w:cantSplit/>
        </w:trPr>
        <w:tc>
          <w:tcPr>
            <w:tcW w:w="3970" w:type="dxa"/>
            <w:tcBorders>
              <w:top w:val="nil"/>
              <w:left w:val="nil"/>
              <w:bottom w:val="nil"/>
              <w:right w:val="nil"/>
            </w:tcBorders>
            <w:shd w:val="clear" w:color="auto" w:fill="F2F2F2"/>
          </w:tcPr>
          <w:p w14:paraId="245101A0" w14:textId="77777777" w:rsidR="00304C13" w:rsidRDefault="00413682" w:rsidP="002F7C99">
            <w:pPr>
              <w:pStyle w:val="Box"/>
            </w:pPr>
            <w:r w:rsidRPr="00413682">
              <w:t>Regular attendance at school is an important precursor for all students’ academic achievement, although the relationship between the two is complex</w:t>
            </w:r>
            <w:r>
              <w:t xml:space="preserve"> and influenced by a variety of factors</w:t>
            </w:r>
            <w:r w:rsidR="00304C13" w:rsidRPr="00494726">
              <w:t>.</w:t>
            </w:r>
          </w:p>
          <w:p w14:paraId="1A5A36FB" w14:textId="5B3D1752" w:rsidR="001064FB" w:rsidRPr="00494726" w:rsidRDefault="001064FB" w:rsidP="002F7C99">
            <w:pPr>
              <w:pStyle w:val="Box"/>
            </w:pPr>
          </w:p>
        </w:tc>
        <w:tc>
          <w:tcPr>
            <w:tcW w:w="992" w:type="dxa"/>
            <w:tcBorders>
              <w:top w:val="nil"/>
              <w:left w:val="nil"/>
              <w:bottom w:val="nil"/>
              <w:right w:val="nil"/>
            </w:tcBorders>
            <w:shd w:val="clear" w:color="auto" w:fill="AB0F14"/>
          </w:tcPr>
          <w:p w14:paraId="649C8081" w14:textId="097B35DA" w:rsidR="002807F3" w:rsidRDefault="00304C13" w:rsidP="009C1978">
            <w:pPr>
              <w:pStyle w:val="Box"/>
              <w:spacing w:before="0"/>
              <w:jc w:val="center"/>
              <w:rPr>
                <w:sz w:val="48"/>
                <w:szCs w:val="48"/>
              </w:rPr>
            </w:pPr>
            <w:r w:rsidRPr="00494726">
              <w:rPr>
                <w:sz w:val="48"/>
                <w:szCs w:val="48"/>
              </w:rPr>
              <w:softHyphen/>
            </w:r>
            <w:r w:rsidRPr="00494726">
              <w:rPr>
                <w:sz w:val="48"/>
                <w:szCs w:val="48"/>
              </w:rPr>
              <w:softHyphen/>
            </w:r>
          </w:p>
          <w:p w14:paraId="11FC06A4" w14:textId="678A688E" w:rsidR="00304C13" w:rsidRPr="002A0EC7" w:rsidRDefault="0042569A" w:rsidP="00523CD9">
            <w:pPr>
              <w:pStyle w:val="Box"/>
              <w:jc w:val="center"/>
              <w:rPr>
                <w:rFonts w:cs="Arial"/>
                <w:bCs/>
                <w:sz w:val="48"/>
                <w:szCs w:val="48"/>
              </w:rPr>
            </w:pPr>
            <w:r w:rsidRPr="0042569A">
              <w:rPr>
                <w:rFonts w:cs="Arial"/>
                <w:bCs/>
                <w:noProof/>
                <w:sz w:val="48"/>
                <w:szCs w:val="48"/>
              </w:rPr>
              <mc:AlternateContent>
                <mc:Choice Requires="wpg">
                  <w:drawing>
                    <wp:anchor distT="0" distB="0" distL="114300" distR="114300" simplePos="0" relativeHeight="251722752" behindDoc="0" locked="0" layoutInCell="1" allowOverlap="1" wp14:anchorId="76356E84" wp14:editId="121A9532">
                      <wp:simplePos x="0" y="0"/>
                      <wp:positionH relativeFrom="column">
                        <wp:posOffset>142240</wp:posOffset>
                      </wp:positionH>
                      <wp:positionV relativeFrom="paragraph">
                        <wp:posOffset>155575</wp:posOffset>
                      </wp:positionV>
                      <wp:extent cx="172857" cy="218365"/>
                      <wp:effectExtent l="19050" t="19050" r="17780" b="10795"/>
                      <wp:wrapNone/>
                      <wp:docPr id="125" name="Group 7" descr="Symbol of a X&#10;&#10;More details can be found within the text surrounding this image. "/>
                      <wp:cNvGraphicFramePr/>
                      <a:graphic xmlns:a="http://schemas.openxmlformats.org/drawingml/2006/main">
                        <a:graphicData uri="http://schemas.microsoft.com/office/word/2010/wordprocessingGroup">
                          <wpg:wgp>
                            <wpg:cNvGrpSpPr/>
                            <wpg:grpSpPr>
                              <a:xfrm rot="347790">
                                <a:off x="0" y="0"/>
                                <a:ext cx="172857" cy="218365"/>
                                <a:chOff x="0" y="0"/>
                                <a:chExt cx="718457" cy="718457"/>
                              </a:xfrm>
                            </wpg:grpSpPr>
                            <wps:wsp>
                              <wps:cNvPr id="126" name="Straight Connector 126"/>
                              <wps:cNvCnPr/>
                              <wps:spPr>
                                <a:xfrm>
                                  <a:off x="0" y="60650"/>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27" name="Straight Connector 127"/>
                              <wps:cNvCnPr>
                                <a:cxnSpLocks/>
                              </wps:cNvCnPr>
                              <wps:spPr>
                                <a:xfrm rot="5400000">
                                  <a:off x="-1" y="60649"/>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57529A" id="Group 7" o:spid="_x0000_s1026" alt="Symbol of a X&#10;&#10;More details can be found within the text surrounding this image. " style="position:absolute;margin-left:11.2pt;margin-top:12.25pt;width:13.6pt;height:17.2pt;rotation:379879fd;z-index:251722752;mso-width-relative:margin;mso-height-relative:margin" coordsize="7184,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">
                      <v:line id="Straight Connector 126" o:spid="_x0000_s1027" style="position:absolute;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" strokecolor="white [3212]" strokeweight="2.5pt"/>
                      <v:line id="Straight Connector 127" o:spid="_x0000_s1028" style="position:absolute;rotation:90;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" strokecolor="white [3212]" strokeweight="2.5pt">
                        <o:lock v:ext="edit" shapetype="f"/>
                      </v:line>
                    </v:group>
                  </w:pict>
                </mc:Fallback>
              </mc:AlternateContent>
            </w:r>
          </w:p>
        </w:tc>
        <w:tc>
          <w:tcPr>
            <w:tcW w:w="3827" w:type="dxa"/>
            <w:tcBorders>
              <w:top w:val="nil"/>
              <w:left w:val="nil"/>
              <w:bottom w:val="nil"/>
              <w:right w:val="nil"/>
            </w:tcBorders>
            <w:shd w:val="clear" w:color="auto" w:fill="F2F2F2"/>
          </w:tcPr>
          <w:p w14:paraId="0C9771B0" w14:textId="77777777" w:rsidR="00494726" w:rsidRDefault="009C1978" w:rsidP="00494726">
            <w:pPr>
              <w:pStyle w:val="Box"/>
            </w:pPr>
            <w:r>
              <w:t>In 2019</w:t>
            </w:r>
            <w:r w:rsidR="00304C13" w:rsidRPr="00494726">
              <w:t xml:space="preserve">, </w:t>
            </w:r>
            <w:r w:rsidR="00494726" w:rsidRPr="00494726">
              <w:t>the overall attendance rate for Aboriginal and Torres</w:t>
            </w:r>
            <w:r>
              <w:t xml:space="preserve"> Strait Islander students was 82</w:t>
            </w:r>
            <w:r w:rsidR="00494726" w:rsidRPr="00494726">
              <w:t xml:space="preserve"> per cent, </w:t>
            </w:r>
            <w:r>
              <w:t>a decrease from 84 per cent in 2014</w:t>
            </w:r>
            <w:r w:rsidR="00494726" w:rsidRPr="00494726">
              <w:t xml:space="preserve">. </w:t>
            </w:r>
          </w:p>
          <w:p w14:paraId="28F11194" w14:textId="7DA61541" w:rsidR="009C1978" w:rsidRPr="00494726" w:rsidRDefault="009C1978" w:rsidP="00494726">
            <w:pPr>
              <w:pStyle w:val="Box"/>
            </w:pPr>
            <w:r>
              <w:t>The attendance rate for non-Indigenous students was 92 per cent in 2019.</w:t>
            </w:r>
          </w:p>
        </w:tc>
      </w:tr>
      <w:tr w:rsidR="002F7C99" w:rsidRPr="00037871" w14:paraId="268DA586" w14:textId="77777777" w:rsidTr="007F5DB2">
        <w:trPr>
          <w:cantSplit/>
        </w:trPr>
        <w:tc>
          <w:tcPr>
            <w:tcW w:w="8789" w:type="dxa"/>
            <w:gridSpan w:val="3"/>
            <w:tcBorders>
              <w:top w:val="nil"/>
              <w:left w:val="nil"/>
              <w:bottom w:val="single" w:sz="6" w:space="0" w:color="78A22F"/>
              <w:right w:val="nil"/>
            </w:tcBorders>
            <w:shd w:val="clear" w:color="auto" w:fill="F2F2F2"/>
          </w:tcPr>
          <w:p w14:paraId="76B55BBF" w14:textId="77777777" w:rsidR="002F7C99" w:rsidRPr="00037871" w:rsidRDefault="002F7C99" w:rsidP="002F7C99">
            <w:pPr>
              <w:pStyle w:val="Box"/>
              <w:spacing w:before="0" w:line="120" w:lineRule="exact"/>
              <w:rPr>
                <w:color w:val="00B050"/>
              </w:rPr>
            </w:pPr>
          </w:p>
        </w:tc>
      </w:tr>
      <w:tr w:rsidR="002F7C99" w:rsidRPr="00037871" w14:paraId="4B5ECF67" w14:textId="77777777" w:rsidTr="007F5DB2">
        <w:tc>
          <w:tcPr>
            <w:tcW w:w="8789" w:type="dxa"/>
            <w:gridSpan w:val="3"/>
            <w:tcBorders>
              <w:top w:val="single" w:sz="6" w:space="0" w:color="78A22F"/>
              <w:left w:val="nil"/>
              <w:bottom w:val="nil"/>
              <w:right w:val="nil"/>
            </w:tcBorders>
          </w:tcPr>
          <w:p w14:paraId="2313D854" w14:textId="77777777" w:rsidR="002F7C99" w:rsidRPr="00037871" w:rsidRDefault="002F7C99" w:rsidP="002F7C99">
            <w:pPr>
              <w:pStyle w:val="BoxSpaceBelow"/>
              <w:rPr>
                <w:color w:val="00B050"/>
              </w:rPr>
            </w:pPr>
          </w:p>
        </w:tc>
      </w:tr>
    </w:tbl>
    <w:p w14:paraId="0F4787CD" w14:textId="77777777" w:rsidR="00444B6F" w:rsidRPr="00037871" w:rsidRDefault="00444B6F" w:rsidP="00444B6F">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2F7C99" w14:paraId="714B89DB" w14:textId="77777777" w:rsidTr="007F5DB2">
        <w:tc>
          <w:tcPr>
            <w:tcW w:w="8789" w:type="dxa"/>
            <w:gridSpan w:val="3"/>
            <w:tcBorders>
              <w:top w:val="single" w:sz="6" w:space="0" w:color="78A22F"/>
              <w:left w:val="nil"/>
              <w:bottom w:val="nil"/>
              <w:right w:val="nil"/>
            </w:tcBorders>
            <w:shd w:val="clear" w:color="auto" w:fill="F2F2F2"/>
          </w:tcPr>
          <w:p w14:paraId="46316DBB" w14:textId="77777777" w:rsidR="00444B6F" w:rsidRPr="002F7C99" w:rsidRDefault="00444B6F" w:rsidP="002F7C99">
            <w:pPr>
              <w:pStyle w:val="BoxTitle"/>
            </w:pPr>
            <w:r w:rsidRPr="002F7C99">
              <w:t>4.</w:t>
            </w:r>
            <w:r w:rsidR="002F7C99">
              <w:t>6</w:t>
            </w:r>
            <w:r w:rsidRPr="002F7C99">
              <w:tab/>
              <w:t>Year 12 attainment</w:t>
            </w:r>
          </w:p>
        </w:tc>
      </w:tr>
      <w:tr w:rsidR="00037871" w:rsidRPr="002F7C99" w14:paraId="32B0DD8F" w14:textId="77777777" w:rsidTr="007F5DB2">
        <w:trPr>
          <w:cantSplit/>
        </w:trPr>
        <w:tc>
          <w:tcPr>
            <w:tcW w:w="8789" w:type="dxa"/>
            <w:gridSpan w:val="3"/>
            <w:tcBorders>
              <w:top w:val="nil"/>
              <w:left w:val="nil"/>
              <w:bottom w:val="nil"/>
              <w:right w:val="nil"/>
            </w:tcBorders>
            <w:shd w:val="clear" w:color="auto" w:fill="F2F2F2"/>
          </w:tcPr>
          <w:p w14:paraId="79F4781D" w14:textId="474EF294" w:rsidR="00444B6F" w:rsidRPr="002F7C99" w:rsidRDefault="00444B6F" w:rsidP="008528B1">
            <w:pPr>
              <w:pStyle w:val="Box"/>
              <w:spacing w:after="120"/>
            </w:pPr>
          </w:p>
        </w:tc>
      </w:tr>
      <w:tr w:rsidR="00037871" w:rsidRPr="002F7C99" w14:paraId="79C98F4B" w14:textId="77777777" w:rsidTr="00237AD4">
        <w:trPr>
          <w:cantSplit/>
        </w:trPr>
        <w:tc>
          <w:tcPr>
            <w:tcW w:w="3970" w:type="dxa"/>
            <w:tcBorders>
              <w:top w:val="nil"/>
              <w:left w:val="nil"/>
              <w:bottom w:val="nil"/>
              <w:right w:val="nil"/>
            </w:tcBorders>
            <w:shd w:val="clear" w:color="auto" w:fill="F2F2F2"/>
          </w:tcPr>
          <w:p w14:paraId="46307584" w14:textId="1F70AB09" w:rsidR="00444B6F" w:rsidRPr="00494726" w:rsidRDefault="00444B6F" w:rsidP="00E5082B">
            <w:pPr>
              <w:pStyle w:val="Box"/>
            </w:pPr>
            <w:r w:rsidRPr="00494726">
              <w:t>Students who complete year 12 or equivalent are more likely to go on to further education and training, have better employment options, and have improved economic</w:t>
            </w:r>
            <w:r w:rsidR="00E5082B">
              <w:t xml:space="preserve">, </w:t>
            </w:r>
            <w:r w:rsidRPr="00494726">
              <w:t>social</w:t>
            </w:r>
            <w:r w:rsidR="00E5082B">
              <w:t xml:space="preserve"> and emotional</w:t>
            </w:r>
            <w:r w:rsidRPr="00494726">
              <w:t xml:space="preserve"> wellbeing.</w:t>
            </w:r>
          </w:p>
        </w:tc>
        <w:tc>
          <w:tcPr>
            <w:tcW w:w="992" w:type="dxa"/>
            <w:tcBorders>
              <w:top w:val="nil"/>
              <w:left w:val="nil"/>
              <w:bottom w:val="nil"/>
              <w:right w:val="nil"/>
            </w:tcBorders>
            <w:shd w:val="clear" w:color="auto" w:fill="418A50"/>
          </w:tcPr>
          <w:p w14:paraId="4C191621" w14:textId="0AD75D4A" w:rsidR="00444B6F" w:rsidRPr="00494726" w:rsidRDefault="00444B6F" w:rsidP="00F409A2">
            <w:pPr>
              <w:pStyle w:val="BoxHeading1"/>
            </w:pPr>
          </w:p>
          <w:p w14:paraId="7972CD45" w14:textId="6111D2F6" w:rsidR="00444B6F" w:rsidRPr="00494726" w:rsidRDefault="00B42D63" w:rsidP="00523CD9">
            <w:pPr>
              <w:pStyle w:val="Box"/>
              <w:spacing w:before="360"/>
              <w:jc w:val="center"/>
            </w:pPr>
            <w:r w:rsidRPr="00B42D63">
              <w:rPr>
                <w:rFonts w:cs="Arial"/>
                <w:b/>
                <w:noProof/>
                <w:sz w:val="48"/>
                <w:szCs w:val="48"/>
              </w:rPr>
              <mc:AlternateContent>
                <mc:Choice Requires="wpg">
                  <w:drawing>
                    <wp:anchor distT="0" distB="0" distL="114300" distR="114300" simplePos="0" relativeHeight="251743232" behindDoc="0" locked="0" layoutInCell="1" allowOverlap="1" wp14:anchorId="03D71451" wp14:editId="1F78544E">
                      <wp:simplePos x="0" y="0"/>
                      <wp:positionH relativeFrom="column">
                        <wp:posOffset>124589</wp:posOffset>
                      </wp:positionH>
                      <wp:positionV relativeFrom="paragraph">
                        <wp:posOffset>292100</wp:posOffset>
                      </wp:positionV>
                      <wp:extent cx="205105" cy="279400"/>
                      <wp:effectExtent l="19050" t="0" r="61595" b="6350"/>
                      <wp:wrapNone/>
                      <wp:docPr id="23"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24" name="Straight Connector 24"/>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25" name="Straight Connector 25"/>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76067CC" id="Group 2" o:spid="_x0000_s1026" alt="Tick symbol" style="position:absolute;margin-left:9.8pt;margin-top:23pt;width:16.15pt;height:22pt;z-index:251743232;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">
                      <v:line id="Straight Connector 24"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" strokecolor="white [3212]" strokeweight="3pt">
                        <o:lock v:ext="edit" shapetype="f"/>
                      </v:line>
                      <v:line id="Straight Connector 25"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" strokecolor="white [3212]" strokeweight="3pt">
                        <o:lock v:ext="edit" shapetype="f"/>
                      </v:line>
                    </v:group>
                  </w:pict>
                </mc:Fallback>
              </mc:AlternateContent>
            </w:r>
            <w:r w:rsidR="00444B6F" w:rsidRPr="00494726">
              <w:softHyphen/>
            </w:r>
            <w:r w:rsidR="00444B6F" w:rsidRPr="00494726">
              <w:softHyphen/>
            </w:r>
          </w:p>
        </w:tc>
        <w:tc>
          <w:tcPr>
            <w:tcW w:w="3827" w:type="dxa"/>
            <w:tcBorders>
              <w:top w:val="nil"/>
              <w:left w:val="nil"/>
              <w:bottom w:val="nil"/>
              <w:right w:val="nil"/>
            </w:tcBorders>
            <w:shd w:val="clear" w:color="auto" w:fill="F2F2F2"/>
          </w:tcPr>
          <w:p w14:paraId="4439D5BD" w14:textId="0E26B56D" w:rsidR="00444B6F" w:rsidRPr="00494726" w:rsidRDefault="00124A61" w:rsidP="00E5082B">
            <w:pPr>
              <w:pStyle w:val="Box"/>
            </w:pPr>
            <w:r w:rsidRPr="00494726">
              <w:t xml:space="preserve">The proportion of Aboriginal and Torres Strait Islander </w:t>
            </w:r>
            <w:r w:rsidR="00512AE6" w:rsidRPr="00494726">
              <w:t>20–24 year olds</w:t>
            </w:r>
            <w:r w:rsidRPr="00494726">
              <w:t xml:space="preserve"> completing year 12 or equivalent or above increased from 45 per cent in 2008 to </w:t>
            </w:r>
            <w:r w:rsidR="00494726" w:rsidRPr="001D733F">
              <w:t>6</w:t>
            </w:r>
            <w:r w:rsidR="00525A23">
              <w:t>6</w:t>
            </w:r>
            <w:r w:rsidR="00494726" w:rsidRPr="001D733F">
              <w:t xml:space="preserve"> per cent</w:t>
            </w:r>
            <w:r w:rsidR="00525A23">
              <w:t xml:space="preserve"> in 2018</w:t>
            </w:r>
            <w:r w:rsidR="00512AE6" w:rsidRPr="00494726">
              <w:noBreakHyphen/>
              <w:t>1</w:t>
            </w:r>
            <w:r w:rsidR="00525A23">
              <w:t>9</w:t>
            </w:r>
            <w:r w:rsidR="00512AE6" w:rsidRPr="00494726">
              <w:t>. For non</w:t>
            </w:r>
            <w:r w:rsidR="00512AE6" w:rsidRPr="00494726">
              <w:noBreakHyphen/>
            </w:r>
            <w:r w:rsidRPr="00494726">
              <w:t xml:space="preserve">Indigenous </w:t>
            </w:r>
            <w:r w:rsidR="00E5082B">
              <w:t>people</w:t>
            </w:r>
            <w:r w:rsidRPr="00494726">
              <w:t>, the proportion remained</w:t>
            </w:r>
            <w:r w:rsidR="00DE52CE">
              <w:t xml:space="preserve"> relatively unchanged</w:t>
            </w:r>
            <w:r w:rsidR="00215DAA">
              <w:t xml:space="preserve"> (</w:t>
            </w:r>
            <w:r w:rsidR="00525A23">
              <w:t>90</w:t>
            </w:r>
            <w:r w:rsidRPr="00494726">
              <w:t xml:space="preserve"> per cent</w:t>
            </w:r>
            <w:r w:rsidR="00215DAA">
              <w:t xml:space="preserve"> i</w:t>
            </w:r>
            <w:r w:rsidR="00525A23">
              <w:t>n 2017-18</w:t>
            </w:r>
            <w:r w:rsidR="00215DAA">
              <w:t>)</w:t>
            </w:r>
            <w:r w:rsidRPr="00494726">
              <w:t>.</w:t>
            </w:r>
          </w:p>
        </w:tc>
      </w:tr>
      <w:tr w:rsidR="00037871" w:rsidRPr="002F7C99" w14:paraId="1E0CDAAB" w14:textId="77777777" w:rsidTr="007F5DB2">
        <w:trPr>
          <w:cantSplit/>
        </w:trPr>
        <w:tc>
          <w:tcPr>
            <w:tcW w:w="8789" w:type="dxa"/>
            <w:gridSpan w:val="3"/>
            <w:tcBorders>
              <w:top w:val="nil"/>
              <w:left w:val="nil"/>
              <w:bottom w:val="single" w:sz="6" w:space="0" w:color="78A22F"/>
              <w:right w:val="nil"/>
            </w:tcBorders>
            <w:shd w:val="clear" w:color="auto" w:fill="F2F2F2"/>
          </w:tcPr>
          <w:p w14:paraId="117058D7" w14:textId="77777777" w:rsidR="00444B6F" w:rsidRPr="002F7C99" w:rsidRDefault="00444B6F" w:rsidP="00F409A2">
            <w:pPr>
              <w:pStyle w:val="Box"/>
              <w:spacing w:before="0" w:line="120" w:lineRule="exact"/>
            </w:pPr>
          </w:p>
        </w:tc>
      </w:tr>
      <w:tr w:rsidR="00037871" w:rsidRPr="002F7C99" w14:paraId="646804DF" w14:textId="77777777" w:rsidTr="007F5DB2">
        <w:tc>
          <w:tcPr>
            <w:tcW w:w="8789" w:type="dxa"/>
            <w:gridSpan w:val="3"/>
            <w:tcBorders>
              <w:top w:val="single" w:sz="6" w:space="0" w:color="78A22F"/>
              <w:left w:val="nil"/>
              <w:bottom w:val="nil"/>
              <w:right w:val="nil"/>
            </w:tcBorders>
          </w:tcPr>
          <w:p w14:paraId="6E2D8C30" w14:textId="77777777" w:rsidR="00444B6F" w:rsidRPr="002F7C99" w:rsidRDefault="00444B6F" w:rsidP="00F409A2">
            <w:pPr>
              <w:pStyle w:val="BoxSpaceBelow"/>
            </w:pPr>
          </w:p>
        </w:tc>
      </w:tr>
      <w:tr w:rsidR="00037871" w:rsidRPr="00037871" w14:paraId="5C5A9FE5" w14:textId="77777777" w:rsidTr="007F5DB2">
        <w:tc>
          <w:tcPr>
            <w:tcW w:w="8789" w:type="dxa"/>
            <w:gridSpan w:val="3"/>
            <w:tcBorders>
              <w:top w:val="single" w:sz="6" w:space="0" w:color="78A22F"/>
              <w:left w:val="nil"/>
              <w:bottom w:val="nil"/>
              <w:right w:val="nil"/>
            </w:tcBorders>
            <w:shd w:val="clear" w:color="auto" w:fill="F2F2F2"/>
          </w:tcPr>
          <w:p w14:paraId="5FB5CBDC" w14:textId="77777777" w:rsidR="00094646" w:rsidRPr="002F7C99" w:rsidRDefault="00094646" w:rsidP="002F7C99">
            <w:pPr>
              <w:pStyle w:val="BoxTitle"/>
            </w:pPr>
            <w:r w:rsidRPr="002F7C99">
              <w:lastRenderedPageBreak/>
              <w:t>4.</w:t>
            </w:r>
            <w:r w:rsidR="002F7C99" w:rsidRPr="002F7C99">
              <w:t>7</w:t>
            </w:r>
            <w:r w:rsidRPr="002F7C99">
              <w:tab/>
              <w:t>Employment</w:t>
            </w:r>
          </w:p>
        </w:tc>
      </w:tr>
      <w:tr w:rsidR="00037871" w:rsidRPr="00037871" w14:paraId="09DCBAE6" w14:textId="77777777" w:rsidTr="007F5DB2">
        <w:trPr>
          <w:cantSplit/>
        </w:trPr>
        <w:tc>
          <w:tcPr>
            <w:tcW w:w="8789" w:type="dxa"/>
            <w:gridSpan w:val="3"/>
            <w:tcBorders>
              <w:top w:val="nil"/>
              <w:left w:val="nil"/>
              <w:bottom w:val="nil"/>
              <w:right w:val="nil"/>
            </w:tcBorders>
            <w:shd w:val="clear" w:color="auto" w:fill="F2F2F2"/>
          </w:tcPr>
          <w:p w14:paraId="1BB50064" w14:textId="22CFFCD4" w:rsidR="00094646" w:rsidRPr="00893BC4" w:rsidRDefault="00094646" w:rsidP="008528B1">
            <w:pPr>
              <w:pStyle w:val="Box"/>
              <w:spacing w:after="120"/>
            </w:pPr>
          </w:p>
        </w:tc>
      </w:tr>
      <w:tr w:rsidR="00037871" w:rsidRPr="00037871" w14:paraId="17484B80" w14:textId="77777777" w:rsidTr="00237AD4">
        <w:trPr>
          <w:cantSplit/>
        </w:trPr>
        <w:tc>
          <w:tcPr>
            <w:tcW w:w="3970" w:type="dxa"/>
            <w:tcBorders>
              <w:top w:val="nil"/>
              <w:left w:val="nil"/>
              <w:bottom w:val="nil"/>
              <w:right w:val="nil"/>
            </w:tcBorders>
            <w:shd w:val="clear" w:color="auto" w:fill="F2F2F2"/>
          </w:tcPr>
          <w:p w14:paraId="73FAB05D" w14:textId="405FAC8A" w:rsidR="00094646" w:rsidRPr="004B7B30" w:rsidRDefault="00D25C92" w:rsidP="00F409A2">
            <w:pPr>
              <w:pStyle w:val="Box"/>
            </w:pPr>
            <w:r w:rsidRPr="00D25C92">
              <w:t>Aboriginal and Torres Strait Islander people contribute to the economy and community through employment in both general occupations and occupations that benefit from their unique skills and culture. Their employment choices are partly driven by a desire to support their family and community, which is a key part of their cultural identity, and this can influence their occupational choices and how they engage in paid employment</w:t>
            </w:r>
            <w:r w:rsidR="00094646" w:rsidRPr="004B7B30">
              <w:t>.</w:t>
            </w:r>
          </w:p>
        </w:tc>
        <w:tc>
          <w:tcPr>
            <w:tcW w:w="992" w:type="dxa"/>
            <w:tcBorders>
              <w:top w:val="nil"/>
              <w:left w:val="nil"/>
              <w:bottom w:val="nil"/>
              <w:right w:val="nil"/>
            </w:tcBorders>
            <w:shd w:val="clear" w:color="auto" w:fill="7E7397"/>
          </w:tcPr>
          <w:p w14:paraId="734CE36E" w14:textId="77777777" w:rsidR="00094646" w:rsidRPr="004B7B30" w:rsidRDefault="00094646" w:rsidP="00F409A2">
            <w:pPr>
              <w:pStyle w:val="BoxHeading1"/>
            </w:pPr>
          </w:p>
          <w:p w14:paraId="7DFB1A6E" w14:textId="7445DF94" w:rsidR="00094646" w:rsidRPr="004B7B30" w:rsidRDefault="00094646" w:rsidP="00523CD9">
            <w:pPr>
              <w:pStyle w:val="Box"/>
              <w:spacing w:before="680"/>
              <w:jc w:val="center"/>
              <w:rPr>
                <w:b/>
                <w:sz w:val="48"/>
                <w:szCs w:val="48"/>
              </w:rPr>
            </w:pPr>
            <w:r w:rsidRPr="005254A0">
              <w:rPr>
                <w:b/>
                <w:color w:val="FFFFFF" w:themeColor="background1"/>
                <w:sz w:val="48"/>
                <w:szCs w:val="48"/>
              </w:rPr>
              <w:t>?</w:t>
            </w:r>
          </w:p>
        </w:tc>
        <w:tc>
          <w:tcPr>
            <w:tcW w:w="3827" w:type="dxa"/>
            <w:tcBorders>
              <w:top w:val="nil"/>
              <w:left w:val="nil"/>
              <w:bottom w:val="nil"/>
              <w:right w:val="nil"/>
            </w:tcBorders>
            <w:shd w:val="clear" w:color="auto" w:fill="F2F2F2"/>
          </w:tcPr>
          <w:p w14:paraId="08CF6452" w14:textId="225A0F2E" w:rsidR="00D44B60" w:rsidRPr="004B7B30" w:rsidRDefault="00124A61" w:rsidP="00E5663A">
            <w:pPr>
              <w:pStyle w:val="Box"/>
            </w:pPr>
            <w:r w:rsidRPr="004B7B30">
              <w:t>The employment rate for Aboriginal and Torres Strait Islander 15–64 year olds increase</w:t>
            </w:r>
            <w:r w:rsidR="003E3A2A" w:rsidRPr="004B7B30">
              <w:t>d from 38 per cent in 1994 to 54</w:t>
            </w:r>
            <w:r w:rsidR="000F0BC8">
              <w:t> </w:t>
            </w:r>
            <w:r w:rsidRPr="004B7B30">
              <w:t xml:space="preserve">per cent </w:t>
            </w:r>
            <w:r w:rsidR="00525A23">
              <w:t>in 2008, before decreasing to 49 per cent in 2018</w:t>
            </w:r>
            <w:r w:rsidRPr="004B7B30">
              <w:noBreakHyphen/>
              <w:t>1</w:t>
            </w:r>
            <w:r w:rsidR="00525A23">
              <w:t>9</w:t>
            </w:r>
            <w:r w:rsidRPr="004B7B30">
              <w:t xml:space="preserve"> (</w:t>
            </w:r>
            <w:r w:rsidR="00494726" w:rsidRPr="004B7B30">
              <w:t>similar to 201</w:t>
            </w:r>
            <w:r w:rsidR="00525A23">
              <w:t>2</w:t>
            </w:r>
            <w:r w:rsidR="000F0BC8">
              <w:noBreakHyphen/>
            </w:r>
            <w:r w:rsidR="00525A23">
              <w:t>13</w:t>
            </w:r>
            <w:r w:rsidR="00494726" w:rsidRPr="004B7B30">
              <w:t xml:space="preserve">), partly driven by changes to the </w:t>
            </w:r>
            <w:proofErr w:type="spellStart"/>
            <w:r w:rsidR="00494726" w:rsidRPr="004B7B30">
              <w:t>CDEP</w:t>
            </w:r>
            <w:proofErr w:type="spellEnd"/>
            <w:r w:rsidR="00494726" w:rsidRPr="004B7B30">
              <w:t xml:space="preserve"> program</w:t>
            </w:r>
            <w:r w:rsidRPr="004B7B30">
              <w:t>.</w:t>
            </w:r>
          </w:p>
        </w:tc>
      </w:tr>
      <w:tr w:rsidR="00037871" w:rsidRPr="00037871" w14:paraId="4C29B5AF" w14:textId="77777777" w:rsidTr="007F5DB2">
        <w:trPr>
          <w:cantSplit/>
        </w:trPr>
        <w:tc>
          <w:tcPr>
            <w:tcW w:w="8789" w:type="dxa"/>
            <w:gridSpan w:val="3"/>
            <w:tcBorders>
              <w:top w:val="nil"/>
              <w:left w:val="nil"/>
              <w:bottom w:val="nil"/>
              <w:right w:val="nil"/>
            </w:tcBorders>
            <w:shd w:val="clear" w:color="auto" w:fill="F2F2F2"/>
          </w:tcPr>
          <w:p w14:paraId="4B851955" w14:textId="6C2C8FCB" w:rsidR="00124A61" w:rsidRPr="004B7B30" w:rsidRDefault="00124A61" w:rsidP="0057529E">
            <w:pPr>
              <w:pStyle w:val="Box"/>
              <w:spacing w:before="80"/>
              <w:rPr>
                <w:i/>
              </w:rPr>
            </w:pPr>
            <w:r w:rsidRPr="004B7B30">
              <w:rPr>
                <w:i/>
              </w:rPr>
              <w:t>Data for this indicator are difficult to interp</w:t>
            </w:r>
            <w:r w:rsidR="00F174BD" w:rsidRPr="004B7B30">
              <w:rPr>
                <w:i/>
              </w:rPr>
              <w:t xml:space="preserve">ret due to </w:t>
            </w:r>
            <w:r w:rsidR="001D733F" w:rsidRPr="00E92224">
              <w:rPr>
                <w:i/>
              </w:rPr>
              <w:t>a number of changes including</w:t>
            </w:r>
            <w:r w:rsidR="00753517">
              <w:rPr>
                <w:i/>
              </w:rPr>
              <w:t xml:space="preserve"> to</w:t>
            </w:r>
            <w:r w:rsidR="001D733F" w:rsidRPr="00E92224">
              <w:rPr>
                <w:i/>
              </w:rPr>
              <w:t xml:space="preserve"> </w:t>
            </w:r>
            <w:r w:rsidR="00F174BD" w:rsidRPr="00E92224">
              <w:rPr>
                <w:i/>
              </w:rPr>
              <w:t xml:space="preserve">the Community Development </w:t>
            </w:r>
            <w:r w:rsidR="0057529E" w:rsidRPr="00E92224">
              <w:rPr>
                <w:i/>
              </w:rPr>
              <w:t>Employment</w:t>
            </w:r>
            <w:r w:rsidR="0057529E" w:rsidRPr="004B7B30">
              <w:rPr>
                <w:i/>
              </w:rPr>
              <w:t xml:space="preserve"> </w:t>
            </w:r>
            <w:r w:rsidR="00F174BD" w:rsidRPr="004B7B30">
              <w:rPr>
                <w:i/>
              </w:rPr>
              <w:t>Projects (</w:t>
            </w:r>
            <w:proofErr w:type="spellStart"/>
            <w:r w:rsidRPr="004B7B30">
              <w:rPr>
                <w:i/>
              </w:rPr>
              <w:t>CDEP</w:t>
            </w:r>
            <w:proofErr w:type="spellEnd"/>
            <w:r w:rsidR="00F174BD" w:rsidRPr="004B7B30">
              <w:rPr>
                <w:i/>
              </w:rPr>
              <w:t>) program</w:t>
            </w:r>
            <w:r w:rsidR="00E5663A">
              <w:rPr>
                <w:i/>
              </w:rPr>
              <w:t>, now the Community Development Program</w:t>
            </w:r>
            <w:r w:rsidR="00143FA8">
              <w:rPr>
                <w:i/>
              </w:rPr>
              <w:t xml:space="preserve"> (CDP)</w:t>
            </w:r>
            <w:r w:rsidRPr="004B7B30">
              <w:rPr>
                <w:i/>
              </w:rPr>
              <w:t>.</w:t>
            </w:r>
          </w:p>
        </w:tc>
      </w:tr>
      <w:tr w:rsidR="00037871" w:rsidRPr="00037871" w14:paraId="67303BCC" w14:textId="77777777" w:rsidTr="007F5DB2">
        <w:trPr>
          <w:cantSplit/>
        </w:trPr>
        <w:tc>
          <w:tcPr>
            <w:tcW w:w="8789" w:type="dxa"/>
            <w:gridSpan w:val="3"/>
            <w:tcBorders>
              <w:top w:val="nil"/>
              <w:left w:val="nil"/>
              <w:bottom w:val="nil"/>
              <w:right w:val="nil"/>
            </w:tcBorders>
            <w:shd w:val="clear" w:color="auto" w:fill="F2F2F2"/>
          </w:tcPr>
          <w:p w14:paraId="772BD250" w14:textId="122C069C" w:rsidR="00094646" w:rsidRPr="004B7B30" w:rsidRDefault="003F2738" w:rsidP="003F2738">
            <w:pPr>
              <w:pStyle w:val="BoxHeading1"/>
              <w:spacing w:before="120"/>
              <w:rPr>
                <w:rStyle w:val="NoteLabel"/>
              </w:rPr>
            </w:pPr>
            <w:r>
              <w:t xml:space="preserve">Employment outcomes for </w:t>
            </w:r>
            <w:r w:rsidR="00D42A93" w:rsidRPr="004B7B30">
              <w:t>Aboriginal and Torres Strait Islander</w:t>
            </w:r>
            <w:r w:rsidR="00C32E7D" w:rsidRPr="004B7B30">
              <w:t xml:space="preserve"> </w:t>
            </w:r>
            <w:r>
              <w:t>people</w:t>
            </w:r>
            <w:r w:rsidR="004B7B30" w:rsidRPr="004B7B30">
              <w:t>, 1994 to 201</w:t>
            </w:r>
            <w:r w:rsidR="00525A23">
              <w:t>8</w:t>
            </w:r>
            <w:r w:rsidR="00094646" w:rsidRPr="004B7B30">
              <w:t>-1</w:t>
            </w:r>
            <w:r w:rsidR="00525A23">
              <w:t>9</w:t>
            </w:r>
            <w:r w:rsidR="00094646" w:rsidRPr="004B7B30">
              <w:rPr>
                <w:rStyle w:val="NoteLabel"/>
              </w:rPr>
              <w:t>a</w:t>
            </w:r>
          </w:p>
        </w:tc>
      </w:tr>
      <w:tr w:rsidR="00037871" w:rsidRPr="00037871" w14:paraId="17062BBD" w14:textId="77777777" w:rsidTr="00434B97">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40730150" w14:textId="58029BCA" w:rsidR="006263E3" w:rsidRPr="006406E1" w:rsidRDefault="009E3E9E" w:rsidP="006406E1">
            <w:pPr>
              <w:pStyle w:val="Box"/>
              <w:jc w:val="center"/>
            </w:pPr>
            <w:r w:rsidRPr="009E3E9E">
              <w:rPr>
                <w:noProof/>
              </w:rPr>
              <w:drawing>
                <wp:inline distT="0" distB="0" distL="0" distR="0" wp14:anchorId="02B21D66" wp14:editId="08E97298">
                  <wp:extent cx="5334000" cy="2667000"/>
                  <wp:effectExtent l="0" t="0" r="0" b="0"/>
                  <wp:docPr id="64" name="Picture 64" descr="Employment outcomes for Aboriginal and Torres Strait Islander people, 1994 to 2018-19&#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tc>
      </w:tr>
      <w:tr w:rsidR="00037871" w:rsidRPr="00037871" w14:paraId="55BF9102" w14:textId="77777777" w:rsidTr="007F5DB2">
        <w:trPr>
          <w:cantSplit/>
        </w:trPr>
        <w:tc>
          <w:tcPr>
            <w:tcW w:w="8789" w:type="dxa"/>
            <w:gridSpan w:val="3"/>
            <w:tcBorders>
              <w:top w:val="nil"/>
              <w:left w:val="nil"/>
              <w:bottom w:val="nil"/>
              <w:right w:val="nil"/>
            </w:tcBorders>
            <w:shd w:val="clear" w:color="auto" w:fill="F2F2F2"/>
          </w:tcPr>
          <w:p w14:paraId="62C8A4AF" w14:textId="77777777" w:rsidR="00094646" w:rsidRPr="004B7B30" w:rsidRDefault="00094646" w:rsidP="00094646">
            <w:pPr>
              <w:pStyle w:val="BoxHeading2"/>
              <w:spacing w:before="80" w:line="240" w:lineRule="exact"/>
              <w:rPr>
                <w:i w:val="0"/>
                <w:sz w:val="18"/>
                <w:szCs w:val="18"/>
              </w:rPr>
            </w:pPr>
            <w:proofErr w:type="spellStart"/>
            <w:r w:rsidRPr="004B7B30">
              <w:rPr>
                <w:rStyle w:val="NoteLabel"/>
                <w:i w:val="0"/>
                <w:szCs w:val="18"/>
              </w:rPr>
              <w:t>a</w:t>
            </w:r>
            <w:proofErr w:type="spellEnd"/>
            <w:r w:rsidRPr="004B7B30">
              <w:rPr>
                <w:sz w:val="18"/>
                <w:szCs w:val="18"/>
              </w:rPr>
              <w:t xml:space="preserve"> </w:t>
            </w:r>
            <w:r w:rsidRPr="004B7B30">
              <w:rPr>
                <w:i w:val="0"/>
                <w:sz w:val="18"/>
                <w:szCs w:val="18"/>
              </w:rPr>
              <w:t>Error bars represent 95 per cent confidence intervals around each estimate.</w:t>
            </w:r>
          </w:p>
          <w:p w14:paraId="4662C22A" w14:textId="6A91AB6A" w:rsidR="003D78B3" w:rsidRPr="004B7B30" w:rsidRDefault="003D78B3" w:rsidP="003D7A8A">
            <w:pPr>
              <w:pStyle w:val="Source"/>
            </w:pPr>
            <w:r w:rsidRPr="004B7B30">
              <w:rPr>
                <w:i/>
              </w:rPr>
              <w:t>Source</w:t>
            </w:r>
            <w:r w:rsidRPr="004B7B30">
              <w:t>: Figure 4.</w:t>
            </w:r>
            <w:r w:rsidR="004B7B30" w:rsidRPr="004B7B30">
              <w:t>7</w:t>
            </w:r>
            <w:r w:rsidRPr="004B7B30">
              <w:t xml:space="preserve">.1 in the main </w:t>
            </w:r>
            <w:r w:rsidR="003D7A8A">
              <w:t>R</w:t>
            </w:r>
            <w:r w:rsidR="003D7A8A" w:rsidRPr="004B7B30">
              <w:t>eport</w:t>
            </w:r>
            <w:r w:rsidRPr="004B7B30">
              <w:t>.</w:t>
            </w:r>
          </w:p>
        </w:tc>
      </w:tr>
      <w:tr w:rsidR="00037871" w:rsidRPr="00037871" w14:paraId="497D78BD" w14:textId="77777777" w:rsidTr="007F5DB2">
        <w:trPr>
          <w:cantSplit/>
        </w:trPr>
        <w:tc>
          <w:tcPr>
            <w:tcW w:w="8789" w:type="dxa"/>
            <w:gridSpan w:val="3"/>
            <w:tcBorders>
              <w:top w:val="nil"/>
              <w:left w:val="nil"/>
              <w:bottom w:val="single" w:sz="6" w:space="0" w:color="78A22F"/>
              <w:right w:val="nil"/>
            </w:tcBorders>
            <w:shd w:val="clear" w:color="auto" w:fill="F2F2F2"/>
          </w:tcPr>
          <w:p w14:paraId="244A17BD" w14:textId="77777777" w:rsidR="00094646" w:rsidRPr="00037871" w:rsidRDefault="00094646" w:rsidP="00F409A2">
            <w:pPr>
              <w:pStyle w:val="Box"/>
              <w:spacing w:before="0" w:line="120" w:lineRule="exact"/>
              <w:rPr>
                <w:color w:val="00B050"/>
              </w:rPr>
            </w:pPr>
          </w:p>
        </w:tc>
      </w:tr>
      <w:tr w:rsidR="00037871" w:rsidRPr="00037871" w14:paraId="72BDF3E9" w14:textId="77777777" w:rsidTr="007F5DB2">
        <w:tc>
          <w:tcPr>
            <w:tcW w:w="8789" w:type="dxa"/>
            <w:gridSpan w:val="3"/>
            <w:tcBorders>
              <w:top w:val="single" w:sz="6" w:space="0" w:color="78A22F"/>
              <w:left w:val="nil"/>
              <w:bottom w:val="nil"/>
              <w:right w:val="nil"/>
            </w:tcBorders>
          </w:tcPr>
          <w:p w14:paraId="6D8DC4A6" w14:textId="77777777" w:rsidR="00094646" w:rsidRPr="00037871" w:rsidRDefault="00094646" w:rsidP="00F409A2">
            <w:pPr>
              <w:pStyle w:val="BoxSpaceBelow"/>
              <w:rPr>
                <w:color w:val="00B050"/>
              </w:rPr>
            </w:pPr>
          </w:p>
        </w:tc>
      </w:tr>
    </w:tbl>
    <w:p w14:paraId="7C432927" w14:textId="77777777" w:rsidR="00094646" w:rsidRPr="00037871" w:rsidRDefault="00094646" w:rsidP="00094646">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7865C9E1" w14:textId="77777777" w:rsidTr="007F5DB2">
        <w:tc>
          <w:tcPr>
            <w:tcW w:w="8789" w:type="dxa"/>
            <w:gridSpan w:val="3"/>
            <w:tcBorders>
              <w:top w:val="single" w:sz="6" w:space="0" w:color="78A22F"/>
              <w:left w:val="nil"/>
              <w:bottom w:val="nil"/>
              <w:right w:val="nil"/>
            </w:tcBorders>
            <w:shd w:val="clear" w:color="auto" w:fill="F2F2F2"/>
          </w:tcPr>
          <w:p w14:paraId="378EB295" w14:textId="77777777" w:rsidR="00094646" w:rsidRPr="002F7C99" w:rsidRDefault="00094646" w:rsidP="002F7C99">
            <w:pPr>
              <w:pStyle w:val="BoxTitle"/>
              <w:spacing w:after="120"/>
            </w:pPr>
            <w:r w:rsidRPr="002F7C99">
              <w:t>4.</w:t>
            </w:r>
            <w:r w:rsidR="002F7C99">
              <w:t>8</w:t>
            </w:r>
            <w:r w:rsidRPr="002F7C99">
              <w:tab/>
              <w:t xml:space="preserve">Post-secondary education </w:t>
            </w:r>
            <w:r w:rsidRPr="002F7C99">
              <w:softHyphen/>
              <w:t>— participation and attainment</w:t>
            </w:r>
          </w:p>
        </w:tc>
      </w:tr>
      <w:tr w:rsidR="00037871" w:rsidRPr="00037871" w14:paraId="2E6D411C" w14:textId="77777777" w:rsidTr="00237AD4">
        <w:trPr>
          <w:cantSplit/>
        </w:trPr>
        <w:tc>
          <w:tcPr>
            <w:tcW w:w="3970" w:type="dxa"/>
            <w:tcBorders>
              <w:top w:val="nil"/>
              <w:left w:val="nil"/>
              <w:bottom w:val="nil"/>
              <w:right w:val="nil"/>
            </w:tcBorders>
            <w:shd w:val="clear" w:color="auto" w:fill="F2F2F2"/>
          </w:tcPr>
          <w:p w14:paraId="18D62FA8" w14:textId="203124F2" w:rsidR="00D25C92" w:rsidRDefault="00124A61" w:rsidP="00D25C92">
            <w:pPr>
              <w:pStyle w:val="Box"/>
            </w:pPr>
            <w:r w:rsidRPr="00FF2BBD">
              <w:t xml:space="preserve">People with a skilled vocational or higher </w:t>
            </w:r>
            <w:r w:rsidR="00753517">
              <w:t xml:space="preserve">education </w:t>
            </w:r>
            <w:r w:rsidRPr="00FF2BBD">
              <w:t>qualification are</w:t>
            </w:r>
            <w:r w:rsidR="00D25C92">
              <w:t xml:space="preserve"> more likely to be employed than</w:t>
            </w:r>
            <w:r w:rsidRPr="00FF2BBD">
              <w:t xml:space="preserve"> those without. Other potential benefits include a positive influen</w:t>
            </w:r>
            <w:r w:rsidR="00902379">
              <w:t xml:space="preserve">ce on health </w:t>
            </w:r>
            <w:r w:rsidR="00D25C92">
              <w:t>and social wellbeing.</w:t>
            </w:r>
          </w:p>
          <w:p w14:paraId="73FEAF13" w14:textId="5A1858A4" w:rsidR="00D25C92" w:rsidRPr="00FF2BBD" w:rsidRDefault="00D25C92" w:rsidP="00D25C92">
            <w:pPr>
              <w:pStyle w:val="Box"/>
            </w:pPr>
            <w:r>
              <w:t>Increasingly, job opportunities in Australia require higher level qualifications, with Certificate III level now considered an entry-level qualification in many industries.</w:t>
            </w:r>
          </w:p>
        </w:tc>
        <w:tc>
          <w:tcPr>
            <w:tcW w:w="992" w:type="dxa"/>
            <w:tcBorders>
              <w:top w:val="nil"/>
              <w:left w:val="nil"/>
              <w:bottom w:val="nil"/>
              <w:right w:val="nil"/>
            </w:tcBorders>
            <w:shd w:val="clear" w:color="auto" w:fill="418A50"/>
          </w:tcPr>
          <w:p w14:paraId="0C8F734D" w14:textId="77777777" w:rsidR="00094646" w:rsidRPr="00FF2BBD" w:rsidRDefault="00094646" w:rsidP="00F409A2">
            <w:pPr>
              <w:pStyle w:val="BoxHeading1"/>
            </w:pPr>
          </w:p>
          <w:p w14:paraId="76470D23" w14:textId="5AFF376F" w:rsidR="00094646" w:rsidRPr="00FF2BBD" w:rsidRDefault="00B42D63" w:rsidP="00523CD9">
            <w:pPr>
              <w:pStyle w:val="Box"/>
              <w:spacing w:before="600"/>
              <w:jc w:val="center"/>
              <w:rPr>
                <w:sz w:val="48"/>
                <w:szCs w:val="48"/>
              </w:rPr>
            </w:pPr>
            <w:r w:rsidRPr="00B42D63">
              <w:rPr>
                <w:rFonts w:cs="Arial"/>
                <w:b/>
                <w:noProof/>
                <w:sz w:val="48"/>
                <w:szCs w:val="48"/>
              </w:rPr>
              <mc:AlternateContent>
                <mc:Choice Requires="wpg">
                  <w:drawing>
                    <wp:anchor distT="0" distB="0" distL="114300" distR="114300" simplePos="0" relativeHeight="251745280" behindDoc="0" locked="0" layoutInCell="1" allowOverlap="1" wp14:anchorId="0BFE7B36" wp14:editId="49DEA0BC">
                      <wp:simplePos x="0" y="0"/>
                      <wp:positionH relativeFrom="column">
                        <wp:posOffset>132209</wp:posOffset>
                      </wp:positionH>
                      <wp:positionV relativeFrom="paragraph">
                        <wp:posOffset>446405</wp:posOffset>
                      </wp:positionV>
                      <wp:extent cx="205105" cy="279400"/>
                      <wp:effectExtent l="19050" t="0" r="61595" b="6350"/>
                      <wp:wrapNone/>
                      <wp:docPr id="28"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29" name="Straight Connector 29"/>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90C3A52" id="Group 2" o:spid="_x0000_s1026" alt="Tick symbol" style="position:absolute;margin-left:10.4pt;margin-top:35.15pt;width:16.15pt;height:22pt;z-index:251745280;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">
                      <v:line id="Straight Connector 29"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" strokecolor="white [3212]" strokeweight="3pt">
                        <o:lock v:ext="edit" shapetype="f"/>
                      </v:line>
                      <v:line id="Straight Connector 30"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" strokecolor="white [3212]" strokeweight="3pt">
                        <o:lock v:ext="edit" shapetype="f"/>
                      </v:line>
                    </v:group>
                  </w:pict>
                </mc:Fallback>
              </mc:AlternateContent>
            </w:r>
            <w:r w:rsidR="00094646" w:rsidRPr="00FF2BBD">
              <w:rPr>
                <w:sz w:val="48"/>
                <w:szCs w:val="48"/>
              </w:rPr>
              <w:softHyphen/>
            </w:r>
          </w:p>
        </w:tc>
        <w:tc>
          <w:tcPr>
            <w:tcW w:w="3827" w:type="dxa"/>
            <w:tcBorders>
              <w:top w:val="nil"/>
              <w:left w:val="nil"/>
              <w:bottom w:val="nil"/>
              <w:right w:val="nil"/>
            </w:tcBorders>
            <w:shd w:val="clear" w:color="auto" w:fill="F2F2F2"/>
          </w:tcPr>
          <w:p w14:paraId="1ECFF273" w14:textId="5C4B4217" w:rsidR="00540CA8" w:rsidRDefault="00540CA8" w:rsidP="00540CA8">
            <w:pPr>
              <w:pStyle w:val="Box"/>
            </w:pPr>
            <w:r>
              <w:t>The proportion of</w:t>
            </w:r>
            <w:r w:rsidR="00124A61" w:rsidRPr="00FF2BBD">
              <w:t xml:space="preserve"> Aboriginal and Torres Strait Islander 20–64 year olds </w:t>
            </w:r>
            <w:r>
              <w:t>with</w:t>
            </w:r>
            <w:r w:rsidRPr="00FF2BBD">
              <w:t xml:space="preserve"> </w:t>
            </w:r>
            <w:r w:rsidR="00124A61" w:rsidRPr="00FF2BBD">
              <w:t>a Certificate level III</w:t>
            </w:r>
            <w:r w:rsidR="00FF2BBD" w:rsidRPr="00FF2BBD">
              <w:t xml:space="preserve"> or above or studying</w:t>
            </w:r>
            <w:r>
              <w:t xml:space="preserve"> increase</w:t>
            </w:r>
            <w:r w:rsidR="00EF270A">
              <w:t>d from 26 per cent in 2002 to 50</w:t>
            </w:r>
            <w:r>
              <w:t> per cent in 201</w:t>
            </w:r>
            <w:r w:rsidR="00EF270A">
              <w:t>8</w:t>
            </w:r>
            <w:r>
              <w:t>-1</w:t>
            </w:r>
            <w:r w:rsidR="00EF270A">
              <w:t>9</w:t>
            </w:r>
            <w:r w:rsidR="00124A61" w:rsidRPr="00FF2BBD">
              <w:t xml:space="preserve">. </w:t>
            </w:r>
          </w:p>
          <w:p w14:paraId="2A94EDA3" w14:textId="210438E7" w:rsidR="00094646" w:rsidRPr="00FF2BBD" w:rsidRDefault="00124A61" w:rsidP="00934F0E">
            <w:pPr>
              <w:pStyle w:val="Box"/>
            </w:pPr>
            <w:r w:rsidRPr="00FF2BBD">
              <w:t xml:space="preserve">The gap between Aboriginal and Torres Strait Islander </w:t>
            </w:r>
            <w:r w:rsidR="009D085C">
              <w:t xml:space="preserve">people </w:t>
            </w:r>
            <w:r w:rsidR="0054404F">
              <w:t>and non</w:t>
            </w:r>
            <w:r w:rsidR="0054404F">
              <w:noBreakHyphen/>
            </w:r>
            <w:r w:rsidRPr="00FF2BBD">
              <w:t xml:space="preserve">Indigenous </w:t>
            </w:r>
            <w:r w:rsidR="009D085C">
              <w:t>people</w:t>
            </w:r>
            <w:r w:rsidR="00FF2BBD" w:rsidRPr="00FF2BBD">
              <w:t xml:space="preserve"> remained steady</w:t>
            </w:r>
            <w:r w:rsidR="00540CA8">
              <w:t xml:space="preserve"> </w:t>
            </w:r>
            <w:r w:rsidR="00DE52CE">
              <w:t xml:space="preserve">over the period at </w:t>
            </w:r>
            <w:r w:rsidR="00934F0E">
              <w:t xml:space="preserve">about </w:t>
            </w:r>
            <w:r w:rsidRPr="00FF2BBD">
              <w:t>25 pe</w:t>
            </w:r>
            <w:r w:rsidR="00DE52CE">
              <w:t>rcentage points.</w:t>
            </w:r>
          </w:p>
        </w:tc>
      </w:tr>
      <w:tr w:rsidR="00037871" w:rsidRPr="00037871" w14:paraId="12787906" w14:textId="77777777" w:rsidTr="007F5DB2">
        <w:trPr>
          <w:cantSplit/>
        </w:trPr>
        <w:tc>
          <w:tcPr>
            <w:tcW w:w="8789" w:type="dxa"/>
            <w:gridSpan w:val="3"/>
            <w:tcBorders>
              <w:top w:val="nil"/>
              <w:left w:val="nil"/>
              <w:bottom w:val="single" w:sz="6" w:space="0" w:color="78A22F"/>
              <w:right w:val="nil"/>
            </w:tcBorders>
            <w:shd w:val="clear" w:color="auto" w:fill="F2F2F2"/>
          </w:tcPr>
          <w:p w14:paraId="3067A02C" w14:textId="77777777" w:rsidR="00094646" w:rsidRPr="00037871" w:rsidRDefault="00094646" w:rsidP="00F409A2">
            <w:pPr>
              <w:pStyle w:val="Box"/>
              <w:spacing w:before="0" w:line="120" w:lineRule="exact"/>
              <w:rPr>
                <w:color w:val="00B050"/>
              </w:rPr>
            </w:pPr>
          </w:p>
        </w:tc>
      </w:tr>
      <w:tr w:rsidR="00037871" w:rsidRPr="00037871" w14:paraId="3089E8BC" w14:textId="77777777" w:rsidTr="007F5DB2">
        <w:tc>
          <w:tcPr>
            <w:tcW w:w="8789" w:type="dxa"/>
            <w:gridSpan w:val="3"/>
            <w:tcBorders>
              <w:top w:val="single" w:sz="6" w:space="0" w:color="78A22F"/>
              <w:left w:val="nil"/>
              <w:bottom w:val="nil"/>
              <w:right w:val="nil"/>
            </w:tcBorders>
          </w:tcPr>
          <w:p w14:paraId="32C7A822" w14:textId="77777777" w:rsidR="00094646" w:rsidRPr="00037871" w:rsidRDefault="00094646" w:rsidP="00F409A2">
            <w:pPr>
              <w:pStyle w:val="BoxSpaceBelow"/>
              <w:rPr>
                <w:color w:val="00B050"/>
              </w:rPr>
            </w:pPr>
          </w:p>
        </w:tc>
      </w:tr>
    </w:tbl>
    <w:p w14:paraId="35B2399B" w14:textId="77777777" w:rsidR="00094646" w:rsidRPr="00037871" w:rsidRDefault="00094646" w:rsidP="00094646">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16436751" w14:textId="77777777" w:rsidTr="007F5DB2">
        <w:tc>
          <w:tcPr>
            <w:tcW w:w="8789" w:type="dxa"/>
            <w:gridSpan w:val="3"/>
            <w:tcBorders>
              <w:top w:val="single" w:sz="6" w:space="0" w:color="78A22F"/>
              <w:left w:val="nil"/>
              <w:bottom w:val="nil"/>
              <w:right w:val="nil"/>
            </w:tcBorders>
            <w:shd w:val="clear" w:color="auto" w:fill="F2F2F2"/>
          </w:tcPr>
          <w:p w14:paraId="1158C9D3" w14:textId="77777777" w:rsidR="00094646" w:rsidRPr="002F7C99" w:rsidRDefault="00094646" w:rsidP="002F7C99">
            <w:pPr>
              <w:pStyle w:val="BoxTitle"/>
              <w:spacing w:after="120"/>
            </w:pPr>
            <w:r w:rsidRPr="002F7C99">
              <w:t>4.</w:t>
            </w:r>
            <w:r w:rsidR="002F7C99" w:rsidRPr="002F7C99">
              <w:t>9</w:t>
            </w:r>
            <w:r w:rsidRPr="002F7C99">
              <w:tab/>
            </w:r>
            <w:r w:rsidR="00864095" w:rsidRPr="002F7C99">
              <w:t>Disability and chronic disease</w:t>
            </w:r>
          </w:p>
        </w:tc>
      </w:tr>
      <w:tr w:rsidR="00037871" w:rsidRPr="00037871" w14:paraId="3A5AFE7A" w14:textId="77777777" w:rsidTr="00237AD4">
        <w:trPr>
          <w:cantSplit/>
        </w:trPr>
        <w:tc>
          <w:tcPr>
            <w:tcW w:w="3970" w:type="dxa"/>
            <w:tcBorders>
              <w:top w:val="nil"/>
              <w:left w:val="nil"/>
              <w:bottom w:val="nil"/>
              <w:right w:val="nil"/>
            </w:tcBorders>
            <w:shd w:val="clear" w:color="auto" w:fill="F2F2F2"/>
          </w:tcPr>
          <w:p w14:paraId="1FD2B189" w14:textId="625BCAB5" w:rsidR="00864095" w:rsidRDefault="001C309B" w:rsidP="00F409A2">
            <w:pPr>
              <w:pStyle w:val="Box"/>
            </w:pPr>
            <w:r w:rsidRPr="001C309B">
              <w:t xml:space="preserve">Living with disability means that a person </w:t>
            </w:r>
            <w:r w:rsidR="001C57D0">
              <w:t xml:space="preserve">is </w:t>
            </w:r>
            <w:r w:rsidR="001C57D0" w:rsidRPr="00224065">
              <w:t>born with, or acquires, an impairment that limits everyday activities or restricts their participation in school or work, without assistance.</w:t>
            </w:r>
          </w:p>
          <w:p w14:paraId="32DF42BA" w14:textId="2514F793" w:rsidR="001C309B" w:rsidRPr="00FF2BBD" w:rsidRDefault="001C309B" w:rsidP="001C57D0">
            <w:pPr>
              <w:pStyle w:val="Box"/>
            </w:pPr>
          </w:p>
        </w:tc>
        <w:tc>
          <w:tcPr>
            <w:tcW w:w="992" w:type="dxa"/>
            <w:tcBorders>
              <w:top w:val="nil"/>
              <w:left w:val="nil"/>
              <w:bottom w:val="nil"/>
              <w:right w:val="nil"/>
            </w:tcBorders>
            <w:shd w:val="clear" w:color="auto" w:fill="DA9C13"/>
          </w:tcPr>
          <w:p w14:paraId="1D664E59" w14:textId="3F2B236A" w:rsidR="00864095" w:rsidRPr="00FF2BBD" w:rsidRDefault="00864095" w:rsidP="00523CD9">
            <w:pPr>
              <w:pStyle w:val="Box"/>
              <w:spacing w:before="360"/>
              <w:jc w:val="center"/>
              <w:rPr>
                <w:sz w:val="48"/>
                <w:szCs w:val="48"/>
              </w:rPr>
            </w:pPr>
            <w:r w:rsidRPr="00FF2BBD">
              <w:rPr>
                <w:sz w:val="48"/>
                <w:szCs w:val="48"/>
              </w:rPr>
              <w:softHyphen/>
            </w:r>
            <w:r w:rsidRPr="00FF2BBD">
              <w:rPr>
                <w:sz w:val="48"/>
                <w:szCs w:val="48"/>
              </w:rPr>
              <w:softHyphen/>
            </w:r>
            <w:r w:rsidRPr="005254A0">
              <w:rPr>
                <w:b/>
                <w:color w:val="FFFFFF" w:themeColor="background1"/>
                <w:sz w:val="48"/>
                <w:szCs w:val="48"/>
              </w:rPr>
              <w:t>_</w:t>
            </w:r>
          </w:p>
        </w:tc>
        <w:tc>
          <w:tcPr>
            <w:tcW w:w="3827" w:type="dxa"/>
            <w:tcBorders>
              <w:top w:val="nil"/>
              <w:left w:val="nil"/>
              <w:bottom w:val="nil"/>
              <w:right w:val="nil"/>
            </w:tcBorders>
            <w:shd w:val="clear" w:color="auto" w:fill="F2F2F2"/>
          </w:tcPr>
          <w:p w14:paraId="651A4FF9" w14:textId="46EF389D" w:rsidR="001C57D0" w:rsidRDefault="00864095" w:rsidP="001C57D0">
            <w:pPr>
              <w:pStyle w:val="Box"/>
              <w:tabs>
                <w:tab w:val="left" w:pos="990"/>
              </w:tabs>
            </w:pPr>
            <w:r w:rsidRPr="00FF2BBD">
              <w:t>In 201</w:t>
            </w:r>
            <w:r w:rsidR="00EF270A">
              <w:t>5</w:t>
            </w:r>
            <w:r w:rsidRPr="00FF2BBD">
              <w:t>, the rate of disability among Aboriginal and Torres St</w:t>
            </w:r>
            <w:r w:rsidR="00EF270A">
              <w:t xml:space="preserve">rait Islander </w:t>
            </w:r>
            <w:r w:rsidR="009D085C">
              <w:t>people</w:t>
            </w:r>
            <w:r w:rsidR="00EF270A">
              <w:t xml:space="preserve"> was 24</w:t>
            </w:r>
            <w:r w:rsidRPr="00FF2BBD">
              <w:t xml:space="preserve"> per cent, </w:t>
            </w:r>
            <w:r w:rsidR="001C57D0" w:rsidRPr="00FF2BBD">
              <w:t>little changed from 21</w:t>
            </w:r>
            <w:r w:rsidR="001C57D0">
              <w:t> </w:t>
            </w:r>
            <w:r w:rsidR="001C57D0" w:rsidRPr="00FF2BBD">
              <w:t>per</w:t>
            </w:r>
            <w:r w:rsidR="001C57D0">
              <w:t> </w:t>
            </w:r>
            <w:r w:rsidR="001C57D0" w:rsidRPr="00FF2BBD">
              <w:t xml:space="preserve">cent in 2009. </w:t>
            </w:r>
          </w:p>
          <w:p w14:paraId="17C34C83" w14:textId="419F2CD2" w:rsidR="00FF2BBD" w:rsidRPr="00FF2BBD" w:rsidRDefault="001C309B" w:rsidP="00AA3068">
            <w:pPr>
              <w:pStyle w:val="Box"/>
              <w:tabs>
                <w:tab w:val="left" w:pos="990"/>
              </w:tabs>
            </w:pPr>
            <w:r w:rsidRPr="001C309B">
              <w:t>Chronic diseases can result in disability, and vice versa.</w:t>
            </w:r>
            <w:r w:rsidR="001C57D0" w:rsidRPr="001C309B">
              <w:t xml:space="preserve"> </w:t>
            </w:r>
          </w:p>
        </w:tc>
      </w:tr>
      <w:tr w:rsidR="00037871" w:rsidRPr="00037871" w14:paraId="76A465FE" w14:textId="77777777" w:rsidTr="007F5DB2">
        <w:trPr>
          <w:cantSplit/>
        </w:trPr>
        <w:tc>
          <w:tcPr>
            <w:tcW w:w="8789" w:type="dxa"/>
            <w:gridSpan w:val="3"/>
            <w:tcBorders>
              <w:top w:val="nil"/>
              <w:left w:val="nil"/>
              <w:bottom w:val="single" w:sz="6" w:space="0" w:color="78A22F"/>
              <w:right w:val="nil"/>
            </w:tcBorders>
            <w:shd w:val="clear" w:color="auto" w:fill="F2F2F2"/>
          </w:tcPr>
          <w:p w14:paraId="40A78BA1" w14:textId="77777777" w:rsidR="00094646" w:rsidRPr="00037871" w:rsidRDefault="00094646" w:rsidP="00F409A2">
            <w:pPr>
              <w:pStyle w:val="Box"/>
              <w:spacing w:before="0" w:line="120" w:lineRule="exact"/>
              <w:rPr>
                <w:color w:val="00B050"/>
              </w:rPr>
            </w:pPr>
          </w:p>
        </w:tc>
      </w:tr>
      <w:tr w:rsidR="00037871" w:rsidRPr="00037871" w14:paraId="71401C08" w14:textId="77777777" w:rsidTr="007F5DB2">
        <w:tc>
          <w:tcPr>
            <w:tcW w:w="8789" w:type="dxa"/>
            <w:gridSpan w:val="3"/>
            <w:tcBorders>
              <w:top w:val="single" w:sz="6" w:space="0" w:color="78A22F"/>
              <w:left w:val="nil"/>
              <w:bottom w:val="nil"/>
              <w:right w:val="nil"/>
            </w:tcBorders>
          </w:tcPr>
          <w:p w14:paraId="1BE9BE8E" w14:textId="77777777" w:rsidR="00094646" w:rsidRPr="00037871" w:rsidRDefault="00094646" w:rsidP="00F409A2">
            <w:pPr>
              <w:pStyle w:val="BoxSpaceBelow"/>
              <w:rPr>
                <w:color w:val="00B050"/>
              </w:rPr>
            </w:pPr>
          </w:p>
        </w:tc>
      </w:tr>
    </w:tbl>
    <w:p w14:paraId="438065ED" w14:textId="77777777" w:rsidR="004B11F2" w:rsidRPr="00037871" w:rsidRDefault="004B11F2" w:rsidP="004B11F2">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50C849A6" w14:textId="77777777" w:rsidTr="00E929ED">
        <w:tc>
          <w:tcPr>
            <w:tcW w:w="8789" w:type="dxa"/>
            <w:gridSpan w:val="3"/>
            <w:tcBorders>
              <w:top w:val="single" w:sz="6" w:space="0" w:color="78A22F"/>
              <w:left w:val="nil"/>
              <w:bottom w:val="nil"/>
              <w:right w:val="nil"/>
            </w:tcBorders>
            <w:shd w:val="clear" w:color="auto" w:fill="F2F2F2"/>
          </w:tcPr>
          <w:p w14:paraId="2FD31B3A" w14:textId="77777777" w:rsidR="004B11F2" w:rsidRPr="002F7C99" w:rsidRDefault="004B11F2" w:rsidP="002F7C99">
            <w:pPr>
              <w:pStyle w:val="BoxTitle"/>
              <w:spacing w:after="120"/>
            </w:pPr>
            <w:r w:rsidRPr="002F7C99">
              <w:t>4.</w:t>
            </w:r>
            <w:r w:rsidR="002F7C99" w:rsidRPr="002F7C99">
              <w:t>10</w:t>
            </w:r>
            <w:r w:rsidRPr="002F7C99">
              <w:tab/>
              <w:t>Household and individual income</w:t>
            </w:r>
          </w:p>
        </w:tc>
      </w:tr>
      <w:tr w:rsidR="00037871" w:rsidRPr="003966D3" w14:paraId="65E73E7B" w14:textId="77777777" w:rsidTr="00237AD4">
        <w:trPr>
          <w:cantSplit/>
        </w:trPr>
        <w:tc>
          <w:tcPr>
            <w:tcW w:w="3970" w:type="dxa"/>
            <w:tcBorders>
              <w:top w:val="nil"/>
              <w:left w:val="nil"/>
              <w:bottom w:val="nil"/>
              <w:right w:val="nil"/>
            </w:tcBorders>
            <w:shd w:val="clear" w:color="auto" w:fill="F2F2F2"/>
          </w:tcPr>
          <w:p w14:paraId="2EBE4D62" w14:textId="260D7068" w:rsidR="001C309B" w:rsidRPr="00FB0C7A" w:rsidRDefault="001C309B" w:rsidP="004B11F2">
            <w:pPr>
              <w:pStyle w:val="Box"/>
            </w:pPr>
            <w:r>
              <w:t>F</w:t>
            </w:r>
            <w:r w:rsidRPr="001C309B">
              <w:t>or the general population higher income is correlated with improved wellbeing, but the relationship is not straightforward for Aboriginal and Torres Strait Islander people. For example, higher income at the expense of the degradation of Country or not undertaking cultural obligations may decrease wellbeing</w:t>
            </w:r>
            <w:r>
              <w:t>.</w:t>
            </w:r>
          </w:p>
        </w:tc>
        <w:tc>
          <w:tcPr>
            <w:tcW w:w="992" w:type="dxa"/>
            <w:tcBorders>
              <w:top w:val="nil"/>
              <w:left w:val="nil"/>
              <w:bottom w:val="nil"/>
              <w:right w:val="nil"/>
            </w:tcBorders>
            <w:shd w:val="clear" w:color="auto" w:fill="418A50"/>
          </w:tcPr>
          <w:p w14:paraId="55AB678A" w14:textId="77777777" w:rsidR="004B11F2" w:rsidRDefault="004B11F2" w:rsidP="00F409A2">
            <w:pPr>
              <w:pStyle w:val="BoxHeading1"/>
            </w:pPr>
          </w:p>
          <w:p w14:paraId="0A603740" w14:textId="77777777" w:rsidR="0020351C" w:rsidRPr="0020351C" w:rsidRDefault="0020351C" w:rsidP="0020351C">
            <w:pPr>
              <w:pStyle w:val="Box"/>
            </w:pPr>
          </w:p>
          <w:p w14:paraId="2BB00927" w14:textId="7ADC98EA" w:rsidR="004B11F2" w:rsidRPr="00FB0C7A" w:rsidRDefault="00B42D63" w:rsidP="00142ACE">
            <w:pPr>
              <w:pStyle w:val="Box"/>
              <w:spacing w:before="360"/>
              <w:jc w:val="center"/>
              <w:rPr>
                <w:sz w:val="48"/>
                <w:szCs w:val="48"/>
              </w:rPr>
            </w:pPr>
            <w:r w:rsidRPr="00B42D63">
              <w:rPr>
                <w:rFonts w:cs="Arial"/>
                <w:b/>
                <w:noProof/>
                <w:sz w:val="48"/>
                <w:szCs w:val="48"/>
              </w:rPr>
              <mc:AlternateContent>
                <mc:Choice Requires="wpg">
                  <w:drawing>
                    <wp:anchor distT="0" distB="0" distL="114300" distR="114300" simplePos="0" relativeHeight="251747328" behindDoc="0" locked="0" layoutInCell="1" allowOverlap="1" wp14:anchorId="7BE341F0" wp14:editId="4A646E6C">
                      <wp:simplePos x="0" y="0"/>
                      <wp:positionH relativeFrom="column">
                        <wp:posOffset>109349</wp:posOffset>
                      </wp:positionH>
                      <wp:positionV relativeFrom="paragraph">
                        <wp:posOffset>293370</wp:posOffset>
                      </wp:positionV>
                      <wp:extent cx="205105" cy="279400"/>
                      <wp:effectExtent l="19050" t="0" r="61595" b="6350"/>
                      <wp:wrapNone/>
                      <wp:docPr id="31"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33" name="Straight Connector 33"/>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3941428" id="Group 2" o:spid="_x0000_s1026" alt="Tick symbol" style="position:absolute;margin-left:8.6pt;margin-top:23.1pt;width:16.15pt;height:22pt;z-index:251747328;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">
                      <v:line id="Straight Connector 33"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" strokecolor="white [3212]" strokeweight="3pt">
                        <o:lock v:ext="edit" shapetype="f"/>
                      </v:line>
                      <v:line id="Straight Connector 34"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" strokecolor="white [3212]" strokeweight="3pt">
                        <o:lock v:ext="edit" shapetype="f"/>
                      </v:line>
                    </v:group>
                  </w:pict>
                </mc:Fallback>
              </mc:AlternateContent>
            </w:r>
            <w:r w:rsidR="004B11F2" w:rsidRPr="00FB0C7A">
              <w:rPr>
                <w:sz w:val="48"/>
                <w:szCs w:val="48"/>
              </w:rPr>
              <w:softHyphen/>
            </w:r>
          </w:p>
        </w:tc>
        <w:tc>
          <w:tcPr>
            <w:tcW w:w="3827" w:type="dxa"/>
            <w:tcBorders>
              <w:top w:val="nil"/>
              <w:left w:val="nil"/>
              <w:bottom w:val="nil"/>
              <w:right w:val="nil"/>
            </w:tcBorders>
            <w:shd w:val="clear" w:color="auto" w:fill="F2F2F2"/>
          </w:tcPr>
          <w:p w14:paraId="35B28E94" w14:textId="354D82C7" w:rsidR="00DE52CE" w:rsidRDefault="002519F7" w:rsidP="004D58DD">
            <w:pPr>
              <w:pStyle w:val="Box"/>
            </w:pPr>
            <w:r>
              <w:t>The</w:t>
            </w:r>
            <w:r w:rsidR="004B11F2" w:rsidRPr="008D2544">
              <w:t xml:space="preserve"> median equivalised gross weekly household (</w:t>
            </w:r>
            <w:proofErr w:type="spellStart"/>
            <w:r w:rsidR="00753517" w:rsidRPr="008D2544">
              <w:t>EGWH</w:t>
            </w:r>
            <w:proofErr w:type="spellEnd"/>
            <w:r w:rsidR="004B11F2" w:rsidRPr="008D2544">
              <w:t xml:space="preserve">) income for Aboriginal and Torres Strait Islander </w:t>
            </w:r>
            <w:r w:rsidR="009D085C" w:rsidRPr="008D2544">
              <w:t>people</w:t>
            </w:r>
            <w:r w:rsidR="004B11F2" w:rsidRPr="008D2544">
              <w:t xml:space="preserve"> </w:t>
            </w:r>
            <w:r w:rsidR="00B5384F" w:rsidRPr="008D2544">
              <w:t xml:space="preserve">was </w:t>
            </w:r>
            <w:r w:rsidR="004B11F2" w:rsidRPr="008D2544">
              <w:t>$</w:t>
            </w:r>
            <w:r w:rsidR="00CA5250" w:rsidRPr="008D2544">
              <w:t>5</w:t>
            </w:r>
            <w:r w:rsidR="009D085C" w:rsidRPr="008D2544">
              <w:t>53</w:t>
            </w:r>
            <w:r w:rsidR="004B11F2" w:rsidRPr="008D2544">
              <w:t xml:space="preserve"> in </w:t>
            </w:r>
            <w:r w:rsidR="009D085C" w:rsidRPr="008D2544">
              <w:t>2018</w:t>
            </w:r>
            <w:r w:rsidR="004B11F2" w:rsidRPr="008D2544">
              <w:noBreakHyphen/>
              <w:t>1</w:t>
            </w:r>
            <w:r w:rsidR="009D085C" w:rsidRPr="008D2544">
              <w:t>9</w:t>
            </w:r>
            <w:r w:rsidR="004B11F2" w:rsidRPr="008D2544">
              <w:t xml:space="preserve">. </w:t>
            </w:r>
          </w:p>
          <w:p w14:paraId="2F8D9704" w14:textId="700CB12B" w:rsidR="004B11F2" w:rsidRPr="00CC5EA5" w:rsidRDefault="00CC5EA5" w:rsidP="00CC5EA5">
            <w:pPr>
              <w:pStyle w:val="Box"/>
            </w:pPr>
            <w:r>
              <w:t>Due to ch</w:t>
            </w:r>
            <w:r w:rsidR="00D02710">
              <w:t>anges in data collection methodologies we cannot compare 2018</w:t>
            </w:r>
            <w:r w:rsidR="00D02710">
              <w:noBreakHyphen/>
            </w:r>
            <w:r>
              <w:t xml:space="preserve">19 </w:t>
            </w:r>
            <w:proofErr w:type="spellStart"/>
            <w:r>
              <w:t>EGWH</w:t>
            </w:r>
            <w:proofErr w:type="spellEnd"/>
            <w:r>
              <w:t xml:space="preserve"> income with historical data. However, between 2002 and 2014</w:t>
            </w:r>
            <w:r>
              <w:noBreakHyphen/>
              <w:t xml:space="preserve">15 Aboriginal and Torres Strait Islander people’s real </w:t>
            </w:r>
            <w:proofErr w:type="spellStart"/>
            <w:r>
              <w:t>EGWH</w:t>
            </w:r>
            <w:proofErr w:type="spellEnd"/>
            <w:r>
              <w:t xml:space="preserve"> increased by about 30 per cent.</w:t>
            </w:r>
          </w:p>
        </w:tc>
      </w:tr>
      <w:tr w:rsidR="00797E60" w:rsidRPr="00037871" w14:paraId="4C9D0487" w14:textId="77777777" w:rsidTr="00E929ED">
        <w:trPr>
          <w:cantSplit/>
        </w:trPr>
        <w:tc>
          <w:tcPr>
            <w:tcW w:w="8789" w:type="dxa"/>
            <w:gridSpan w:val="3"/>
            <w:tcBorders>
              <w:top w:val="nil"/>
              <w:left w:val="nil"/>
              <w:bottom w:val="single" w:sz="6" w:space="0" w:color="78A22F"/>
              <w:right w:val="nil"/>
            </w:tcBorders>
            <w:shd w:val="clear" w:color="auto" w:fill="F2F2F2"/>
          </w:tcPr>
          <w:p w14:paraId="64CDF781" w14:textId="044D9A8E" w:rsidR="00797E60" w:rsidRPr="00037871" w:rsidRDefault="00797E60" w:rsidP="00F409A2">
            <w:pPr>
              <w:pStyle w:val="Box"/>
              <w:spacing w:before="0" w:line="120" w:lineRule="exact"/>
              <w:rPr>
                <w:color w:val="00B050"/>
              </w:rPr>
            </w:pPr>
          </w:p>
        </w:tc>
      </w:tr>
      <w:tr w:rsidR="00797E60" w:rsidRPr="00037871" w14:paraId="6D56040F" w14:textId="77777777" w:rsidTr="00E929ED">
        <w:tc>
          <w:tcPr>
            <w:tcW w:w="8789" w:type="dxa"/>
            <w:gridSpan w:val="3"/>
            <w:tcBorders>
              <w:top w:val="single" w:sz="6" w:space="0" w:color="78A22F"/>
              <w:left w:val="nil"/>
              <w:bottom w:val="nil"/>
              <w:right w:val="nil"/>
            </w:tcBorders>
          </w:tcPr>
          <w:p w14:paraId="3EC381C4" w14:textId="77777777" w:rsidR="00797E60" w:rsidRPr="00037871" w:rsidRDefault="00797E60" w:rsidP="00F409A2">
            <w:pPr>
              <w:pStyle w:val="BoxSpaceBelow"/>
              <w:rPr>
                <w:color w:val="00B050"/>
              </w:rPr>
            </w:pPr>
          </w:p>
        </w:tc>
      </w:tr>
    </w:tbl>
    <w:p w14:paraId="17E694B5" w14:textId="77777777" w:rsidR="007064EC" w:rsidRPr="00037871" w:rsidRDefault="007064EC" w:rsidP="007064EC">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519FD0E4" w14:textId="77777777" w:rsidTr="00E929ED">
        <w:tc>
          <w:tcPr>
            <w:tcW w:w="8789" w:type="dxa"/>
            <w:gridSpan w:val="3"/>
            <w:tcBorders>
              <w:top w:val="single" w:sz="6" w:space="0" w:color="78A22F"/>
              <w:left w:val="nil"/>
              <w:bottom w:val="nil"/>
              <w:right w:val="nil"/>
            </w:tcBorders>
            <w:shd w:val="clear" w:color="auto" w:fill="F2F2F2"/>
          </w:tcPr>
          <w:p w14:paraId="03E3B4E8" w14:textId="77777777" w:rsidR="007064EC" w:rsidRPr="002F7C99" w:rsidRDefault="007064EC" w:rsidP="002F7C99">
            <w:pPr>
              <w:pStyle w:val="BoxTitle"/>
              <w:spacing w:after="120"/>
            </w:pPr>
            <w:r w:rsidRPr="002F7C99">
              <w:t>4.1</w:t>
            </w:r>
            <w:r w:rsidR="002F7C99" w:rsidRPr="002F7C99">
              <w:t>1</w:t>
            </w:r>
            <w:r w:rsidRPr="002F7C99">
              <w:tab/>
              <w:t>Substantiated child abuse and neglect</w:t>
            </w:r>
          </w:p>
        </w:tc>
      </w:tr>
      <w:tr w:rsidR="00037871" w:rsidRPr="00037871" w14:paraId="4FFD2078" w14:textId="77777777" w:rsidTr="00E929ED">
        <w:trPr>
          <w:cantSplit/>
        </w:trPr>
        <w:tc>
          <w:tcPr>
            <w:tcW w:w="3970" w:type="dxa"/>
            <w:tcBorders>
              <w:top w:val="nil"/>
              <w:left w:val="nil"/>
              <w:bottom w:val="nil"/>
              <w:right w:val="nil"/>
            </w:tcBorders>
            <w:shd w:val="clear" w:color="auto" w:fill="F2F2F2"/>
          </w:tcPr>
          <w:p w14:paraId="52621708" w14:textId="181A7409" w:rsidR="007064EC" w:rsidRDefault="00E66B20" w:rsidP="00686FD4">
            <w:pPr>
              <w:pStyle w:val="Box"/>
            </w:pPr>
            <w:r w:rsidRPr="00E66B20">
              <w:t>Acting early to prevent childhood abuse and neglect is important to reduce the likelihood of this leading to numerous issues with health and wellbeing into adulthood</w:t>
            </w:r>
            <w:r>
              <w:t>.</w:t>
            </w:r>
          </w:p>
          <w:p w14:paraId="7B1DA5E6" w14:textId="7BFC6E14" w:rsidR="00E66B20" w:rsidRPr="00972832" w:rsidRDefault="00E66B20" w:rsidP="00686FD4">
            <w:pPr>
              <w:pStyle w:val="Box"/>
            </w:pPr>
            <w:r w:rsidRPr="00E66B20">
              <w:t>A significant issue in reporting on child abuse and neglect is the absence of data on prevalence in the community</w:t>
            </w:r>
            <w:r>
              <w:t>, with data only available once a child comes in contact with child protection services. At this point, differences in representation in the system are unclear (greater exposure to risk factors and/or the structural factors that increase the likelihood of entry to the system).</w:t>
            </w:r>
          </w:p>
        </w:tc>
        <w:tc>
          <w:tcPr>
            <w:tcW w:w="992" w:type="dxa"/>
            <w:tcBorders>
              <w:top w:val="nil"/>
              <w:left w:val="nil"/>
              <w:bottom w:val="nil"/>
              <w:right w:val="nil"/>
            </w:tcBorders>
            <w:shd w:val="clear" w:color="auto" w:fill="AB0F14"/>
          </w:tcPr>
          <w:p w14:paraId="3B72580C" w14:textId="77777777" w:rsidR="007064EC" w:rsidRPr="00972832" w:rsidRDefault="007064EC" w:rsidP="00F409A2">
            <w:pPr>
              <w:pStyle w:val="BoxHeading1"/>
            </w:pPr>
          </w:p>
          <w:p w14:paraId="2CA8A8FD" w14:textId="77777777" w:rsidR="007064EC" w:rsidRPr="00972832" w:rsidRDefault="007064EC" w:rsidP="00F409A2">
            <w:pPr>
              <w:pStyle w:val="Box"/>
            </w:pPr>
          </w:p>
          <w:p w14:paraId="5D67C993" w14:textId="28F2C50A" w:rsidR="007064EC" w:rsidRPr="002A0EC7" w:rsidRDefault="0042569A" w:rsidP="00523CD9">
            <w:pPr>
              <w:pStyle w:val="Box"/>
              <w:spacing w:before="360"/>
              <w:jc w:val="center"/>
              <w:rPr>
                <w:rFonts w:cs="Arial"/>
                <w:bCs/>
                <w:sz w:val="48"/>
                <w:szCs w:val="48"/>
              </w:rPr>
            </w:pPr>
            <w:r w:rsidRPr="0042569A">
              <w:rPr>
                <w:rFonts w:cs="Arial"/>
                <w:bCs/>
                <w:noProof/>
                <w:sz w:val="48"/>
                <w:szCs w:val="48"/>
              </w:rPr>
              <mc:AlternateContent>
                <mc:Choice Requires="wpg">
                  <w:drawing>
                    <wp:anchor distT="0" distB="0" distL="114300" distR="114300" simplePos="0" relativeHeight="251724800" behindDoc="0" locked="0" layoutInCell="1" allowOverlap="1" wp14:anchorId="047DE934" wp14:editId="538EB01D">
                      <wp:simplePos x="0" y="0"/>
                      <wp:positionH relativeFrom="column">
                        <wp:posOffset>135890</wp:posOffset>
                      </wp:positionH>
                      <wp:positionV relativeFrom="paragraph">
                        <wp:posOffset>674370</wp:posOffset>
                      </wp:positionV>
                      <wp:extent cx="172857" cy="218365"/>
                      <wp:effectExtent l="19050" t="19050" r="17780" b="10795"/>
                      <wp:wrapNone/>
                      <wp:docPr id="128" name="Group 7" descr="Symbol of a X&#10;&#10;More details can be found within the text surrounding this image. "/>
                      <wp:cNvGraphicFramePr/>
                      <a:graphic xmlns:a="http://schemas.openxmlformats.org/drawingml/2006/main">
                        <a:graphicData uri="http://schemas.microsoft.com/office/word/2010/wordprocessingGroup">
                          <wpg:wgp>
                            <wpg:cNvGrpSpPr/>
                            <wpg:grpSpPr>
                              <a:xfrm rot="347790">
                                <a:off x="0" y="0"/>
                                <a:ext cx="172857" cy="218365"/>
                                <a:chOff x="0" y="0"/>
                                <a:chExt cx="718457" cy="718457"/>
                              </a:xfrm>
                            </wpg:grpSpPr>
                            <wps:wsp>
                              <wps:cNvPr id="129" name="Straight Connector 129"/>
                              <wps:cNvCnPr/>
                              <wps:spPr>
                                <a:xfrm>
                                  <a:off x="0" y="60650"/>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0" name="Straight Connector 130"/>
                              <wps:cNvCnPr>
                                <a:cxnSpLocks/>
                              </wps:cNvCnPr>
                              <wps:spPr>
                                <a:xfrm rot="5400000">
                                  <a:off x="-1" y="60649"/>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AFE0030" id="Group 7" o:spid="_x0000_s1026" alt="Symbol of a X&#10;&#10;More details can be found within the text surrounding this image. " style="position:absolute;margin-left:10.7pt;margin-top:53.1pt;width:13.6pt;height:17.2pt;rotation:379879fd;z-index:251724800;mso-width-relative:margin;mso-height-relative:margin" coordsize="7184,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">
                      <v:line id="Straight Connector 129" o:spid="_x0000_s1027" style="position:absolute;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" strokecolor="white [3212]" strokeweight="2.5pt"/>
                      <v:line id="Straight Connector 130" o:spid="_x0000_s1028" style="position:absolute;rotation:90;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" strokecolor="white [3212]" strokeweight="2.5pt">
                        <o:lock v:ext="edit" shapetype="f"/>
                      </v:line>
                    </v:group>
                  </w:pict>
                </mc:Fallback>
              </mc:AlternateContent>
            </w:r>
            <w:r w:rsidR="00A9316D" w:rsidRPr="00972832">
              <w:rPr>
                <w:b/>
                <w:sz w:val="48"/>
                <w:szCs w:val="48"/>
              </w:rPr>
              <w:br/>
            </w:r>
          </w:p>
        </w:tc>
        <w:tc>
          <w:tcPr>
            <w:tcW w:w="3827" w:type="dxa"/>
            <w:tcBorders>
              <w:top w:val="nil"/>
              <w:left w:val="nil"/>
              <w:bottom w:val="nil"/>
              <w:right w:val="nil"/>
            </w:tcBorders>
            <w:shd w:val="clear" w:color="auto" w:fill="F2F2F2"/>
          </w:tcPr>
          <w:p w14:paraId="71ACFA2B" w14:textId="7BB94ACB" w:rsidR="00972832" w:rsidRPr="00972832" w:rsidRDefault="00A9316D" w:rsidP="00972832">
            <w:pPr>
              <w:pStyle w:val="Box"/>
            </w:pPr>
            <w:r w:rsidRPr="00972832">
              <w:t>Child protection substantiations for Aboriginal and Torres Strait Isl</w:t>
            </w:r>
            <w:r w:rsidR="009D085C">
              <w:t>ander children increased from 28</w:t>
            </w:r>
            <w:r w:rsidRPr="00972832">
              <w:t xml:space="preserve"> per 1000 chi</w:t>
            </w:r>
            <w:r w:rsidR="009D085C">
              <w:t>ldren in 2009-10 to 42</w:t>
            </w:r>
            <w:r w:rsidR="00B97C7F" w:rsidRPr="00972832">
              <w:t xml:space="preserve"> per 1000 </w:t>
            </w:r>
            <w:r w:rsidR="009D085C">
              <w:t>children in 2016</w:t>
            </w:r>
            <w:r w:rsidRPr="00972832">
              <w:t>-1</w:t>
            </w:r>
            <w:r w:rsidR="009D085C">
              <w:t>7, before decreasing to 38 per 1000 children in 2018-19</w:t>
            </w:r>
            <w:r w:rsidRPr="00972832">
              <w:t>.</w:t>
            </w:r>
          </w:p>
          <w:p w14:paraId="140647CC" w14:textId="40C18887" w:rsidR="007064EC" w:rsidRPr="00972832" w:rsidRDefault="00A9316D" w:rsidP="0054404F">
            <w:pPr>
              <w:pStyle w:val="Box"/>
            </w:pPr>
            <w:r w:rsidRPr="00972832">
              <w:t xml:space="preserve">The rate of Aboriginal and Torres Strait Islander children </w:t>
            </w:r>
            <w:r w:rsidR="009D085C">
              <w:t xml:space="preserve">in </w:t>
            </w:r>
            <w:r w:rsidR="00DE52CE">
              <w:t>out-of-</w:t>
            </w:r>
            <w:r w:rsidR="009D085C">
              <w:t>home care</w:t>
            </w:r>
            <w:r w:rsidR="005E0ABD">
              <w:t xml:space="preserve"> increased </w:t>
            </w:r>
            <w:r w:rsidR="005E0ABD" w:rsidRPr="003966D3">
              <w:t>from 21</w:t>
            </w:r>
            <w:r w:rsidR="00972832" w:rsidRPr="003966D3">
              <w:t xml:space="preserve"> </w:t>
            </w:r>
            <w:r w:rsidR="005E0ABD" w:rsidRPr="003966D3">
              <w:t xml:space="preserve">to </w:t>
            </w:r>
            <w:r w:rsidR="00582660" w:rsidRPr="003966D3">
              <w:t xml:space="preserve">60 </w:t>
            </w:r>
            <w:r w:rsidR="00022839" w:rsidRPr="003966D3">
              <w:t xml:space="preserve">per </w:t>
            </w:r>
            <w:r w:rsidR="005E0ABD" w:rsidRPr="003966D3">
              <w:t>1000</w:t>
            </w:r>
            <w:r w:rsidR="0054404F">
              <w:t> </w:t>
            </w:r>
            <w:r w:rsidR="005E0ABD" w:rsidRPr="003966D3">
              <w:t xml:space="preserve">children </w:t>
            </w:r>
            <w:r w:rsidR="00DE52CE" w:rsidRPr="003966D3">
              <w:t>over the 1</w:t>
            </w:r>
            <w:r w:rsidR="00604EBA">
              <w:t>4</w:t>
            </w:r>
            <w:r w:rsidR="00DE52CE" w:rsidRPr="003966D3">
              <w:t xml:space="preserve"> years to</w:t>
            </w:r>
            <w:r w:rsidR="005E0ABD" w:rsidRPr="003966D3">
              <w:t xml:space="preserve"> 2018</w:t>
            </w:r>
            <w:r w:rsidR="0054404F">
              <w:noBreakHyphen/>
            </w:r>
            <w:r w:rsidR="005E0ABD">
              <w:t>19</w:t>
            </w:r>
            <w:r w:rsidR="00DE52CE">
              <w:t>, while</w:t>
            </w:r>
            <w:r w:rsidR="005E0ABD">
              <w:t xml:space="preserve"> the proportion placed in accordance with the Aboriginal Child Placement Principle decreased.</w:t>
            </w:r>
          </w:p>
        </w:tc>
      </w:tr>
      <w:tr w:rsidR="00037871" w:rsidRPr="00037871" w14:paraId="18FF0178" w14:textId="77777777" w:rsidTr="00E929ED">
        <w:trPr>
          <w:cantSplit/>
        </w:trPr>
        <w:tc>
          <w:tcPr>
            <w:tcW w:w="8789" w:type="dxa"/>
            <w:gridSpan w:val="3"/>
            <w:tcBorders>
              <w:top w:val="nil"/>
              <w:left w:val="nil"/>
              <w:bottom w:val="nil"/>
              <w:right w:val="nil"/>
            </w:tcBorders>
            <w:shd w:val="clear" w:color="auto" w:fill="F2F2F2"/>
          </w:tcPr>
          <w:p w14:paraId="3CD380BF" w14:textId="7D519184" w:rsidR="00CE3D53" w:rsidRPr="00572651" w:rsidRDefault="005E0ABD" w:rsidP="005E0ABD">
            <w:pPr>
              <w:pStyle w:val="BoxHeading1"/>
              <w:rPr>
                <w:i/>
                <w:color w:val="000000" w:themeColor="text1"/>
              </w:rPr>
            </w:pPr>
            <w:r>
              <w:t>C</w:t>
            </w:r>
            <w:r w:rsidRPr="00C41910">
              <w:t xml:space="preserve">hildren aged 0–17 years who were </w:t>
            </w:r>
            <w:r>
              <w:t>in out-of-home care at 30 June, by Indigenous status</w:t>
            </w:r>
          </w:p>
        </w:tc>
      </w:tr>
      <w:tr w:rsidR="005E0ABD" w:rsidRPr="00037871" w14:paraId="0A057A47" w14:textId="77777777" w:rsidTr="006406E1">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31EDC759" w14:textId="2FA77EC7" w:rsidR="006263E3" w:rsidRPr="006406E1" w:rsidRDefault="001E0C0D" w:rsidP="006406E1">
            <w:pPr>
              <w:pStyle w:val="Box"/>
              <w:jc w:val="center"/>
            </w:pPr>
            <w:r w:rsidRPr="001E0C0D">
              <w:rPr>
                <w:noProof/>
              </w:rPr>
              <w:drawing>
                <wp:inline distT="0" distB="0" distL="0" distR="0" wp14:anchorId="74CF0916" wp14:editId="47B76F5C">
                  <wp:extent cx="5295900" cy="2514600"/>
                  <wp:effectExtent l="0" t="0" r="0" b="0"/>
                  <wp:docPr id="65" name="Picture 65" descr="Children aged 0-17 years who were in out-of-home care at 30 June, by Indigenous status&#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95900" cy="2514600"/>
                          </a:xfrm>
                          <a:prstGeom prst="rect">
                            <a:avLst/>
                          </a:prstGeom>
                          <a:noFill/>
                          <a:ln>
                            <a:noFill/>
                          </a:ln>
                        </pic:spPr>
                      </pic:pic>
                    </a:graphicData>
                  </a:graphic>
                </wp:inline>
              </w:drawing>
            </w:r>
          </w:p>
        </w:tc>
      </w:tr>
      <w:tr w:rsidR="005E0ABD" w:rsidRPr="00037871" w14:paraId="68BA343C" w14:textId="77777777" w:rsidTr="00E929ED">
        <w:trPr>
          <w:cantSplit/>
        </w:trPr>
        <w:tc>
          <w:tcPr>
            <w:tcW w:w="8789" w:type="dxa"/>
            <w:gridSpan w:val="3"/>
            <w:tcBorders>
              <w:top w:val="nil"/>
              <w:left w:val="nil"/>
              <w:bottom w:val="nil"/>
              <w:right w:val="nil"/>
            </w:tcBorders>
            <w:shd w:val="clear" w:color="auto" w:fill="F2F2F2"/>
          </w:tcPr>
          <w:p w14:paraId="1763BF9A" w14:textId="3704521F" w:rsidR="005E0ABD" w:rsidRPr="00143FA8" w:rsidRDefault="005E0ABD" w:rsidP="003D7A8A">
            <w:pPr>
              <w:pStyle w:val="Box"/>
              <w:rPr>
                <w:i/>
                <w:color w:val="000000" w:themeColor="text1"/>
                <w:sz w:val="18"/>
                <w:szCs w:val="18"/>
              </w:rPr>
            </w:pPr>
            <w:r w:rsidRPr="00143FA8">
              <w:rPr>
                <w:i/>
                <w:sz w:val="18"/>
                <w:szCs w:val="18"/>
              </w:rPr>
              <w:t>Source</w:t>
            </w:r>
            <w:r w:rsidRPr="00143FA8">
              <w:rPr>
                <w:sz w:val="18"/>
                <w:szCs w:val="18"/>
              </w:rPr>
              <w:t>: Figure 4.11.</w:t>
            </w:r>
            <w:r w:rsidR="00657146" w:rsidRPr="00143FA8">
              <w:rPr>
                <w:sz w:val="18"/>
                <w:szCs w:val="18"/>
              </w:rPr>
              <w:t xml:space="preserve">3 </w:t>
            </w:r>
            <w:r w:rsidRPr="00143FA8">
              <w:rPr>
                <w:sz w:val="18"/>
                <w:szCs w:val="18"/>
              </w:rPr>
              <w:t xml:space="preserve">in the main </w:t>
            </w:r>
            <w:r w:rsidR="003D7A8A" w:rsidRPr="00143FA8">
              <w:rPr>
                <w:sz w:val="18"/>
                <w:szCs w:val="18"/>
              </w:rPr>
              <w:t>Report</w:t>
            </w:r>
            <w:r w:rsidRPr="00143FA8">
              <w:rPr>
                <w:sz w:val="18"/>
                <w:szCs w:val="18"/>
              </w:rPr>
              <w:t>.</w:t>
            </w:r>
          </w:p>
        </w:tc>
      </w:tr>
      <w:tr w:rsidR="00037871" w:rsidRPr="00037871" w14:paraId="2A8D8D63" w14:textId="77777777" w:rsidTr="00E929ED">
        <w:trPr>
          <w:cantSplit/>
        </w:trPr>
        <w:tc>
          <w:tcPr>
            <w:tcW w:w="8789" w:type="dxa"/>
            <w:gridSpan w:val="3"/>
            <w:tcBorders>
              <w:top w:val="nil"/>
              <w:left w:val="nil"/>
              <w:bottom w:val="single" w:sz="6" w:space="0" w:color="78A22F"/>
              <w:right w:val="nil"/>
            </w:tcBorders>
            <w:shd w:val="clear" w:color="auto" w:fill="F2F2F2"/>
          </w:tcPr>
          <w:p w14:paraId="09E82985" w14:textId="77777777" w:rsidR="007064EC" w:rsidRPr="00037871" w:rsidRDefault="007064EC" w:rsidP="00F409A2">
            <w:pPr>
              <w:pStyle w:val="Box"/>
              <w:spacing w:before="0" w:line="120" w:lineRule="exact"/>
              <w:rPr>
                <w:color w:val="00B050"/>
              </w:rPr>
            </w:pPr>
          </w:p>
        </w:tc>
      </w:tr>
      <w:tr w:rsidR="00037871" w:rsidRPr="00037871" w14:paraId="2C20A7A4" w14:textId="77777777" w:rsidTr="00E929ED">
        <w:tc>
          <w:tcPr>
            <w:tcW w:w="8789" w:type="dxa"/>
            <w:gridSpan w:val="3"/>
            <w:tcBorders>
              <w:top w:val="single" w:sz="6" w:space="0" w:color="78A22F"/>
              <w:left w:val="nil"/>
              <w:bottom w:val="nil"/>
              <w:right w:val="nil"/>
            </w:tcBorders>
          </w:tcPr>
          <w:p w14:paraId="1375E00A" w14:textId="77777777" w:rsidR="007064EC" w:rsidRPr="00037871" w:rsidRDefault="007064EC" w:rsidP="00F409A2">
            <w:pPr>
              <w:pStyle w:val="BoxSpaceBelow"/>
              <w:rPr>
                <w:color w:val="00B050"/>
              </w:rPr>
            </w:pPr>
          </w:p>
        </w:tc>
      </w:tr>
    </w:tbl>
    <w:p w14:paraId="7BCC0768" w14:textId="77777777" w:rsidR="007064EC" w:rsidRPr="00037871" w:rsidRDefault="007064EC" w:rsidP="007064EC">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3D7FD2C8" w14:textId="77777777" w:rsidTr="00E929ED">
        <w:tc>
          <w:tcPr>
            <w:tcW w:w="8789" w:type="dxa"/>
            <w:gridSpan w:val="3"/>
            <w:tcBorders>
              <w:top w:val="single" w:sz="6" w:space="0" w:color="78A22F"/>
              <w:left w:val="nil"/>
              <w:bottom w:val="nil"/>
              <w:right w:val="nil"/>
            </w:tcBorders>
            <w:shd w:val="clear" w:color="auto" w:fill="F2F2F2"/>
          </w:tcPr>
          <w:p w14:paraId="5D450FE6" w14:textId="77777777" w:rsidR="007064EC" w:rsidRPr="002F7C99" w:rsidRDefault="002F7C99" w:rsidP="001D480C">
            <w:pPr>
              <w:pStyle w:val="BoxTitle"/>
              <w:spacing w:after="120"/>
            </w:pPr>
            <w:r w:rsidRPr="002F7C99">
              <w:t>4.12</w:t>
            </w:r>
            <w:r w:rsidR="007064EC" w:rsidRPr="002F7C99">
              <w:tab/>
              <w:t>Family and community violence</w:t>
            </w:r>
          </w:p>
        </w:tc>
      </w:tr>
      <w:tr w:rsidR="00037871" w:rsidRPr="00037871" w14:paraId="5434B40B" w14:textId="77777777" w:rsidTr="00237AD4">
        <w:trPr>
          <w:cantSplit/>
        </w:trPr>
        <w:tc>
          <w:tcPr>
            <w:tcW w:w="3970" w:type="dxa"/>
            <w:tcBorders>
              <w:top w:val="nil"/>
              <w:left w:val="nil"/>
              <w:bottom w:val="nil"/>
              <w:right w:val="nil"/>
            </w:tcBorders>
            <w:shd w:val="clear" w:color="auto" w:fill="F2F2F2"/>
          </w:tcPr>
          <w:p w14:paraId="6BC60F88" w14:textId="13D9A9A6" w:rsidR="00603367" w:rsidRPr="00C84F61" w:rsidRDefault="00603367" w:rsidP="00603367">
            <w:pPr>
              <w:pStyle w:val="Box"/>
            </w:pPr>
            <w:r w:rsidRPr="00603367">
              <w:t>Although most Australian families are strong and healthy, some are at risk of family and community violence</w:t>
            </w:r>
            <w:r>
              <w:t>, and the impact can be far reaching. In an Aboriginal and Torres Strait Islander context, t</w:t>
            </w:r>
            <w:r w:rsidRPr="00603367">
              <w:t xml:space="preserve">he term recognises </w:t>
            </w:r>
            <w:r>
              <w:t>the broader impacts of violence</w:t>
            </w:r>
            <w:r w:rsidRPr="00603367">
              <w:t xml:space="preserve"> on extended families, kinship networks and community relationships</w:t>
            </w:r>
            <w:r>
              <w:t>.</w:t>
            </w:r>
          </w:p>
        </w:tc>
        <w:tc>
          <w:tcPr>
            <w:tcW w:w="992" w:type="dxa"/>
            <w:tcBorders>
              <w:top w:val="nil"/>
              <w:left w:val="nil"/>
              <w:bottom w:val="nil"/>
              <w:right w:val="nil"/>
            </w:tcBorders>
            <w:shd w:val="clear" w:color="auto" w:fill="7E7397"/>
          </w:tcPr>
          <w:p w14:paraId="284EBC2F" w14:textId="77777777" w:rsidR="007064EC" w:rsidRPr="00C84F61" w:rsidRDefault="007064EC" w:rsidP="00F409A2">
            <w:pPr>
              <w:pStyle w:val="BoxHeading1"/>
            </w:pPr>
          </w:p>
          <w:p w14:paraId="6F962094" w14:textId="42DF0CDB" w:rsidR="007064EC" w:rsidRPr="00C84F61" w:rsidRDefault="00C84F61" w:rsidP="00523CD9">
            <w:pPr>
              <w:pStyle w:val="Box"/>
              <w:spacing w:before="480"/>
              <w:jc w:val="center"/>
              <w:rPr>
                <w:sz w:val="48"/>
                <w:szCs w:val="48"/>
              </w:rPr>
            </w:pPr>
            <w:r w:rsidRPr="00C84F61">
              <w:rPr>
                <w:sz w:val="48"/>
                <w:szCs w:val="48"/>
              </w:rPr>
              <w:softHyphen/>
            </w:r>
            <w:r w:rsidR="002D0B2A" w:rsidRPr="005254A0">
              <w:rPr>
                <w:b/>
                <w:color w:val="FFFFFF" w:themeColor="background1"/>
                <w:sz w:val="48"/>
                <w:szCs w:val="48"/>
              </w:rPr>
              <w:t>?</w:t>
            </w:r>
          </w:p>
        </w:tc>
        <w:tc>
          <w:tcPr>
            <w:tcW w:w="3827" w:type="dxa"/>
            <w:tcBorders>
              <w:top w:val="nil"/>
              <w:left w:val="nil"/>
              <w:bottom w:val="nil"/>
              <w:right w:val="nil"/>
            </w:tcBorders>
            <w:shd w:val="clear" w:color="auto" w:fill="F2F2F2"/>
          </w:tcPr>
          <w:p w14:paraId="6D6CAEDF" w14:textId="1AE3943B" w:rsidR="00540CA8" w:rsidRDefault="005E0ABD" w:rsidP="00C84F61">
            <w:pPr>
              <w:pStyle w:val="Box"/>
            </w:pPr>
            <w:r>
              <w:t>In 2018</w:t>
            </w:r>
            <w:r w:rsidR="00C84F61" w:rsidRPr="00C84F61">
              <w:t>-1</w:t>
            </w:r>
            <w:r>
              <w:t xml:space="preserve">9, </w:t>
            </w:r>
            <w:r w:rsidR="00934F0E">
              <w:t xml:space="preserve">about </w:t>
            </w:r>
            <w:r>
              <w:t>16</w:t>
            </w:r>
            <w:r w:rsidR="00A9316D" w:rsidRPr="00C84F61">
              <w:t xml:space="preserve"> per cent of Aboriginal and Torres Strait </w:t>
            </w:r>
            <w:r w:rsidR="00016570">
              <w:t xml:space="preserve">people aged 15 years </w:t>
            </w:r>
            <w:r w:rsidR="005766FA">
              <w:t>or</w:t>
            </w:r>
            <w:r w:rsidR="00016570">
              <w:t xml:space="preserve"> over</w:t>
            </w:r>
            <w:r w:rsidR="00A9316D" w:rsidRPr="00C84F61">
              <w:t xml:space="preserve"> reported being a victim of</w:t>
            </w:r>
            <w:r w:rsidR="00016570">
              <w:t xml:space="preserve"> physical or threatened harm</w:t>
            </w:r>
            <w:r w:rsidR="00192732">
              <w:t xml:space="preserve"> in the past 12 months</w:t>
            </w:r>
            <w:r w:rsidR="00A9316D" w:rsidRPr="00C84F61">
              <w:t xml:space="preserve">. </w:t>
            </w:r>
          </w:p>
          <w:p w14:paraId="7D7D8A6F" w14:textId="10501E3C" w:rsidR="007064EC" w:rsidRPr="00C84F61" w:rsidRDefault="002D0B2A" w:rsidP="0054404F">
            <w:pPr>
              <w:pStyle w:val="Box"/>
            </w:pPr>
            <w:r>
              <w:t>This proportion is</w:t>
            </w:r>
            <w:r w:rsidR="00016570">
              <w:t xml:space="preserve"> </w:t>
            </w:r>
            <w:r w:rsidR="00934F0E">
              <w:t xml:space="preserve">about </w:t>
            </w:r>
            <w:r w:rsidR="00016570">
              <w:t>three times the rate for the total population aged 15</w:t>
            </w:r>
            <w:r w:rsidR="0054404F">
              <w:t> </w:t>
            </w:r>
            <w:r w:rsidR="00016570">
              <w:t xml:space="preserve">years </w:t>
            </w:r>
            <w:r w:rsidR="005766FA">
              <w:t>or</w:t>
            </w:r>
            <w:r w:rsidR="00016570">
              <w:t xml:space="preserve"> over.</w:t>
            </w:r>
          </w:p>
        </w:tc>
      </w:tr>
      <w:tr w:rsidR="002D0B2A" w:rsidRPr="00037871" w14:paraId="157BD992" w14:textId="77777777" w:rsidTr="00E929ED">
        <w:trPr>
          <w:cantSplit/>
        </w:trPr>
        <w:tc>
          <w:tcPr>
            <w:tcW w:w="8789" w:type="dxa"/>
            <w:gridSpan w:val="3"/>
            <w:tcBorders>
              <w:top w:val="nil"/>
              <w:left w:val="nil"/>
              <w:bottom w:val="nil"/>
              <w:right w:val="nil"/>
            </w:tcBorders>
            <w:shd w:val="clear" w:color="auto" w:fill="F2F2F2"/>
          </w:tcPr>
          <w:p w14:paraId="0F323DDC" w14:textId="125B43F9" w:rsidR="002D0B2A" w:rsidRPr="00464B99" w:rsidRDefault="002D0B2A" w:rsidP="00E36A5A">
            <w:pPr>
              <w:pStyle w:val="Box"/>
              <w:rPr>
                <w:i/>
              </w:rPr>
            </w:pPr>
            <w:r>
              <w:rPr>
                <w:i/>
              </w:rPr>
              <w:t xml:space="preserve">The 2018-19 collection was the first time these data were collected as part of the </w:t>
            </w:r>
            <w:r w:rsidR="00E36A5A">
              <w:rPr>
                <w:i/>
              </w:rPr>
              <w:t xml:space="preserve">ABS </w:t>
            </w:r>
            <w:r>
              <w:rPr>
                <w:i/>
              </w:rPr>
              <w:t>National Aboriginal and Torr</w:t>
            </w:r>
            <w:r w:rsidR="00E36A5A">
              <w:rPr>
                <w:i/>
              </w:rPr>
              <w:t>es Strait Islander Health Survey and are not comparable to data collected in ABS National Aboriginal and Torres Strait Islander Social Surveys.</w:t>
            </w:r>
          </w:p>
        </w:tc>
      </w:tr>
      <w:tr w:rsidR="00037871" w:rsidRPr="00037871" w14:paraId="3C0A61F0" w14:textId="77777777" w:rsidTr="00E929ED">
        <w:trPr>
          <w:cantSplit/>
        </w:trPr>
        <w:tc>
          <w:tcPr>
            <w:tcW w:w="8789" w:type="dxa"/>
            <w:gridSpan w:val="3"/>
            <w:tcBorders>
              <w:top w:val="nil"/>
              <w:left w:val="nil"/>
              <w:bottom w:val="single" w:sz="6" w:space="0" w:color="78A22F"/>
              <w:right w:val="nil"/>
            </w:tcBorders>
            <w:shd w:val="clear" w:color="auto" w:fill="F2F2F2"/>
          </w:tcPr>
          <w:p w14:paraId="67EE4CEF" w14:textId="77777777" w:rsidR="007064EC" w:rsidRPr="00037871" w:rsidRDefault="007064EC" w:rsidP="00F409A2">
            <w:pPr>
              <w:pStyle w:val="Box"/>
              <w:spacing w:before="0" w:line="120" w:lineRule="exact"/>
              <w:rPr>
                <w:color w:val="00B050"/>
              </w:rPr>
            </w:pPr>
          </w:p>
        </w:tc>
      </w:tr>
      <w:tr w:rsidR="00037871" w:rsidRPr="00037871" w14:paraId="67061A8D" w14:textId="77777777" w:rsidTr="00E929ED">
        <w:tc>
          <w:tcPr>
            <w:tcW w:w="8789" w:type="dxa"/>
            <w:gridSpan w:val="3"/>
            <w:tcBorders>
              <w:top w:val="single" w:sz="6" w:space="0" w:color="78A22F"/>
              <w:left w:val="nil"/>
              <w:bottom w:val="nil"/>
              <w:right w:val="nil"/>
            </w:tcBorders>
          </w:tcPr>
          <w:p w14:paraId="755C0A5A" w14:textId="77777777" w:rsidR="007064EC" w:rsidRPr="00037871" w:rsidRDefault="007064EC" w:rsidP="00F409A2">
            <w:pPr>
              <w:pStyle w:val="BoxSpaceBelow"/>
              <w:rPr>
                <w:color w:val="00B050"/>
              </w:rPr>
            </w:pPr>
          </w:p>
        </w:tc>
      </w:tr>
    </w:tbl>
    <w:p w14:paraId="703576CD" w14:textId="77777777" w:rsidR="007064EC" w:rsidRPr="00037871" w:rsidRDefault="007064EC" w:rsidP="007064EC">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0FFDC43A" w14:textId="77777777" w:rsidTr="00E929ED">
        <w:tc>
          <w:tcPr>
            <w:tcW w:w="8789" w:type="dxa"/>
            <w:gridSpan w:val="3"/>
            <w:tcBorders>
              <w:top w:val="single" w:sz="6" w:space="0" w:color="78A22F"/>
              <w:left w:val="nil"/>
              <w:bottom w:val="nil"/>
              <w:right w:val="nil"/>
            </w:tcBorders>
            <w:shd w:val="clear" w:color="auto" w:fill="F2F2F2"/>
          </w:tcPr>
          <w:p w14:paraId="4E1B7FAC" w14:textId="5BF59B90" w:rsidR="007064EC" w:rsidRPr="002F7C99" w:rsidRDefault="007064EC" w:rsidP="002F7C99">
            <w:pPr>
              <w:pStyle w:val="BoxTitle"/>
              <w:spacing w:after="120"/>
            </w:pPr>
            <w:r w:rsidRPr="002F7C99">
              <w:t>4.1</w:t>
            </w:r>
            <w:r w:rsidR="002F7C99" w:rsidRPr="002F7C99">
              <w:t>3</w:t>
            </w:r>
            <w:r w:rsidR="00F27CAE">
              <w:tab/>
              <w:t>Imprisonment and youth</w:t>
            </w:r>
            <w:r w:rsidRPr="002F7C99">
              <w:t xml:space="preserve"> detention</w:t>
            </w:r>
          </w:p>
        </w:tc>
      </w:tr>
      <w:tr w:rsidR="00037871" w:rsidRPr="00037871" w14:paraId="3FD7773B" w14:textId="77777777" w:rsidTr="00E929ED">
        <w:trPr>
          <w:cantSplit/>
        </w:trPr>
        <w:tc>
          <w:tcPr>
            <w:tcW w:w="3970" w:type="dxa"/>
            <w:tcBorders>
              <w:top w:val="nil"/>
              <w:left w:val="nil"/>
              <w:bottom w:val="nil"/>
              <w:right w:val="nil"/>
            </w:tcBorders>
            <w:shd w:val="clear" w:color="auto" w:fill="F2F2F2"/>
          </w:tcPr>
          <w:p w14:paraId="155D9746" w14:textId="431DAFD1" w:rsidR="007064EC" w:rsidRPr="00975310" w:rsidRDefault="00603367" w:rsidP="00603367">
            <w:pPr>
              <w:pStyle w:val="Box"/>
            </w:pPr>
            <w:r w:rsidRPr="00603367">
              <w:t>Incarceration has serious and long</w:t>
            </w:r>
            <w:r w:rsidR="001D6CD7">
              <w:t>-</w:t>
            </w:r>
            <w:r w:rsidRPr="00603367">
              <w:t xml:space="preserve">term effects on people, affecting the health, wellbeing and economic livelihoods of prisoners/detainees and their families. </w:t>
            </w:r>
          </w:p>
        </w:tc>
        <w:tc>
          <w:tcPr>
            <w:tcW w:w="992" w:type="dxa"/>
            <w:tcBorders>
              <w:top w:val="nil"/>
              <w:left w:val="nil"/>
              <w:bottom w:val="nil"/>
              <w:right w:val="nil"/>
            </w:tcBorders>
            <w:shd w:val="clear" w:color="auto" w:fill="AB0F14"/>
          </w:tcPr>
          <w:p w14:paraId="738142E2" w14:textId="636CEAF6" w:rsidR="00A9316D" w:rsidRPr="00975310" w:rsidRDefault="00A9316D" w:rsidP="007064EC">
            <w:pPr>
              <w:pStyle w:val="Box"/>
              <w:spacing w:before="0"/>
              <w:jc w:val="center"/>
              <w:rPr>
                <w:sz w:val="48"/>
                <w:szCs w:val="48"/>
              </w:rPr>
            </w:pPr>
          </w:p>
          <w:p w14:paraId="40EFDFCC" w14:textId="77777777" w:rsidR="00A9316D" w:rsidRPr="00975310" w:rsidRDefault="00A9316D" w:rsidP="007064EC">
            <w:pPr>
              <w:pStyle w:val="Box"/>
              <w:spacing w:before="0"/>
              <w:jc w:val="center"/>
              <w:rPr>
                <w:sz w:val="48"/>
                <w:szCs w:val="48"/>
              </w:rPr>
            </w:pPr>
          </w:p>
          <w:p w14:paraId="4D696D26" w14:textId="253AFC96" w:rsidR="007064EC" w:rsidRPr="002A0EC7" w:rsidRDefault="0042569A" w:rsidP="009342D8">
            <w:pPr>
              <w:pStyle w:val="Box"/>
              <w:spacing w:before="0"/>
              <w:jc w:val="center"/>
              <w:rPr>
                <w:rFonts w:cs="Arial"/>
                <w:bCs/>
                <w:sz w:val="48"/>
                <w:szCs w:val="48"/>
              </w:rPr>
            </w:pPr>
            <w:r w:rsidRPr="0042569A">
              <w:rPr>
                <w:rFonts w:cs="Arial"/>
                <w:bCs/>
                <w:noProof/>
                <w:sz w:val="48"/>
                <w:szCs w:val="48"/>
              </w:rPr>
              <mc:AlternateContent>
                <mc:Choice Requires="wpg">
                  <w:drawing>
                    <wp:anchor distT="0" distB="0" distL="114300" distR="114300" simplePos="0" relativeHeight="251726848" behindDoc="0" locked="0" layoutInCell="1" allowOverlap="1" wp14:anchorId="62F8C92D" wp14:editId="2CA27353">
                      <wp:simplePos x="0" y="0"/>
                      <wp:positionH relativeFrom="column">
                        <wp:posOffset>146050</wp:posOffset>
                      </wp:positionH>
                      <wp:positionV relativeFrom="paragraph">
                        <wp:posOffset>55245</wp:posOffset>
                      </wp:positionV>
                      <wp:extent cx="172857" cy="218365"/>
                      <wp:effectExtent l="19050" t="19050" r="17780" b="10795"/>
                      <wp:wrapNone/>
                      <wp:docPr id="131" name="Group 7" descr="Symbol of a X&#10;&#10;More details can be found within the text surrounding this image. "/>
                      <wp:cNvGraphicFramePr/>
                      <a:graphic xmlns:a="http://schemas.openxmlformats.org/drawingml/2006/main">
                        <a:graphicData uri="http://schemas.microsoft.com/office/word/2010/wordprocessingGroup">
                          <wpg:wgp>
                            <wpg:cNvGrpSpPr/>
                            <wpg:grpSpPr>
                              <a:xfrm rot="347790">
                                <a:off x="0" y="0"/>
                                <a:ext cx="172857" cy="218365"/>
                                <a:chOff x="0" y="0"/>
                                <a:chExt cx="718457" cy="718457"/>
                              </a:xfrm>
                            </wpg:grpSpPr>
                            <wps:wsp>
                              <wps:cNvPr id="132" name="Straight Connector 132"/>
                              <wps:cNvCnPr/>
                              <wps:spPr>
                                <a:xfrm>
                                  <a:off x="0" y="60650"/>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3" name="Straight Connector 133"/>
                              <wps:cNvCnPr>
                                <a:cxnSpLocks/>
                              </wps:cNvCnPr>
                              <wps:spPr>
                                <a:xfrm rot="5400000">
                                  <a:off x="-1" y="60649"/>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6F4DA93" id="Group 7" o:spid="_x0000_s1026" alt="Symbol of a X&#10;&#10;More details can be found within the text surrounding this image. " style="position:absolute;margin-left:11.5pt;margin-top:4.35pt;width:13.6pt;height:17.2pt;rotation:379879fd;z-index:251726848;mso-width-relative:margin;mso-height-relative:margin" coordsize="7184,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">
                      <v:line id="Straight Connector 132" o:spid="_x0000_s1027" style="position:absolute;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" strokecolor="white [3212]" strokeweight="2.5pt"/>
                      <v:line id="Straight Connector 133" o:spid="_x0000_s1028" style="position:absolute;rotation:90;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" strokecolor="white [3212]" strokeweight="2.5pt">
                        <o:lock v:ext="edit" shapetype="f"/>
                      </v:line>
                    </v:group>
                  </w:pict>
                </mc:Fallback>
              </mc:AlternateContent>
            </w:r>
          </w:p>
        </w:tc>
        <w:tc>
          <w:tcPr>
            <w:tcW w:w="3827" w:type="dxa"/>
            <w:tcBorders>
              <w:top w:val="nil"/>
              <w:left w:val="nil"/>
              <w:bottom w:val="nil"/>
              <w:right w:val="nil"/>
            </w:tcBorders>
            <w:shd w:val="clear" w:color="auto" w:fill="F2F2F2"/>
          </w:tcPr>
          <w:p w14:paraId="608D350D" w14:textId="61D1A7C2" w:rsidR="00A9316D" w:rsidRDefault="00016570" w:rsidP="00A9316D">
            <w:pPr>
              <w:pStyle w:val="Box"/>
              <w:keepNext w:val="0"/>
              <w:keepLines/>
              <w:tabs>
                <w:tab w:val="left" w:pos="990"/>
              </w:tabs>
            </w:pPr>
            <w:r>
              <w:t>From 200</w:t>
            </w:r>
            <w:r w:rsidR="005924E0">
              <w:t>0</w:t>
            </w:r>
            <w:r>
              <w:t xml:space="preserve"> to 2019</w:t>
            </w:r>
            <w:r w:rsidR="00A9316D" w:rsidRPr="00975310">
              <w:t>, the imprisonment rate for Aboriginal and Torres St</w:t>
            </w:r>
            <w:r w:rsidR="00975310" w:rsidRPr="00975310">
              <w:t xml:space="preserve">rait Islander adults increased </w:t>
            </w:r>
            <w:r w:rsidR="005924E0">
              <w:t>72</w:t>
            </w:r>
            <w:r w:rsidR="00D85608" w:rsidRPr="00975310">
              <w:t> </w:t>
            </w:r>
            <w:r w:rsidR="00A9316D" w:rsidRPr="00975310">
              <w:t xml:space="preserve">per cent. </w:t>
            </w:r>
          </w:p>
          <w:p w14:paraId="3F0BB97B" w14:textId="0177482A" w:rsidR="007064EC" w:rsidRPr="00975310" w:rsidRDefault="00A9316D" w:rsidP="00604EBA">
            <w:pPr>
              <w:pStyle w:val="Box"/>
            </w:pPr>
            <w:r w:rsidRPr="00975310">
              <w:t xml:space="preserve">The daily average detention rate for Aboriginal and Torres Strait Islander youth </w:t>
            </w:r>
            <w:r w:rsidR="00975310" w:rsidRPr="00975310">
              <w:t>decreased from 200</w:t>
            </w:r>
            <w:r w:rsidR="00604EBA">
              <w:t>7</w:t>
            </w:r>
            <w:r w:rsidR="00621D59">
              <w:t>-</w:t>
            </w:r>
            <w:r w:rsidR="00604EBA">
              <w:t>08</w:t>
            </w:r>
            <w:r w:rsidR="00975310" w:rsidRPr="00975310">
              <w:t xml:space="preserve"> to 201</w:t>
            </w:r>
            <w:r w:rsidR="00621D59">
              <w:t>8</w:t>
            </w:r>
            <w:r w:rsidR="0054404F">
              <w:noBreakHyphen/>
            </w:r>
            <w:r w:rsidR="00975310" w:rsidRPr="00975310">
              <w:t>1</w:t>
            </w:r>
            <w:r w:rsidR="00621D59">
              <w:t>9 (from 4</w:t>
            </w:r>
            <w:r w:rsidR="00604EBA">
              <w:t>0</w:t>
            </w:r>
            <w:r w:rsidR="00621D59">
              <w:t>9 to 3</w:t>
            </w:r>
            <w:r w:rsidR="00604EBA">
              <w:t>36</w:t>
            </w:r>
            <w:r w:rsidR="00975310" w:rsidRPr="00975310">
              <w:t xml:space="preserve"> </w:t>
            </w:r>
            <w:r w:rsidRPr="00975310">
              <w:t>per 100 000 10–17 year olds</w:t>
            </w:r>
            <w:r w:rsidR="00975310" w:rsidRPr="00975310">
              <w:t>)</w:t>
            </w:r>
            <w:r w:rsidRPr="00975310">
              <w:t xml:space="preserve">, </w:t>
            </w:r>
            <w:r w:rsidR="00975310" w:rsidRPr="00975310">
              <w:t xml:space="preserve">but remains </w:t>
            </w:r>
            <w:r w:rsidR="00934F0E">
              <w:t>about</w:t>
            </w:r>
            <w:r w:rsidR="00934F0E" w:rsidRPr="00975310">
              <w:t xml:space="preserve"> </w:t>
            </w:r>
            <w:r w:rsidR="00621D59">
              <w:t>2</w:t>
            </w:r>
            <w:r w:rsidR="00604EBA">
              <w:t>2</w:t>
            </w:r>
            <w:r w:rsidRPr="00975310">
              <w:t xml:space="preserve"> times the rate for non-Indigenous youth.  </w:t>
            </w:r>
          </w:p>
        </w:tc>
      </w:tr>
      <w:tr w:rsidR="00037871" w:rsidRPr="00037871" w14:paraId="6801172B" w14:textId="77777777" w:rsidTr="00E929ED">
        <w:trPr>
          <w:cantSplit/>
        </w:trPr>
        <w:tc>
          <w:tcPr>
            <w:tcW w:w="8789" w:type="dxa"/>
            <w:gridSpan w:val="3"/>
            <w:tcBorders>
              <w:top w:val="nil"/>
              <w:left w:val="nil"/>
              <w:bottom w:val="single" w:sz="6" w:space="0" w:color="78A22F"/>
              <w:right w:val="nil"/>
            </w:tcBorders>
            <w:shd w:val="clear" w:color="auto" w:fill="F2F2F2"/>
          </w:tcPr>
          <w:p w14:paraId="45945EAE" w14:textId="77777777" w:rsidR="007064EC" w:rsidRPr="00037871" w:rsidRDefault="007064EC" w:rsidP="00F409A2">
            <w:pPr>
              <w:pStyle w:val="Box"/>
              <w:spacing w:before="0" w:line="120" w:lineRule="exact"/>
              <w:rPr>
                <w:color w:val="00B050"/>
              </w:rPr>
            </w:pPr>
          </w:p>
        </w:tc>
      </w:tr>
      <w:tr w:rsidR="00037871" w:rsidRPr="00037871" w14:paraId="7290DB11" w14:textId="77777777" w:rsidTr="00E929ED">
        <w:tc>
          <w:tcPr>
            <w:tcW w:w="8789" w:type="dxa"/>
            <w:gridSpan w:val="3"/>
            <w:tcBorders>
              <w:top w:val="single" w:sz="6" w:space="0" w:color="78A22F"/>
              <w:left w:val="nil"/>
              <w:bottom w:val="nil"/>
              <w:right w:val="nil"/>
            </w:tcBorders>
          </w:tcPr>
          <w:p w14:paraId="0CE2C449" w14:textId="77777777" w:rsidR="007064EC" w:rsidRPr="00037871" w:rsidRDefault="007064EC" w:rsidP="00F409A2">
            <w:pPr>
              <w:pStyle w:val="BoxSpaceBelow"/>
              <w:rPr>
                <w:color w:val="00B050"/>
              </w:rPr>
            </w:pPr>
          </w:p>
        </w:tc>
      </w:tr>
    </w:tbl>
    <w:p w14:paraId="1BA0546E" w14:textId="77777777" w:rsidR="00603367" w:rsidRDefault="00603367" w:rsidP="003353C4">
      <w:pPr>
        <w:pStyle w:val="BodyText"/>
      </w:pPr>
    </w:p>
    <w:p w14:paraId="056F37AA" w14:textId="77777777" w:rsidR="00603367" w:rsidRDefault="00603367" w:rsidP="003353C4">
      <w:pPr>
        <w:pStyle w:val="BodyText"/>
      </w:pPr>
      <w:r>
        <w:br w:type="page"/>
      </w:r>
    </w:p>
    <w:p w14:paraId="3A30FE02" w14:textId="70D3B90E" w:rsidR="007064EC" w:rsidRPr="00891904" w:rsidRDefault="007064EC" w:rsidP="007064EC">
      <w:pPr>
        <w:pStyle w:val="Heading2"/>
        <w:rPr>
          <w:color w:val="000000" w:themeColor="text1"/>
        </w:rPr>
      </w:pPr>
      <w:r w:rsidRPr="00891904">
        <w:rPr>
          <w:color w:val="000000" w:themeColor="text1"/>
        </w:rPr>
        <w:lastRenderedPageBreak/>
        <w:t>Strategic areas for action</w:t>
      </w:r>
    </w:p>
    <w:p w14:paraId="048D5CAF" w14:textId="7FFBAB5D" w:rsidR="007064EC" w:rsidRPr="00891904" w:rsidRDefault="00A9316D" w:rsidP="00A9316D">
      <w:pPr>
        <w:pStyle w:val="BodyText"/>
        <w:keepLines/>
        <w:widowControl w:val="0"/>
        <w:rPr>
          <w:color w:val="000000" w:themeColor="text1"/>
        </w:rPr>
      </w:pPr>
      <w:r w:rsidRPr="00891904">
        <w:rPr>
          <w:color w:val="000000" w:themeColor="text1"/>
        </w:rPr>
        <w:t>The following section</w:t>
      </w:r>
      <w:r w:rsidR="00B568B0" w:rsidRPr="00891904">
        <w:rPr>
          <w:color w:val="000000" w:themeColor="text1"/>
        </w:rPr>
        <w:t>s</w:t>
      </w:r>
      <w:r w:rsidRPr="00891904">
        <w:rPr>
          <w:color w:val="000000" w:themeColor="text1"/>
        </w:rPr>
        <w:t xml:space="preserve"> summarise the key messages for each strategic area for action. </w:t>
      </w:r>
      <w:r w:rsidR="00B568B0" w:rsidRPr="00891904">
        <w:rPr>
          <w:color w:val="000000" w:themeColor="text1"/>
        </w:rPr>
        <w:t xml:space="preserve">Much more information can be found in the main </w:t>
      </w:r>
      <w:r w:rsidR="003D7A8A">
        <w:rPr>
          <w:color w:val="000000" w:themeColor="text1"/>
        </w:rPr>
        <w:t>R</w:t>
      </w:r>
      <w:r w:rsidR="003D7A8A" w:rsidRPr="00891904">
        <w:rPr>
          <w:color w:val="000000" w:themeColor="text1"/>
        </w:rPr>
        <w:t>eport</w:t>
      </w:r>
      <w:r w:rsidR="00B568B0" w:rsidRPr="00891904">
        <w:rPr>
          <w:color w:val="000000" w:themeColor="text1"/>
        </w:rPr>
        <w:t xml:space="preserve">. </w:t>
      </w:r>
      <w:r w:rsidRPr="00891904">
        <w:rPr>
          <w:color w:val="000000" w:themeColor="text1"/>
        </w:rPr>
        <w:t xml:space="preserve">The strategic areas deliberately do not mirror typical government service areas. In some cases (such as healthy lives, or education and training), a specific service area can be expected to play a major role but, in all strategic areas, more than one government agency is relevant to achieving better outcomes. Conversely, sometimes a single, well-targeted action by one agency can lead to improvements across many strategic areas. </w:t>
      </w:r>
    </w:p>
    <w:p w14:paraId="3E2963C4" w14:textId="64EEC5CE" w:rsidR="007064EC" w:rsidRPr="00891904" w:rsidRDefault="00A1258F" w:rsidP="0054551C">
      <w:pPr>
        <w:pStyle w:val="Heading2"/>
        <w:rPr>
          <w:color w:val="000000" w:themeColor="text1"/>
        </w:rPr>
      </w:pPr>
      <w:r w:rsidRPr="00891904">
        <w:rPr>
          <w:color w:val="000000" w:themeColor="text1"/>
        </w:rPr>
        <w:t>Governance, leadership and culture</w:t>
      </w:r>
    </w:p>
    <w:p w14:paraId="54E526E6" w14:textId="37276AB8" w:rsidR="00A9316D" w:rsidRPr="00891904" w:rsidRDefault="00B2177B" w:rsidP="00A9316D">
      <w:pPr>
        <w:pStyle w:val="BodyText"/>
      </w:pPr>
      <w:r w:rsidRPr="00B2177B">
        <w:t xml:space="preserve">Effective governance and leadership, and recognition of cultures, are essential to the wellbeing of Aboriginal and Torres Strait Islander people. These influence most indicators in the framework that underpin this </w:t>
      </w:r>
      <w:r w:rsidR="00662EA0">
        <w:t>R</w:t>
      </w:r>
      <w:r w:rsidR="00662EA0" w:rsidRPr="00B2177B">
        <w:t>eport</w:t>
      </w:r>
      <w:r w:rsidR="00A9316D" w:rsidRPr="00891904">
        <w:t>. Governance refers to the way the members of a group or community organise themselves to make decisions th</w:t>
      </w:r>
      <w:r>
        <w:t>at affect themselves and others</w:t>
      </w:r>
      <w:r w:rsidR="00A9316D" w:rsidRPr="00891904">
        <w:t xml:space="preserve">. </w:t>
      </w:r>
      <w:r w:rsidRPr="00B2177B">
        <w:t>Central to the development of strong governance is leadership, and there are specific cultural aspects to Aboriginal and Torres Strait Islander leadership. Cultures include the diverse Aboriginal and Torres Strait Islander nations and peoples, each with distinct cultural norms, law</w:t>
      </w:r>
      <w:r w:rsidR="005924E0">
        <w:t>s</w:t>
      </w:r>
      <w:r w:rsidRPr="00B2177B">
        <w:t>, language</w:t>
      </w:r>
      <w:r w:rsidR="00363E10">
        <w:t>s</w:t>
      </w:r>
      <w:r w:rsidRPr="00B2177B">
        <w:t xml:space="preserve"> and identit</w:t>
      </w:r>
      <w:r w:rsidR="005924E0">
        <w:t>ies</w:t>
      </w:r>
      <w:r w:rsidRPr="00B2177B">
        <w:t xml:space="preserve"> that are dynamic in nature</w:t>
      </w:r>
      <w:r w:rsidR="00A9316D" w:rsidRPr="00891904">
        <w:t>.</w:t>
      </w:r>
    </w:p>
    <w:p w14:paraId="76123771" w14:textId="77777777" w:rsidR="00A1258F" w:rsidRPr="00037871" w:rsidRDefault="00A1258F" w:rsidP="00A1258F">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16E28B28" w14:textId="77777777" w:rsidTr="00E929ED">
        <w:tc>
          <w:tcPr>
            <w:tcW w:w="8789" w:type="dxa"/>
            <w:gridSpan w:val="3"/>
            <w:tcBorders>
              <w:top w:val="single" w:sz="6" w:space="0" w:color="78A22F"/>
              <w:left w:val="nil"/>
              <w:bottom w:val="nil"/>
              <w:right w:val="nil"/>
            </w:tcBorders>
            <w:shd w:val="clear" w:color="auto" w:fill="F2F2F2"/>
          </w:tcPr>
          <w:p w14:paraId="33E5EDDA" w14:textId="59C3AD4D" w:rsidR="00A1258F" w:rsidRPr="00891904" w:rsidRDefault="00A1258F" w:rsidP="00F27CAE">
            <w:pPr>
              <w:pStyle w:val="BoxTitle"/>
              <w:spacing w:after="120"/>
            </w:pPr>
            <w:r w:rsidRPr="00891904">
              <w:t>5.1</w:t>
            </w:r>
            <w:r w:rsidRPr="00891904">
              <w:tab/>
              <w:t xml:space="preserve">Valuing </w:t>
            </w:r>
            <w:r w:rsidR="00F27CAE">
              <w:t>Aboriginal and Torres Strait Islander people</w:t>
            </w:r>
            <w:r w:rsidRPr="00891904">
              <w:t xml:space="preserve"> and their cultures</w:t>
            </w:r>
          </w:p>
        </w:tc>
      </w:tr>
      <w:tr w:rsidR="00A068AF" w:rsidRPr="00037871" w14:paraId="67AB02E9" w14:textId="77777777" w:rsidTr="00237AD4">
        <w:trPr>
          <w:cantSplit/>
        </w:trPr>
        <w:tc>
          <w:tcPr>
            <w:tcW w:w="3970" w:type="dxa"/>
            <w:tcBorders>
              <w:top w:val="nil"/>
              <w:left w:val="nil"/>
              <w:bottom w:val="nil"/>
              <w:right w:val="nil"/>
            </w:tcBorders>
            <w:shd w:val="clear" w:color="auto" w:fill="F2F2F2"/>
          </w:tcPr>
          <w:p w14:paraId="0C013189" w14:textId="6F75554E" w:rsidR="00A068AF" w:rsidRPr="00A068AF" w:rsidRDefault="00621D59" w:rsidP="00A1258F">
            <w:pPr>
              <w:pStyle w:val="Box"/>
            </w:pPr>
            <w:r w:rsidRPr="00621D59">
              <w:t>Building mutual respect and a stronger relationship between Aboriginal and Torres Strait Islander people and other Australians is important for improving the wellbeing of Aboriginal and Torres Strait Islander people</w:t>
            </w:r>
            <w:r w:rsidR="00A068AF" w:rsidRPr="00A068AF">
              <w:t>.</w:t>
            </w:r>
          </w:p>
        </w:tc>
        <w:tc>
          <w:tcPr>
            <w:tcW w:w="992" w:type="dxa"/>
            <w:tcBorders>
              <w:top w:val="nil"/>
              <w:left w:val="nil"/>
              <w:bottom w:val="nil"/>
              <w:right w:val="nil"/>
            </w:tcBorders>
            <w:shd w:val="clear" w:color="auto" w:fill="418A50"/>
          </w:tcPr>
          <w:p w14:paraId="24D60A7F" w14:textId="77777777" w:rsidR="00A068AF" w:rsidRPr="00A068AF" w:rsidRDefault="00A068AF" w:rsidP="00834478">
            <w:pPr>
              <w:pStyle w:val="BoxHeading1"/>
            </w:pPr>
          </w:p>
          <w:p w14:paraId="65CE28CC" w14:textId="77777777" w:rsidR="000A3571" w:rsidRDefault="000A3571" w:rsidP="00834478">
            <w:pPr>
              <w:pStyle w:val="Box"/>
              <w:jc w:val="center"/>
              <w:rPr>
                <w:rFonts w:ascii="Wingdings 2" w:hAnsi="Wingdings 2" w:cs="Arial"/>
                <w:b/>
                <w:sz w:val="48"/>
                <w:szCs w:val="48"/>
              </w:rPr>
            </w:pPr>
          </w:p>
          <w:p w14:paraId="425D66AE" w14:textId="46B7721F" w:rsidR="00A068AF" w:rsidRPr="00A068AF" w:rsidRDefault="00B42D63" w:rsidP="009342D8">
            <w:pPr>
              <w:pStyle w:val="Box"/>
              <w:spacing w:before="360"/>
              <w:jc w:val="center"/>
              <w:rPr>
                <w:b/>
                <w:sz w:val="30"/>
                <w:szCs w:val="30"/>
              </w:rPr>
            </w:pPr>
            <w:r w:rsidRPr="00B42D63">
              <w:rPr>
                <w:rFonts w:cs="Arial"/>
                <w:b/>
                <w:noProof/>
                <w:sz w:val="48"/>
                <w:szCs w:val="48"/>
              </w:rPr>
              <mc:AlternateContent>
                <mc:Choice Requires="wpg">
                  <w:drawing>
                    <wp:anchor distT="0" distB="0" distL="114300" distR="114300" simplePos="0" relativeHeight="251749376" behindDoc="0" locked="0" layoutInCell="1" allowOverlap="1" wp14:anchorId="06A1FA43" wp14:editId="65CE38E1">
                      <wp:simplePos x="0" y="0"/>
                      <wp:positionH relativeFrom="column">
                        <wp:posOffset>109349</wp:posOffset>
                      </wp:positionH>
                      <wp:positionV relativeFrom="paragraph">
                        <wp:posOffset>245110</wp:posOffset>
                      </wp:positionV>
                      <wp:extent cx="205105" cy="279400"/>
                      <wp:effectExtent l="19050" t="0" r="61595" b="6350"/>
                      <wp:wrapNone/>
                      <wp:docPr id="39"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44" name="Straight Connector 44"/>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46" name="Straight Connector 46"/>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5B5BB9F" id="Group 2" o:spid="_x0000_s1026" alt="Tick symbol" style="position:absolute;margin-left:8.6pt;margin-top:19.3pt;width:16.15pt;height:22pt;z-index:251749376;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">
                      <v:line id="Straight Connector 44"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" strokecolor="white [3212]" strokeweight="3pt">
                        <o:lock v:ext="edit" shapetype="f"/>
                      </v:line>
                      <v:line id="Straight Connector 46"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" strokecolor="white [3212]" strokeweight="3pt">
                        <o:lock v:ext="edit" shapetype="f"/>
                      </v:line>
                    </v:group>
                  </w:pict>
                </mc:Fallback>
              </mc:AlternateContent>
            </w:r>
          </w:p>
        </w:tc>
        <w:tc>
          <w:tcPr>
            <w:tcW w:w="3827" w:type="dxa"/>
            <w:tcBorders>
              <w:top w:val="nil"/>
              <w:left w:val="nil"/>
              <w:bottom w:val="nil"/>
              <w:right w:val="nil"/>
            </w:tcBorders>
            <w:shd w:val="clear" w:color="auto" w:fill="F2F2F2"/>
          </w:tcPr>
          <w:p w14:paraId="7122A665" w14:textId="01BDB98F" w:rsidR="00F802D0" w:rsidRDefault="00F802D0" w:rsidP="00F802D0">
            <w:pPr>
              <w:pStyle w:val="Box"/>
            </w:pPr>
            <w:r>
              <w:t>In 2018</w:t>
            </w:r>
            <w:r w:rsidR="00A068AF" w:rsidRPr="00A068AF">
              <w:t xml:space="preserve">, </w:t>
            </w:r>
            <w:r>
              <w:t xml:space="preserve">more than 8 in 10 people </w:t>
            </w:r>
            <w:r w:rsidR="00B800D7">
              <w:t xml:space="preserve">in the general community </w:t>
            </w:r>
            <w:r>
              <w:t xml:space="preserve">felt it was important for all Australians to know about Aboriginal and Torres Strait Islander cultures and histories </w:t>
            </w:r>
            <w:r w:rsidR="000A3571">
              <w:t xml:space="preserve">and </w:t>
            </w:r>
            <w:r w:rsidR="00934F0E">
              <w:t xml:space="preserve">about </w:t>
            </w:r>
            <w:r w:rsidR="000A3571">
              <w:t>two in five</w:t>
            </w:r>
            <w:r w:rsidR="000A3571" w:rsidRPr="00A068AF">
              <w:t xml:space="preserve"> </w:t>
            </w:r>
            <w:r w:rsidR="000A3571">
              <w:t>rated their level of knowledge of</w:t>
            </w:r>
            <w:r w:rsidR="000A3571" w:rsidRPr="00A068AF">
              <w:t xml:space="preserve"> Aboriginal and To</w:t>
            </w:r>
            <w:r w:rsidR="000A3571">
              <w:t xml:space="preserve">rres Strait Islander cultures </w:t>
            </w:r>
            <w:r w:rsidR="00604EBA">
              <w:t xml:space="preserve">and histories </w:t>
            </w:r>
            <w:r w:rsidR="000A3571" w:rsidRPr="00A068AF">
              <w:t xml:space="preserve">as </w:t>
            </w:r>
            <w:r w:rsidR="000A3571">
              <w:t xml:space="preserve">high </w:t>
            </w:r>
            <w:r w:rsidR="00753517">
              <w:t xml:space="preserve">— </w:t>
            </w:r>
            <w:r w:rsidR="000A3571">
              <w:t>increases</w:t>
            </w:r>
            <w:r>
              <w:t xml:space="preserve"> from 2014.</w:t>
            </w:r>
          </w:p>
          <w:p w14:paraId="1438F210" w14:textId="11DB01B3" w:rsidR="000A3571" w:rsidRPr="00A068AF" w:rsidRDefault="000A3571" w:rsidP="007D7733">
            <w:pPr>
              <w:pStyle w:val="Box"/>
            </w:pPr>
            <w:r>
              <w:t>Over this period the proportions of people perceiving levels of trust as high have remained relatively unchanged.</w:t>
            </w:r>
          </w:p>
        </w:tc>
      </w:tr>
      <w:tr w:rsidR="00EE7901" w:rsidRPr="00037871" w14:paraId="3B5DB286" w14:textId="77777777" w:rsidTr="00E929ED">
        <w:trPr>
          <w:cantSplit/>
        </w:trPr>
        <w:tc>
          <w:tcPr>
            <w:tcW w:w="8789" w:type="dxa"/>
            <w:gridSpan w:val="3"/>
            <w:tcBorders>
              <w:top w:val="nil"/>
              <w:left w:val="nil"/>
              <w:bottom w:val="nil"/>
              <w:right w:val="nil"/>
            </w:tcBorders>
            <w:shd w:val="clear" w:color="auto" w:fill="F2F2F2"/>
          </w:tcPr>
          <w:p w14:paraId="269BA034" w14:textId="757270D0" w:rsidR="00EE7901" w:rsidRPr="00EE7901" w:rsidRDefault="000A3571" w:rsidP="000A3571">
            <w:pPr>
              <w:pStyle w:val="BoxHeading1"/>
              <w:rPr>
                <w:i/>
                <w:color w:val="00B050"/>
              </w:rPr>
            </w:pPr>
            <w:r w:rsidRPr="003E1370">
              <w:t xml:space="preserve">Perceptions of </w:t>
            </w:r>
            <w:r>
              <w:t xml:space="preserve">knowledge of </w:t>
            </w:r>
            <w:r w:rsidRPr="003E1370">
              <w:t xml:space="preserve">Aboriginal and Torres Strait Islander </w:t>
            </w:r>
            <w:r>
              <w:t>histories and cultures, general community</w:t>
            </w:r>
          </w:p>
        </w:tc>
      </w:tr>
      <w:tr w:rsidR="000A3571" w:rsidRPr="00037871" w14:paraId="79089391" w14:textId="77777777" w:rsidTr="005D098C">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00AFF2F7" w14:textId="65DB73EE" w:rsidR="006263E3" w:rsidRPr="00464B99" w:rsidRDefault="001E0C0D" w:rsidP="005D098C">
            <w:pPr>
              <w:pStyle w:val="Box"/>
              <w:jc w:val="center"/>
            </w:pPr>
            <w:r w:rsidRPr="001E0C0D">
              <w:rPr>
                <w:noProof/>
              </w:rPr>
              <w:drawing>
                <wp:inline distT="0" distB="0" distL="0" distR="0" wp14:anchorId="4B1043B5" wp14:editId="2EFB5019">
                  <wp:extent cx="5219700" cy="2800350"/>
                  <wp:effectExtent l="0" t="0" r="0" b="0"/>
                  <wp:docPr id="66" name="Picture 66" descr="Perceptions of knowledge of Aboriginal and Torres Strait Islander histories and cultures, general community&#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19700" cy="2800350"/>
                          </a:xfrm>
                          <a:prstGeom prst="rect">
                            <a:avLst/>
                          </a:prstGeom>
                          <a:noFill/>
                          <a:ln>
                            <a:noFill/>
                          </a:ln>
                        </pic:spPr>
                      </pic:pic>
                    </a:graphicData>
                  </a:graphic>
                </wp:inline>
              </w:drawing>
            </w:r>
          </w:p>
        </w:tc>
      </w:tr>
      <w:tr w:rsidR="00037871" w:rsidRPr="00037871" w14:paraId="096509FC" w14:textId="77777777" w:rsidTr="00E929ED">
        <w:trPr>
          <w:cantSplit/>
        </w:trPr>
        <w:tc>
          <w:tcPr>
            <w:tcW w:w="8789" w:type="dxa"/>
            <w:gridSpan w:val="3"/>
            <w:tcBorders>
              <w:top w:val="nil"/>
              <w:left w:val="nil"/>
              <w:bottom w:val="nil"/>
              <w:right w:val="nil"/>
            </w:tcBorders>
            <w:shd w:val="clear" w:color="auto" w:fill="F2F2F2"/>
          </w:tcPr>
          <w:p w14:paraId="6E608F44" w14:textId="73B95166" w:rsidR="00A1258F" w:rsidRPr="00037871" w:rsidRDefault="00464B99" w:rsidP="003D7A8A">
            <w:pPr>
              <w:pStyle w:val="BoxListBullet"/>
              <w:numPr>
                <w:ilvl w:val="0"/>
                <w:numId w:val="0"/>
              </w:numPr>
              <w:rPr>
                <w:color w:val="00B050"/>
              </w:rPr>
            </w:pPr>
            <w:r w:rsidRPr="00464B99">
              <w:t xml:space="preserve"> </w:t>
            </w:r>
            <w:r w:rsidR="000A3571" w:rsidRPr="003D56F7">
              <w:rPr>
                <w:i/>
                <w:sz w:val="18"/>
              </w:rPr>
              <w:t>Source</w:t>
            </w:r>
            <w:r w:rsidR="000A3571" w:rsidRPr="003D56F7">
              <w:rPr>
                <w:sz w:val="18"/>
              </w:rPr>
              <w:t xml:space="preserve">: Figure 5.1.1 in the main </w:t>
            </w:r>
            <w:r w:rsidR="003D7A8A">
              <w:rPr>
                <w:sz w:val="18"/>
              </w:rPr>
              <w:t>R</w:t>
            </w:r>
            <w:r w:rsidR="003D7A8A" w:rsidRPr="003D56F7">
              <w:rPr>
                <w:sz w:val="18"/>
              </w:rPr>
              <w:t>eport</w:t>
            </w:r>
            <w:r w:rsidR="000A3571" w:rsidRPr="003D56F7">
              <w:rPr>
                <w:sz w:val="18"/>
              </w:rPr>
              <w:t>.</w:t>
            </w:r>
          </w:p>
        </w:tc>
      </w:tr>
      <w:tr w:rsidR="00037871" w:rsidRPr="00037871" w14:paraId="28AFC7BC" w14:textId="77777777" w:rsidTr="00E929ED">
        <w:trPr>
          <w:cantSplit/>
        </w:trPr>
        <w:tc>
          <w:tcPr>
            <w:tcW w:w="8789" w:type="dxa"/>
            <w:gridSpan w:val="3"/>
            <w:tcBorders>
              <w:top w:val="nil"/>
              <w:left w:val="nil"/>
              <w:bottom w:val="single" w:sz="6" w:space="0" w:color="78A22F"/>
              <w:right w:val="nil"/>
            </w:tcBorders>
            <w:shd w:val="clear" w:color="auto" w:fill="F2F2F2"/>
          </w:tcPr>
          <w:p w14:paraId="043CB9C7" w14:textId="77777777" w:rsidR="00A1258F" w:rsidRPr="00037871" w:rsidRDefault="00A1258F" w:rsidP="00F409A2">
            <w:pPr>
              <w:pStyle w:val="Box"/>
              <w:spacing w:before="0" w:line="120" w:lineRule="exact"/>
              <w:rPr>
                <w:color w:val="00B050"/>
              </w:rPr>
            </w:pPr>
          </w:p>
        </w:tc>
      </w:tr>
      <w:tr w:rsidR="00037871" w:rsidRPr="00037871" w14:paraId="3C4231A3" w14:textId="77777777" w:rsidTr="00E929ED">
        <w:tc>
          <w:tcPr>
            <w:tcW w:w="8789" w:type="dxa"/>
            <w:gridSpan w:val="3"/>
            <w:tcBorders>
              <w:top w:val="single" w:sz="6" w:space="0" w:color="78A22F"/>
              <w:left w:val="nil"/>
              <w:bottom w:val="nil"/>
              <w:right w:val="nil"/>
            </w:tcBorders>
          </w:tcPr>
          <w:p w14:paraId="7A8E32DD" w14:textId="77777777" w:rsidR="00A1258F" w:rsidRPr="00037871" w:rsidRDefault="00A1258F" w:rsidP="00F409A2">
            <w:pPr>
              <w:pStyle w:val="BoxSpaceBelow"/>
              <w:rPr>
                <w:color w:val="00B050"/>
              </w:rPr>
            </w:pPr>
          </w:p>
        </w:tc>
      </w:tr>
    </w:tbl>
    <w:p w14:paraId="5276FCAD" w14:textId="77777777" w:rsidR="000F0F09" w:rsidRPr="00037871" w:rsidRDefault="000F0F09" w:rsidP="000F0F09">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55C293FA" w14:textId="77777777" w:rsidTr="00E929ED">
        <w:tc>
          <w:tcPr>
            <w:tcW w:w="8789" w:type="dxa"/>
            <w:gridSpan w:val="3"/>
            <w:tcBorders>
              <w:top w:val="single" w:sz="6" w:space="0" w:color="78A22F"/>
              <w:left w:val="nil"/>
              <w:bottom w:val="nil"/>
              <w:right w:val="nil"/>
            </w:tcBorders>
            <w:shd w:val="clear" w:color="auto" w:fill="F2F2F2"/>
          </w:tcPr>
          <w:p w14:paraId="39C8571C" w14:textId="299B56A8" w:rsidR="000F0F09" w:rsidRPr="00E152FA" w:rsidRDefault="000F0F09" w:rsidP="00122D3D">
            <w:pPr>
              <w:pStyle w:val="BoxTitle"/>
              <w:spacing w:after="120"/>
            </w:pPr>
            <w:r w:rsidRPr="00E152FA">
              <w:t>5.2</w:t>
            </w:r>
            <w:r w:rsidRPr="00E152FA">
              <w:tab/>
              <w:t>Participation in decision</w:t>
            </w:r>
            <w:r w:rsidR="00122D3D">
              <w:noBreakHyphen/>
            </w:r>
            <w:r w:rsidRPr="00E152FA">
              <w:t>making</w:t>
            </w:r>
          </w:p>
        </w:tc>
      </w:tr>
      <w:tr w:rsidR="00037871" w:rsidRPr="00037871" w14:paraId="26CA648C" w14:textId="77777777" w:rsidTr="00B04347">
        <w:trPr>
          <w:cantSplit/>
        </w:trPr>
        <w:tc>
          <w:tcPr>
            <w:tcW w:w="3970" w:type="dxa"/>
            <w:tcBorders>
              <w:top w:val="nil"/>
              <w:left w:val="nil"/>
              <w:bottom w:val="nil"/>
              <w:right w:val="nil"/>
            </w:tcBorders>
            <w:shd w:val="clear" w:color="auto" w:fill="F2F2F2"/>
          </w:tcPr>
          <w:p w14:paraId="24B3D09D" w14:textId="475828B2" w:rsidR="000F0F09" w:rsidRPr="00464B99" w:rsidRDefault="00A9316D" w:rsidP="00122D3D">
            <w:pPr>
              <w:pStyle w:val="Box"/>
            </w:pPr>
            <w:r w:rsidRPr="00464B99">
              <w:t>Participation in decision</w:t>
            </w:r>
            <w:r w:rsidR="00122D3D">
              <w:noBreakHyphen/>
            </w:r>
            <w:r w:rsidRPr="00464B99">
              <w:t>making is a key element of self-determination, which in turn is a critical part of governance. Participation includes both wanting to participate, and feeling that one can.</w:t>
            </w:r>
          </w:p>
        </w:tc>
        <w:tc>
          <w:tcPr>
            <w:tcW w:w="992" w:type="dxa"/>
            <w:tcBorders>
              <w:top w:val="nil"/>
              <w:left w:val="nil"/>
              <w:bottom w:val="nil"/>
              <w:right w:val="nil"/>
            </w:tcBorders>
            <w:shd w:val="clear" w:color="auto" w:fill="00819C"/>
          </w:tcPr>
          <w:p w14:paraId="2156D501" w14:textId="77777777" w:rsidR="000F0F09" w:rsidRPr="00464B99" w:rsidRDefault="000F0F09" w:rsidP="00F409A2">
            <w:pPr>
              <w:pStyle w:val="BoxHeading1"/>
            </w:pPr>
          </w:p>
          <w:p w14:paraId="1B364329" w14:textId="46EA233F" w:rsidR="000F0F09" w:rsidRPr="00464B99" w:rsidRDefault="009342D8" w:rsidP="009342D8">
            <w:pPr>
              <w:pStyle w:val="Box"/>
              <w:spacing w:before="480" w:after="120"/>
              <w:jc w:val="center"/>
              <w:rPr>
                <w:b/>
                <w:sz w:val="30"/>
                <w:szCs w:val="30"/>
              </w:rPr>
            </w:pPr>
            <w:r w:rsidRPr="005254A0">
              <w:rPr>
                <w:b/>
                <w:color w:val="FFFFFF" w:themeColor="background1"/>
                <w:sz w:val="30"/>
                <w:szCs w:val="30"/>
              </w:rPr>
              <w:t>Data gap</w:t>
            </w:r>
          </w:p>
        </w:tc>
        <w:tc>
          <w:tcPr>
            <w:tcW w:w="3827" w:type="dxa"/>
            <w:tcBorders>
              <w:top w:val="nil"/>
              <w:left w:val="nil"/>
              <w:bottom w:val="nil"/>
              <w:right w:val="nil"/>
            </w:tcBorders>
            <w:shd w:val="clear" w:color="auto" w:fill="F2F2F2"/>
          </w:tcPr>
          <w:p w14:paraId="0BBB2D6D" w14:textId="69F47DA0" w:rsidR="000F0F09" w:rsidRPr="00464B99" w:rsidRDefault="000A3571" w:rsidP="00022839">
            <w:pPr>
              <w:pStyle w:val="Box"/>
            </w:pPr>
            <w:r w:rsidRPr="000A3571">
              <w:t xml:space="preserve">Available data on the participation of Aboriginal and Torres Strait Islander people show they remain underrepresented in the Parliament of Australia and in all State and Territory parliaments. As of May 2020, parity across all nine jurisdictions would be </w:t>
            </w:r>
            <w:r w:rsidR="00022839" w:rsidRPr="000A3571">
              <w:t xml:space="preserve">achieved with </w:t>
            </w:r>
            <w:r w:rsidR="000972D2" w:rsidRPr="008D2544">
              <w:t>15</w:t>
            </w:r>
            <w:r w:rsidR="000972D2" w:rsidRPr="000A3571">
              <w:t xml:space="preserve"> </w:t>
            </w:r>
            <w:r w:rsidR="00022839" w:rsidRPr="000A3571">
              <w:t xml:space="preserve">additional Aboriginal and </w:t>
            </w:r>
            <w:r w:rsidRPr="000A3571">
              <w:t>Torres Strait Islander parliamentarians.</w:t>
            </w:r>
          </w:p>
        </w:tc>
      </w:tr>
      <w:tr w:rsidR="00037871" w:rsidRPr="00037871" w14:paraId="77643B2E" w14:textId="77777777" w:rsidTr="00E929ED">
        <w:trPr>
          <w:cantSplit/>
        </w:trPr>
        <w:tc>
          <w:tcPr>
            <w:tcW w:w="8789" w:type="dxa"/>
            <w:gridSpan w:val="3"/>
            <w:tcBorders>
              <w:top w:val="nil"/>
              <w:left w:val="nil"/>
              <w:bottom w:val="nil"/>
              <w:right w:val="nil"/>
            </w:tcBorders>
            <w:shd w:val="clear" w:color="auto" w:fill="F2F2F2"/>
          </w:tcPr>
          <w:p w14:paraId="3D80204F" w14:textId="4AF0BC13" w:rsidR="000F0F09" w:rsidRPr="00464B99" w:rsidRDefault="00A9316D" w:rsidP="00122D3D">
            <w:pPr>
              <w:pStyle w:val="Box"/>
              <w:rPr>
                <w:i/>
              </w:rPr>
            </w:pPr>
            <w:r w:rsidRPr="00464B99">
              <w:rPr>
                <w:i/>
              </w:rPr>
              <w:t xml:space="preserve">There are no data available on Aboriginal and Torres Strait Islander </w:t>
            </w:r>
            <w:r w:rsidR="007E5B35">
              <w:rPr>
                <w:i/>
              </w:rPr>
              <w:t>people</w:t>
            </w:r>
            <w:r w:rsidRPr="00464B99">
              <w:rPr>
                <w:i/>
              </w:rPr>
              <w:t xml:space="preserve"> wanting to, and feeling that they can, participate in decision</w:t>
            </w:r>
            <w:r w:rsidR="00122D3D">
              <w:rPr>
                <w:i/>
              </w:rPr>
              <w:noBreakHyphen/>
            </w:r>
            <w:r w:rsidRPr="00464B99">
              <w:rPr>
                <w:i/>
              </w:rPr>
              <w:t>making</w:t>
            </w:r>
            <w:r w:rsidR="00540CA8">
              <w:rPr>
                <w:i/>
              </w:rPr>
              <w:t xml:space="preserve"> that is important to them</w:t>
            </w:r>
            <w:r w:rsidRPr="00464B99">
              <w:rPr>
                <w:i/>
              </w:rPr>
              <w:t>.</w:t>
            </w:r>
          </w:p>
        </w:tc>
      </w:tr>
      <w:tr w:rsidR="00037871" w:rsidRPr="00037871" w14:paraId="419FB0A1" w14:textId="77777777" w:rsidTr="00E929ED">
        <w:trPr>
          <w:cantSplit/>
        </w:trPr>
        <w:tc>
          <w:tcPr>
            <w:tcW w:w="8789" w:type="dxa"/>
            <w:gridSpan w:val="3"/>
            <w:tcBorders>
              <w:top w:val="nil"/>
              <w:left w:val="nil"/>
              <w:bottom w:val="single" w:sz="6" w:space="0" w:color="78A22F"/>
              <w:right w:val="nil"/>
            </w:tcBorders>
            <w:shd w:val="clear" w:color="auto" w:fill="F2F2F2"/>
          </w:tcPr>
          <w:p w14:paraId="49183B17" w14:textId="77777777" w:rsidR="000F0F09" w:rsidRPr="00037871" w:rsidRDefault="000F0F09" w:rsidP="00F409A2">
            <w:pPr>
              <w:pStyle w:val="Box"/>
              <w:spacing w:before="0" w:line="120" w:lineRule="exact"/>
              <w:rPr>
                <w:color w:val="00B050"/>
              </w:rPr>
            </w:pPr>
          </w:p>
        </w:tc>
      </w:tr>
      <w:tr w:rsidR="00037871" w:rsidRPr="00037871" w14:paraId="30F81E8D" w14:textId="77777777" w:rsidTr="00E929ED">
        <w:tc>
          <w:tcPr>
            <w:tcW w:w="8789" w:type="dxa"/>
            <w:gridSpan w:val="3"/>
            <w:tcBorders>
              <w:top w:val="single" w:sz="6" w:space="0" w:color="78A22F"/>
              <w:left w:val="nil"/>
              <w:bottom w:val="nil"/>
              <w:right w:val="nil"/>
            </w:tcBorders>
          </w:tcPr>
          <w:p w14:paraId="2647F113" w14:textId="77777777" w:rsidR="000F0F09" w:rsidRPr="00037871" w:rsidRDefault="000F0F09" w:rsidP="00F409A2">
            <w:pPr>
              <w:pStyle w:val="BoxSpaceBelow"/>
              <w:rPr>
                <w:color w:val="00B050"/>
              </w:rPr>
            </w:pPr>
          </w:p>
        </w:tc>
      </w:tr>
    </w:tbl>
    <w:p w14:paraId="39B8C6FD" w14:textId="77777777" w:rsidR="00F409A2" w:rsidRPr="00037871" w:rsidRDefault="00F409A2" w:rsidP="00F409A2">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795E207B" w14:textId="77777777" w:rsidTr="00E929ED">
        <w:tc>
          <w:tcPr>
            <w:tcW w:w="8789" w:type="dxa"/>
            <w:gridSpan w:val="3"/>
            <w:tcBorders>
              <w:top w:val="single" w:sz="6" w:space="0" w:color="78A22F"/>
              <w:left w:val="nil"/>
              <w:bottom w:val="nil"/>
              <w:right w:val="nil"/>
            </w:tcBorders>
            <w:shd w:val="clear" w:color="auto" w:fill="F2F2F2"/>
          </w:tcPr>
          <w:p w14:paraId="00B6A17E" w14:textId="7D05E087" w:rsidR="00F409A2" w:rsidRPr="00E152FA" w:rsidRDefault="00F409A2">
            <w:pPr>
              <w:pStyle w:val="BoxTitle"/>
              <w:spacing w:after="120"/>
            </w:pPr>
            <w:r w:rsidRPr="00E152FA">
              <w:t>5.3</w:t>
            </w:r>
            <w:r w:rsidRPr="00E152FA">
              <w:tab/>
              <w:t xml:space="preserve">Engagement </w:t>
            </w:r>
            <w:r w:rsidR="00E54AC1">
              <w:t>of</w:t>
            </w:r>
            <w:r w:rsidR="00E54AC1" w:rsidRPr="00E152FA">
              <w:t xml:space="preserve"> </w:t>
            </w:r>
            <w:r w:rsidRPr="00E152FA">
              <w:t>services</w:t>
            </w:r>
          </w:p>
        </w:tc>
      </w:tr>
      <w:tr w:rsidR="00037871" w:rsidRPr="00037871" w14:paraId="2E27C1B5" w14:textId="77777777" w:rsidTr="00237AD4">
        <w:trPr>
          <w:cantSplit/>
        </w:trPr>
        <w:tc>
          <w:tcPr>
            <w:tcW w:w="3970" w:type="dxa"/>
            <w:tcBorders>
              <w:top w:val="nil"/>
              <w:left w:val="nil"/>
              <w:bottom w:val="nil"/>
              <w:right w:val="nil"/>
            </w:tcBorders>
            <w:shd w:val="clear" w:color="auto" w:fill="F2F2F2"/>
          </w:tcPr>
          <w:p w14:paraId="2B111A5A" w14:textId="65839C71" w:rsidR="00F409A2" w:rsidRPr="00DA607A" w:rsidRDefault="00A9316D">
            <w:pPr>
              <w:pStyle w:val="Box"/>
            </w:pPr>
            <w:r w:rsidRPr="00DA607A">
              <w:t xml:space="preserve">Positive engagement </w:t>
            </w:r>
            <w:r w:rsidR="00E54AC1">
              <w:t>of</w:t>
            </w:r>
            <w:r w:rsidR="00E54AC1" w:rsidRPr="00DA607A">
              <w:t xml:space="preserve"> </w:t>
            </w:r>
            <w:r w:rsidRPr="00DA607A">
              <w:t>services is critical to improve outcomes for Aboriginal and To</w:t>
            </w:r>
            <w:r w:rsidR="00B2177B">
              <w:t>rres Strait Islander people</w:t>
            </w:r>
            <w:r w:rsidRPr="00DA607A">
              <w:t>. Engagement covers both access to services and the culturally appropriate delivery of services.</w:t>
            </w:r>
          </w:p>
        </w:tc>
        <w:tc>
          <w:tcPr>
            <w:tcW w:w="992" w:type="dxa"/>
            <w:tcBorders>
              <w:top w:val="nil"/>
              <w:left w:val="nil"/>
              <w:bottom w:val="nil"/>
              <w:right w:val="nil"/>
            </w:tcBorders>
            <w:shd w:val="clear" w:color="auto" w:fill="418A50"/>
          </w:tcPr>
          <w:p w14:paraId="4A2CC3E3" w14:textId="77777777" w:rsidR="00F409A2" w:rsidRDefault="00F409A2" w:rsidP="00F409A2">
            <w:pPr>
              <w:pStyle w:val="BoxHeading1"/>
            </w:pPr>
          </w:p>
          <w:p w14:paraId="03CA9EC0" w14:textId="77777777" w:rsidR="0020351C" w:rsidRPr="0020351C" w:rsidRDefault="0020351C" w:rsidP="0020351C">
            <w:pPr>
              <w:pStyle w:val="Box"/>
            </w:pPr>
          </w:p>
          <w:p w14:paraId="3263C976" w14:textId="09550820" w:rsidR="00F409A2" w:rsidRPr="00DA607A" w:rsidRDefault="00B42D63" w:rsidP="00F409A2">
            <w:pPr>
              <w:pStyle w:val="Box"/>
              <w:jc w:val="center"/>
              <w:rPr>
                <w:b/>
                <w:sz w:val="30"/>
                <w:szCs w:val="30"/>
              </w:rPr>
            </w:pPr>
            <w:r w:rsidRPr="00B42D63">
              <w:rPr>
                <w:rFonts w:cs="Arial"/>
                <w:b/>
                <w:noProof/>
                <w:sz w:val="48"/>
                <w:szCs w:val="48"/>
              </w:rPr>
              <mc:AlternateContent>
                <mc:Choice Requires="wpg">
                  <w:drawing>
                    <wp:anchor distT="0" distB="0" distL="114300" distR="114300" simplePos="0" relativeHeight="251751424" behindDoc="0" locked="0" layoutInCell="1" allowOverlap="1" wp14:anchorId="1E25617C" wp14:editId="5F702F6A">
                      <wp:simplePos x="0" y="0"/>
                      <wp:positionH relativeFrom="column">
                        <wp:posOffset>116969</wp:posOffset>
                      </wp:positionH>
                      <wp:positionV relativeFrom="paragraph">
                        <wp:posOffset>51435</wp:posOffset>
                      </wp:positionV>
                      <wp:extent cx="205105" cy="279400"/>
                      <wp:effectExtent l="19050" t="0" r="61595" b="6350"/>
                      <wp:wrapNone/>
                      <wp:docPr id="47"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50" name="Straight Connector 50"/>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1" name="Straight Connector 51"/>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43FDD0" id="Group 2" o:spid="_x0000_s1026" alt="Tick symbol" style="position:absolute;margin-left:9.2pt;margin-top:4.05pt;width:16.15pt;height:22pt;z-index:251751424;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">
                      <v:line id="Straight Connector 50"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" strokecolor="white [3212]" strokeweight="3pt">
                        <o:lock v:ext="edit" shapetype="f"/>
                      </v:line>
                      <v:line id="Straight Connector 51"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" strokecolor="white [3212]" strokeweight="3pt">
                        <o:lock v:ext="edit" shapetype="f"/>
                      </v:line>
                    </v:group>
                  </w:pict>
                </mc:Fallback>
              </mc:AlternateContent>
            </w:r>
          </w:p>
        </w:tc>
        <w:tc>
          <w:tcPr>
            <w:tcW w:w="3827" w:type="dxa"/>
            <w:tcBorders>
              <w:top w:val="nil"/>
              <w:left w:val="nil"/>
              <w:bottom w:val="nil"/>
              <w:right w:val="nil"/>
            </w:tcBorders>
            <w:shd w:val="clear" w:color="auto" w:fill="F2F2F2"/>
          </w:tcPr>
          <w:p w14:paraId="39348038" w14:textId="3EF19730" w:rsidR="00F409A2" w:rsidRPr="00DA607A" w:rsidRDefault="00540CA8" w:rsidP="00022839">
            <w:pPr>
              <w:pStyle w:val="Box"/>
            </w:pPr>
            <w:r>
              <w:t xml:space="preserve">The proportion of </w:t>
            </w:r>
            <w:r w:rsidR="00A9316D" w:rsidRPr="00DA607A">
              <w:t xml:space="preserve">Aboriginal and Torres Strait Islander </w:t>
            </w:r>
            <w:r w:rsidR="007E5B35">
              <w:t>people</w:t>
            </w:r>
            <w:r w:rsidR="00A9316D" w:rsidRPr="00DA607A">
              <w:t xml:space="preserve"> aged 15 years</w:t>
            </w:r>
            <w:r w:rsidR="004733CC" w:rsidRPr="00DA607A">
              <w:t xml:space="preserve"> </w:t>
            </w:r>
            <w:r w:rsidR="005766FA">
              <w:t>or</w:t>
            </w:r>
            <w:r w:rsidR="004733CC" w:rsidRPr="00DA607A">
              <w:t xml:space="preserve"> over</w:t>
            </w:r>
            <w:r w:rsidR="00A9316D" w:rsidRPr="00DA607A">
              <w:t xml:space="preserve"> </w:t>
            </w:r>
            <w:r w:rsidR="00022839">
              <w:t xml:space="preserve">who </w:t>
            </w:r>
            <w:r w:rsidR="00A9316D" w:rsidRPr="00DA607A">
              <w:t>reported problems accessing services in the previous 12 months</w:t>
            </w:r>
            <w:r>
              <w:t xml:space="preserve"> decreased from </w:t>
            </w:r>
            <w:r w:rsidR="00DA607A" w:rsidRPr="00DA607A">
              <w:t>30</w:t>
            </w:r>
            <w:r w:rsidR="00A9316D" w:rsidRPr="00DA607A">
              <w:t xml:space="preserve"> per cent</w:t>
            </w:r>
            <w:r w:rsidR="00DA607A" w:rsidRPr="00DA607A">
              <w:t xml:space="preserve"> in 2008</w:t>
            </w:r>
            <w:r>
              <w:t xml:space="preserve"> to 24</w:t>
            </w:r>
            <w:r w:rsidR="000F0BC8">
              <w:t> </w:t>
            </w:r>
            <w:r>
              <w:t>per cent in 2014-15</w:t>
            </w:r>
            <w:r w:rsidR="00A9316D" w:rsidRPr="00DA607A">
              <w:t>.</w:t>
            </w:r>
            <w:r w:rsidR="00DA607A" w:rsidRPr="00DA607A">
              <w:t xml:space="preserve"> Difficulty with access was higher in remote areas compared to non-remote areas (</w:t>
            </w:r>
            <w:r w:rsidR="00646112">
              <w:t xml:space="preserve">33 per cent compared to </w:t>
            </w:r>
            <w:r w:rsidR="00DA607A" w:rsidRPr="00DA607A">
              <w:t>22 per cent).</w:t>
            </w:r>
          </w:p>
        </w:tc>
      </w:tr>
      <w:tr w:rsidR="00037871" w:rsidRPr="00037871" w14:paraId="7477E6DF" w14:textId="77777777" w:rsidTr="00E929ED">
        <w:trPr>
          <w:cantSplit/>
        </w:trPr>
        <w:tc>
          <w:tcPr>
            <w:tcW w:w="8789" w:type="dxa"/>
            <w:gridSpan w:val="3"/>
            <w:tcBorders>
              <w:top w:val="nil"/>
              <w:left w:val="nil"/>
              <w:bottom w:val="single" w:sz="6" w:space="0" w:color="78A22F"/>
              <w:right w:val="nil"/>
            </w:tcBorders>
            <w:shd w:val="clear" w:color="auto" w:fill="F2F2F2"/>
          </w:tcPr>
          <w:p w14:paraId="4C870FD9" w14:textId="77777777" w:rsidR="00F409A2" w:rsidRPr="00037871" w:rsidRDefault="00F409A2" w:rsidP="00F409A2">
            <w:pPr>
              <w:pStyle w:val="Box"/>
              <w:spacing w:before="0" w:line="120" w:lineRule="exact"/>
              <w:rPr>
                <w:color w:val="00B050"/>
              </w:rPr>
            </w:pPr>
          </w:p>
        </w:tc>
      </w:tr>
      <w:tr w:rsidR="00037871" w:rsidRPr="00037871" w14:paraId="70DF380D" w14:textId="77777777" w:rsidTr="00E929ED">
        <w:tc>
          <w:tcPr>
            <w:tcW w:w="8789" w:type="dxa"/>
            <w:gridSpan w:val="3"/>
            <w:tcBorders>
              <w:top w:val="single" w:sz="6" w:space="0" w:color="78A22F"/>
              <w:left w:val="nil"/>
              <w:bottom w:val="nil"/>
              <w:right w:val="nil"/>
            </w:tcBorders>
          </w:tcPr>
          <w:p w14:paraId="36E1008F" w14:textId="77777777" w:rsidR="00F409A2" w:rsidRPr="00037871" w:rsidRDefault="00F409A2" w:rsidP="00F409A2">
            <w:pPr>
              <w:pStyle w:val="BoxSpaceBelow"/>
              <w:rPr>
                <w:color w:val="00B050"/>
              </w:rPr>
            </w:pPr>
          </w:p>
        </w:tc>
      </w:tr>
    </w:tbl>
    <w:p w14:paraId="3E763D37" w14:textId="77777777" w:rsidR="00A1258F" w:rsidRPr="00FD3F04" w:rsidRDefault="00A1258F" w:rsidP="00A1258F">
      <w:pPr>
        <w:pStyle w:val="BodyText"/>
      </w:pPr>
    </w:p>
    <w:p w14:paraId="59172F6F" w14:textId="77777777" w:rsidR="00F409A2" w:rsidRPr="00037871" w:rsidRDefault="00F409A2" w:rsidP="00F409A2">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7ACF851F" w14:textId="77777777" w:rsidTr="00E929ED">
        <w:tc>
          <w:tcPr>
            <w:tcW w:w="8789" w:type="dxa"/>
            <w:gridSpan w:val="3"/>
            <w:tcBorders>
              <w:top w:val="single" w:sz="6" w:space="0" w:color="78A22F"/>
              <w:left w:val="nil"/>
              <w:bottom w:val="nil"/>
              <w:right w:val="nil"/>
            </w:tcBorders>
            <w:shd w:val="clear" w:color="auto" w:fill="F2F2F2"/>
          </w:tcPr>
          <w:p w14:paraId="6983A7F6" w14:textId="77777777" w:rsidR="00F409A2" w:rsidRPr="00E152FA" w:rsidRDefault="00F409A2" w:rsidP="001D480C">
            <w:pPr>
              <w:pStyle w:val="BoxTitle"/>
              <w:spacing w:after="120"/>
            </w:pPr>
            <w:r w:rsidRPr="00E152FA">
              <w:t>5.4</w:t>
            </w:r>
            <w:r w:rsidRPr="00E152FA">
              <w:tab/>
              <w:t>Case studies in governance</w:t>
            </w:r>
          </w:p>
        </w:tc>
      </w:tr>
      <w:tr w:rsidR="00037871" w:rsidRPr="00037871" w14:paraId="265FCA44" w14:textId="77777777" w:rsidTr="00E929ED">
        <w:trPr>
          <w:cantSplit/>
        </w:trPr>
        <w:tc>
          <w:tcPr>
            <w:tcW w:w="3970" w:type="dxa"/>
            <w:tcBorders>
              <w:top w:val="nil"/>
              <w:left w:val="nil"/>
              <w:bottom w:val="nil"/>
              <w:right w:val="nil"/>
            </w:tcBorders>
            <w:shd w:val="clear" w:color="auto" w:fill="F2F2F2"/>
          </w:tcPr>
          <w:p w14:paraId="0632E0AA" w14:textId="550736A2" w:rsidR="00A9316D" w:rsidRPr="00F322D0" w:rsidRDefault="00A9316D" w:rsidP="00A9316D">
            <w:pPr>
              <w:pStyle w:val="Box"/>
            </w:pPr>
            <w:r w:rsidRPr="00F322D0">
              <w:t>Good governance contributes to the success of organisations</w:t>
            </w:r>
            <w:r w:rsidR="00012BDE" w:rsidRPr="00F322D0">
              <w:t xml:space="preserve"> and of government engagement with Aboriginal and Torres Strait Islander </w:t>
            </w:r>
            <w:r w:rsidR="00753517">
              <w:t>people</w:t>
            </w:r>
            <w:r w:rsidRPr="00F322D0">
              <w:t>.</w:t>
            </w:r>
          </w:p>
          <w:p w14:paraId="70E58A7C" w14:textId="6B8372CF" w:rsidR="00E93C52" w:rsidRDefault="00E93C52" w:rsidP="00E93C52">
            <w:pPr>
              <w:pStyle w:val="Box"/>
            </w:pPr>
            <w:r>
              <w:t>To improve wellbeing for Aboriginal and Torres Strait Islander people, governance arrangements:</w:t>
            </w:r>
          </w:p>
          <w:p w14:paraId="30FE9F6C" w14:textId="2CD85661" w:rsidR="00E93C52" w:rsidRDefault="00E93C52" w:rsidP="00E93C52">
            <w:pPr>
              <w:pStyle w:val="BoxListBullet"/>
            </w:pPr>
            <w:r>
              <w:t>must be effective in both Aboriginal and Torres Strait Islander organisations and governments</w:t>
            </w:r>
          </w:p>
          <w:p w14:paraId="68E18A89" w14:textId="1700C823" w:rsidR="00F409A2" w:rsidRPr="00F322D0" w:rsidRDefault="00E93C52" w:rsidP="00E93C52">
            <w:pPr>
              <w:pStyle w:val="BoxListBullet"/>
            </w:pPr>
            <w:r>
              <w:t>should empower Aboriginal and Torres Strait Islander people to achieve the things that matter to them.</w:t>
            </w:r>
          </w:p>
        </w:tc>
        <w:tc>
          <w:tcPr>
            <w:tcW w:w="992" w:type="dxa"/>
            <w:tcBorders>
              <w:top w:val="nil"/>
              <w:left w:val="nil"/>
              <w:bottom w:val="nil"/>
              <w:right w:val="nil"/>
            </w:tcBorders>
            <w:shd w:val="clear" w:color="auto" w:fill="F2F2F2"/>
          </w:tcPr>
          <w:p w14:paraId="2F8C8D20" w14:textId="77777777" w:rsidR="00F409A2" w:rsidRPr="00F322D0" w:rsidRDefault="00F409A2" w:rsidP="00A908B5">
            <w:pPr>
              <w:pStyle w:val="Box"/>
              <w:rPr>
                <w:b/>
                <w:sz w:val="30"/>
                <w:szCs w:val="30"/>
              </w:rPr>
            </w:pPr>
          </w:p>
        </w:tc>
        <w:tc>
          <w:tcPr>
            <w:tcW w:w="3827" w:type="dxa"/>
            <w:tcBorders>
              <w:top w:val="nil"/>
              <w:left w:val="nil"/>
              <w:bottom w:val="nil"/>
              <w:right w:val="nil"/>
            </w:tcBorders>
            <w:shd w:val="clear" w:color="auto" w:fill="F2F2F2"/>
          </w:tcPr>
          <w:p w14:paraId="7D7C3B8C" w14:textId="10C7B7F3" w:rsidR="00E93C52" w:rsidRDefault="00E93C52" w:rsidP="00E93C52">
            <w:pPr>
              <w:pStyle w:val="Box"/>
            </w:pPr>
            <w:r>
              <w:t>Governance arrangements that empower Aboriginal and Torres Strait Islander people to achieve the things that matter to them, ensure they are able to participate in shared decision</w:t>
            </w:r>
            <w:r w:rsidR="00122D3D">
              <w:noBreakHyphen/>
            </w:r>
            <w:r>
              <w:t>making alongside governments. Case studies in this section highlight that this works best when structures, rules and laws:</w:t>
            </w:r>
          </w:p>
          <w:p w14:paraId="220572AE" w14:textId="6B478F52" w:rsidR="00E93C52" w:rsidRDefault="00E93C52" w:rsidP="00E93C52">
            <w:pPr>
              <w:pStyle w:val="BoxListBullet"/>
            </w:pPr>
            <w:r>
              <w:t xml:space="preserve">provide Aboriginal and Torres Strait Islander people with decision-making authority </w:t>
            </w:r>
          </w:p>
          <w:p w14:paraId="460D4AC3" w14:textId="33523666" w:rsidR="00E93C52" w:rsidRDefault="00E93C52" w:rsidP="00E93C52">
            <w:pPr>
              <w:pStyle w:val="BoxListBullet"/>
            </w:pPr>
            <w:r>
              <w:t xml:space="preserve">promote Aboriginal and Torres Strait Islander cultural frameworks, processes, context and time frames </w:t>
            </w:r>
          </w:p>
          <w:p w14:paraId="06F9F49C" w14:textId="73FDB966" w:rsidR="00E93C52" w:rsidRDefault="00E93C52" w:rsidP="00E93C52">
            <w:pPr>
              <w:pStyle w:val="BoxListBullet"/>
            </w:pPr>
            <w:r>
              <w:t xml:space="preserve">recognise power inequalities, and share power, through mechanisms that are transparent </w:t>
            </w:r>
          </w:p>
          <w:p w14:paraId="3E29A903" w14:textId="67BE6FCB" w:rsidR="00E93C52" w:rsidRDefault="00E93C52" w:rsidP="00E93C52">
            <w:pPr>
              <w:pStyle w:val="BoxListBullet"/>
            </w:pPr>
            <w:r>
              <w:t xml:space="preserve">ensure Aboriginal and Torres Strait Islander people can choose their representatives, and these representatives have the resources and support that they need </w:t>
            </w:r>
          </w:p>
          <w:p w14:paraId="0067BA39" w14:textId="3483AAA1" w:rsidR="00F409A2" w:rsidRPr="00F322D0" w:rsidRDefault="00E93C52" w:rsidP="00E93C52">
            <w:pPr>
              <w:pStyle w:val="BoxListBullet"/>
            </w:pPr>
            <w:r>
              <w:t>define desired outcomes, the steps to achieving them and the roles and responsibilities of participants, along with their mutual accountabilities</w:t>
            </w:r>
            <w:r w:rsidR="00363E10">
              <w:t>.</w:t>
            </w:r>
          </w:p>
        </w:tc>
      </w:tr>
      <w:tr w:rsidR="00037871" w:rsidRPr="00037871" w14:paraId="6A1815CC" w14:textId="77777777" w:rsidTr="00E929ED">
        <w:trPr>
          <w:cantSplit/>
        </w:trPr>
        <w:tc>
          <w:tcPr>
            <w:tcW w:w="8789" w:type="dxa"/>
            <w:gridSpan w:val="3"/>
            <w:tcBorders>
              <w:top w:val="nil"/>
              <w:left w:val="nil"/>
              <w:bottom w:val="nil"/>
              <w:right w:val="nil"/>
            </w:tcBorders>
            <w:shd w:val="clear" w:color="auto" w:fill="F2F2F2"/>
          </w:tcPr>
          <w:p w14:paraId="43DF56F7" w14:textId="77777777" w:rsidR="00F409A2" w:rsidRPr="00FD3F04" w:rsidRDefault="00A9316D" w:rsidP="0014070A">
            <w:pPr>
              <w:pStyle w:val="Box"/>
            </w:pPr>
            <w:r w:rsidRPr="008E1D84">
              <w:rPr>
                <w:i/>
                <w:color w:val="000000" w:themeColor="text1"/>
              </w:rPr>
              <w:t>There is no trend category for this indicator, which is based on qualitative case studies.</w:t>
            </w:r>
          </w:p>
        </w:tc>
      </w:tr>
      <w:tr w:rsidR="003779C8" w:rsidRPr="00037871" w14:paraId="76BB36DC" w14:textId="77777777" w:rsidTr="00E929ED">
        <w:trPr>
          <w:cantSplit/>
        </w:trPr>
        <w:tc>
          <w:tcPr>
            <w:tcW w:w="8789" w:type="dxa"/>
            <w:gridSpan w:val="3"/>
            <w:tcBorders>
              <w:top w:val="nil"/>
              <w:left w:val="nil"/>
              <w:bottom w:val="nil"/>
              <w:right w:val="nil"/>
            </w:tcBorders>
            <w:shd w:val="clear" w:color="auto" w:fill="F2F2F2"/>
          </w:tcPr>
          <w:p w14:paraId="31195E77" w14:textId="70BFB8AF" w:rsidR="00022839" w:rsidRDefault="00022839" w:rsidP="00022839">
            <w:pPr>
              <w:pStyle w:val="Box"/>
              <w:rPr>
                <w:color w:val="000000" w:themeColor="text1"/>
              </w:rPr>
            </w:pPr>
            <w:r>
              <w:rPr>
                <w:color w:val="000000" w:themeColor="text1"/>
              </w:rPr>
              <w:t xml:space="preserve">Case studies included in this </w:t>
            </w:r>
            <w:r w:rsidR="00662EA0">
              <w:rPr>
                <w:color w:val="000000" w:themeColor="text1"/>
              </w:rPr>
              <w:t xml:space="preserve">Report </w:t>
            </w:r>
            <w:r>
              <w:rPr>
                <w:color w:val="000000" w:themeColor="text1"/>
              </w:rPr>
              <w:t>that focus on shared decision</w:t>
            </w:r>
            <w:r w:rsidR="00122D3D">
              <w:rPr>
                <w:color w:val="000000" w:themeColor="text1"/>
              </w:rPr>
              <w:noBreakHyphen/>
            </w:r>
            <w:r>
              <w:rPr>
                <w:color w:val="000000" w:themeColor="text1"/>
              </w:rPr>
              <w:t>making between Aboriginal and Torres Strait Islander people/groups and governments are listed below.</w:t>
            </w:r>
          </w:p>
          <w:p w14:paraId="48E4031E" w14:textId="77777777" w:rsidR="00AA3068" w:rsidRDefault="00AA3068" w:rsidP="00AA3068">
            <w:pPr>
              <w:pStyle w:val="BoxListBullet"/>
            </w:pPr>
            <w:r>
              <w:t>Aboriginal Children’s Forum (section 4.11)</w:t>
            </w:r>
          </w:p>
          <w:p w14:paraId="01E853D0" w14:textId="5C696A42" w:rsidR="00AA3068" w:rsidRDefault="00AA3068" w:rsidP="0067680D">
            <w:pPr>
              <w:pStyle w:val="BoxListBullet"/>
            </w:pPr>
            <w:proofErr w:type="spellStart"/>
            <w:r>
              <w:t>Anindilyakwa</w:t>
            </w:r>
            <w:proofErr w:type="spellEnd"/>
            <w:r>
              <w:t xml:space="preserve"> Housing Aboriginal Corporation (section 10.1)</w:t>
            </w:r>
          </w:p>
          <w:p w14:paraId="60370FAE" w14:textId="01B652C3" w:rsidR="00AA3068" w:rsidRDefault="00AA3068" w:rsidP="00AA3068">
            <w:pPr>
              <w:pStyle w:val="BoxListBullet"/>
            </w:pPr>
            <w:r>
              <w:t>Approaches to land and sea governance (Aboriginal Land Council of Tasmania, Queensland Indigenous Land and Sea Ranger Program and the Aboriginal Lands Trust WA) (section 9.2)</w:t>
            </w:r>
          </w:p>
          <w:p w14:paraId="32B2C186" w14:textId="0EB700F5" w:rsidR="00AA3068" w:rsidRDefault="00AA3068" w:rsidP="00AA3068">
            <w:pPr>
              <w:pStyle w:val="BoxListBullet"/>
            </w:pPr>
            <w:proofErr w:type="spellStart"/>
            <w:r>
              <w:t>Buthera</w:t>
            </w:r>
            <w:proofErr w:type="spellEnd"/>
            <w:r>
              <w:t xml:space="preserve"> Agreement between the </w:t>
            </w:r>
            <w:proofErr w:type="spellStart"/>
            <w:r>
              <w:t>Narungga</w:t>
            </w:r>
            <w:proofErr w:type="spellEnd"/>
            <w:r>
              <w:t xml:space="preserve"> Nation and the SA Government (section 5.4)</w:t>
            </w:r>
          </w:p>
          <w:p w14:paraId="4DF09A53" w14:textId="225D5133" w:rsidR="00AA3068" w:rsidRDefault="00AA3068" w:rsidP="00AA3068">
            <w:pPr>
              <w:pStyle w:val="BoxListBullet"/>
            </w:pPr>
            <w:r>
              <w:t>Dampier Peninsula Project (section 9.2)</w:t>
            </w:r>
          </w:p>
          <w:p w14:paraId="589480F1" w14:textId="22341DDA" w:rsidR="00AA3068" w:rsidRDefault="00AA3068" w:rsidP="00AA3068">
            <w:pPr>
              <w:pStyle w:val="BoxListBullet"/>
            </w:pPr>
            <w:r>
              <w:t>Empowered Communities (section 5.4)</w:t>
            </w:r>
          </w:p>
          <w:p w14:paraId="235B11CD" w14:textId="77C6BA4A" w:rsidR="00AA3068" w:rsidRDefault="00AA3068" w:rsidP="00AA3068">
            <w:pPr>
              <w:pStyle w:val="BoxListBullet"/>
            </w:pPr>
            <w:r>
              <w:t>Local decision</w:t>
            </w:r>
            <w:r>
              <w:noBreakHyphen/>
              <w:t>making model in NSW (section 5.4)</w:t>
            </w:r>
          </w:p>
          <w:p w14:paraId="09656A5A" w14:textId="29427AA8" w:rsidR="003779C8" w:rsidRDefault="003779C8" w:rsidP="0067680D">
            <w:pPr>
              <w:pStyle w:val="BoxListBullet"/>
            </w:pPr>
            <w:r>
              <w:t>Partnership Agreement on Closing the Gap (section 5.4)</w:t>
            </w:r>
          </w:p>
          <w:p w14:paraId="1490167B" w14:textId="515F4D9D" w:rsidR="00F25E3C" w:rsidRPr="003779C8" w:rsidRDefault="00F25E3C" w:rsidP="00D349AA">
            <w:pPr>
              <w:pStyle w:val="BoxListBullet"/>
            </w:pPr>
            <w:r>
              <w:t xml:space="preserve">Western Australian Aboriginal Advisory Council and advisory groups (section 5.2). </w:t>
            </w:r>
          </w:p>
        </w:tc>
      </w:tr>
      <w:tr w:rsidR="00037871" w:rsidRPr="00037871" w14:paraId="062BAFE6" w14:textId="77777777" w:rsidTr="00E929ED">
        <w:trPr>
          <w:cantSplit/>
        </w:trPr>
        <w:tc>
          <w:tcPr>
            <w:tcW w:w="8789" w:type="dxa"/>
            <w:gridSpan w:val="3"/>
            <w:tcBorders>
              <w:top w:val="nil"/>
              <w:left w:val="nil"/>
              <w:bottom w:val="single" w:sz="6" w:space="0" w:color="78A22F"/>
              <w:right w:val="nil"/>
            </w:tcBorders>
            <w:shd w:val="clear" w:color="auto" w:fill="F2F2F2"/>
          </w:tcPr>
          <w:p w14:paraId="34F06A53" w14:textId="77777777" w:rsidR="00F409A2" w:rsidRPr="00037871" w:rsidRDefault="00F409A2" w:rsidP="00F409A2">
            <w:pPr>
              <w:pStyle w:val="Box"/>
              <w:spacing w:before="0" w:line="120" w:lineRule="exact"/>
              <w:rPr>
                <w:color w:val="00B050"/>
              </w:rPr>
            </w:pPr>
          </w:p>
        </w:tc>
      </w:tr>
      <w:tr w:rsidR="00037871" w:rsidRPr="00037871" w14:paraId="232F204F" w14:textId="77777777" w:rsidTr="00E929ED">
        <w:tc>
          <w:tcPr>
            <w:tcW w:w="8789" w:type="dxa"/>
            <w:gridSpan w:val="3"/>
            <w:tcBorders>
              <w:top w:val="single" w:sz="6" w:space="0" w:color="78A22F"/>
              <w:left w:val="nil"/>
              <w:bottom w:val="nil"/>
              <w:right w:val="nil"/>
            </w:tcBorders>
          </w:tcPr>
          <w:p w14:paraId="5507B171" w14:textId="77777777" w:rsidR="00F409A2" w:rsidRPr="00037871" w:rsidRDefault="00F409A2" w:rsidP="00F409A2">
            <w:pPr>
              <w:pStyle w:val="BoxSpaceBelow"/>
              <w:rPr>
                <w:color w:val="00B050"/>
              </w:rPr>
            </w:pPr>
          </w:p>
        </w:tc>
      </w:tr>
    </w:tbl>
    <w:p w14:paraId="61F72B86" w14:textId="77777777" w:rsidR="00976114" w:rsidRPr="00127FB7" w:rsidRDefault="00976114" w:rsidP="00127FB7">
      <w:pPr>
        <w:pStyle w:val="BoxSpaceAbove"/>
        <w:rPr>
          <w:color w:val="00B050"/>
        </w:rPr>
      </w:pPr>
    </w:p>
    <w:p w14:paraId="624D8FB1" w14:textId="77777777" w:rsidR="00F409A2" w:rsidRPr="00037871" w:rsidRDefault="00F409A2" w:rsidP="00F409A2">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7368DA20" w14:textId="77777777" w:rsidTr="00E929ED">
        <w:tc>
          <w:tcPr>
            <w:tcW w:w="8789" w:type="dxa"/>
            <w:gridSpan w:val="3"/>
            <w:tcBorders>
              <w:top w:val="single" w:sz="6" w:space="0" w:color="78A22F"/>
              <w:left w:val="nil"/>
              <w:bottom w:val="nil"/>
              <w:right w:val="nil"/>
            </w:tcBorders>
            <w:shd w:val="clear" w:color="auto" w:fill="F2F2F2"/>
          </w:tcPr>
          <w:p w14:paraId="548E553D" w14:textId="3E5A4C23" w:rsidR="00F409A2" w:rsidRPr="00B959ED" w:rsidRDefault="00F409A2" w:rsidP="001D480C">
            <w:pPr>
              <w:pStyle w:val="BoxTitle"/>
              <w:spacing w:after="120"/>
            </w:pPr>
            <w:r w:rsidRPr="00B959ED">
              <w:t>5.5</w:t>
            </w:r>
            <w:r w:rsidRPr="00B959ED">
              <w:tab/>
            </w:r>
            <w:r w:rsidR="00022839" w:rsidRPr="00B959ED">
              <w:t xml:space="preserve">Indigenous language revitalisation and maintenance </w:t>
            </w:r>
          </w:p>
        </w:tc>
      </w:tr>
      <w:tr w:rsidR="00037871" w:rsidRPr="00037871" w14:paraId="54F77AAA" w14:textId="77777777" w:rsidTr="00237AD4">
        <w:trPr>
          <w:cantSplit/>
        </w:trPr>
        <w:tc>
          <w:tcPr>
            <w:tcW w:w="3970" w:type="dxa"/>
            <w:tcBorders>
              <w:top w:val="nil"/>
              <w:left w:val="nil"/>
              <w:bottom w:val="nil"/>
              <w:right w:val="nil"/>
            </w:tcBorders>
            <w:shd w:val="clear" w:color="auto" w:fill="F2F2F2"/>
          </w:tcPr>
          <w:p w14:paraId="1884FD15" w14:textId="103CC6AE" w:rsidR="00F409A2" w:rsidRPr="005D21FE" w:rsidRDefault="00B2177B" w:rsidP="00F409A2">
            <w:pPr>
              <w:pStyle w:val="Box"/>
            </w:pPr>
            <w:r w:rsidRPr="00B2177B">
              <w:t>Languages transmit cultural practices and beliefs, and strengthen a sense of identity and belonging. Aboriginal and Torres Strait Islander languages are closely linked to culture and ultimately wellbeing</w:t>
            </w:r>
            <w:r w:rsidR="00A9316D" w:rsidRPr="005D21FE">
              <w:t>.</w:t>
            </w:r>
          </w:p>
        </w:tc>
        <w:tc>
          <w:tcPr>
            <w:tcW w:w="992" w:type="dxa"/>
            <w:tcBorders>
              <w:top w:val="nil"/>
              <w:left w:val="nil"/>
              <w:bottom w:val="nil"/>
              <w:right w:val="nil"/>
            </w:tcBorders>
            <w:shd w:val="clear" w:color="auto" w:fill="DA9C13"/>
          </w:tcPr>
          <w:p w14:paraId="40EDC10E" w14:textId="77777777" w:rsidR="00F409A2" w:rsidRPr="005D21FE" w:rsidRDefault="00F409A2" w:rsidP="005D21FE">
            <w:pPr>
              <w:pStyle w:val="Box"/>
              <w:spacing w:before="40"/>
              <w:jc w:val="center"/>
              <w:rPr>
                <w:b/>
                <w:sz w:val="30"/>
                <w:szCs w:val="30"/>
              </w:rPr>
            </w:pPr>
            <w:r w:rsidRPr="005D21FE">
              <w:rPr>
                <w:b/>
                <w:sz w:val="30"/>
                <w:szCs w:val="30"/>
              </w:rPr>
              <w:br/>
            </w:r>
          </w:p>
          <w:p w14:paraId="2A1B189B" w14:textId="77777777" w:rsidR="005D21FE" w:rsidRPr="0042569A" w:rsidRDefault="005D21FE" w:rsidP="009342D8">
            <w:pPr>
              <w:pStyle w:val="Box"/>
              <w:spacing w:before="360"/>
              <w:jc w:val="center"/>
              <w:rPr>
                <w:b/>
                <w:sz w:val="48"/>
                <w:szCs w:val="48"/>
              </w:rPr>
            </w:pPr>
            <w:r w:rsidRPr="0042569A">
              <w:rPr>
                <w:b/>
                <w:color w:val="FFFFFF" w:themeColor="background1"/>
                <w:sz w:val="48"/>
                <w:szCs w:val="48"/>
              </w:rPr>
              <w:t>_</w:t>
            </w:r>
          </w:p>
        </w:tc>
        <w:tc>
          <w:tcPr>
            <w:tcW w:w="3827" w:type="dxa"/>
            <w:tcBorders>
              <w:top w:val="nil"/>
              <w:left w:val="nil"/>
              <w:bottom w:val="nil"/>
              <w:right w:val="nil"/>
            </w:tcBorders>
            <w:shd w:val="clear" w:color="auto" w:fill="F2F2F2"/>
          </w:tcPr>
          <w:p w14:paraId="6C8BBB5C" w14:textId="5DC880F1" w:rsidR="00A9316D" w:rsidRPr="005D21FE" w:rsidRDefault="00A9316D" w:rsidP="00A9316D">
            <w:pPr>
              <w:pStyle w:val="Box"/>
            </w:pPr>
            <w:r w:rsidRPr="005D21FE">
              <w:t xml:space="preserve">In </w:t>
            </w:r>
            <w:r w:rsidR="005D21FE" w:rsidRPr="005D21FE">
              <w:t xml:space="preserve">2014-15, similar to </w:t>
            </w:r>
            <w:r w:rsidRPr="005D21FE">
              <w:t xml:space="preserve">2008, for Aboriginal and Torres Strait Islander </w:t>
            </w:r>
            <w:r w:rsidR="00B2177B">
              <w:t>people</w:t>
            </w:r>
            <w:r w:rsidRPr="005D21FE">
              <w:t xml:space="preserve"> aged 3</w:t>
            </w:r>
            <w:r w:rsidR="000F0BC8">
              <w:t> </w:t>
            </w:r>
            <w:r w:rsidRPr="005D21FE">
              <w:t xml:space="preserve">years </w:t>
            </w:r>
            <w:r w:rsidR="005766FA">
              <w:t>or</w:t>
            </w:r>
            <w:r w:rsidRPr="005D21FE">
              <w:t xml:space="preserve"> over:</w:t>
            </w:r>
          </w:p>
          <w:p w14:paraId="479FBC72" w14:textId="77777777" w:rsidR="00A9316D" w:rsidRPr="005D21FE" w:rsidRDefault="00A9316D" w:rsidP="00A9316D">
            <w:pPr>
              <w:pStyle w:val="BoxListBullet"/>
              <w:spacing w:before="120" w:line="280" w:lineRule="atLeast"/>
            </w:pPr>
            <w:r w:rsidRPr="005D21FE">
              <w:t xml:space="preserve">11 per cent were learning an Indigenous language, with the proportion highest for the youngest age group (19 per cent for </w:t>
            </w:r>
            <w:r w:rsidRPr="005D21FE">
              <w:br/>
              <w:t>3–14 year olds)</w:t>
            </w:r>
          </w:p>
          <w:p w14:paraId="560D3D5A" w14:textId="5F366373" w:rsidR="00F409A2" w:rsidRPr="005D21FE" w:rsidRDefault="00A9316D" w:rsidP="007A5144">
            <w:pPr>
              <w:pStyle w:val="BoxListBullet"/>
            </w:pPr>
            <w:r w:rsidRPr="005D21FE">
              <w:t>1</w:t>
            </w:r>
            <w:r w:rsidR="005D21FE" w:rsidRPr="005D21FE">
              <w:t>6</w:t>
            </w:r>
            <w:r w:rsidRPr="005D21FE">
              <w:t xml:space="preserve"> per cent spoke an Indigenous language, with the proportion highest in r</w:t>
            </w:r>
            <w:r w:rsidR="005D21FE" w:rsidRPr="005D21FE">
              <w:t>emote areas (50</w:t>
            </w:r>
            <w:r w:rsidR="004733CC" w:rsidRPr="005D21FE">
              <w:t> </w:t>
            </w:r>
            <w:r w:rsidRPr="005D21FE">
              <w:t>per cent).</w:t>
            </w:r>
          </w:p>
        </w:tc>
      </w:tr>
      <w:tr w:rsidR="00037871" w:rsidRPr="00037871" w14:paraId="19A5F18D" w14:textId="77777777" w:rsidTr="00E929ED">
        <w:trPr>
          <w:cantSplit/>
        </w:trPr>
        <w:tc>
          <w:tcPr>
            <w:tcW w:w="8789" w:type="dxa"/>
            <w:gridSpan w:val="3"/>
            <w:tcBorders>
              <w:top w:val="nil"/>
              <w:left w:val="nil"/>
              <w:bottom w:val="single" w:sz="6" w:space="0" w:color="78A22F"/>
              <w:right w:val="nil"/>
            </w:tcBorders>
            <w:shd w:val="clear" w:color="auto" w:fill="F2F2F2"/>
          </w:tcPr>
          <w:p w14:paraId="3529A4D9" w14:textId="77777777" w:rsidR="00F409A2" w:rsidRPr="00037871" w:rsidRDefault="00F409A2" w:rsidP="00F409A2">
            <w:pPr>
              <w:pStyle w:val="Box"/>
              <w:spacing w:before="0" w:line="120" w:lineRule="exact"/>
              <w:rPr>
                <w:color w:val="00B050"/>
              </w:rPr>
            </w:pPr>
          </w:p>
        </w:tc>
      </w:tr>
      <w:tr w:rsidR="00037871" w:rsidRPr="00037871" w14:paraId="717CDD8F" w14:textId="77777777" w:rsidTr="00E929ED">
        <w:tc>
          <w:tcPr>
            <w:tcW w:w="8789" w:type="dxa"/>
            <w:gridSpan w:val="3"/>
            <w:tcBorders>
              <w:top w:val="single" w:sz="6" w:space="0" w:color="78A22F"/>
              <w:left w:val="nil"/>
              <w:bottom w:val="nil"/>
              <w:right w:val="nil"/>
            </w:tcBorders>
          </w:tcPr>
          <w:p w14:paraId="0E306419" w14:textId="77777777" w:rsidR="00F409A2" w:rsidRPr="00037871" w:rsidRDefault="00F409A2" w:rsidP="00F409A2">
            <w:pPr>
              <w:pStyle w:val="BoxSpaceBelow"/>
              <w:rPr>
                <w:color w:val="00B050"/>
              </w:rPr>
            </w:pPr>
          </w:p>
        </w:tc>
      </w:tr>
    </w:tbl>
    <w:p w14:paraId="5E4CA5EB" w14:textId="77777777" w:rsidR="00F409A2" w:rsidRPr="00037871" w:rsidRDefault="00F409A2" w:rsidP="00F409A2">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5920E283" w14:textId="77777777" w:rsidTr="00E929ED">
        <w:tc>
          <w:tcPr>
            <w:tcW w:w="8789" w:type="dxa"/>
            <w:gridSpan w:val="3"/>
            <w:tcBorders>
              <w:top w:val="single" w:sz="6" w:space="0" w:color="78A22F"/>
              <w:left w:val="nil"/>
              <w:bottom w:val="nil"/>
              <w:right w:val="nil"/>
            </w:tcBorders>
            <w:shd w:val="clear" w:color="auto" w:fill="F2F2F2"/>
          </w:tcPr>
          <w:p w14:paraId="3D8602A9" w14:textId="77777777" w:rsidR="00F409A2" w:rsidRPr="00EF5E6A" w:rsidRDefault="00F409A2" w:rsidP="001D480C">
            <w:pPr>
              <w:pStyle w:val="BoxTitle"/>
              <w:spacing w:after="120"/>
            </w:pPr>
            <w:r w:rsidRPr="00EF5E6A">
              <w:t>5.6</w:t>
            </w:r>
            <w:r w:rsidRPr="00EF5E6A">
              <w:tab/>
              <w:t>Indigenous cultural studies</w:t>
            </w:r>
          </w:p>
        </w:tc>
      </w:tr>
      <w:tr w:rsidR="00037871" w:rsidRPr="00037871" w14:paraId="203FA073" w14:textId="77777777" w:rsidTr="00B04347">
        <w:trPr>
          <w:cantSplit/>
        </w:trPr>
        <w:tc>
          <w:tcPr>
            <w:tcW w:w="3970" w:type="dxa"/>
            <w:tcBorders>
              <w:top w:val="nil"/>
              <w:left w:val="nil"/>
              <w:bottom w:val="nil"/>
              <w:right w:val="nil"/>
            </w:tcBorders>
            <w:shd w:val="clear" w:color="auto" w:fill="F2F2F2"/>
          </w:tcPr>
          <w:p w14:paraId="346072B3" w14:textId="516B4520" w:rsidR="007D0576" w:rsidRDefault="007D0576" w:rsidP="007D0576">
            <w:pPr>
              <w:pStyle w:val="Box"/>
            </w:pPr>
            <w:r>
              <w:t>Indigenous c</w:t>
            </w:r>
            <w:r w:rsidRPr="001F38B4">
              <w:t>ultural studies</w:t>
            </w:r>
            <w:r>
              <w:t xml:space="preserve"> at school, incorporating Indigenous cultural perspectives, </w:t>
            </w:r>
            <w:r w:rsidRPr="00BE6DC4">
              <w:t>may enhance identity and self</w:t>
            </w:r>
            <w:r>
              <w:noBreakHyphen/>
            </w:r>
            <w:r w:rsidRPr="00BE6DC4">
              <w:t>esteem</w:t>
            </w:r>
            <w:r>
              <w:t xml:space="preserve"> for </w:t>
            </w:r>
            <w:r w:rsidRPr="00BE6DC4">
              <w:t>Aboriginal and Torres Strait Islander students</w:t>
            </w:r>
            <w:r>
              <w:t>, and can help</w:t>
            </w:r>
            <w:r w:rsidRPr="00D910B3">
              <w:t xml:space="preserve"> to </w:t>
            </w:r>
            <w:r w:rsidRPr="00BE6DC4">
              <w:t xml:space="preserve">promote </w:t>
            </w:r>
            <w:r>
              <w:t xml:space="preserve">a greater </w:t>
            </w:r>
            <w:r w:rsidRPr="00BE6DC4">
              <w:t>understanding of</w:t>
            </w:r>
            <w:r>
              <w:t>, and</w:t>
            </w:r>
            <w:r w:rsidRPr="00BE6DC4">
              <w:t xml:space="preserve"> respect for</w:t>
            </w:r>
            <w:r>
              <w:t>,</w:t>
            </w:r>
            <w:r w:rsidRPr="00BE6DC4">
              <w:t xml:space="preserve"> Aboriginal and Torres Strait Islander people and their culture</w:t>
            </w:r>
            <w:r>
              <w:t xml:space="preserve">s. </w:t>
            </w:r>
          </w:p>
          <w:p w14:paraId="5D9EA29D" w14:textId="77777777" w:rsidR="00F409A2" w:rsidRPr="00CD5D13" w:rsidRDefault="00F409A2" w:rsidP="00D42A93">
            <w:pPr>
              <w:pStyle w:val="Box"/>
            </w:pPr>
          </w:p>
        </w:tc>
        <w:tc>
          <w:tcPr>
            <w:tcW w:w="992" w:type="dxa"/>
            <w:tcBorders>
              <w:top w:val="nil"/>
              <w:left w:val="nil"/>
              <w:bottom w:val="nil"/>
              <w:right w:val="nil"/>
            </w:tcBorders>
            <w:shd w:val="clear" w:color="auto" w:fill="00819C"/>
          </w:tcPr>
          <w:p w14:paraId="29D157E0" w14:textId="77777777" w:rsidR="00F409A2" w:rsidRPr="00CD5D13" w:rsidRDefault="00F409A2" w:rsidP="00F409A2">
            <w:pPr>
              <w:pStyle w:val="BoxHeading1"/>
            </w:pPr>
          </w:p>
          <w:p w14:paraId="5F24E2FF" w14:textId="77777777" w:rsidR="00F409A2" w:rsidRPr="00CD5D13" w:rsidRDefault="00F409A2" w:rsidP="009342D8">
            <w:pPr>
              <w:pStyle w:val="Box"/>
              <w:spacing w:before="360" w:after="120"/>
              <w:jc w:val="center"/>
              <w:rPr>
                <w:b/>
                <w:sz w:val="30"/>
                <w:szCs w:val="30"/>
              </w:rPr>
            </w:pPr>
            <w:r w:rsidRPr="005254A0">
              <w:rPr>
                <w:b/>
                <w:color w:val="FFFFFF" w:themeColor="background1"/>
                <w:sz w:val="30"/>
                <w:szCs w:val="30"/>
              </w:rPr>
              <w:t>Data gap</w:t>
            </w:r>
          </w:p>
        </w:tc>
        <w:tc>
          <w:tcPr>
            <w:tcW w:w="3827" w:type="dxa"/>
            <w:tcBorders>
              <w:top w:val="nil"/>
              <w:left w:val="nil"/>
              <w:bottom w:val="nil"/>
              <w:right w:val="nil"/>
            </w:tcBorders>
            <w:shd w:val="clear" w:color="auto" w:fill="F2F2F2"/>
          </w:tcPr>
          <w:p w14:paraId="25253A70" w14:textId="19DCDE8F" w:rsidR="00F409A2" w:rsidRPr="00CD5D13" w:rsidRDefault="00CD5D13" w:rsidP="00717033">
            <w:pPr>
              <w:pStyle w:val="Box"/>
            </w:pPr>
            <w:r w:rsidRPr="00CD5D13">
              <w:t>In 2014-15</w:t>
            </w:r>
            <w:r w:rsidR="00A9316D" w:rsidRPr="00CD5D13">
              <w:t>,</w:t>
            </w:r>
            <w:r w:rsidRPr="00CD5D13">
              <w:t xml:space="preserve"> consistent with 2008, </w:t>
            </w:r>
            <w:r w:rsidR="00934F0E">
              <w:t>about</w:t>
            </w:r>
            <w:r w:rsidR="00934F0E" w:rsidRPr="00CD5D13">
              <w:t xml:space="preserve"> </w:t>
            </w:r>
            <w:r w:rsidR="00B35D2E">
              <w:t>70</w:t>
            </w:r>
            <w:r w:rsidR="000F0BC8">
              <w:t> </w:t>
            </w:r>
            <w:r w:rsidR="00B35D2E">
              <w:t>per cent of</w:t>
            </w:r>
            <w:r w:rsidR="00A9316D" w:rsidRPr="00CD5D13">
              <w:t xml:space="preserve"> Aborigina</w:t>
            </w:r>
            <w:r w:rsidR="00B35D2E">
              <w:t>l and Torres Strait Islander 5–14</w:t>
            </w:r>
            <w:r w:rsidR="00A9316D" w:rsidRPr="00CD5D13">
              <w:t xml:space="preserve"> year olds reported being taught </w:t>
            </w:r>
            <w:r w:rsidR="00B35D2E">
              <w:t xml:space="preserve">about </w:t>
            </w:r>
            <w:r w:rsidR="00A9316D" w:rsidRPr="00CD5D13">
              <w:t>Indigenous culture</w:t>
            </w:r>
            <w:r w:rsidR="00B35D2E">
              <w:t>s</w:t>
            </w:r>
            <w:r w:rsidR="00A9316D" w:rsidRPr="00CD5D13">
              <w:t xml:space="preserve"> a</w:t>
            </w:r>
            <w:r w:rsidR="00B35D2E">
              <w:t>t school</w:t>
            </w:r>
            <w:r w:rsidR="00A9316D" w:rsidRPr="00CD5D13">
              <w:t>. (No data are available for non</w:t>
            </w:r>
            <w:r w:rsidR="00A9316D" w:rsidRPr="00CD5D13">
              <w:noBreakHyphen/>
              <w:t xml:space="preserve">Indigenous </w:t>
            </w:r>
            <w:r w:rsidR="000C0335">
              <w:t>people</w:t>
            </w:r>
            <w:r w:rsidR="00F174BD" w:rsidRPr="00CD5D13">
              <w:t>.</w:t>
            </w:r>
            <w:r w:rsidR="00A9316D" w:rsidRPr="00CD5D13">
              <w:t>)</w:t>
            </w:r>
            <w:r w:rsidRPr="00CD5D13">
              <w:t xml:space="preserve"> </w:t>
            </w:r>
          </w:p>
        </w:tc>
      </w:tr>
      <w:tr w:rsidR="00037871" w:rsidRPr="00CD5D13" w14:paraId="12231B2D" w14:textId="77777777" w:rsidTr="00E929ED">
        <w:trPr>
          <w:cantSplit/>
        </w:trPr>
        <w:tc>
          <w:tcPr>
            <w:tcW w:w="8789" w:type="dxa"/>
            <w:gridSpan w:val="3"/>
            <w:tcBorders>
              <w:top w:val="nil"/>
              <w:left w:val="nil"/>
              <w:bottom w:val="nil"/>
              <w:right w:val="nil"/>
            </w:tcBorders>
            <w:shd w:val="clear" w:color="auto" w:fill="F2F2F2"/>
          </w:tcPr>
          <w:p w14:paraId="43FB1360" w14:textId="72510EB1" w:rsidR="00F409A2" w:rsidRPr="00CD5D13" w:rsidRDefault="00A9316D" w:rsidP="007A5144">
            <w:pPr>
              <w:pStyle w:val="Box"/>
              <w:rPr>
                <w:i/>
              </w:rPr>
            </w:pPr>
            <w:r w:rsidRPr="00CD5D13">
              <w:rPr>
                <w:i/>
              </w:rPr>
              <w:t>There is no main measure for this indicator. Data are reported on supplementary measure</w:t>
            </w:r>
            <w:r w:rsidR="007A5144">
              <w:rPr>
                <w:i/>
              </w:rPr>
              <w:t>s</w:t>
            </w:r>
            <w:r w:rsidRPr="00CD5D13">
              <w:rPr>
                <w:i/>
              </w:rPr>
              <w:t xml:space="preserve"> </w:t>
            </w:r>
            <w:r w:rsidR="007A5144">
              <w:rPr>
                <w:i/>
              </w:rPr>
              <w:t>for</w:t>
            </w:r>
            <w:r w:rsidRPr="00CD5D13">
              <w:rPr>
                <w:i/>
              </w:rPr>
              <w:t xml:space="preserve"> students taught </w:t>
            </w:r>
            <w:r w:rsidR="007A5144">
              <w:rPr>
                <w:i/>
              </w:rPr>
              <w:t xml:space="preserve">about </w:t>
            </w:r>
            <w:r w:rsidRPr="00CD5D13">
              <w:rPr>
                <w:i/>
              </w:rPr>
              <w:t>Indigenous culture</w:t>
            </w:r>
            <w:r w:rsidR="007A5144">
              <w:rPr>
                <w:i/>
              </w:rPr>
              <w:t>s</w:t>
            </w:r>
            <w:r w:rsidRPr="00CD5D13">
              <w:rPr>
                <w:i/>
              </w:rPr>
              <w:t xml:space="preserve"> as part of their studies and the proportion of Aboriginal and Torres Strait Islander school staff.</w:t>
            </w:r>
          </w:p>
        </w:tc>
      </w:tr>
      <w:tr w:rsidR="00037871" w:rsidRPr="00037871" w14:paraId="75F69E16" w14:textId="77777777" w:rsidTr="00E929ED">
        <w:trPr>
          <w:cantSplit/>
        </w:trPr>
        <w:tc>
          <w:tcPr>
            <w:tcW w:w="8789" w:type="dxa"/>
            <w:gridSpan w:val="3"/>
            <w:tcBorders>
              <w:top w:val="nil"/>
              <w:left w:val="nil"/>
              <w:bottom w:val="single" w:sz="6" w:space="0" w:color="78A22F"/>
              <w:right w:val="nil"/>
            </w:tcBorders>
            <w:shd w:val="clear" w:color="auto" w:fill="F2F2F2"/>
          </w:tcPr>
          <w:p w14:paraId="1923300A" w14:textId="77777777" w:rsidR="00F409A2" w:rsidRPr="006466C6" w:rsidRDefault="00F409A2" w:rsidP="00F409A2">
            <w:pPr>
              <w:pStyle w:val="Box"/>
              <w:spacing w:before="0" w:line="120" w:lineRule="exact"/>
            </w:pPr>
          </w:p>
        </w:tc>
      </w:tr>
      <w:tr w:rsidR="00037871" w:rsidRPr="00037871" w14:paraId="6C5C9342" w14:textId="77777777" w:rsidTr="00E929ED">
        <w:tc>
          <w:tcPr>
            <w:tcW w:w="8789" w:type="dxa"/>
            <w:gridSpan w:val="3"/>
            <w:tcBorders>
              <w:top w:val="single" w:sz="6" w:space="0" w:color="78A22F"/>
              <w:left w:val="nil"/>
              <w:bottom w:val="nil"/>
              <w:right w:val="nil"/>
            </w:tcBorders>
          </w:tcPr>
          <w:p w14:paraId="111BA383" w14:textId="77777777" w:rsidR="00F409A2" w:rsidRPr="006466C6" w:rsidRDefault="00F409A2" w:rsidP="00F409A2">
            <w:pPr>
              <w:pStyle w:val="BoxSpaceBelow"/>
            </w:pPr>
          </w:p>
        </w:tc>
      </w:tr>
    </w:tbl>
    <w:p w14:paraId="368A2D6F" w14:textId="77777777" w:rsidR="00F409A2" w:rsidRPr="00037871" w:rsidRDefault="00F409A2" w:rsidP="00F409A2">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3C101324" w14:textId="77777777" w:rsidTr="00E929ED">
        <w:tc>
          <w:tcPr>
            <w:tcW w:w="8789" w:type="dxa"/>
            <w:gridSpan w:val="3"/>
            <w:tcBorders>
              <w:top w:val="single" w:sz="6" w:space="0" w:color="78A22F"/>
              <w:left w:val="nil"/>
              <w:bottom w:val="nil"/>
              <w:right w:val="nil"/>
            </w:tcBorders>
            <w:shd w:val="clear" w:color="auto" w:fill="F2F2F2"/>
          </w:tcPr>
          <w:p w14:paraId="6DFDC8DF" w14:textId="77777777" w:rsidR="00F409A2" w:rsidRPr="00EF5E6A" w:rsidRDefault="00F409A2" w:rsidP="001D480C">
            <w:pPr>
              <w:pStyle w:val="BoxTitle"/>
              <w:spacing w:after="120"/>
            </w:pPr>
            <w:r w:rsidRPr="00EF5E6A">
              <w:t>5.7</w:t>
            </w:r>
            <w:r w:rsidRPr="00EF5E6A">
              <w:tab/>
              <w:t>Participation in community activities</w:t>
            </w:r>
          </w:p>
        </w:tc>
      </w:tr>
      <w:tr w:rsidR="00037871" w:rsidRPr="00037871" w14:paraId="11978EC2" w14:textId="77777777" w:rsidTr="00237AD4">
        <w:trPr>
          <w:cantSplit/>
        </w:trPr>
        <w:tc>
          <w:tcPr>
            <w:tcW w:w="3970" w:type="dxa"/>
            <w:tcBorders>
              <w:top w:val="nil"/>
              <w:left w:val="nil"/>
              <w:bottom w:val="nil"/>
              <w:right w:val="nil"/>
            </w:tcBorders>
            <w:shd w:val="clear" w:color="auto" w:fill="F2F2F2"/>
          </w:tcPr>
          <w:p w14:paraId="4FBB16EE" w14:textId="7F7B0A2F" w:rsidR="00F409A2" w:rsidRPr="00923019" w:rsidRDefault="00CC3A36" w:rsidP="00753517">
            <w:pPr>
              <w:pStyle w:val="Box"/>
            </w:pPr>
            <w:r w:rsidRPr="00CC3A36">
              <w:t>Involvement in community activities can lead to improvements in people’s long</w:t>
            </w:r>
            <w:r w:rsidR="00753517">
              <w:noBreakHyphen/>
            </w:r>
            <w:r w:rsidRPr="00CC3A36">
              <w:t>term health and physical and mental wellbeing, as well as improved social cohesion in communities</w:t>
            </w:r>
            <w:r w:rsidR="00A9316D" w:rsidRPr="00923019">
              <w:t>.</w:t>
            </w:r>
          </w:p>
        </w:tc>
        <w:tc>
          <w:tcPr>
            <w:tcW w:w="992" w:type="dxa"/>
            <w:tcBorders>
              <w:top w:val="nil"/>
              <w:left w:val="nil"/>
              <w:bottom w:val="nil"/>
              <w:right w:val="nil"/>
            </w:tcBorders>
            <w:shd w:val="clear" w:color="auto" w:fill="7E7397"/>
          </w:tcPr>
          <w:p w14:paraId="576B93E8" w14:textId="77777777" w:rsidR="00172778" w:rsidRPr="00923019" w:rsidRDefault="00172778" w:rsidP="00F409A2">
            <w:pPr>
              <w:pStyle w:val="Box"/>
              <w:jc w:val="center"/>
              <w:rPr>
                <w:b/>
                <w:sz w:val="48"/>
                <w:szCs w:val="48"/>
              </w:rPr>
            </w:pPr>
          </w:p>
          <w:p w14:paraId="55161741" w14:textId="77777777" w:rsidR="00F409A2" w:rsidRPr="00923019" w:rsidRDefault="00172778" w:rsidP="00F409A2">
            <w:pPr>
              <w:pStyle w:val="Box"/>
              <w:jc w:val="center"/>
              <w:rPr>
                <w:b/>
                <w:sz w:val="48"/>
                <w:szCs w:val="48"/>
              </w:rPr>
            </w:pPr>
            <w:r w:rsidRPr="005254A0">
              <w:rPr>
                <w:b/>
                <w:color w:val="FFFFFF" w:themeColor="background1"/>
                <w:sz w:val="48"/>
                <w:szCs w:val="48"/>
              </w:rPr>
              <w:t>?</w:t>
            </w:r>
          </w:p>
        </w:tc>
        <w:tc>
          <w:tcPr>
            <w:tcW w:w="3827" w:type="dxa"/>
            <w:tcBorders>
              <w:top w:val="nil"/>
              <w:left w:val="nil"/>
              <w:bottom w:val="nil"/>
              <w:right w:val="nil"/>
            </w:tcBorders>
            <w:shd w:val="clear" w:color="auto" w:fill="F2F2F2"/>
          </w:tcPr>
          <w:p w14:paraId="4B86E8A3" w14:textId="2E42A26A" w:rsidR="00F409A2" w:rsidRPr="00923019" w:rsidRDefault="00923019" w:rsidP="005766FA">
            <w:pPr>
              <w:pStyle w:val="Box"/>
            </w:pPr>
            <w:r w:rsidRPr="00923019">
              <w:t>Between 2002 and 2014-15</w:t>
            </w:r>
            <w:r w:rsidR="00A9316D" w:rsidRPr="00923019">
              <w:t xml:space="preserve">, the proportion of Aboriginal and Torres Strait Islander </w:t>
            </w:r>
            <w:r w:rsidR="00CC3A36">
              <w:t>people</w:t>
            </w:r>
            <w:r w:rsidR="00A9316D" w:rsidRPr="00923019">
              <w:t xml:space="preserve"> aged 15 years </w:t>
            </w:r>
            <w:r w:rsidR="005766FA">
              <w:t>or</w:t>
            </w:r>
            <w:r w:rsidR="00A9316D" w:rsidRPr="00923019">
              <w:t xml:space="preserve"> over attending cultural events </w:t>
            </w:r>
            <w:r w:rsidR="000338B9">
              <w:t xml:space="preserve">in the past 12 months </w:t>
            </w:r>
            <w:r w:rsidR="00A9316D" w:rsidRPr="00923019">
              <w:t>decreased (from 68 to 63 per cent), while the proportion participating in sport and recreational activities increased (from 49 to 5</w:t>
            </w:r>
            <w:r w:rsidRPr="00923019">
              <w:t>9</w:t>
            </w:r>
            <w:r w:rsidR="00A9316D" w:rsidRPr="00923019">
              <w:t xml:space="preserve"> per cent).</w:t>
            </w:r>
          </w:p>
        </w:tc>
      </w:tr>
      <w:tr w:rsidR="00923019" w:rsidRPr="00923019" w14:paraId="52C98D4D" w14:textId="77777777" w:rsidTr="00E929ED">
        <w:trPr>
          <w:cantSplit/>
        </w:trPr>
        <w:tc>
          <w:tcPr>
            <w:tcW w:w="8789" w:type="dxa"/>
            <w:gridSpan w:val="3"/>
            <w:tcBorders>
              <w:top w:val="nil"/>
              <w:left w:val="nil"/>
              <w:bottom w:val="nil"/>
              <w:right w:val="nil"/>
            </w:tcBorders>
            <w:shd w:val="clear" w:color="auto" w:fill="F2F2F2"/>
          </w:tcPr>
          <w:p w14:paraId="7E4C5E46" w14:textId="77777777" w:rsidR="00F409A2" w:rsidRPr="00923019" w:rsidRDefault="00A9316D" w:rsidP="00B70CFE">
            <w:pPr>
              <w:pStyle w:val="Box"/>
              <w:rPr>
                <w:i/>
              </w:rPr>
            </w:pPr>
            <w:r w:rsidRPr="00923019">
              <w:rPr>
                <w:i/>
              </w:rPr>
              <w:t>Results for this indicator are unclear as one measure (participation in</w:t>
            </w:r>
            <w:r w:rsidR="00B70CFE" w:rsidRPr="00923019">
              <w:rPr>
                <w:i/>
              </w:rPr>
              <w:t xml:space="preserve"> sport and recreational activities</w:t>
            </w:r>
            <w:r w:rsidRPr="00923019">
              <w:rPr>
                <w:i/>
              </w:rPr>
              <w:t>) has shown progress while the other measure (participation in</w:t>
            </w:r>
            <w:r w:rsidR="00B70CFE" w:rsidRPr="00923019">
              <w:rPr>
                <w:i/>
              </w:rPr>
              <w:t xml:space="preserve"> cultural events</w:t>
            </w:r>
            <w:r w:rsidRPr="00923019">
              <w:rPr>
                <w:i/>
              </w:rPr>
              <w:t>) has declined.</w:t>
            </w:r>
          </w:p>
        </w:tc>
      </w:tr>
      <w:tr w:rsidR="00037871" w:rsidRPr="00037871" w14:paraId="15DE3D86" w14:textId="77777777" w:rsidTr="00E929ED">
        <w:trPr>
          <w:cantSplit/>
        </w:trPr>
        <w:tc>
          <w:tcPr>
            <w:tcW w:w="8789" w:type="dxa"/>
            <w:gridSpan w:val="3"/>
            <w:tcBorders>
              <w:top w:val="nil"/>
              <w:left w:val="nil"/>
              <w:bottom w:val="single" w:sz="6" w:space="0" w:color="78A22F"/>
              <w:right w:val="nil"/>
            </w:tcBorders>
            <w:shd w:val="clear" w:color="auto" w:fill="F2F2F2"/>
          </w:tcPr>
          <w:p w14:paraId="193EB624" w14:textId="77777777" w:rsidR="00F409A2" w:rsidRPr="00037871" w:rsidRDefault="00F409A2" w:rsidP="00F409A2">
            <w:pPr>
              <w:pStyle w:val="Box"/>
              <w:spacing w:before="0" w:line="120" w:lineRule="exact"/>
              <w:rPr>
                <w:color w:val="00B050"/>
              </w:rPr>
            </w:pPr>
          </w:p>
        </w:tc>
      </w:tr>
      <w:tr w:rsidR="00037871" w:rsidRPr="00037871" w14:paraId="191AB033" w14:textId="77777777" w:rsidTr="00E929ED">
        <w:tc>
          <w:tcPr>
            <w:tcW w:w="8789" w:type="dxa"/>
            <w:gridSpan w:val="3"/>
            <w:tcBorders>
              <w:top w:val="single" w:sz="6" w:space="0" w:color="78A22F"/>
              <w:left w:val="nil"/>
              <w:bottom w:val="nil"/>
              <w:right w:val="nil"/>
            </w:tcBorders>
          </w:tcPr>
          <w:p w14:paraId="09EB0B3C" w14:textId="77777777" w:rsidR="00F409A2" w:rsidRPr="00037871" w:rsidRDefault="00F409A2" w:rsidP="00F409A2">
            <w:pPr>
              <w:pStyle w:val="BoxSpaceBelow"/>
              <w:rPr>
                <w:color w:val="00B050"/>
              </w:rPr>
            </w:pPr>
          </w:p>
        </w:tc>
      </w:tr>
    </w:tbl>
    <w:p w14:paraId="2FE65F3B" w14:textId="77777777" w:rsidR="0054551C" w:rsidRPr="00037871" w:rsidRDefault="0054551C" w:rsidP="0054551C">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3BCF0CC4" w14:textId="77777777" w:rsidTr="00E929ED">
        <w:tc>
          <w:tcPr>
            <w:tcW w:w="8789" w:type="dxa"/>
            <w:gridSpan w:val="3"/>
            <w:tcBorders>
              <w:top w:val="single" w:sz="6" w:space="0" w:color="78A22F"/>
              <w:left w:val="nil"/>
              <w:bottom w:val="nil"/>
              <w:right w:val="nil"/>
            </w:tcBorders>
            <w:shd w:val="clear" w:color="auto" w:fill="F2F2F2"/>
          </w:tcPr>
          <w:p w14:paraId="33E037F2" w14:textId="77777777" w:rsidR="0054551C" w:rsidRPr="00935DD2" w:rsidRDefault="0054551C" w:rsidP="001D480C">
            <w:pPr>
              <w:pStyle w:val="BoxTitle"/>
              <w:spacing w:after="120"/>
            </w:pPr>
            <w:r w:rsidRPr="00935DD2">
              <w:t>5.8</w:t>
            </w:r>
            <w:r w:rsidRPr="00935DD2">
              <w:tab/>
              <w:t>Access to traditional lands and waters</w:t>
            </w:r>
          </w:p>
        </w:tc>
      </w:tr>
      <w:tr w:rsidR="00037871" w:rsidRPr="00037871" w14:paraId="05E8A2AE" w14:textId="77777777" w:rsidTr="00237AD4">
        <w:trPr>
          <w:cantSplit/>
        </w:trPr>
        <w:tc>
          <w:tcPr>
            <w:tcW w:w="3970" w:type="dxa"/>
            <w:tcBorders>
              <w:top w:val="nil"/>
              <w:left w:val="nil"/>
              <w:bottom w:val="nil"/>
              <w:right w:val="nil"/>
            </w:tcBorders>
            <w:shd w:val="clear" w:color="auto" w:fill="F2F2F2"/>
          </w:tcPr>
          <w:p w14:paraId="11298A7B" w14:textId="37714418" w:rsidR="0054551C" w:rsidRPr="009109F4" w:rsidRDefault="00A9316D" w:rsidP="00B35D2E">
            <w:pPr>
              <w:pStyle w:val="Box"/>
            </w:pPr>
            <w:r w:rsidRPr="009109F4">
              <w:t>Aboriginal and To</w:t>
            </w:r>
            <w:r w:rsidR="00B35D2E">
              <w:t>rres Strait Islander people</w:t>
            </w:r>
            <w:r w:rsidRPr="009109F4">
              <w:t xml:space="preserve"> report that they derive physical, spiritual, emotional and cultural ben</w:t>
            </w:r>
            <w:r w:rsidR="00B35D2E">
              <w:t>efits from their connection to C</w:t>
            </w:r>
            <w:r w:rsidRPr="009109F4">
              <w:t xml:space="preserve">ountry. Access to traditional lands and waters gives an indication of Aboriginal and Torres Strait Islander </w:t>
            </w:r>
            <w:r w:rsidR="00B35D2E">
              <w:t>people’s connection to Country</w:t>
            </w:r>
            <w:r w:rsidRPr="009109F4">
              <w:t>.</w:t>
            </w:r>
          </w:p>
        </w:tc>
        <w:tc>
          <w:tcPr>
            <w:tcW w:w="992" w:type="dxa"/>
            <w:tcBorders>
              <w:top w:val="nil"/>
              <w:left w:val="nil"/>
              <w:bottom w:val="nil"/>
              <w:right w:val="nil"/>
            </w:tcBorders>
            <w:shd w:val="clear" w:color="auto" w:fill="418A50"/>
          </w:tcPr>
          <w:p w14:paraId="2FF05EEE" w14:textId="77777777" w:rsidR="0054551C" w:rsidRPr="009109F4" w:rsidRDefault="0054551C" w:rsidP="008E4321">
            <w:pPr>
              <w:pStyle w:val="Box"/>
            </w:pPr>
          </w:p>
          <w:p w14:paraId="3376903A" w14:textId="04FA9F03" w:rsidR="0054551C" w:rsidRPr="009109F4" w:rsidRDefault="00B42D63" w:rsidP="009342D8">
            <w:pPr>
              <w:pStyle w:val="Box"/>
              <w:spacing w:before="600"/>
              <w:jc w:val="center"/>
              <w:rPr>
                <w:sz w:val="48"/>
                <w:szCs w:val="48"/>
              </w:rPr>
            </w:pPr>
            <w:r w:rsidRPr="00B42D63">
              <w:rPr>
                <w:rFonts w:cs="Arial"/>
                <w:b/>
                <w:noProof/>
                <w:sz w:val="48"/>
                <w:szCs w:val="48"/>
              </w:rPr>
              <mc:AlternateContent>
                <mc:Choice Requires="wpg">
                  <w:drawing>
                    <wp:anchor distT="0" distB="0" distL="114300" distR="114300" simplePos="0" relativeHeight="251753472" behindDoc="0" locked="0" layoutInCell="1" allowOverlap="1" wp14:anchorId="1DB2EE70" wp14:editId="0AE9DEA1">
                      <wp:simplePos x="0" y="0"/>
                      <wp:positionH relativeFrom="column">
                        <wp:posOffset>116969</wp:posOffset>
                      </wp:positionH>
                      <wp:positionV relativeFrom="paragraph">
                        <wp:posOffset>686435</wp:posOffset>
                      </wp:positionV>
                      <wp:extent cx="205105" cy="279400"/>
                      <wp:effectExtent l="19050" t="0" r="61595" b="6350"/>
                      <wp:wrapNone/>
                      <wp:docPr id="52"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53" name="Straight Connector 53"/>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4" name="Straight Connector 54"/>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0A7FA6E" id="Group 2" o:spid="_x0000_s1026" alt="Tick symbol" style="position:absolute;margin-left:9.2pt;margin-top:54.05pt;width:16.15pt;height:22pt;z-index:251753472;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">
                      <v:line id="Straight Connector 53"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" strokecolor="white [3212]" strokeweight="3pt">
                        <o:lock v:ext="edit" shapetype="f"/>
                      </v:line>
                      <v:line id="Straight Connector 54"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" strokecolor="white [3212]" strokeweight="3pt">
                        <o:lock v:ext="edit" shapetype="f"/>
                      </v:line>
                    </v:group>
                  </w:pict>
                </mc:Fallback>
              </mc:AlternateContent>
            </w:r>
            <w:r w:rsidR="0054551C" w:rsidRPr="009109F4">
              <w:rPr>
                <w:sz w:val="48"/>
                <w:szCs w:val="48"/>
              </w:rPr>
              <w:softHyphen/>
            </w:r>
            <w:r w:rsidR="0054551C" w:rsidRPr="009109F4">
              <w:rPr>
                <w:sz w:val="48"/>
                <w:szCs w:val="48"/>
              </w:rPr>
              <w:softHyphen/>
            </w:r>
            <w:r w:rsidR="00A9316D" w:rsidRPr="009109F4">
              <w:rPr>
                <w:sz w:val="48"/>
                <w:szCs w:val="48"/>
              </w:rPr>
              <w:br/>
            </w:r>
          </w:p>
        </w:tc>
        <w:tc>
          <w:tcPr>
            <w:tcW w:w="3827" w:type="dxa"/>
            <w:tcBorders>
              <w:top w:val="nil"/>
              <w:left w:val="nil"/>
              <w:bottom w:val="nil"/>
              <w:right w:val="nil"/>
            </w:tcBorders>
            <w:shd w:val="clear" w:color="auto" w:fill="F2F2F2"/>
          </w:tcPr>
          <w:p w14:paraId="24B6F8D6" w14:textId="71F6893A" w:rsidR="00604EBA" w:rsidRDefault="00604EBA" w:rsidP="00604EBA">
            <w:pPr>
              <w:pStyle w:val="Box"/>
            </w:pPr>
            <w:r>
              <w:t>In 2018</w:t>
            </w:r>
            <w:r>
              <w:noBreakHyphen/>
              <w:t>19, t</w:t>
            </w:r>
            <w:r w:rsidR="0021286F">
              <w:t xml:space="preserve">he proportion </w:t>
            </w:r>
            <w:r w:rsidR="00A9316D" w:rsidRPr="009109F4">
              <w:t xml:space="preserve">of Aboriginal and Torres Strait Islander adults </w:t>
            </w:r>
            <w:r w:rsidR="0021286F">
              <w:t xml:space="preserve">that </w:t>
            </w:r>
            <w:r w:rsidR="00A9316D" w:rsidRPr="009109F4">
              <w:t>r</w:t>
            </w:r>
            <w:r w:rsidR="009109F4" w:rsidRPr="009109F4">
              <w:t>ecognised traditional lands</w:t>
            </w:r>
            <w:r w:rsidR="0021286F">
              <w:t xml:space="preserve"> </w:t>
            </w:r>
            <w:r>
              <w:t xml:space="preserve">was </w:t>
            </w:r>
            <w:r w:rsidR="007A5144">
              <w:t>74</w:t>
            </w:r>
            <w:r>
              <w:t> </w:t>
            </w:r>
            <w:r w:rsidR="007A5144">
              <w:t>per</w:t>
            </w:r>
            <w:r>
              <w:t> </w:t>
            </w:r>
            <w:r w:rsidR="007A5144">
              <w:t>cent</w:t>
            </w:r>
            <w:r>
              <w:t xml:space="preserve">. Recognition was higher in remote areas (90 per cent) compared to non-remote areas (71 per cent). </w:t>
            </w:r>
          </w:p>
          <w:p w14:paraId="6687E1A7" w14:textId="7D975DD5" w:rsidR="0054551C" w:rsidRPr="009109F4" w:rsidRDefault="00604EBA" w:rsidP="00604EBA">
            <w:pPr>
              <w:pStyle w:val="Box"/>
            </w:pPr>
            <w:r>
              <w:t>For Aboriginal and Torres Strait Islander people aged 15 years and over the proportion increased from 2002 (70 per cent) to 2012</w:t>
            </w:r>
            <w:r>
              <w:noBreakHyphen/>
              <w:t>13 (74 per cent)</w:t>
            </w:r>
            <w:r w:rsidR="007D7733">
              <w:t>, where it remained in 2014</w:t>
            </w:r>
            <w:r>
              <w:noBreakHyphen/>
              <w:t>15 (data were not available for people aged less than 18 years for 2018</w:t>
            </w:r>
            <w:r>
              <w:noBreakHyphen/>
              <w:t xml:space="preserve">19). </w:t>
            </w:r>
          </w:p>
        </w:tc>
      </w:tr>
      <w:tr w:rsidR="00037871" w:rsidRPr="00037871" w14:paraId="7CB9BC66" w14:textId="77777777" w:rsidTr="00E929ED">
        <w:trPr>
          <w:cantSplit/>
        </w:trPr>
        <w:tc>
          <w:tcPr>
            <w:tcW w:w="8789" w:type="dxa"/>
            <w:gridSpan w:val="3"/>
            <w:tcBorders>
              <w:top w:val="nil"/>
              <w:left w:val="nil"/>
              <w:bottom w:val="nil"/>
              <w:right w:val="nil"/>
            </w:tcBorders>
            <w:shd w:val="clear" w:color="auto" w:fill="F2F2F2"/>
          </w:tcPr>
          <w:p w14:paraId="48B5ACFA" w14:textId="32F7B448" w:rsidR="0054551C" w:rsidRPr="009109F4" w:rsidRDefault="00B35D2E" w:rsidP="008D237D">
            <w:pPr>
              <w:pStyle w:val="BoxHeading1"/>
              <w:rPr>
                <w:rStyle w:val="NoteLabel"/>
                <w:b/>
                <w:position w:val="0"/>
                <w:sz w:val="20"/>
              </w:rPr>
            </w:pPr>
            <w:r w:rsidRPr="00BA1F6F">
              <w:t xml:space="preserve">Aboriginal and Torres Strait Islander </w:t>
            </w:r>
            <w:r w:rsidR="008D237D">
              <w:t>adults</w:t>
            </w:r>
            <w:r w:rsidR="008D237D" w:rsidRPr="00BA1F6F">
              <w:t xml:space="preserve"> </w:t>
            </w:r>
            <w:r w:rsidRPr="00BA1F6F">
              <w:t>who identif</w:t>
            </w:r>
            <w:r w:rsidR="007D0576">
              <w:t>ied</w:t>
            </w:r>
            <w:r w:rsidRPr="00BA1F6F">
              <w:t xml:space="preserve"> with a clan, tribal or language group, recognise</w:t>
            </w:r>
            <w:r w:rsidR="007D0576">
              <w:t>d</w:t>
            </w:r>
            <w:r w:rsidRPr="00BA1F6F">
              <w:t xml:space="preserve"> </w:t>
            </w:r>
            <w:r w:rsidR="007D0576">
              <w:t xml:space="preserve">or </w:t>
            </w:r>
            <w:r w:rsidRPr="00BA1F6F">
              <w:t>live</w:t>
            </w:r>
            <w:r w:rsidR="007D0576">
              <w:t>d</w:t>
            </w:r>
            <w:r w:rsidRPr="00BA1F6F">
              <w:t xml:space="preserve"> on their traditional lands, by remoteness, 2018</w:t>
            </w:r>
            <w:r w:rsidRPr="00BA1F6F">
              <w:noBreakHyphen/>
              <w:t>19</w:t>
            </w:r>
            <w:r>
              <w:rPr>
                <w:rStyle w:val="NoteLabel"/>
                <w:b/>
              </w:rPr>
              <w:t>a</w:t>
            </w:r>
          </w:p>
        </w:tc>
      </w:tr>
      <w:tr w:rsidR="00037871" w:rsidRPr="00037871" w14:paraId="7536405D" w14:textId="77777777" w:rsidTr="004804C7">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7C7D7D20" w14:textId="1FA80B5C" w:rsidR="006263E3" w:rsidRPr="006263E3" w:rsidRDefault="001E0C0D" w:rsidP="004804C7">
            <w:pPr>
              <w:pStyle w:val="Box"/>
              <w:jc w:val="center"/>
            </w:pPr>
            <w:r w:rsidRPr="001E0C0D">
              <w:rPr>
                <w:noProof/>
              </w:rPr>
              <w:drawing>
                <wp:inline distT="0" distB="0" distL="0" distR="0" wp14:anchorId="6C1E4FDF" wp14:editId="0CC88F3C">
                  <wp:extent cx="5257800" cy="2876550"/>
                  <wp:effectExtent l="0" t="0" r="0" b="0"/>
                  <wp:docPr id="70" name="Picture 70" descr="Aboriginal and Torres Strait Islander adults who identified with a clan, tribal or language group, recognised or lived on their traditional lands, by remoteness, 2018-19&#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257800" cy="2876550"/>
                          </a:xfrm>
                          <a:prstGeom prst="rect">
                            <a:avLst/>
                          </a:prstGeom>
                          <a:noFill/>
                          <a:ln>
                            <a:noFill/>
                          </a:ln>
                        </pic:spPr>
                      </pic:pic>
                    </a:graphicData>
                  </a:graphic>
                </wp:inline>
              </w:drawing>
            </w:r>
          </w:p>
        </w:tc>
      </w:tr>
      <w:tr w:rsidR="00037871" w:rsidRPr="00037871" w14:paraId="46EF1E6F" w14:textId="77777777" w:rsidTr="00E929ED">
        <w:trPr>
          <w:cantSplit/>
        </w:trPr>
        <w:tc>
          <w:tcPr>
            <w:tcW w:w="8789" w:type="dxa"/>
            <w:gridSpan w:val="3"/>
            <w:tcBorders>
              <w:top w:val="nil"/>
              <w:left w:val="nil"/>
              <w:bottom w:val="nil"/>
              <w:right w:val="nil"/>
            </w:tcBorders>
            <w:shd w:val="clear" w:color="auto" w:fill="F2F2F2"/>
          </w:tcPr>
          <w:p w14:paraId="3D5026D9" w14:textId="2399CF5D" w:rsidR="0054551C" w:rsidRPr="009109F4" w:rsidRDefault="0054551C" w:rsidP="00B35D2E">
            <w:pPr>
              <w:pStyle w:val="Note"/>
              <w:rPr>
                <w:i/>
              </w:rPr>
            </w:pPr>
            <w:proofErr w:type="spellStart"/>
            <w:r w:rsidRPr="009109F4">
              <w:rPr>
                <w:rStyle w:val="NoteLabel"/>
              </w:rPr>
              <w:t>a</w:t>
            </w:r>
            <w:proofErr w:type="spellEnd"/>
            <w:r w:rsidRPr="009109F4">
              <w:rPr>
                <w:i/>
              </w:rPr>
              <w:t xml:space="preserve"> </w:t>
            </w:r>
            <w:r w:rsidR="009109F4" w:rsidRPr="009109F4">
              <w:t>Error bars represent 95 per cent confidence intervals around each proportion.</w:t>
            </w:r>
          </w:p>
        </w:tc>
      </w:tr>
      <w:tr w:rsidR="00037871" w:rsidRPr="00037871" w14:paraId="73AB04B1" w14:textId="77777777" w:rsidTr="00E929ED">
        <w:trPr>
          <w:cantSplit/>
        </w:trPr>
        <w:tc>
          <w:tcPr>
            <w:tcW w:w="8789" w:type="dxa"/>
            <w:gridSpan w:val="3"/>
            <w:tcBorders>
              <w:top w:val="nil"/>
              <w:left w:val="nil"/>
              <w:bottom w:val="nil"/>
              <w:right w:val="nil"/>
            </w:tcBorders>
            <w:shd w:val="clear" w:color="auto" w:fill="F2F2F2"/>
          </w:tcPr>
          <w:p w14:paraId="5E6F6CBA" w14:textId="00EE4D0B" w:rsidR="0054551C" w:rsidRPr="009109F4" w:rsidRDefault="0054551C" w:rsidP="003D7A8A">
            <w:pPr>
              <w:pStyle w:val="BoxHeading2"/>
              <w:spacing w:before="80" w:line="240" w:lineRule="exact"/>
              <w:rPr>
                <w:sz w:val="18"/>
                <w:szCs w:val="18"/>
              </w:rPr>
            </w:pPr>
            <w:r w:rsidRPr="009109F4">
              <w:rPr>
                <w:sz w:val="18"/>
                <w:szCs w:val="18"/>
              </w:rPr>
              <w:t xml:space="preserve">Source: </w:t>
            </w:r>
            <w:r w:rsidRPr="009109F4">
              <w:rPr>
                <w:i w:val="0"/>
                <w:sz w:val="18"/>
                <w:szCs w:val="18"/>
              </w:rPr>
              <w:t xml:space="preserve">Figure 5.8.1 in the main </w:t>
            </w:r>
            <w:r w:rsidR="003D7A8A">
              <w:rPr>
                <w:i w:val="0"/>
                <w:sz w:val="18"/>
                <w:szCs w:val="18"/>
              </w:rPr>
              <w:t>R</w:t>
            </w:r>
            <w:r w:rsidR="003D7A8A" w:rsidRPr="009109F4">
              <w:rPr>
                <w:i w:val="0"/>
                <w:sz w:val="18"/>
                <w:szCs w:val="18"/>
              </w:rPr>
              <w:t>eport</w:t>
            </w:r>
            <w:r w:rsidRPr="009109F4">
              <w:rPr>
                <w:i w:val="0"/>
                <w:sz w:val="18"/>
                <w:szCs w:val="18"/>
              </w:rPr>
              <w:t>.</w:t>
            </w:r>
          </w:p>
        </w:tc>
      </w:tr>
      <w:tr w:rsidR="00037871" w:rsidRPr="00037871" w14:paraId="64B12329" w14:textId="77777777" w:rsidTr="00E929ED">
        <w:trPr>
          <w:cantSplit/>
        </w:trPr>
        <w:tc>
          <w:tcPr>
            <w:tcW w:w="8789" w:type="dxa"/>
            <w:gridSpan w:val="3"/>
            <w:tcBorders>
              <w:top w:val="nil"/>
              <w:left w:val="nil"/>
              <w:bottom w:val="single" w:sz="6" w:space="0" w:color="78A22F"/>
              <w:right w:val="nil"/>
            </w:tcBorders>
            <w:shd w:val="clear" w:color="auto" w:fill="F2F2F2"/>
          </w:tcPr>
          <w:p w14:paraId="02DFF470" w14:textId="77777777" w:rsidR="0054551C" w:rsidRPr="00037871" w:rsidRDefault="0054551C" w:rsidP="008E4321">
            <w:pPr>
              <w:pStyle w:val="Box"/>
              <w:spacing w:before="0" w:line="120" w:lineRule="exact"/>
              <w:rPr>
                <w:color w:val="00B050"/>
              </w:rPr>
            </w:pPr>
          </w:p>
        </w:tc>
      </w:tr>
      <w:tr w:rsidR="00037871" w:rsidRPr="00037871" w14:paraId="35FC727B" w14:textId="77777777" w:rsidTr="00E929ED">
        <w:tc>
          <w:tcPr>
            <w:tcW w:w="8789" w:type="dxa"/>
            <w:gridSpan w:val="3"/>
            <w:tcBorders>
              <w:top w:val="single" w:sz="6" w:space="0" w:color="78A22F"/>
              <w:left w:val="nil"/>
              <w:bottom w:val="nil"/>
              <w:right w:val="nil"/>
            </w:tcBorders>
          </w:tcPr>
          <w:p w14:paraId="7A9EB7C1" w14:textId="77777777" w:rsidR="0054551C" w:rsidRPr="00037871" w:rsidRDefault="0054551C" w:rsidP="008E4321">
            <w:pPr>
              <w:pStyle w:val="BoxSpaceBelow"/>
              <w:rPr>
                <w:color w:val="00B050"/>
              </w:rPr>
            </w:pPr>
          </w:p>
        </w:tc>
      </w:tr>
    </w:tbl>
    <w:p w14:paraId="272080F3" w14:textId="77777777" w:rsidR="00603367" w:rsidRDefault="00603367" w:rsidP="003353C4">
      <w:pPr>
        <w:pStyle w:val="BodyText"/>
      </w:pPr>
    </w:p>
    <w:p w14:paraId="7EE074EF" w14:textId="77777777" w:rsidR="00603367" w:rsidRDefault="00603367">
      <w:pPr>
        <w:rPr>
          <w:rFonts w:ascii="Arial" w:hAnsi="Arial"/>
          <w:b/>
          <w:color w:val="000000" w:themeColor="text1"/>
          <w:sz w:val="32"/>
          <w:szCs w:val="20"/>
        </w:rPr>
      </w:pPr>
      <w:r>
        <w:rPr>
          <w:color w:val="000000" w:themeColor="text1"/>
        </w:rPr>
        <w:br w:type="page"/>
      </w:r>
    </w:p>
    <w:p w14:paraId="30C0ACD4" w14:textId="1E5D14A1" w:rsidR="00976114" w:rsidRPr="004D61CE" w:rsidRDefault="0054551C" w:rsidP="0054551C">
      <w:pPr>
        <w:pStyle w:val="Heading2"/>
        <w:rPr>
          <w:color w:val="000000" w:themeColor="text1"/>
        </w:rPr>
      </w:pPr>
      <w:r w:rsidRPr="004D61CE">
        <w:rPr>
          <w:color w:val="000000" w:themeColor="text1"/>
        </w:rPr>
        <w:lastRenderedPageBreak/>
        <w:t>Early child development</w:t>
      </w:r>
    </w:p>
    <w:p w14:paraId="6AB31A2E" w14:textId="510E53AC" w:rsidR="00A9316D" w:rsidRPr="004D61CE" w:rsidRDefault="00B2177B" w:rsidP="00A9316D">
      <w:pPr>
        <w:pStyle w:val="BodyText"/>
        <w:rPr>
          <w:color w:val="000000" w:themeColor="text1"/>
        </w:rPr>
      </w:pPr>
      <w:r w:rsidRPr="00B2177B">
        <w:rPr>
          <w:color w:val="000000" w:themeColor="text1"/>
        </w:rPr>
        <w:t>A good start can help children to thrive and lead happy and healthy lives into adulthood. Addressing challenges in early childhood, including before children are born, can reduce the development of problems that would prevent them achieving their full</w:t>
      </w:r>
      <w:r>
        <w:rPr>
          <w:color w:val="000000" w:themeColor="text1"/>
        </w:rPr>
        <w:t xml:space="preserve"> potential</w:t>
      </w:r>
      <w:r w:rsidR="00A9316D" w:rsidRPr="004D61CE">
        <w:rPr>
          <w:color w:val="000000" w:themeColor="text1"/>
        </w:rPr>
        <w:t xml:space="preserve">. The indicators in this strategic area focus on the early </w:t>
      </w:r>
      <w:r w:rsidR="00F174BD" w:rsidRPr="004D61CE">
        <w:rPr>
          <w:color w:val="000000" w:themeColor="text1"/>
        </w:rPr>
        <w:t>drivers of long-</w:t>
      </w:r>
      <w:r w:rsidR="00A9316D" w:rsidRPr="004D61CE">
        <w:rPr>
          <w:color w:val="000000" w:themeColor="text1"/>
        </w:rPr>
        <w:t>term wellbeing</w:t>
      </w:r>
      <w:r w:rsidR="00456BFD">
        <w:rPr>
          <w:color w:val="000000" w:themeColor="text1"/>
        </w:rPr>
        <w:t xml:space="preserve"> which contribute to overcoming disadvantage</w:t>
      </w:r>
      <w:r w:rsidR="00A9316D" w:rsidRPr="004D61CE">
        <w:rPr>
          <w:color w:val="000000" w:themeColor="text1"/>
        </w:rPr>
        <w:t>.</w:t>
      </w:r>
    </w:p>
    <w:p w14:paraId="74003664" w14:textId="77777777" w:rsidR="0054551C" w:rsidRPr="00037871" w:rsidRDefault="0054551C" w:rsidP="0054551C">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217A080E" w14:textId="77777777" w:rsidTr="00E929ED">
        <w:tc>
          <w:tcPr>
            <w:tcW w:w="8789" w:type="dxa"/>
            <w:gridSpan w:val="3"/>
            <w:tcBorders>
              <w:top w:val="single" w:sz="6" w:space="0" w:color="78A22F"/>
              <w:left w:val="nil"/>
              <w:bottom w:val="nil"/>
              <w:right w:val="nil"/>
            </w:tcBorders>
            <w:shd w:val="clear" w:color="auto" w:fill="F2F2F2"/>
          </w:tcPr>
          <w:p w14:paraId="473398CF" w14:textId="77777777" w:rsidR="0054551C" w:rsidRPr="00B544F1" w:rsidRDefault="0054551C" w:rsidP="001D480C">
            <w:pPr>
              <w:pStyle w:val="BoxTitle"/>
              <w:spacing w:after="120"/>
            </w:pPr>
            <w:r w:rsidRPr="004D61CE">
              <w:rPr>
                <w:color w:val="000000" w:themeColor="text1"/>
              </w:rPr>
              <w:t>6.1</w:t>
            </w:r>
            <w:r w:rsidRPr="004D61CE">
              <w:rPr>
                <w:color w:val="000000" w:themeColor="text1"/>
              </w:rPr>
              <w:tab/>
              <w:t>Antenatal care</w:t>
            </w:r>
          </w:p>
        </w:tc>
      </w:tr>
      <w:tr w:rsidR="00037871" w:rsidRPr="00037871" w14:paraId="40D10E9B" w14:textId="77777777" w:rsidTr="00237AD4">
        <w:trPr>
          <w:cantSplit/>
        </w:trPr>
        <w:tc>
          <w:tcPr>
            <w:tcW w:w="3970" w:type="dxa"/>
            <w:tcBorders>
              <w:top w:val="nil"/>
              <w:left w:val="nil"/>
              <w:bottom w:val="nil"/>
              <w:right w:val="nil"/>
            </w:tcBorders>
            <w:shd w:val="clear" w:color="auto" w:fill="F2F2F2"/>
          </w:tcPr>
          <w:p w14:paraId="6193C62B" w14:textId="284735CF" w:rsidR="0054551C" w:rsidRPr="003927C6" w:rsidRDefault="00B35D2E" w:rsidP="008E4321">
            <w:pPr>
              <w:pStyle w:val="Box"/>
            </w:pPr>
            <w:r w:rsidRPr="00B35D2E">
              <w:t>Antenatal care provides expectant mothers with information and screening, prevention</w:t>
            </w:r>
            <w:r>
              <w:t xml:space="preserve"> </w:t>
            </w:r>
            <w:r w:rsidRPr="00B35D2E">
              <w:t>and treatment to maximise their health throughout pregnancy, and the health of their babies</w:t>
            </w:r>
            <w:r w:rsidR="00A9316D" w:rsidRPr="003927C6">
              <w:t>.</w:t>
            </w:r>
          </w:p>
        </w:tc>
        <w:tc>
          <w:tcPr>
            <w:tcW w:w="992" w:type="dxa"/>
            <w:tcBorders>
              <w:top w:val="nil"/>
              <w:left w:val="nil"/>
              <w:bottom w:val="nil"/>
              <w:right w:val="nil"/>
            </w:tcBorders>
            <w:shd w:val="clear" w:color="auto" w:fill="418A50"/>
          </w:tcPr>
          <w:p w14:paraId="0B6FC945" w14:textId="77777777" w:rsidR="007935C2" w:rsidRDefault="007935C2" w:rsidP="00D13F81">
            <w:pPr>
              <w:pStyle w:val="Box"/>
              <w:jc w:val="center"/>
              <w:rPr>
                <w:rFonts w:ascii="Wingdings 2" w:hAnsi="Wingdings 2" w:cs="Arial"/>
                <w:b/>
                <w:sz w:val="48"/>
                <w:szCs w:val="48"/>
              </w:rPr>
            </w:pPr>
          </w:p>
          <w:p w14:paraId="3CDDE210" w14:textId="231153BF" w:rsidR="0054551C" w:rsidRPr="003927C6" w:rsidRDefault="00B42D63" w:rsidP="009342D8">
            <w:pPr>
              <w:pStyle w:val="Box"/>
              <w:spacing w:before="0"/>
              <w:jc w:val="center"/>
              <w:rPr>
                <w:b/>
                <w:sz w:val="30"/>
                <w:szCs w:val="30"/>
              </w:rPr>
            </w:pPr>
            <w:r w:rsidRPr="00B42D63">
              <w:rPr>
                <w:rFonts w:cs="Arial"/>
                <w:b/>
                <w:noProof/>
                <w:sz w:val="48"/>
                <w:szCs w:val="48"/>
              </w:rPr>
              <mc:AlternateContent>
                <mc:Choice Requires="wpg">
                  <w:drawing>
                    <wp:anchor distT="0" distB="0" distL="114300" distR="114300" simplePos="0" relativeHeight="251755520" behindDoc="0" locked="0" layoutInCell="1" allowOverlap="1" wp14:anchorId="6AC67C08" wp14:editId="4B69CA67">
                      <wp:simplePos x="0" y="0"/>
                      <wp:positionH relativeFrom="column">
                        <wp:posOffset>116969</wp:posOffset>
                      </wp:positionH>
                      <wp:positionV relativeFrom="paragraph">
                        <wp:posOffset>5080</wp:posOffset>
                      </wp:positionV>
                      <wp:extent cx="205105" cy="279400"/>
                      <wp:effectExtent l="19050" t="0" r="61595" b="6350"/>
                      <wp:wrapNone/>
                      <wp:docPr id="55"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56" name="Straight Connector 56"/>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57" name="Straight Connector 57"/>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8E06E18" id="Group 2" o:spid="_x0000_s1026" alt="Tick symbol" style="position:absolute;margin-left:9.2pt;margin-top:.4pt;width:16.15pt;height:22pt;z-index:251755520;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">
                      <v:line id="Straight Connector 56"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" strokecolor="white [3212]" strokeweight="3pt">
                        <o:lock v:ext="edit" shapetype="f"/>
                      </v:line>
                      <v:line id="Straight Connector 57"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" strokecolor="white [3212]" strokeweight="3pt">
                        <o:lock v:ext="edit" shapetype="f"/>
                      </v:line>
                    </v:group>
                  </w:pict>
                </mc:Fallback>
              </mc:AlternateContent>
            </w:r>
          </w:p>
        </w:tc>
        <w:tc>
          <w:tcPr>
            <w:tcW w:w="3827" w:type="dxa"/>
            <w:tcBorders>
              <w:top w:val="nil"/>
              <w:left w:val="nil"/>
              <w:bottom w:val="nil"/>
              <w:right w:val="nil"/>
            </w:tcBorders>
            <w:shd w:val="clear" w:color="auto" w:fill="F2F2F2"/>
          </w:tcPr>
          <w:p w14:paraId="6B734954" w14:textId="33C072E2" w:rsidR="00D95470" w:rsidRPr="003927C6" w:rsidRDefault="0021286F" w:rsidP="008E4321">
            <w:pPr>
              <w:pStyle w:val="Box"/>
            </w:pPr>
            <w:r>
              <w:t xml:space="preserve">The proportion of </w:t>
            </w:r>
            <w:r w:rsidR="00A9316D" w:rsidRPr="003927C6">
              <w:t>Aboriginal and Torres Strait Islan</w:t>
            </w:r>
            <w:r w:rsidR="003927C6" w:rsidRPr="003927C6">
              <w:t xml:space="preserve">der women who gave birth </w:t>
            </w:r>
            <w:r>
              <w:t>and</w:t>
            </w:r>
            <w:r w:rsidR="00A9316D" w:rsidRPr="003927C6">
              <w:t xml:space="preserve"> attended at least one antenatal visit in the first trimester</w:t>
            </w:r>
            <w:r w:rsidR="001C57D0">
              <w:t xml:space="preserve"> of pregnancy</w:t>
            </w:r>
            <w:r w:rsidR="003927C6" w:rsidRPr="003927C6">
              <w:t>, increase</w:t>
            </w:r>
            <w:r>
              <w:t>d</w:t>
            </w:r>
            <w:r w:rsidR="003927C6" w:rsidRPr="003927C6">
              <w:t xml:space="preserve"> from 50 per cent in 2011</w:t>
            </w:r>
            <w:r w:rsidR="0054404F">
              <w:t xml:space="preserve"> to 66 </w:t>
            </w:r>
            <w:r w:rsidR="00B35D2E">
              <w:t>per cent in 2018</w:t>
            </w:r>
            <w:r w:rsidR="00A9316D" w:rsidRPr="003927C6">
              <w:t xml:space="preserve">. </w:t>
            </w:r>
          </w:p>
        </w:tc>
      </w:tr>
      <w:tr w:rsidR="00037871" w:rsidRPr="00037871" w14:paraId="3A3A5629" w14:textId="77777777" w:rsidTr="00E929ED">
        <w:trPr>
          <w:cantSplit/>
        </w:trPr>
        <w:tc>
          <w:tcPr>
            <w:tcW w:w="8789" w:type="dxa"/>
            <w:gridSpan w:val="3"/>
            <w:tcBorders>
              <w:top w:val="nil"/>
              <w:left w:val="nil"/>
              <w:bottom w:val="single" w:sz="6" w:space="0" w:color="78A22F"/>
              <w:right w:val="nil"/>
            </w:tcBorders>
            <w:shd w:val="clear" w:color="auto" w:fill="F2F2F2"/>
          </w:tcPr>
          <w:p w14:paraId="38734C13" w14:textId="77777777" w:rsidR="0054551C" w:rsidRPr="00037871" w:rsidRDefault="0054551C" w:rsidP="008E4321">
            <w:pPr>
              <w:pStyle w:val="Box"/>
              <w:spacing w:before="0" w:line="120" w:lineRule="exact"/>
              <w:rPr>
                <w:color w:val="00B050"/>
              </w:rPr>
            </w:pPr>
          </w:p>
        </w:tc>
      </w:tr>
      <w:tr w:rsidR="00037871" w:rsidRPr="00037871" w14:paraId="36736571" w14:textId="77777777" w:rsidTr="00E929ED">
        <w:tc>
          <w:tcPr>
            <w:tcW w:w="8789" w:type="dxa"/>
            <w:gridSpan w:val="3"/>
            <w:tcBorders>
              <w:top w:val="single" w:sz="6" w:space="0" w:color="78A22F"/>
              <w:left w:val="nil"/>
              <w:bottom w:val="nil"/>
              <w:right w:val="nil"/>
            </w:tcBorders>
          </w:tcPr>
          <w:p w14:paraId="6B083F5B" w14:textId="279D7772" w:rsidR="0054551C" w:rsidRPr="00037871" w:rsidRDefault="0054551C" w:rsidP="008E4321">
            <w:pPr>
              <w:pStyle w:val="BoxSpaceBelow"/>
              <w:rPr>
                <w:color w:val="00B050"/>
              </w:rPr>
            </w:pPr>
          </w:p>
        </w:tc>
      </w:tr>
    </w:tbl>
    <w:p w14:paraId="2F2F223E" w14:textId="0908F66B" w:rsidR="0054551C" w:rsidRPr="00037871" w:rsidRDefault="0054551C" w:rsidP="0054551C">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6DA5B4FA" w14:textId="77777777" w:rsidTr="00E929ED">
        <w:tc>
          <w:tcPr>
            <w:tcW w:w="8789" w:type="dxa"/>
            <w:gridSpan w:val="3"/>
            <w:tcBorders>
              <w:top w:val="single" w:sz="6" w:space="0" w:color="78A22F"/>
              <w:left w:val="nil"/>
              <w:bottom w:val="nil"/>
              <w:right w:val="nil"/>
            </w:tcBorders>
            <w:shd w:val="clear" w:color="auto" w:fill="F2F2F2"/>
          </w:tcPr>
          <w:p w14:paraId="3E4163FD" w14:textId="77777777" w:rsidR="0054551C" w:rsidRPr="00B544F1" w:rsidRDefault="0054551C" w:rsidP="001D480C">
            <w:pPr>
              <w:pStyle w:val="BoxTitle"/>
              <w:spacing w:after="120"/>
            </w:pPr>
            <w:r w:rsidRPr="004D61CE">
              <w:rPr>
                <w:color w:val="000000" w:themeColor="text1"/>
              </w:rPr>
              <w:t>6.2</w:t>
            </w:r>
            <w:r w:rsidRPr="004D61CE">
              <w:rPr>
                <w:color w:val="000000" w:themeColor="text1"/>
              </w:rPr>
              <w:tab/>
              <w:t>Health behaviours during pregnancy</w:t>
            </w:r>
          </w:p>
        </w:tc>
      </w:tr>
      <w:tr w:rsidR="00037871" w:rsidRPr="00037871" w14:paraId="7AAAA7EC" w14:textId="77777777" w:rsidTr="00237AD4">
        <w:trPr>
          <w:cantSplit/>
        </w:trPr>
        <w:tc>
          <w:tcPr>
            <w:tcW w:w="3970" w:type="dxa"/>
            <w:tcBorders>
              <w:top w:val="nil"/>
              <w:left w:val="nil"/>
              <w:bottom w:val="nil"/>
              <w:right w:val="nil"/>
            </w:tcBorders>
            <w:shd w:val="clear" w:color="auto" w:fill="F2F2F2"/>
          </w:tcPr>
          <w:p w14:paraId="091CD362" w14:textId="5D65809E" w:rsidR="0054551C" w:rsidRPr="00726094" w:rsidRDefault="00A427A4" w:rsidP="007559F7">
            <w:pPr>
              <w:pStyle w:val="Box"/>
            </w:pPr>
            <w:r w:rsidRPr="00726094">
              <w:t>The health behaviours of women during pregnancy can be imp</w:t>
            </w:r>
            <w:r w:rsidR="007559F7">
              <w:t xml:space="preserve">ortant for the </w:t>
            </w:r>
            <w:r w:rsidR="00570FB9">
              <w:t xml:space="preserve">health and </w:t>
            </w:r>
            <w:r w:rsidR="007559F7">
              <w:t xml:space="preserve">wellbeing of </w:t>
            </w:r>
            <w:r w:rsidRPr="00726094">
              <w:t>women and their children.</w:t>
            </w:r>
          </w:p>
        </w:tc>
        <w:tc>
          <w:tcPr>
            <w:tcW w:w="992" w:type="dxa"/>
            <w:tcBorders>
              <w:top w:val="nil"/>
              <w:left w:val="nil"/>
              <w:bottom w:val="nil"/>
              <w:right w:val="nil"/>
            </w:tcBorders>
            <w:shd w:val="clear" w:color="auto" w:fill="418A50"/>
          </w:tcPr>
          <w:p w14:paraId="31E6141E" w14:textId="28077D7A" w:rsidR="0054551C" w:rsidRPr="00726094" w:rsidRDefault="00B42D63" w:rsidP="009342D8">
            <w:pPr>
              <w:pStyle w:val="Box"/>
              <w:spacing w:before="400" w:line="240" w:lineRule="auto"/>
              <w:jc w:val="center"/>
              <w:rPr>
                <w:sz w:val="48"/>
                <w:szCs w:val="48"/>
              </w:rPr>
            </w:pPr>
            <w:r w:rsidRPr="00B42D63">
              <w:rPr>
                <w:rFonts w:cs="Arial"/>
                <w:b/>
                <w:noProof/>
                <w:sz w:val="48"/>
                <w:szCs w:val="48"/>
              </w:rPr>
              <mc:AlternateContent>
                <mc:Choice Requires="wpg">
                  <w:drawing>
                    <wp:anchor distT="0" distB="0" distL="114300" distR="114300" simplePos="0" relativeHeight="251757568" behindDoc="0" locked="0" layoutInCell="1" allowOverlap="1" wp14:anchorId="426574AE" wp14:editId="2D53956D">
                      <wp:simplePos x="0" y="0"/>
                      <wp:positionH relativeFrom="column">
                        <wp:posOffset>132209</wp:posOffset>
                      </wp:positionH>
                      <wp:positionV relativeFrom="paragraph">
                        <wp:posOffset>337820</wp:posOffset>
                      </wp:positionV>
                      <wp:extent cx="205105" cy="279400"/>
                      <wp:effectExtent l="19050" t="0" r="61595" b="6350"/>
                      <wp:wrapNone/>
                      <wp:docPr id="58"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67" name="Straight Connector 67"/>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68" name="Straight Connector 68"/>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6CD44EB" id="Group 2" o:spid="_x0000_s1026" alt="Tick symbol" style="position:absolute;margin-left:10.4pt;margin-top:26.6pt;width:16.15pt;height:22pt;z-index:251757568;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">
                      <v:line id="Straight Connector 67"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" strokecolor="white [3212]" strokeweight="3pt">
                        <o:lock v:ext="edit" shapetype="f"/>
                      </v:line>
                      <v:line id="Straight Connector 68"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" strokecolor="white [3212]" strokeweight="3pt">
                        <o:lock v:ext="edit" shapetype="f"/>
                      </v:line>
                    </v:group>
                  </w:pict>
                </mc:Fallback>
              </mc:AlternateContent>
            </w:r>
            <w:r w:rsidR="0054551C" w:rsidRPr="00726094">
              <w:rPr>
                <w:sz w:val="48"/>
                <w:szCs w:val="48"/>
              </w:rPr>
              <w:softHyphen/>
            </w:r>
          </w:p>
        </w:tc>
        <w:tc>
          <w:tcPr>
            <w:tcW w:w="3827" w:type="dxa"/>
            <w:tcBorders>
              <w:top w:val="nil"/>
              <w:left w:val="nil"/>
              <w:bottom w:val="nil"/>
              <w:right w:val="nil"/>
            </w:tcBorders>
            <w:shd w:val="clear" w:color="auto" w:fill="F2F2F2"/>
          </w:tcPr>
          <w:p w14:paraId="629EA19B" w14:textId="2B6970D3" w:rsidR="0054551C" w:rsidRPr="00726094" w:rsidRDefault="007559F7" w:rsidP="0054404F">
            <w:pPr>
              <w:pStyle w:val="Box"/>
            </w:pPr>
            <w:r>
              <w:t>T</w:t>
            </w:r>
            <w:r w:rsidR="00A427A4" w:rsidRPr="00726094">
              <w:t xml:space="preserve">he proportion of Aboriginal and Torres Strait Islander </w:t>
            </w:r>
            <w:r w:rsidR="00400E30" w:rsidRPr="00726094">
              <w:t xml:space="preserve">mothers </w:t>
            </w:r>
            <w:r w:rsidR="00A427A4" w:rsidRPr="00726094">
              <w:t>who smoked during pregnancy decreased from 5</w:t>
            </w:r>
            <w:r>
              <w:t>2</w:t>
            </w:r>
            <w:r w:rsidR="0054404F">
              <w:t> </w:t>
            </w:r>
            <w:r w:rsidR="00726094" w:rsidRPr="00726094">
              <w:t>per cent in 200</w:t>
            </w:r>
            <w:r>
              <w:t xml:space="preserve">9 to </w:t>
            </w:r>
            <w:r w:rsidRPr="000F0BC8">
              <w:t>4</w:t>
            </w:r>
            <w:r w:rsidR="009256D3" w:rsidRPr="000F0BC8">
              <w:t>4</w:t>
            </w:r>
            <w:r>
              <w:t xml:space="preserve"> per cent in 2018</w:t>
            </w:r>
            <w:r w:rsidR="00A427A4" w:rsidRPr="00726094">
              <w:t>.</w:t>
            </w:r>
            <w:r>
              <w:t xml:space="preserve"> </w:t>
            </w:r>
          </w:p>
        </w:tc>
      </w:tr>
      <w:tr w:rsidR="00037871" w:rsidRPr="00037871" w14:paraId="0FE150A0" w14:textId="77777777" w:rsidTr="00E929ED">
        <w:trPr>
          <w:cantSplit/>
        </w:trPr>
        <w:tc>
          <w:tcPr>
            <w:tcW w:w="8789" w:type="dxa"/>
            <w:gridSpan w:val="3"/>
            <w:tcBorders>
              <w:top w:val="nil"/>
              <w:left w:val="nil"/>
              <w:bottom w:val="single" w:sz="6" w:space="0" w:color="78A22F"/>
              <w:right w:val="nil"/>
            </w:tcBorders>
            <w:shd w:val="clear" w:color="auto" w:fill="F2F2F2"/>
          </w:tcPr>
          <w:p w14:paraId="7FF90928" w14:textId="1D35AEED" w:rsidR="0054551C" w:rsidRPr="00037871" w:rsidRDefault="0054551C" w:rsidP="008E4321">
            <w:pPr>
              <w:pStyle w:val="Box"/>
              <w:spacing w:before="0" w:line="120" w:lineRule="exact"/>
              <w:rPr>
                <w:color w:val="00B050"/>
              </w:rPr>
            </w:pPr>
          </w:p>
        </w:tc>
      </w:tr>
      <w:tr w:rsidR="00037871" w:rsidRPr="00037871" w14:paraId="694A8C8C" w14:textId="77777777" w:rsidTr="00E929ED">
        <w:tc>
          <w:tcPr>
            <w:tcW w:w="8789" w:type="dxa"/>
            <w:gridSpan w:val="3"/>
            <w:tcBorders>
              <w:top w:val="single" w:sz="6" w:space="0" w:color="78A22F"/>
              <w:left w:val="nil"/>
              <w:bottom w:val="nil"/>
              <w:right w:val="nil"/>
            </w:tcBorders>
          </w:tcPr>
          <w:p w14:paraId="51DEBECD" w14:textId="5E6E9A18" w:rsidR="0054551C" w:rsidRPr="00037871" w:rsidRDefault="0054551C" w:rsidP="008E4321">
            <w:pPr>
              <w:pStyle w:val="BoxSpaceBelow"/>
              <w:rPr>
                <w:color w:val="00B050"/>
              </w:rPr>
            </w:pPr>
          </w:p>
        </w:tc>
      </w:tr>
    </w:tbl>
    <w:p w14:paraId="6BFEBB09" w14:textId="77777777" w:rsidR="004D2588" w:rsidRPr="00037871" w:rsidRDefault="004D2588" w:rsidP="004D2588">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6FC38553" w14:textId="77777777" w:rsidTr="00E929ED">
        <w:tc>
          <w:tcPr>
            <w:tcW w:w="8789" w:type="dxa"/>
            <w:gridSpan w:val="3"/>
            <w:tcBorders>
              <w:top w:val="single" w:sz="6" w:space="0" w:color="78A22F"/>
              <w:left w:val="nil"/>
              <w:bottom w:val="nil"/>
              <w:right w:val="nil"/>
            </w:tcBorders>
            <w:shd w:val="clear" w:color="auto" w:fill="F2F2F2"/>
          </w:tcPr>
          <w:p w14:paraId="265A42DB" w14:textId="77777777" w:rsidR="004D2588" w:rsidRPr="00B544F1" w:rsidRDefault="004D2588" w:rsidP="001D480C">
            <w:pPr>
              <w:pStyle w:val="BoxTitle"/>
              <w:spacing w:after="120"/>
            </w:pPr>
            <w:r w:rsidRPr="004D61CE">
              <w:rPr>
                <w:color w:val="000000" w:themeColor="text1"/>
              </w:rPr>
              <w:t>6.3</w:t>
            </w:r>
            <w:r w:rsidRPr="004D61CE">
              <w:rPr>
                <w:color w:val="000000" w:themeColor="text1"/>
              </w:rPr>
              <w:tab/>
              <w:t>Teenage birth rate</w:t>
            </w:r>
          </w:p>
        </w:tc>
      </w:tr>
      <w:tr w:rsidR="00037871" w:rsidRPr="00037871" w14:paraId="08E25BB6" w14:textId="77777777" w:rsidTr="00237AD4">
        <w:trPr>
          <w:cantSplit/>
        </w:trPr>
        <w:tc>
          <w:tcPr>
            <w:tcW w:w="3970" w:type="dxa"/>
            <w:tcBorders>
              <w:top w:val="nil"/>
              <w:left w:val="nil"/>
              <w:bottom w:val="nil"/>
              <w:right w:val="nil"/>
            </w:tcBorders>
            <w:shd w:val="clear" w:color="auto" w:fill="F2F2F2"/>
          </w:tcPr>
          <w:p w14:paraId="3ADEC314" w14:textId="65E8EEEB" w:rsidR="004D2588" w:rsidRPr="0054740B" w:rsidRDefault="007559F7" w:rsidP="009C7707">
            <w:pPr>
              <w:pStyle w:val="Box"/>
            </w:pPr>
            <w:r w:rsidRPr="007559F7">
              <w:t>For some young women, teenage motherhood</w:t>
            </w:r>
            <w:r w:rsidR="009C7707">
              <w:t xml:space="preserve"> </w:t>
            </w:r>
            <w:r w:rsidRPr="007559F7">
              <w:t>can be a positive experience. But giving birth as a teenager can pose health risks for both the mother and the baby, and is also associated with socioeconomic disadvantage at the birth of the child which can be lifelong for the mother</w:t>
            </w:r>
            <w:r w:rsidR="00A427A4" w:rsidRPr="0054740B">
              <w:t>.</w:t>
            </w:r>
          </w:p>
        </w:tc>
        <w:tc>
          <w:tcPr>
            <w:tcW w:w="992" w:type="dxa"/>
            <w:tcBorders>
              <w:top w:val="nil"/>
              <w:left w:val="nil"/>
              <w:bottom w:val="nil"/>
              <w:right w:val="nil"/>
            </w:tcBorders>
            <w:shd w:val="clear" w:color="auto" w:fill="418A50"/>
          </w:tcPr>
          <w:p w14:paraId="0EEEAEE9" w14:textId="77777777" w:rsidR="004D2588" w:rsidRPr="0054740B" w:rsidRDefault="004D2588" w:rsidP="008E4321">
            <w:pPr>
              <w:pStyle w:val="BoxHeading1"/>
            </w:pPr>
          </w:p>
          <w:p w14:paraId="75B8CF8C" w14:textId="77777777" w:rsidR="004D2588" w:rsidRPr="0054740B" w:rsidRDefault="004D2588" w:rsidP="008E4321">
            <w:pPr>
              <w:pStyle w:val="Box"/>
            </w:pPr>
          </w:p>
          <w:p w14:paraId="4DFF22D2" w14:textId="045E42E0" w:rsidR="004D2588" w:rsidRPr="0054740B" w:rsidRDefault="00B42D63" w:rsidP="009342D8">
            <w:pPr>
              <w:pStyle w:val="Box"/>
              <w:jc w:val="center"/>
              <w:rPr>
                <w:b/>
                <w:sz w:val="48"/>
                <w:szCs w:val="48"/>
              </w:rPr>
            </w:pPr>
            <w:r w:rsidRPr="00B42D63">
              <w:rPr>
                <w:rFonts w:cs="Arial"/>
                <w:b/>
                <w:noProof/>
                <w:sz w:val="48"/>
                <w:szCs w:val="48"/>
              </w:rPr>
              <mc:AlternateContent>
                <mc:Choice Requires="wpg">
                  <w:drawing>
                    <wp:anchor distT="0" distB="0" distL="114300" distR="114300" simplePos="0" relativeHeight="251759616" behindDoc="0" locked="0" layoutInCell="1" allowOverlap="1" wp14:anchorId="2F3843A6" wp14:editId="3E3642AC">
                      <wp:simplePos x="0" y="0"/>
                      <wp:positionH relativeFrom="column">
                        <wp:posOffset>132209</wp:posOffset>
                      </wp:positionH>
                      <wp:positionV relativeFrom="paragraph">
                        <wp:posOffset>128905</wp:posOffset>
                      </wp:positionV>
                      <wp:extent cx="205105" cy="279400"/>
                      <wp:effectExtent l="19050" t="0" r="61595" b="6350"/>
                      <wp:wrapNone/>
                      <wp:docPr id="69"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46" name="Straight Connector 146"/>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7" name="Straight Connector 147"/>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22CF4A0" id="Group 2" o:spid="_x0000_s1026" alt="Tick symbol" style="position:absolute;margin-left:10.4pt;margin-top:10.15pt;width:16.15pt;height:22pt;z-index:251759616;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">
                      <v:line id="Straight Connector 146"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" strokecolor="white [3212]" strokeweight="3pt">
                        <o:lock v:ext="edit" shapetype="f"/>
                      </v:line>
                      <v:line id="Straight Connector 147"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" strokecolor="white [3212]" strokeweight="3pt">
                        <o:lock v:ext="edit" shapetype="f"/>
                      </v:line>
                    </v:group>
                  </w:pict>
                </mc:Fallback>
              </mc:AlternateContent>
            </w:r>
          </w:p>
        </w:tc>
        <w:tc>
          <w:tcPr>
            <w:tcW w:w="3827" w:type="dxa"/>
            <w:tcBorders>
              <w:top w:val="nil"/>
              <w:left w:val="nil"/>
              <w:bottom w:val="nil"/>
              <w:right w:val="nil"/>
            </w:tcBorders>
            <w:shd w:val="clear" w:color="auto" w:fill="F2F2F2"/>
          </w:tcPr>
          <w:p w14:paraId="4FE7C0F5" w14:textId="0E0F63CC" w:rsidR="004D2588" w:rsidRPr="0054740B" w:rsidRDefault="00726094" w:rsidP="004E3AC1">
            <w:pPr>
              <w:pStyle w:val="Box"/>
            </w:pPr>
            <w:r w:rsidRPr="0054740B">
              <w:t xml:space="preserve">The Aboriginal and Torres Strait Islander teenage birth rate is at its lowest level since reporting </w:t>
            </w:r>
            <w:r w:rsidR="007559F7">
              <w:t>began in 2004, with a rate of 48</w:t>
            </w:r>
            <w:r w:rsidRPr="0054740B">
              <w:t xml:space="preserve"> births per 100</w:t>
            </w:r>
            <w:r w:rsidR="007559F7">
              <w:t xml:space="preserve">0 women aged </w:t>
            </w:r>
            <w:r w:rsidR="000F0BC8">
              <w:br/>
            </w:r>
            <w:r w:rsidR="007559F7">
              <w:t>15–19</w:t>
            </w:r>
            <w:r w:rsidR="000F0BC8">
              <w:t> </w:t>
            </w:r>
            <w:r w:rsidR="007559F7">
              <w:t>years in 2018</w:t>
            </w:r>
            <w:r w:rsidR="000E1049" w:rsidRPr="0054740B">
              <w:t xml:space="preserve">. </w:t>
            </w:r>
            <w:r w:rsidR="004E3AC1">
              <w:t>T</w:t>
            </w:r>
            <w:r w:rsidR="0054404F">
              <w:t>he non</w:t>
            </w:r>
            <w:r w:rsidR="0054404F">
              <w:noBreakHyphen/>
            </w:r>
            <w:r w:rsidR="000E1049" w:rsidRPr="0054740B">
              <w:t>Indigenous teenage birth rate</w:t>
            </w:r>
            <w:r w:rsidR="004E3AC1">
              <w:t xml:space="preserve"> is also at its lowest level over this period</w:t>
            </w:r>
            <w:r w:rsidR="007559F7">
              <w:t>, with a rate of 7</w:t>
            </w:r>
            <w:r w:rsidR="00F66E0B">
              <w:t> </w:t>
            </w:r>
            <w:r w:rsidR="000E1049" w:rsidRPr="0054740B">
              <w:t>births per 1000 women of this age</w:t>
            </w:r>
            <w:r w:rsidR="007559F7">
              <w:t xml:space="preserve"> in 2018</w:t>
            </w:r>
            <w:r w:rsidR="000E1049" w:rsidRPr="0054740B">
              <w:t xml:space="preserve">.  </w:t>
            </w:r>
          </w:p>
        </w:tc>
      </w:tr>
      <w:tr w:rsidR="00037871" w:rsidRPr="00037871" w14:paraId="643F789D" w14:textId="77777777" w:rsidTr="00E929ED">
        <w:trPr>
          <w:cantSplit/>
        </w:trPr>
        <w:tc>
          <w:tcPr>
            <w:tcW w:w="8789" w:type="dxa"/>
            <w:gridSpan w:val="3"/>
            <w:tcBorders>
              <w:top w:val="nil"/>
              <w:left w:val="nil"/>
              <w:bottom w:val="nil"/>
              <w:right w:val="nil"/>
            </w:tcBorders>
            <w:shd w:val="clear" w:color="auto" w:fill="F2F2F2"/>
          </w:tcPr>
          <w:p w14:paraId="6EE50D63" w14:textId="3422929A" w:rsidR="004D2588" w:rsidRPr="0054740B" w:rsidRDefault="007559F7" w:rsidP="00753517">
            <w:pPr>
              <w:pStyle w:val="BoxHeading1"/>
              <w:rPr>
                <w:rStyle w:val="NoteLabel"/>
              </w:rPr>
            </w:pPr>
            <w:r>
              <w:t>B</w:t>
            </w:r>
            <w:r w:rsidR="000E1049" w:rsidRPr="0054740B">
              <w:t>irth rate for</w:t>
            </w:r>
            <w:r w:rsidR="004D2588" w:rsidRPr="0054740B">
              <w:t xml:space="preserve"> </w:t>
            </w:r>
            <w:r w:rsidR="00E77546" w:rsidRPr="0054740B">
              <w:t>Aboriginal and Torres Strait Islander</w:t>
            </w:r>
            <w:r>
              <w:t xml:space="preserve"> teenage mothers</w:t>
            </w:r>
            <w:r w:rsidR="000E1049" w:rsidRPr="0054740B">
              <w:t xml:space="preserve">, </w:t>
            </w:r>
            <w:r w:rsidR="00AB6124" w:rsidRPr="0054740B">
              <w:t xml:space="preserve">by </w:t>
            </w:r>
            <w:r w:rsidR="000E1049" w:rsidRPr="0054740B">
              <w:t>age</w:t>
            </w:r>
            <w:r>
              <w:t xml:space="preserve"> of mother, 2004</w:t>
            </w:r>
            <w:r w:rsidR="00D13F81">
              <w:t>, 2009 and</w:t>
            </w:r>
            <w:r>
              <w:t xml:space="preserve"> 2018</w:t>
            </w:r>
          </w:p>
        </w:tc>
      </w:tr>
      <w:tr w:rsidR="00037871" w:rsidRPr="00037871" w14:paraId="77BEF349" w14:textId="77777777" w:rsidTr="00F4012A">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7202FD5E" w14:textId="60099C8C" w:rsidR="006263E3" w:rsidRPr="006263E3" w:rsidRDefault="001E0C0D" w:rsidP="00F4012A">
            <w:pPr>
              <w:pStyle w:val="Box"/>
              <w:jc w:val="center"/>
            </w:pPr>
            <w:r w:rsidRPr="001E0C0D">
              <w:rPr>
                <w:noProof/>
              </w:rPr>
              <w:drawing>
                <wp:inline distT="0" distB="0" distL="0" distR="0" wp14:anchorId="0601AFA4" wp14:editId="6BC791A1">
                  <wp:extent cx="5362575" cy="2552700"/>
                  <wp:effectExtent l="0" t="0" r="0" b="0"/>
                  <wp:docPr id="72" name="Picture 72" descr="Birth rate for Aboriginal and Torres Strait Islander teenage mothers, by age of mother, 2004, 2009 and 2018&#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362575" cy="2552700"/>
                          </a:xfrm>
                          <a:prstGeom prst="rect">
                            <a:avLst/>
                          </a:prstGeom>
                          <a:noFill/>
                          <a:ln>
                            <a:noFill/>
                          </a:ln>
                        </pic:spPr>
                      </pic:pic>
                    </a:graphicData>
                  </a:graphic>
                </wp:inline>
              </w:drawing>
            </w:r>
          </w:p>
        </w:tc>
      </w:tr>
      <w:tr w:rsidR="00037871" w:rsidRPr="00037871" w14:paraId="4933A3F5" w14:textId="77777777" w:rsidTr="00E929ED">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73882656" w14:textId="2D5EE0A2" w:rsidR="00AB6124" w:rsidRPr="0054740B" w:rsidRDefault="00AB6124" w:rsidP="003D7A8A">
            <w:pPr>
              <w:pStyle w:val="Source"/>
            </w:pPr>
            <w:r w:rsidRPr="0054740B">
              <w:rPr>
                <w:i/>
              </w:rPr>
              <w:t>Source</w:t>
            </w:r>
            <w:r w:rsidRPr="0054740B">
              <w:t xml:space="preserve">: Figure 6.3.1 in the main </w:t>
            </w:r>
            <w:r w:rsidR="003D7A8A">
              <w:t>R</w:t>
            </w:r>
            <w:r w:rsidR="003D7A8A" w:rsidRPr="0054740B">
              <w:t>eport</w:t>
            </w:r>
            <w:r w:rsidRPr="0054740B">
              <w:t>.</w:t>
            </w:r>
          </w:p>
        </w:tc>
      </w:tr>
      <w:tr w:rsidR="00037871" w:rsidRPr="00037871" w14:paraId="44BCBFC1" w14:textId="77777777" w:rsidTr="00E929ED">
        <w:trPr>
          <w:cantSplit/>
        </w:trPr>
        <w:tc>
          <w:tcPr>
            <w:tcW w:w="8789" w:type="dxa"/>
            <w:gridSpan w:val="3"/>
            <w:tcBorders>
              <w:top w:val="nil"/>
              <w:left w:val="nil"/>
              <w:bottom w:val="single" w:sz="6" w:space="0" w:color="78A22F"/>
              <w:right w:val="nil"/>
            </w:tcBorders>
            <w:shd w:val="clear" w:color="auto" w:fill="F2F2F2"/>
          </w:tcPr>
          <w:p w14:paraId="2161EC8E" w14:textId="77777777" w:rsidR="004D2588" w:rsidRPr="00037871" w:rsidRDefault="004D2588" w:rsidP="008E4321">
            <w:pPr>
              <w:pStyle w:val="Box"/>
              <w:spacing w:before="0" w:line="120" w:lineRule="exact"/>
              <w:rPr>
                <w:color w:val="00B050"/>
              </w:rPr>
            </w:pPr>
          </w:p>
        </w:tc>
      </w:tr>
      <w:tr w:rsidR="00037871" w:rsidRPr="00037871" w14:paraId="7DFF13C0" w14:textId="77777777" w:rsidTr="00E929ED">
        <w:tc>
          <w:tcPr>
            <w:tcW w:w="8789" w:type="dxa"/>
            <w:gridSpan w:val="3"/>
            <w:tcBorders>
              <w:top w:val="single" w:sz="6" w:space="0" w:color="78A22F"/>
              <w:left w:val="nil"/>
              <w:bottom w:val="nil"/>
              <w:right w:val="nil"/>
            </w:tcBorders>
          </w:tcPr>
          <w:p w14:paraId="1815237C" w14:textId="77777777" w:rsidR="004D2588" w:rsidRPr="00037871" w:rsidRDefault="004D2588" w:rsidP="008E4321">
            <w:pPr>
              <w:pStyle w:val="BoxSpaceBelow"/>
              <w:rPr>
                <w:color w:val="00B050"/>
              </w:rPr>
            </w:pPr>
          </w:p>
        </w:tc>
      </w:tr>
    </w:tbl>
    <w:p w14:paraId="3DA5A66F" w14:textId="77777777" w:rsidR="004D2588" w:rsidRPr="00037871" w:rsidRDefault="004D2588" w:rsidP="004D2588">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61B77FF6" w14:textId="77777777" w:rsidTr="00E929ED">
        <w:tc>
          <w:tcPr>
            <w:tcW w:w="8789" w:type="dxa"/>
            <w:gridSpan w:val="3"/>
            <w:tcBorders>
              <w:top w:val="single" w:sz="6" w:space="0" w:color="78A22F"/>
              <w:left w:val="nil"/>
              <w:bottom w:val="nil"/>
              <w:right w:val="nil"/>
            </w:tcBorders>
            <w:shd w:val="clear" w:color="auto" w:fill="F2F2F2"/>
          </w:tcPr>
          <w:p w14:paraId="16EEC991" w14:textId="77777777" w:rsidR="004D2588" w:rsidRPr="00B544F1" w:rsidRDefault="004D2588" w:rsidP="001D480C">
            <w:pPr>
              <w:pStyle w:val="BoxTitle"/>
              <w:spacing w:after="120"/>
            </w:pPr>
            <w:r w:rsidRPr="004D61CE">
              <w:rPr>
                <w:color w:val="000000" w:themeColor="text1"/>
              </w:rPr>
              <w:t>6.4</w:t>
            </w:r>
            <w:r w:rsidRPr="004D61CE">
              <w:rPr>
                <w:color w:val="000000" w:themeColor="text1"/>
              </w:rPr>
              <w:tab/>
              <w:t>Birthweight</w:t>
            </w:r>
          </w:p>
        </w:tc>
      </w:tr>
      <w:tr w:rsidR="00037871" w:rsidRPr="00037871" w14:paraId="626C6878" w14:textId="77777777" w:rsidTr="00237AD4">
        <w:trPr>
          <w:cantSplit/>
        </w:trPr>
        <w:tc>
          <w:tcPr>
            <w:tcW w:w="3970" w:type="dxa"/>
            <w:tcBorders>
              <w:top w:val="nil"/>
              <w:left w:val="nil"/>
              <w:bottom w:val="nil"/>
              <w:right w:val="nil"/>
            </w:tcBorders>
            <w:shd w:val="clear" w:color="auto" w:fill="F2F2F2"/>
          </w:tcPr>
          <w:p w14:paraId="57B4FAB9" w14:textId="7DB89F51" w:rsidR="004D2588" w:rsidRPr="00D14CD9" w:rsidRDefault="007559F7" w:rsidP="007559F7">
            <w:pPr>
              <w:pStyle w:val="Box"/>
            </w:pPr>
            <w:r w:rsidRPr="007559F7">
              <w:t>Children with a low birthweight have a greater risk of poor health or death at birth, and face a continued risk to their healthy development.</w:t>
            </w:r>
          </w:p>
        </w:tc>
        <w:tc>
          <w:tcPr>
            <w:tcW w:w="992" w:type="dxa"/>
            <w:tcBorders>
              <w:top w:val="nil"/>
              <w:left w:val="nil"/>
              <w:bottom w:val="nil"/>
              <w:right w:val="nil"/>
            </w:tcBorders>
            <w:shd w:val="clear" w:color="auto" w:fill="418A50"/>
          </w:tcPr>
          <w:p w14:paraId="55037CCC" w14:textId="2C4F0392" w:rsidR="004F3501" w:rsidRPr="005254A0" w:rsidRDefault="00B42D63" w:rsidP="008E4321">
            <w:pPr>
              <w:pStyle w:val="Box"/>
              <w:spacing w:before="0"/>
              <w:jc w:val="center"/>
              <w:rPr>
                <w:color w:val="FFFFFF" w:themeColor="background1"/>
                <w:sz w:val="48"/>
                <w:szCs w:val="48"/>
              </w:rPr>
            </w:pPr>
            <w:r w:rsidRPr="00B42D63">
              <w:rPr>
                <w:rFonts w:cs="Arial"/>
                <w:b/>
                <w:noProof/>
                <w:sz w:val="48"/>
                <w:szCs w:val="48"/>
              </w:rPr>
              <mc:AlternateContent>
                <mc:Choice Requires="wpg">
                  <w:drawing>
                    <wp:anchor distT="0" distB="0" distL="114300" distR="114300" simplePos="0" relativeHeight="251761664" behindDoc="0" locked="0" layoutInCell="1" allowOverlap="1" wp14:anchorId="323E8299" wp14:editId="5A492768">
                      <wp:simplePos x="0" y="0"/>
                      <wp:positionH relativeFrom="column">
                        <wp:posOffset>135384</wp:posOffset>
                      </wp:positionH>
                      <wp:positionV relativeFrom="paragraph">
                        <wp:posOffset>314960</wp:posOffset>
                      </wp:positionV>
                      <wp:extent cx="205105" cy="279400"/>
                      <wp:effectExtent l="19050" t="0" r="61595" b="6350"/>
                      <wp:wrapNone/>
                      <wp:docPr id="148"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49" name="Straight Connector 149"/>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50" name="Straight Connector 150"/>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65420E5" id="Group 2" o:spid="_x0000_s1026" alt="Tick symbol" style="position:absolute;margin-left:10.65pt;margin-top:24.8pt;width:16.15pt;height:22pt;z-index:251761664;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">
                      <v:line id="Straight Connector 149"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" strokecolor="white [3212]" strokeweight="3pt">
                        <o:lock v:ext="edit" shapetype="f"/>
                      </v:line>
                      <v:line id="Straight Connector 150"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" strokecolor="white [3212]" strokeweight="3pt">
                        <o:lock v:ext="edit" shapetype="f"/>
                      </v:line>
                    </v:group>
                  </w:pict>
                </mc:Fallback>
              </mc:AlternateContent>
            </w:r>
            <w:r w:rsidR="004D2588" w:rsidRPr="00D14CD9">
              <w:rPr>
                <w:sz w:val="48"/>
                <w:szCs w:val="48"/>
              </w:rPr>
              <w:softHyphen/>
            </w:r>
            <w:r w:rsidR="004D2588" w:rsidRPr="00D14CD9">
              <w:rPr>
                <w:sz w:val="48"/>
                <w:szCs w:val="48"/>
              </w:rPr>
              <w:softHyphen/>
            </w:r>
          </w:p>
          <w:p w14:paraId="01D7860A" w14:textId="794A23DE" w:rsidR="004D2588" w:rsidRPr="00D14CD9" w:rsidRDefault="004D2588" w:rsidP="009342D8">
            <w:pPr>
              <w:pStyle w:val="Box"/>
              <w:spacing w:before="0"/>
              <w:jc w:val="center"/>
              <w:rPr>
                <w:sz w:val="48"/>
                <w:szCs w:val="48"/>
              </w:rPr>
            </w:pPr>
          </w:p>
        </w:tc>
        <w:tc>
          <w:tcPr>
            <w:tcW w:w="3827" w:type="dxa"/>
            <w:tcBorders>
              <w:top w:val="nil"/>
              <w:left w:val="nil"/>
              <w:bottom w:val="nil"/>
              <w:right w:val="nil"/>
            </w:tcBorders>
            <w:shd w:val="clear" w:color="auto" w:fill="F2F2F2"/>
          </w:tcPr>
          <w:p w14:paraId="1492E51E" w14:textId="18E172D2" w:rsidR="00CA07F3" w:rsidRPr="00D14CD9" w:rsidRDefault="00AE096D" w:rsidP="00D13F81">
            <w:pPr>
              <w:pStyle w:val="Box"/>
            </w:pPr>
            <w:r>
              <w:t>Nationally, the</w:t>
            </w:r>
            <w:r w:rsidR="00A427A4" w:rsidRPr="00D14CD9">
              <w:t xml:space="preserve"> proportion of Aboriginal and Torres </w:t>
            </w:r>
            <w:r w:rsidR="002102BD" w:rsidRPr="00D14CD9">
              <w:t xml:space="preserve">Strait </w:t>
            </w:r>
            <w:r w:rsidR="00A427A4" w:rsidRPr="00D14CD9">
              <w:t>Islander mothers who had low birthweight babies decreased from 1</w:t>
            </w:r>
            <w:r w:rsidR="007559F7">
              <w:t>1</w:t>
            </w:r>
            <w:r w:rsidR="00A427A4" w:rsidRPr="00D14CD9">
              <w:t xml:space="preserve"> per cent in</w:t>
            </w:r>
            <w:r w:rsidR="007559F7">
              <w:t xml:space="preserve"> 2007 to 10 per cent in 2018</w:t>
            </w:r>
            <w:r w:rsidR="00A427A4" w:rsidRPr="00D14CD9">
              <w:t>.</w:t>
            </w:r>
            <w:r>
              <w:t xml:space="preserve"> </w:t>
            </w:r>
          </w:p>
        </w:tc>
      </w:tr>
      <w:tr w:rsidR="00037871" w:rsidRPr="00037871" w14:paraId="29618448" w14:textId="77777777" w:rsidTr="00E929ED">
        <w:trPr>
          <w:cantSplit/>
        </w:trPr>
        <w:tc>
          <w:tcPr>
            <w:tcW w:w="8789" w:type="dxa"/>
            <w:gridSpan w:val="3"/>
            <w:tcBorders>
              <w:top w:val="nil"/>
              <w:left w:val="nil"/>
              <w:bottom w:val="single" w:sz="6" w:space="0" w:color="78A22F"/>
              <w:right w:val="nil"/>
            </w:tcBorders>
            <w:shd w:val="clear" w:color="auto" w:fill="F2F2F2"/>
          </w:tcPr>
          <w:p w14:paraId="7589251B" w14:textId="77777777" w:rsidR="004D2588" w:rsidRPr="00037871" w:rsidRDefault="004D2588" w:rsidP="008E4321">
            <w:pPr>
              <w:pStyle w:val="Box"/>
              <w:spacing w:before="0" w:line="120" w:lineRule="exact"/>
              <w:rPr>
                <w:color w:val="00B050"/>
              </w:rPr>
            </w:pPr>
          </w:p>
        </w:tc>
      </w:tr>
      <w:tr w:rsidR="00037871" w:rsidRPr="00037871" w14:paraId="69960A9F" w14:textId="77777777" w:rsidTr="00E929ED">
        <w:tc>
          <w:tcPr>
            <w:tcW w:w="8789" w:type="dxa"/>
            <w:gridSpan w:val="3"/>
            <w:tcBorders>
              <w:top w:val="single" w:sz="6" w:space="0" w:color="78A22F"/>
              <w:left w:val="nil"/>
              <w:bottom w:val="nil"/>
              <w:right w:val="nil"/>
            </w:tcBorders>
          </w:tcPr>
          <w:p w14:paraId="1D1C8138" w14:textId="745566EC" w:rsidR="004D2588" w:rsidRPr="00037871" w:rsidRDefault="004D2588" w:rsidP="008E4321">
            <w:pPr>
              <w:pStyle w:val="BoxSpaceBelow"/>
              <w:rPr>
                <w:color w:val="00B050"/>
              </w:rPr>
            </w:pPr>
          </w:p>
        </w:tc>
      </w:tr>
    </w:tbl>
    <w:p w14:paraId="3C226854" w14:textId="77777777" w:rsidR="004D2588" w:rsidRPr="00037871" w:rsidRDefault="004D2588" w:rsidP="004D2588">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6E343EB4" w14:textId="77777777" w:rsidTr="00E929ED">
        <w:tc>
          <w:tcPr>
            <w:tcW w:w="8789" w:type="dxa"/>
            <w:gridSpan w:val="3"/>
            <w:tcBorders>
              <w:top w:val="single" w:sz="6" w:space="0" w:color="78A22F"/>
              <w:left w:val="nil"/>
              <w:bottom w:val="nil"/>
              <w:right w:val="nil"/>
            </w:tcBorders>
            <w:shd w:val="clear" w:color="auto" w:fill="F2F2F2"/>
          </w:tcPr>
          <w:p w14:paraId="0F092DF1" w14:textId="77777777" w:rsidR="004D2588" w:rsidRPr="00B544F1" w:rsidRDefault="004D2588" w:rsidP="001D480C">
            <w:pPr>
              <w:pStyle w:val="BoxTitle"/>
              <w:spacing w:after="120"/>
            </w:pPr>
            <w:r w:rsidRPr="004D61CE">
              <w:rPr>
                <w:color w:val="000000" w:themeColor="text1"/>
              </w:rPr>
              <w:t>6.5</w:t>
            </w:r>
            <w:r w:rsidRPr="004D61CE">
              <w:rPr>
                <w:color w:val="000000" w:themeColor="text1"/>
              </w:rPr>
              <w:tab/>
              <w:t>Early childhood hospitalisations</w:t>
            </w:r>
          </w:p>
        </w:tc>
      </w:tr>
      <w:tr w:rsidR="00037871" w:rsidRPr="00037871" w14:paraId="7A54AC4B" w14:textId="77777777" w:rsidTr="00237AD4">
        <w:trPr>
          <w:cantSplit/>
        </w:trPr>
        <w:tc>
          <w:tcPr>
            <w:tcW w:w="3970" w:type="dxa"/>
            <w:tcBorders>
              <w:top w:val="nil"/>
              <w:left w:val="nil"/>
              <w:bottom w:val="nil"/>
              <w:right w:val="nil"/>
            </w:tcBorders>
            <w:shd w:val="clear" w:color="auto" w:fill="F2F2F2"/>
          </w:tcPr>
          <w:p w14:paraId="65567C85" w14:textId="77777777" w:rsidR="004D2588" w:rsidRPr="00743220" w:rsidRDefault="00A427A4" w:rsidP="008E4321">
            <w:pPr>
              <w:pStyle w:val="Box"/>
            </w:pPr>
            <w:r w:rsidRPr="00743220">
              <w:t>Hospitalisation data provide a broad indicator of the scale of significant health issues. However, a high rate of hospitalisation may also indicate lower access and use of primary health care, as many hospital admissions could be prevented if more effective non</w:t>
            </w:r>
            <w:r w:rsidRPr="00743220">
              <w:noBreakHyphen/>
              <w:t>hospital care were available and used.</w:t>
            </w:r>
          </w:p>
        </w:tc>
        <w:tc>
          <w:tcPr>
            <w:tcW w:w="992" w:type="dxa"/>
            <w:tcBorders>
              <w:top w:val="nil"/>
              <w:left w:val="nil"/>
              <w:bottom w:val="nil"/>
              <w:right w:val="nil"/>
            </w:tcBorders>
            <w:shd w:val="clear" w:color="auto" w:fill="7E7397"/>
          </w:tcPr>
          <w:p w14:paraId="41F3E158" w14:textId="77777777" w:rsidR="004D2588" w:rsidRPr="00743220" w:rsidRDefault="004D2588" w:rsidP="008E4321">
            <w:pPr>
              <w:pStyle w:val="BoxHeading1"/>
            </w:pPr>
          </w:p>
          <w:p w14:paraId="4418BD71" w14:textId="77777777" w:rsidR="004D2588" w:rsidRPr="00743220" w:rsidRDefault="004D2588" w:rsidP="008E4321">
            <w:pPr>
              <w:pStyle w:val="Box"/>
            </w:pPr>
          </w:p>
          <w:p w14:paraId="0428750A" w14:textId="77777777" w:rsidR="004D2588" w:rsidRPr="00743220" w:rsidRDefault="004D2588" w:rsidP="009342D8">
            <w:pPr>
              <w:pStyle w:val="Box"/>
              <w:spacing w:before="0"/>
              <w:jc w:val="center"/>
              <w:rPr>
                <w:b/>
                <w:sz w:val="48"/>
                <w:szCs w:val="48"/>
              </w:rPr>
            </w:pPr>
            <w:r w:rsidRPr="005254A0">
              <w:rPr>
                <w:b/>
                <w:color w:val="FFFFFF" w:themeColor="background1"/>
                <w:sz w:val="48"/>
                <w:szCs w:val="48"/>
              </w:rPr>
              <w:t>?</w:t>
            </w:r>
          </w:p>
        </w:tc>
        <w:tc>
          <w:tcPr>
            <w:tcW w:w="3827" w:type="dxa"/>
            <w:tcBorders>
              <w:top w:val="nil"/>
              <w:left w:val="nil"/>
              <w:bottom w:val="nil"/>
              <w:right w:val="nil"/>
            </w:tcBorders>
            <w:shd w:val="clear" w:color="auto" w:fill="F2F2F2"/>
          </w:tcPr>
          <w:p w14:paraId="1F1EC412" w14:textId="6CA02477" w:rsidR="004D2588" w:rsidRPr="00743220" w:rsidRDefault="00D13F81" w:rsidP="00934F0E">
            <w:pPr>
              <w:pStyle w:val="Box"/>
            </w:pPr>
            <w:r>
              <w:t xml:space="preserve">Nationally in 2018-19, there were </w:t>
            </w:r>
            <w:r w:rsidR="00934F0E">
              <w:t xml:space="preserve">about </w:t>
            </w:r>
            <w:r>
              <w:t>3</w:t>
            </w:r>
            <w:r w:rsidR="000F0BC8">
              <w:t> </w:t>
            </w:r>
            <w:r>
              <w:t>hospitalisations for every 10 Aboriginal and Torres Strait Islander 0–4 year olds. This rate has increased by almost 40 per cent over the past decade</w:t>
            </w:r>
            <w:r w:rsidR="00A427A4" w:rsidRPr="00743220">
              <w:t xml:space="preserve">. </w:t>
            </w:r>
          </w:p>
        </w:tc>
      </w:tr>
      <w:tr w:rsidR="00037871" w:rsidRPr="00037871" w14:paraId="700F5B7C" w14:textId="77777777" w:rsidTr="00E929ED">
        <w:trPr>
          <w:cantSplit/>
        </w:trPr>
        <w:tc>
          <w:tcPr>
            <w:tcW w:w="8789" w:type="dxa"/>
            <w:gridSpan w:val="3"/>
            <w:tcBorders>
              <w:top w:val="nil"/>
              <w:left w:val="nil"/>
              <w:bottom w:val="nil"/>
              <w:right w:val="nil"/>
            </w:tcBorders>
            <w:shd w:val="clear" w:color="auto" w:fill="F2F2F2"/>
          </w:tcPr>
          <w:p w14:paraId="1D62BD92" w14:textId="77777777" w:rsidR="00A427A4" w:rsidRPr="00743220" w:rsidRDefault="00A427A4" w:rsidP="0014070A">
            <w:pPr>
              <w:pStyle w:val="Box"/>
              <w:rPr>
                <w:i/>
              </w:rPr>
            </w:pPr>
            <w:r w:rsidRPr="00743220">
              <w:rPr>
                <w:i/>
              </w:rPr>
              <w:t>Results for this indicator are difficult to interpret</w:t>
            </w:r>
            <w:r w:rsidR="00942A14" w:rsidRPr="00743220">
              <w:rPr>
                <w:i/>
              </w:rPr>
              <w:t>,</w:t>
            </w:r>
            <w:r w:rsidRPr="00743220">
              <w:rPr>
                <w:i/>
              </w:rPr>
              <w:t xml:space="preserve"> as an increase in hospitalisations may indicate improved access to services rather than an increase in prevalence of underlying conditions. It is important to consider the leading causes, duration and frequency of children’s hospitalisations.</w:t>
            </w:r>
          </w:p>
        </w:tc>
      </w:tr>
      <w:tr w:rsidR="00037871" w:rsidRPr="00037871" w14:paraId="69784B1A" w14:textId="77777777" w:rsidTr="00E929ED">
        <w:trPr>
          <w:cantSplit/>
        </w:trPr>
        <w:tc>
          <w:tcPr>
            <w:tcW w:w="8789" w:type="dxa"/>
            <w:gridSpan w:val="3"/>
            <w:tcBorders>
              <w:top w:val="nil"/>
              <w:left w:val="nil"/>
              <w:bottom w:val="single" w:sz="6" w:space="0" w:color="78A22F"/>
              <w:right w:val="nil"/>
            </w:tcBorders>
            <w:shd w:val="clear" w:color="auto" w:fill="F2F2F2"/>
          </w:tcPr>
          <w:p w14:paraId="41F18496" w14:textId="77777777" w:rsidR="004D2588" w:rsidRPr="00037871" w:rsidRDefault="004D2588" w:rsidP="008E4321">
            <w:pPr>
              <w:pStyle w:val="Box"/>
              <w:spacing w:before="0" w:line="120" w:lineRule="exact"/>
              <w:rPr>
                <w:color w:val="00B050"/>
              </w:rPr>
            </w:pPr>
          </w:p>
        </w:tc>
      </w:tr>
      <w:tr w:rsidR="00037871" w:rsidRPr="00037871" w14:paraId="03446692" w14:textId="77777777" w:rsidTr="00E929ED">
        <w:tc>
          <w:tcPr>
            <w:tcW w:w="8789" w:type="dxa"/>
            <w:gridSpan w:val="3"/>
            <w:tcBorders>
              <w:top w:val="single" w:sz="6" w:space="0" w:color="78A22F"/>
              <w:left w:val="nil"/>
              <w:bottom w:val="nil"/>
              <w:right w:val="nil"/>
            </w:tcBorders>
          </w:tcPr>
          <w:p w14:paraId="46E611C4" w14:textId="77777777" w:rsidR="004D2588" w:rsidRPr="00037871" w:rsidRDefault="004D2588" w:rsidP="008E4321">
            <w:pPr>
              <w:pStyle w:val="BoxSpaceBelow"/>
              <w:rPr>
                <w:color w:val="00B050"/>
              </w:rPr>
            </w:pPr>
          </w:p>
        </w:tc>
      </w:tr>
    </w:tbl>
    <w:p w14:paraId="6C9BBBDB" w14:textId="77777777" w:rsidR="004D2588" w:rsidRPr="00037871" w:rsidRDefault="004D2588" w:rsidP="004D2588">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097AC96D" w14:textId="77777777" w:rsidTr="00E929ED">
        <w:tc>
          <w:tcPr>
            <w:tcW w:w="8789" w:type="dxa"/>
            <w:gridSpan w:val="3"/>
            <w:tcBorders>
              <w:top w:val="single" w:sz="6" w:space="0" w:color="78A22F"/>
              <w:left w:val="nil"/>
              <w:bottom w:val="nil"/>
              <w:right w:val="nil"/>
            </w:tcBorders>
            <w:shd w:val="clear" w:color="auto" w:fill="F2F2F2"/>
          </w:tcPr>
          <w:p w14:paraId="2D82AEDB" w14:textId="77777777" w:rsidR="004D2588" w:rsidRPr="004D61CE" w:rsidRDefault="004D2588" w:rsidP="001D480C">
            <w:pPr>
              <w:pStyle w:val="BoxTitle"/>
              <w:spacing w:after="120"/>
              <w:rPr>
                <w:color w:val="000000" w:themeColor="text1"/>
              </w:rPr>
            </w:pPr>
            <w:r w:rsidRPr="004D61CE">
              <w:rPr>
                <w:color w:val="000000" w:themeColor="text1"/>
              </w:rPr>
              <w:t>6.6</w:t>
            </w:r>
            <w:r w:rsidRPr="004D61CE">
              <w:rPr>
                <w:color w:val="000000" w:themeColor="text1"/>
              </w:rPr>
              <w:tab/>
              <w:t>Injury and preventable disease</w:t>
            </w:r>
          </w:p>
        </w:tc>
      </w:tr>
      <w:tr w:rsidR="00037871" w:rsidRPr="00037871" w14:paraId="5C4BCCAE" w14:textId="77777777" w:rsidTr="00237AD4">
        <w:trPr>
          <w:cantSplit/>
        </w:trPr>
        <w:tc>
          <w:tcPr>
            <w:tcW w:w="3970" w:type="dxa"/>
            <w:tcBorders>
              <w:top w:val="nil"/>
              <w:left w:val="nil"/>
              <w:bottom w:val="nil"/>
              <w:right w:val="nil"/>
            </w:tcBorders>
            <w:shd w:val="clear" w:color="auto" w:fill="F2F2F2"/>
          </w:tcPr>
          <w:p w14:paraId="468E011C" w14:textId="30CB5FBC" w:rsidR="004D2588" w:rsidRPr="00406AC7" w:rsidRDefault="00A427A4" w:rsidP="008C3855">
            <w:pPr>
              <w:pStyle w:val="Box"/>
            </w:pPr>
            <w:r w:rsidRPr="00406AC7">
              <w:t xml:space="preserve">Many hospital admissions can be prevented if effective non-hospital care is available and </w:t>
            </w:r>
            <w:r w:rsidR="008C3855">
              <w:t>appropriate for use</w:t>
            </w:r>
            <w:r w:rsidRPr="00406AC7">
              <w:t>.</w:t>
            </w:r>
          </w:p>
        </w:tc>
        <w:tc>
          <w:tcPr>
            <w:tcW w:w="992" w:type="dxa"/>
            <w:tcBorders>
              <w:top w:val="nil"/>
              <w:left w:val="nil"/>
              <w:bottom w:val="nil"/>
              <w:right w:val="nil"/>
            </w:tcBorders>
            <w:shd w:val="clear" w:color="auto" w:fill="7E7397"/>
          </w:tcPr>
          <w:p w14:paraId="7B25E672" w14:textId="77777777" w:rsidR="00AC2FA9" w:rsidRPr="00406AC7" w:rsidRDefault="00AC2FA9" w:rsidP="008C3855">
            <w:pPr>
              <w:pStyle w:val="Box"/>
              <w:rPr>
                <w:b/>
                <w:sz w:val="48"/>
                <w:szCs w:val="48"/>
              </w:rPr>
            </w:pPr>
          </w:p>
          <w:p w14:paraId="780699B9" w14:textId="77777777" w:rsidR="004D2588" w:rsidRPr="00406AC7" w:rsidRDefault="004D2588" w:rsidP="009342D8">
            <w:pPr>
              <w:pStyle w:val="Box"/>
              <w:spacing w:before="360"/>
              <w:jc w:val="center"/>
              <w:rPr>
                <w:b/>
                <w:sz w:val="48"/>
                <w:szCs w:val="48"/>
              </w:rPr>
            </w:pPr>
            <w:r w:rsidRPr="005254A0">
              <w:rPr>
                <w:b/>
                <w:color w:val="FFFFFF" w:themeColor="background1"/>
                <w:sz w:val="48"/>
                <w:szCs w:val="48"/>
              </w:rPr>
              <w:t>?</w:t>
            </w:r>
          </w:p>
        </w:tc>
        <w:tc>
          <w:tcPr>
            <w:tcW w:w="3827" w:type="dxa"/>
            <w:tcBorders>
              <w:top w:val="nil"/>
              <w:left w:val="nil"/>
              <w:bottom w:val="nil"/>
              <w:right w:val="nil"/>
            </w:tcBorders>
            <w:shd w:val="clear" w:color="auto" w:fill="F2F2F2"/>
          </w:tcPr>
          <w:p w14:paraId="30444738" w14:textId="7F744FEA" w:rsidR="00A427A4" w:rsidRPr="00406AC7" w:rsidRDefault="008C3855" w:rsidP="00A427A4">
            <w:pPr>
              <w:pStyle w:val="Box"/>
              <w:tabs>
                <w:tab w:val="left" w:pos="990"/>
              </w:tabs>
              <w:rPr>
                <w:szCs w:val="24"/>
              </w:rPr>
            </w:pPr>
            <w:r>
              <w:t xml:space="preserve">Between </w:t>
            </w:r>
            <w:r w:rsidR="008D3CDB" w:rsidRPr="000F0BC8">
              <w:t xml:space="preserve">2010-11 </w:t>
            </w:r>
            <w:r w:rsidR="00A427A4" w:rsidRPr="00406AC7">
              <w:t>and 201</w:t>
            </w:r>
            <w:r>
              <w:t>8</w:t>
            </w:r>
            <w:r w:rsidR="00A427A4" w:rsidRPr="00406AC7">
              <w:t>-1</w:t>
            </w:r>
            <w:r>
              <w:t>9,</w:t>
            </w:r>
            <w:r w:rsidR="004503A2" w:rsidRPr="00406AC7">
              <w:t xml:space="preserve"> </w:t>
            </w:r>
            <w:r w:rsidR="00A427A4" w:rsidRPr="00406AC7">
              <w:t xml:space="preserve">potentially preventable hospitalisation rates increased </w:t>
            </w:r>
            <w:r>
              <w:t>25</w:t>
            </w:r>
            <w:r w:rsidR="00406AC7" w:rsidRPr="00406AC7">
              <w:t xml:space="preserve"> per cent </w:t>
            </w:r>
            <w:r w:rsidR="00A427A4" w:rsidRPr="00406AC7">
              <w:t>for Aboriginal and</w:t>
            </w:r>
            <w:r w:rsidR="004503A2" w:rsidRPr="00406AC7">
              <w:t xml:space="preserve"> Torres Strait Islander </w:t>
            </w:r>
            <w:r w:rsidR="0054404F">
              <w:br/>
            </w:r>
            <w:r w:rsidR="004503A2" w:rsidRPr="00406AC7">
              <w:t>0–4 year olds</w:t>
            </w:r>
            <w:r w:rsidR="00A427A4" w:rsidRPr="00406AC7">
              <w:t>.</w:t>
            </w:r>
            <w:r w:rsidR="00A427A4" w:rsidRPr="00406AC7" w:rsidDel="00D70E4D">
              <w:t xml:space="preserve"> </w:t>
            </w:r>
          </w:p>
          <w:p w14:paraId="466CF04E" w14:textId="25B78F2C" w:rsidR="004D2588" w:rsidRPr="00406AC7" w:rsidRDefault="004503A2" w:rsidP="008D237D">
            <w:pPr>
              <w:pStyle w:val="Box"/>
            </w:pPr>
            <w:r w:rsidRPr="00406AC7">
              <w:t>From 200</w:t>
            </w:r>
            <w:r w:rsidR="008C3855">
              <w:t>9</w:t>
            </w:r>
            <w:r w:rsidR="008D237D">
              <w:rPr>
                <w:rFonts w:cs="Arial"/>
              </w:rPr>
              <w:t>–</w:t>
            </w:r>
            <w:r w:rsidRPr="00406AC7">
              <w:t>20</w:t>
            </w:r>
            <w:r w:rsidR="008C3855">
              <w:t>13</w:t>
            </w:r>
            <w:r w:rsidRPr="00406AC7">
              <w:t xml:space="preserve"> to 20</w:t>
            </w:r>
            <w:r w:rsidR="008C3855">
              <w:t>14</w:t>
            </w:r>
            <w:r w:rsidR="008D237D">
              <w:rPr>
                <w:rFonts w:cs="Arial"/>
              </w:rPr>
              <w:t>–</w:t>
            </w:r>
            <w:r w:rsidRPr="00406AC7">
              <w:t>201</w:t>
            </w:r>
            <w:r w:rsidR="008C3855">
              <w:t>8</w:t>
            </w:r>
            <w:r w:rsidRPr="00406AC7">
              <w:t xml:space="preserve"> (</w:t>
            </w:r>
            <w:r w:rsidR="00F66E0B">
              <w:t>for</w:t>
            </w:r>
            <w:r w:rsidR="00A427A4" w:rsidRPr="00406AC7">
              <w:t xml:space="preserve"> NSW, Queensland, WA, SA and the NT combined</w:t>
            </w:r>
            <w:r w:rsidRPr="00406AC7">
              <w:t>)</w:t>
            </w:r>
            <w:r w:rsidR="00A427A4" w:rsidRPr="00406AC7">
              <w:t xml:space="preserve">, the potentially </w:t>
            </w:r>
            <w:r w:rsidR="008D3CDB">
              <w:t>avoidable</w:t>
            </w:r>
            <w:r w:rsidR="008D3CDB" w:rsidRPr="00406AC7">
              <w:t xml:space="preserve"> </w:t>
            </w:r>
            <w:r w:rsidR="00A427A4" w:rsidRPr="00406AC7">
              <w:t xml:space="preserve">death rate </w:t>
            </w:r>
            <w:r w:rsidR="008C3855">
              <w:t xml:space="preserve">did not change substantially. </w:t>
            </w:r>
          </w:p>
        </w:tc>
      </w:tr>
      <w:tr w:rsidR="00037871" w:rsidRPr="00037871" w14:paraId="64401E33" w14:textId="77777777" w:rsidTr="00E929ED">
        <w:trPr>
          <w:cantSplit/>
        </w:trPr>
        <w:tc>
          <w:tcPr>
            <w:tcW w:w="8789" w:type="dxa"/>
            <w:gridSpan w:val="3"/>
            <w:tcBorders>
              <w:top w:val="nil"/>
              <w:left w:val="nil"/>
              <w:bottom w:val="nil"/>
              <w:right w:val="nil"/>
            </w:tcBorders>
            <w:shd w:val="clear" w:color="auto" w:fill="F2F2F2"/>
          </w:tcPr>
          <w:p w14:paraId="62F82213" w14:textId="6763A8D4" w:rsidR="004D2588" w:rsidRPr="00406AC7" w:rsidRDefault="00111839" w:rsidP="00111839">
            <w:pPr>
              <w:pStyle w:val="Box"/>
              <w:rPr>
                <w:i/>
              </w:rPr>
            </w:pPr>
            <w:r>
              <w:rPr>
                <w:i/>
              </w:rPr>
              <w:t>A</w:t>
            </w:r>
            <w:r w:rsidR="008C3855" w:rsidRPr="00743220">
              <w:rPr>
                <w:i/>
              </w:rPr>
              <w:t xml:space="preserve">n increase in hospitalisations may indicate improved access to services rather than an increase in </w:t>
            </w:r>
            <w:r>
              <w:rPr>
                <w:i/>
              </w:rPr>
              <w:t>injuries and preventable diseases. This combined with no change in the death rate make the results difficult to interpret.</w:t>
            </w:r>
          </w:p>
        </w:tc>
      </w:tr>
      <w:tr w:rsidR="00037871" w:rsidRPr="00037871" w14:paraId="6B5F3493" w14:textId="77777777" w:rsidTr="00E929ED">
        <w:trPr>
          <w:cantSplit/>
        </w:trPr>
        <w:tc>
          <w:tcPr>
            <w:tcW w:w="8789" w:type="dxa"/>
            <w:gridSpan w:val="3"/>
            <w:tcBorders>
              <w:top w:val="nil"/>
              <w:left w:val="nil"/>
              <w:bottom w:val="single" w:sz="6" w:space="0" w:color="78A22F"/>
              <w:right w:val="nil"/>
            </w:tcBorders>
            <w:shd w:val="clear" w:color="auto" w:fill="F2F2F2"/>
          </w:tcPr>
          <w:p w14:paraId="0AD36891" w14:textId="77777777" w:rsidR="004D2588" w:rsidRPr="00037871" w:rsidRDefault="004D2588" w:rsidP="008E4321">
            <w:pPr>
              <w:pStyle w:val="Box"/>
              <w:spacing w:before="0" w:line="120" w:lineRule="exact"/>
              <w:rPr>
                <w:color w:val="00B050"/>
              </w:rPr>
            </w:pPr>
          </w:p>
        </w:tc>
      </w:tr>
      <w:tr w:rsidR="00037871" w:rsidRPr="00037871" w14:paraId="0CE32CDF" w14:textId="77777777" w:rsidTr="00E929ED">
        <w:tc>
          <w:tcPr>
            <w:tcW w:w="8789" w:type="dxa"/>
            <w:gridSpan w:val="3"/>
            <w:tcBorders>
              <w:top w:val="single" w:sz="6" w:space="0" w:color="78A22F"/>
              <w:left w:val="nil"/>
              <w:bottom w:val="nil"/>
              <w:right w:val="nil"/>
            </w:tcBorders>
          </w:tcPr>
          <w:p w14:paraId="3E70EA8E" w14:textId="77777777" w:rsidR="004D2588" w:rsidRPr="00037871" w:rsidRDefault="004D2588" w:rsidP="008E4321">
            <w:pPr>
              <w:pStyle w:val="BoxSpaceBelow"/>
              <w:rPr>
                <w:color w:val="00B050"/>
              </w:rPr>
            </w:pPr>
          </w:p>
        </w:tc>
      </w:tr>
    </w:tbl>
    <w:p w14:paraId="7B4DF4AD" w14:textId="77777777" w:rsidR="004D2588" w:rsidRPr="00037871" w:rsidRDefault="004D2588" w:rsidP="004D2588">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284F2D42" w14:textId="77777777" w:rsidTr="00E929ED">
        <w:tc>
          <w:tcPr>
            <w:tcW w:w="8789" w:type="dxa"/>
            <w:gridSpan w:val="3"/>
            <w:tcBorders>
              <w:top w:val="single" w:sz="6" w:space="0" w:color="78A22F"/>
              <w:left w:val="nil"/>
              <w:bottom w:val="nil"/>
              <w:right w:val="nil"/>
            </w:tcBorders>
            <w:shd w:val="clear" w:color="auto" w:fill="F2F2F2"/>
          </w:tcPr>
          <w:p w14:paraId="78B08E47" w14:textId="77777777" w:rsidR="004D2588" w:rsidRPr="00B544F1" w:rsidRDefault="004D2588" w:rsidP="001D480C">
            <w:pPr>
              <w:pStyle w:val="BoxTitle"/>
              <w:spacing w:after="120"/>
            </w:pPr>
            <w:r w:rsidRPr="004D61CE">
              <w:rPr>
                <w:color w:val="000000" w:themeColor="text1"/>
              </w:rPr>
              <w:t>6.7</w:t>
            </w:r>
            <w:r w:rsidRPr="004D61CE">
              <w:rPr>
                <w:color w:val="000000" w:themeColor="text1"/>
              </w:rPr>
              <w:tab/>
              <w:t>Ear health</w:t>
            </w:r>
          </w:p>
        </w:tc>
      </w:tr>
      <w:tr w:rsidR="00037871" w:rsidRPr="00037871" w14:paraId="216AA7DA" w14:textId="77777777" w:rsidTr="00237AD4">
        <w:trPr>
          <w:cantSplit/>
        </w:trPr>
        <w:tc>
          <w:tcPr>
            <w:tcW w:w="3970" w:type="dxa"/>
            <w:tcBorders>
              <w:top w:val="nil"/>
              <w:left w:val="nil"/>
              <w:bottom w:val="nil"/>
              <w:right w:val="nil"/>
            </w:tcBorders>
            <w:shd w:val="clear" w:color="auto" w:fill="F2F2F2"/>
          </w:tcPr>
          <w:p w14:paraId="00881360" w14:textId="349A8FC9" w:rsidR="004D2588" w:rsidRPr="002477BB" w:rsidRDefault="00111839" w:rsidP="00111839">
            <w:pPr>
              <w:pStyle w:val="Box"/>
            </w:pPr>
            <w:r w:rsidRPr="00111839">
              <w:t>Good hearing is important for a child’s social, emotional, and cognitive development. Poor hearing can impede a child’s development of language and communication skills, cognitive development and subsequent school performance</w:t>
            </w:r>
            <w:r w:rsidR="00A427A4" w:rsidRPr="002477BB">
              <w:t>.</w:t>
            </w:r>
          </w:p>
        </w:tc>
        <w:tc>
          <w:tcPr>
            <w:tcW w:w="992" w:type="dxa"/>
            <w:tcBorders>
              <w:top w:val="nil"/>
              <w:left w:val="nil"/>
              <w:bottom w:val="nil"/>
              <w:right w:val="nil"/>
            </w:tcBorders>
            <w:shd w:val="clear" w:color="auto" w:fill="418A50"/>
          </w:tcPr>
          <w:p w14:paraId="7F5BE78B" w14:textId="77777777" w:rsidR="004D2588" w:rsidRPr="002477BB" w:rsidRDefault="004D2588" w:rsidP="008E4321">
            <w:pPr>
              <w:pStyle w:val="BoxHeading1"/>
              <w:jc w:val="center"/>
              <w:rPr>
                <w:rFonts w:cs="Arial"/>
                <w:b w:val="0"/>
                <w:sz w:val="48"/>
                <w:szCs w:val="48"/>
              </w:rPr>
            </w:pPr>
          </w:p>
          <w:p w14:paraId="03CEBD02" w14:textId="349D2DCF" w:rsidR="004D2588" w:rsidRPr="0034662D" w:rsidRDefault="00B42D63" w:rsidP="004D2588">
            <w:pPr>
              <w:pStyle w:val="BoxHeading1"/>
              <w:spacing w:before="360" w:line="240" w:lineRule="auto"/>
              <w:jc w:val="center"/>
            </w:pPr>
            <w:r w:rsidRPr="00B42D63">
              <w:rPr>
                <w:rFonts w:cs="Arial"/>
                <w:noProof/>
                <w:sz w:val="48"/>
                <w:szCs w:val="48"/>
              </w:rPr>
              <mc:AlternateContent>
                <mc:Choice Requires="wpg">
                  <w:drawing>
                    <wp:anchor distT="0" distB="0" distL="114300" distR="114300" simplePos="0" relativeHeight="251763712" behindDoc="0" locked="0" layoutInCell="1" allowOverlap="1" wp14:anchorId="0CF3271C" wp14:editId="2F102AB0">
                      <wp:simplePos x="0" y="0"/>
                      <wp:positionH relativeFrom="column">
                        <wp:posOffset>113698</wp:posOffset>
                      </wp:positionH>
                      <wp:positionV relativeFrom="paragraph">
                        <wp:posOffset>500391</wp:posOffset>
                      </wp:positionV>
                      <wp:extent cx="205105" cy="279400"/>
                      <wp:effectExtent l="19050" t="0" r="61595" b="6350"/>
                      <wp:wrapNone/>
                      <wp:docPr id="151"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52" name="Straight Connector 152"/>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53" name="Straight Connector 153"/>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1136C5A" id="Group 2" o:spid="_x0000_s1026" alt="Tick symbol" style="position:absolute;margin-left:8.95pt;margin-top:39.4pt;width:16.15pt;height:22pt;z-index:251763712;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">
                      <v:line id="Straight Connector 152"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" strokecolor="white [3212]" strokeweight="3pt">
                        <o:lock v:ext="edit" shapetype="f"/>
                      </v:line>
                      <v:line id="Straight Connector 153"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" strokecolor="white [3212]" strokeweight="3pt">
                        <o:lock v:ext="edit" shapetype="f"/>
                      </v:line>
                    </v:group>
                  </w:pict>
                </mc:Fallback>
              </mc:AlternateContent>
            </w:r>
            <w:r w:rsidR="00A427A4" w:rsidRPr="002477BB">
              <w:rPr>
                <w:rFonts w:cs="Arial"/>
                <w:b w:val="0"/>
                <w:sz w:val="48"/>
                <w:szCs w:val="48"/>
              </w:rPr>
              <w:br/>
            </w:r>
          </w:p>
        </w:tc>
        <w:tc>
          <w:tcPr>
            <w:tcW w:w="3827" w:type="dxa"/>
            <w:tcBorders>
              <w:top w:val="nil"/>
              <w:left w:val="nil"/>
              <w:bottom w:val="nil"/>
              <w:right w:val="nil"/>
            </w:tcBorders>
            <w:shd w:val="clear" w:color="auto" w:fill="F2F2F2"/>
          </w:tcPr>
          <w:p w14:paraId="2D3597F8" w14:textId="7DB3946F" w:rsidR="00A427A4" w:rsidRPr="002477BB" w:rsidRDefault="00A427A4" w:rsidP="00A427A4">
            <w:pPr>
              <w:pStyle w:val="Box"/>
            </w:pPr>
            <w:r w:rsidRPr="002477BB">
              <w:t xml:space="preserve">The proportion of Aboriginal and Torres Strait Islander 0–14 year olds with a </w:t>
            </w:r>
            <w:r w:rsidR="00111839">
              <w:t>self</w:t>
            </w:r>
            <w:r w:rsidR="00753517">
              <w:noBreakHyphen/>
            </w:r>
            <w:r w:rsidR="00111839">
              <w:t xml:space="preserve">reported </w:t>
            </w:r>
            <w:r w:rsidRPr="002477BB">
              <w:t>hearing condition decreas</w:t>
            </w:r>
            <w:r w:rsidR="00111839">
              <w:t>ed from 11 per cent in 2001 to 7</w:t>
            </w:r>
            <w:r w:rsidR="0054404F">
              <w:t> </w:t>
            </w:r>
            <w:r w:rsidRPr="002477BB">
              <w:t>per cent in 201</w:t>
            </w:r>
            <w:r w:rsidR="00111839">
              <w:t>8</w:t>
            </w:r>
            <w:r w:rsidR="00A935D0" w:rsidRPr="002477BB">
              <w:noBreakHyphen/>
              <w:t>1</w:t>
            </w:r>
            <w:r w:rsidR="00111839">
              <w:t>9</w:t>
            </w:r>
            <w:r w:rsidRPr="002477BB">
              <w:t xml:space="preserve">. </w:t>
            </w:r>
            <w:r w:rsidR="00C64280">
              <w:t xml:space="preserve">The rate for </w:t>
            </w:r>
            <w:r w:rsidRPr="002477BB">
              <w:t>non</w:t>
            </w:r>
            <w:r w:rsidRPr="002477BB">
              <w:noBreakHyphen/>
              <w:t>Indigenous children</w:t>
            </w:r>
            <w:r w:rsidR="00C64280">
              <w:t xml:space="preserve"> in </w:t>
            </w:r>
            <w:r w:rsidR="00C64280" w:rsidRPr="000F0BC8">
              <w:t>201</w:t>
            </w:r>
            <w:r w:rsidR="007D7033" w:rsidRPr="000F0BC8">
              <w:t>7</w:t>
            </w:r>
            <w:r w:rsidR="00C64280" w:rsidRPr="000F0BC8">
              <w:t>-1</w:t>
            </w:r>
            <w:r w:rsidR="007D7033" w:rsidRPr="000F0BC8">
              <w:t>8</w:t>
            </w:r>
            <w:r w:rsidR="00C64280" w:rsidRPr="000F0BC8">
              <w:t xml:space="preserve"> </w:t>
            </w:r>
            <w:r w:rsidR="00C64280">
              <w:t>was 3 per cent</w:t>
            </w:r>
            <w:r w:rsidRPr="002477BB">
              <w:t>.</w:t>
            </w:r>
          </w:p>
          <w:p w14:paraId="7C13DF4E" w14:textId="6881DA39" w:rsidR="004D2588" w:rsidRPr="002477BB" w:rsidRDefault="00111839" w:rsidP="007D7033">
            <w:pPr>
              <w:pStyle w:val="Box"/>
            </w:pPr>
            <w:r>
              <w:t>In 2018-19</w:t>
            </w:r>
            <w:r w:rsidR="00A935D0" w:rsidRPr="002477BB">
              <w:t>, the hospitalisation rate</w:t>
            </w:r>
            <w:r w:rsidR="00A427A4" w:rsidRPr="002477BB">
              <w:t xml:space="preserve"> for Aboriginal and Torres Strait Islander </w:t>
            </w:r>
            <w:r w:rsidR="007A391C">
              <w:br/>
            </w:r>
            <w:r w:rsidR="002477BB" w:rsidRPr="002477BB">
              <w:t>0–14 year olds</w:t>
            </w:r>
            <w:r w:rsidR="00A427A4" w:rsidRPr="002477BB">
              <w:t xml:space="preserve"> for ear and hearing problems</w:t>
            </w:r>
            <w:r w:rsidR="00A935D0" w:rsidRPr="002477BB">
              <w:t xml:space="preserve"> was </w:t>
            </w:r>
            <w:r w:rsidR="007D7033" w:rsidRPr="000F0BC8">
              <w:t>9</w:t>
            </w:r>
            <w:r w:rsidR="00A935D0" w:rsidRPr="002477BB">
              <w:t xml:space="preserve"> per 1000 population,</w:t>
            </w:r>
            <w:r w:rsidR="007D7033">
              <w:t xml:space="preserve"> compared to</w:t>
            </w:r>
            <w:r w:rsidR="0054238C">
              <w:t xml:space="preserve"> </w:t>
            </w:r>
            <w:r>
              <w:t>6</w:t>
            </w:r>
            <w:r w:rsidR="00A935D0" w:rsidRPr="002477BB">
              <w:t xml:space="preserve"> per 1000 population</w:t>
            </w:r>
            <w:r w:rsidR="007D7033">
              <w:t xml:space="preserve"> for non</w:t>
            </w:r>
            <w:r w:rsidR="007D7033">
              <w:noBreakHyphen/>
              <w:t>Indigenous children</w:t>
            </w:r>
            <w:r w:rsidR="00A935D0" w:rsidRPr="002477BB">
              <w:t>.</w:t>
            </w:r>
            <w:r w:rsidR="002477BB" w:rsidRPr="002477BB">
              <w:t xml:space="preserve"> </w:t>
            </w:r>
          </w:p>
        </w:tc>
      </w:tr>
      <w:tr w:rsidR="00037871" w:rsidRPr="00037871" w14:paraId="51C84DCA" w14:textId="77777777" w:rsidTr="00E929ED">
        <w:trPr>
          <w:cantSplit/>
        </w:trPr>
        <w:tc>
          <w:tcPr>
            <w:tcW w:w="8789" w:type="dxa"/>
            <w:gridSpan w:val="3"/>
            <w:tcBorders>
              <w:top w:val="nil"/>
              <w:left w:val="nil"/>
              <w:bottom w:val="single" w:sz="6" w:space="0" w:color="78A22F"/>
              <w:right w:val="nil"/>
            </w:tcBorders>
            <w:shd w:val="clear" w:color="auto" w:fill="F2F2F2"/>
          </w:tcPr>
          <w:p w14:paraId="605FAEF8" w14:textId="77777777" w:rsidR="004D2588" w:rsidRPr="00037871" w:rsidRDefault="004D2588" w:rsidP="008E4321">
            <w:pPr>
              <w:pStyle w:val="Box"/>
              <w:spacing w:before="0" w:line="120" w:lineRule="exact"/>
              <w:rPr>
                <w:color w:val="00B050"/>
              </w:rPr>
            </w:pPr>
          </w:p>
        </w:tc>
      </w:tr>
      <w:tr w:rsidR="00037871" w:rsidRPr="00037871" w14:paraId="6A04198D" w14:textId="77777777" w:rsidTr="00E929ED">
        <w:tc>
          <w:tcPr>
            <w:tcW w:w="8789" w:type="dxa"/>
            <w:gridSpan w:val="3"/>
            <w:tcBorders>
              <w:top w:val="single" w:sz="6" w:space="0" w:color="78A22F"/>
              <w:left w:val="nil"/>
              <w:bottom w:val="nil"/>
              <w:right w:val="nil"/>
            </w:tcBorders>
          </w:tcPr>
          <w:p w14:paraId="0C5D153A" w14:textId="77777777" w:rsidR="004D2588" w:rsidRPr="00037871" w:rsidRDefault="004D2588" w:rsidP="008E4321">
            <w:pPr>
              <w:pStyle w:val="BoxSpaceBelow"/>
              <w:rPr>
                <w:color w:val="00B050"/>
              </w:rPr>
            </w:pPr>
          </w:p>
        </w:tc>
      </w:tr>
    </w:tbl>
    <w:p w14:paraId="3A551B00" w14:textId="77777777" w:rsidR="00EF2BCD" w:rsidRPr="00037871" w:rsidRDefault="00EF2BCD" w:rsidP="00EF2BCD">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1F925D7A" w14:textId="77777777" w:rsidTr="00E929ED">
        <w:tc>
          <w:tcPr>
            <w:tcW w:w="8789" w:type="dxa"/>
            <w:gridSpan w:val="3"/>
            <w:tcBorders>
              <w:top w:val="single" w:sz="6" w:space="0" w:color="78A22F"/>
              <w:left w:val="nil"/>
              <w:bottom w:val="nil"/>
              <w:right w:val="nil"/>
            </w:tcBorders>
            <w:shd w:val="clear" w:color="auto" w:fill="F2F2F2"/>
          </w:tcPr>
          <w:p w14:paraId="6DF9B49A" w14:textId="77777777" w:rsidR="00EF2BCD" w:rsidRPr="00B544F1" w:rsidRDefault="00EF2BCD" w:rsidP="001D480C">
            <w:pPr>
              <w:pStyle w:val="BoxTitle"/>
              <w:spacing w:after="120"/>
            </w:pPr>
            <w:r w:rsidRPr="004D61CE">
              <w:rPr>
                <w:color w:val="000000" w:themeColor="text1"/>
              </w:rPr>
              <w:t>6.8</w:t>
            </w:r>
            <w:r w:rsidRPr="004D61CE">
              <w:rPr>
                <w:color w:val="000000" w:themeColor="text1"/>
              </w:rPr>
              <w:tab/>
              <w:t>Basic skills for life and learning</w:t>
            </w:r>
          </w:p>
        </w:tc>
      </w:tr>
      <w:tr w:rsidR="00037871" w:rsidRPr="00037871" w14:paraId="5070E4DC" w14:textId="77777777" w:rsidTr="00237AD4">
        <w:trPr>
          <w:cantSplit/>
        </w:trPr>
        <w:tc>
          <w:tcPr>
            <w:tcW w:w="3970" w:type="dxa"/>
            <w:tcBorders>
              <w:top w:val="nil"/>
              <w:left w:val="nil"/>
              <w:bottom w:val="nil"/>
              <w:right w:val="nil"/>
            </w:tcBorders>
            <w:shd w:val="clear" w:color="auto" w:fill="F2F2F2"/>
          </w:tcPr>
          <w:p w14:paraId="4D18C997" w14:textId="7F571293" w:rsidR="00EF2BCD" w:rsidRPr="00622C23" w:rsidRDefault="00A427A4" w:rsidP="00111839">
            <w:pPr>
              <w:pStyle w:val="Box"/>
            </w:pPr>
            <w:r w:rsidRPr="00622C23">
              <w:t xml:space="preserve">Young children who are well nurtured </w:t>
            </w:r>
            <w:r w:rsidR="00111839">
              <w:t xml:space="preserve">develop the skills that are important for their successful transition to </w:t>
            </w:r>
            <w:r w:rsidRPr="00622C23">
              <w:t xml:space="preserve">school </w:t>
            </w:r>
            <w:r w:rsidR="00111839" w:rsidRPr="00111839">
              <w:t>and for their later academic achievement, mental health and wellbeing.</w:t>
            </w:r>
          </w:p>
        </w:tc>
        <w:tc>
          <w:tcPr>
            <w:tcW w:w="992" w:type="dxa"/>
            <w:tcBorders>
              <w:top w:val="nil"/>
              <w:left w:val="nil"/>
              <w:bottom w:val="nil"/>
              <w:right w:val="nil"/>
            </w:tcBorders>
            <w:shd w:val="clear" w:color="auto" w:fill="418A50"/>
          </w:tcPr>
          <w:p w14:paraId="4AFA8F81" w14:textId="77777777" w:rsidR="00EF2BCD" w:rsidRPr="00622C23" w:rsidRDefault="00EF2BCD" w:rsidP="008E4321">
            <w:pPr>
              <w:pStyle w:val="BoxHeading1"/>
            </w:pPr>
          </w:p>
          <w:p w14:paraId="0960260D" w14:textId="71C840B3" w:rsidR="00EF2BCD" w:rsidRPr="00622C23" w:rsidRDefault="00B42D63" w:rsidP="009342D8">
            <w:pPr>
              <w:pStyle w:val="Box"/>
              <w:spacing w:before="720"/>
              <w:jc w:val="center"/>
              <w:rPr>
                <w:sz w:val="48"/>
                <w:szCs w:val="48"/>
              </w:rPr>
            </w:pPr>
            <w:r w:rsidRPr="00B42D63">
              <w:rPr>
                <w:rFonts w:cs="Arial"/>
                <w:b/>
                <w:noProof/>
                <w:sz w:val="48"/>
                <w:szCs w:val="48"/>
              </w:rPr>
              <mc:AlternateContent>
                <mc:Choice Requires="wpg">
                  <w:drawing>
                    <wp:anchor distT="0" distB="0" distL="114300" distR="114300" simplePos="0" relativeHeight="251765760" behindDoc="0" locked="0" layoutInCell="1" allowOverlap="1" wp14:anchorId="2A67078B" wp14:editId="028ADEDE">
                      <wp:simplePos x="0" y="0"/>
                      <wp:positionH relativeFrom="column">
                        <wp:posOffset>131316</wp:posOffset>
                      </wp:positionH>
                      <wp:positionV relativeFrom="paragraph">
                        <wp:posOffset>446405</wp:posOffset>
                      </wp:positionV>
                      <wp:extent cx="205105" cy="279400"/>
                      <wp:effectExtent l="19050" t="0" r="61595" b="6350"/>
                      <wp:wrapNone/>
                      <wp:docPr id="154"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55" name="Straight Connector 155"/>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56" name="Straight Connector 156"/>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03F5839" id="Group 2" o:spid="_x0000_s1026" alt="Tick symbol" style="position:absolute;margin-left:10.35pt;margin-top:35.15pt;width:16.15pt;height:22pt;z-index:251765760;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">
                      <v:line id="Straight Connector 155"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" strokecolor="white [3212]" strokeweight="3pt">
                        <o:lock v:ext="edit" shapetype="f"/>
                      </v:line>
                      <v:line id="Straight Connector 156"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" strokecolor="white [3212]" strokeweight="3pt">
                        <o:lock v:ext="edit" shapetype="f"/>
                      </v:line>
                    </v:group>
                  </w:pict>
                </mc:Fallback>
              </mc:AlternateContent>
            </w:r>
          </w:p>
        </w:tc>
        <w:tc>
          <w:tcPr>
            <w:tcW w:w="3827" w:type="dxa"/>
            <w:tcBorders>
              <w:top w:val="nil"/>
              <w:left w:val="nil"/>
              <w:bottom w:val="nil"/>
              <w:right w:val="nil"/>
            </w:tcBorders>
            <w:shd w:val="clear" w:color="auto" w:fill="F2F2F2"/>
          </w:tcPr>
          <w:p w14:paraId="48A08090" w14:textId="0E732C83" w:rsidR="00EF2BCD" w:rsidRPr="00622C23" w:rsidRDefault="00111839" w:rsidP="009624D0">
            <w:pPr>
              <w:pStyle w:val="Box"/>
            </w:pPr>
            <w:r>
              <w:t>From 2009 to 2018</w:t>
            </w:r>
            <w:r w:rsidR="008528B1" w:rsidRPr="00622C23">
              <w:t xml:space="preserve">, the proportions of Aboriginal and Torres Strait Islander children classified as developmentally ‘on track’ increased </w:t>
            </w:r>
            <w:r w:rsidR="009624D0">
              <w:t>in each</w:t>
            </w:r>
            <w:r w:rsidR="008528B1" w:rsidRPr="00622C23">
              <w:t xml:space="preserve"> domain of the Australian Early Development </w:t>
            </w:r>
            <w:r w:rsidR="00CA07F3">
              <w:t>Census</w:t>
            </w:r>
            <w:r w:rsidR="008528B1" w:rsidRPr="00622C23">
              <w:t xml:space="preserve"> </w:t>
            </w:r>
            <w:r w:rsidR="008528B1" w:rsidRPr="000F0BC8">
              <w:t>(from</w:t>
            </w:r>
            <w:r w:rsidR="009624D0" w:rsidRPr="000F0BC8">
              <w:t xml:space="preserve"> between</w:t>
            </w:r>
            <w:r w:rsidR="008528B1" w:rsidRPr="000F0BC8">
              <w:t xml:space="preserve"> 4</w:t>
            </w:r>
            <w:r w:rsidR="009624D0" w:rsidRPr="000F0BC8">
              <w:t>7</w:t>
            </w:r>
            <w:r w:rsidR="008528B1" w:rsidRPr="000F0BC8">
              <w:t>–6</w:t>
            </w:r>
            <w:r w:rsidR="009624D0" w:rsidRPr="000F0BC8">
              <w:t>0</w:t>
            </w:r>
            <w:r w:rsidR="008528B1" w:rsidRPr="000F0BC8">
              <w:t xml:space="preserve"> t</w:t>
            </w:r>
            <w:r w:rsidRPr="000F0BC8">
              <w:t xml:space="preserve">o </w:t>
            </w:r>
            <w:r w:rsidR="0054404F">
              <w:br/>
            </w:r>
            <w:r w:rsidRPr="000F0BC8">
              <w:t>60–6</w:t>
            </w:r>
            <w:r w:rsidR="009624D0" w:rsidRPr="000F0BC8">
              <w:t>5</w:t>
            </w:r>
            <w:r w:rsidR="008528B1" w:rsidRPr="000F0BC8">
              <w:t xml:space="preserve"> per cent). </w:t>
            </w:r>
            <w:r w:rsidR="004E1C84" w:rsidRPr="000F0BC8">
              <w:t>T</w:t>
            </w:r>
            <w:r w:rsidR="008528B1" w:rsidRPr="000F0BC8">
              <w:t>hese proportions remain lower than those for non</w:t>
            </w:r>
            <w:r w:rsidR="008528B1" w:rsidRPr="000F0BC8">
              <w:noBreakHyphen/>
              <w:t>Indigenous children</w:t>
            </w:r>
            <w:r w:rsidR="00293CCF" w:rsidRPr="000F0BC8">
              <w:t xml:space="preserve"> (between </w:t>
            </w:r>
            <w:r w:rsidR="0054404F">
              <w:br/>
            </w:r>
            <w:r w:rsidR="00293CCF" w:rsidRPr="000F0BC8">
              <w:t>7</w:t>
            </w:r>
            <w:r w:rsidR="009624D0" w:rsidRPr="000F0BC8">
              <w:t>7</w:t>
            </w:r>
            <w:r w:rsidR="00293CCF" w:rsidRPr="000F0BC8">
              <w:t>–86</w:t>
            </w:r>
            <w:r w:rsidR="00DE236E" w:rsidRPr="000F0BC8">
              <w:t xml:space="preserve"> per cent)</w:t>
            </w:r>
            <w:r w:rsidR="004E1C84" w:rsidRPr="000F0BC8">
              <w:t xml:space="preserve"> </w:t>
            </w:r>
            <w:r w:rsidR="004E1C84" w:rsidRPr="00622C23">
              <w:t>but the gap has narrowed</w:t>
            </w:r>
            <w:r w:rsidR="009624D0">
              <w:t xml:space="preserve"> in each</w:t>
            </w:r>
            <w:r w:rsidR="004E1C84" w:rsidRPr="00622C23">
              <w:t xml:space="preserve"> domain since 2009</w:t>
            </w:r>
            <w:r w:rsidR="008528B1" w:rsidRPr="00622C23">
              <w:t>.</w:t>
            </w:r>
          </w:p>
        </w:tc>
      </w:tr>
      <w:tr w:rsidR="00037871" w:rsidRPr="00037871" w14:paraId="78C6AAB5" w14:textId="77777777" w:rsidTr="00E929ED">
        <w:trPr>
          <w:cantSplit/>
        </w:trPr>
        <w:tc>
          <w:tcPr>
            <w:tcW w:w="8789" w:type="dxa"/>
            <w:gridSpan w:val="3"/>
            <w:tcBorders>
              <w:top w:val="nil"/>
              <w:left w:val="nil"/>
              <w:bottom w:val="single" w:sz="6" w:space="0" w:color="78A22F"/>
              <w:right w:val="nil"/>
            </w:tcBorders>
            <w:shd w:val="clear" w:color="auto" w:fill="F2F2F2"/>
          </w:tcPr>
          <w:p w14:paraId="06D01BC9" w14:textId="77777777" w:rsidR="00EF2BCD" w:rsidRPr="00037871" w:rsidRDefault="00EF2BCD" w:rsidP="008E4321">
            <w:pPr>
              <w:pStyle w:val="Box"/>
              <w:spacing w:before="0" w:line="120" w:lineRule="exact"/>
              <w:rPr>
                <w:color w:val="00B050"/>
              </w:rPr>
            </w:pPr>
          </w:p>
        </w:tc>
      </w:tr>
      <w:tr w:rsidR="00037871" w:rsidRPr="00037871" w14:paraId="4399FD37" w14:textId="77777777" w:rsidTr="00E929ED">
        <w:tc>
          <w:tcPr>
            <w:tcW w:w="8789" w:type="dxa"/>
            <w:gridSpan w:val="3"/>
            <w:tcBorders>
              <w:top w:val="single" w:sz="6" w:space="0" w:color="78A22F"/>
              <w:left w:val="nil"/>
              <w:bottom w:val="nil"/>
              <w:right w:val="nil"/>
            </w:tcBorders>
          </w:tcPr>
          <w:p w14:paraId="788FE6E6" w14:textId="77777777" w:rsidR="00EF2BCD" w:rsidRPr="00037871" w:rsidRDefault="00EF2BCD" w:rsidP="008E4321">
            <w:pPr>
              <w:pStyle w:val="BoxSpaceBelow"/>
              <w:rPr>
                <w:color w:val="00B050"/>
              </w:rPr>
            </w:pPr>
          </w:p>
        </w:tc>
      </w:tr>
    </w:tbl>
    <w:p w14:paraId="059403F8" w14:textId="77777777" w:rsidR="000017FD" w:rsidRPr="00320D2D" w:rsidRDefault="000017FD" w:rsidP="000017FD">
      <w:pPr>
        <w:pStyle w:val="BodyText"/>
      </w:pPr>
      <w:r w:rsidRPr="00037871">
        <w:rPr>
          <w:color w:val="00B050"/>
        </w:rPr>
        <w:br w:type="page"/>
      </w:r>
    </w:p>
    <w:p w14:paraId="1A690488" w14:textId="73ED1A95" w:rsidR="00976114" w:rsidRPr="004D61CE" w:rsidRDefault="00EF2BCD" w:rsidP="00EF2BCD">
      <w:pPr>
        <w:pStyle w:val="Heading2"/>
        <w:rPr>
          <w:color w:val="000000" w:themeColor="text1"/>
        </w:rPr>
      </w:pPr>
      <w:r w:rsidRPr="004D61CE">
        <w:rPr>
          <w:color w:val="000000" w:themeColor="text1"/>
        </w:rPr>
        <w:lastRenderedPageBreak/>
        <w:t>Education and training</w:t>
      </w:r>
    </w:p>
    <w:p w14:paraId="49DF9B2A" w14:textId="3E931AA8" w:rsidR="008528B1" w:rsidRPr="004D61CE" w:rsidRDefault="008528B1" w:rsidP="008528B1">
      <w:pPr>
        <w:pStyle w:val="BodyText"/>
        <w:rPr>
          <w:color w:val="000000" w:themeColor="text1"/>
        </w:rPr>
      </w:pPr>
      <w:r w:rsidRPr="004D61CE">
        <w:rPr>
          <w:color w:val="000000" w:themeColor="text1"/>
        </w:rPr>
        <w:t xml:space="preserve">Education is a life-long activity, </w:t>
      </w:r>
      <w:r w:rsidR="003A4D10">
        <w:rPr>
          <w:color w:val="000000" w:themeColor="text1"/>
        </w:rPr>
        <w:t>beginning with</w:t>
      </w:r>
      <w:r w:rsidRPr="004D61CE">
        <w:rPr>
          <w:color w:val="000000" w:themeColor="text1"/>
        </w:rPr>
        <w:t xml:space="preserve"> learning and development in the home </w:t>
      </w:r>
      <w:r w:rsidR="003A4D10">
        <w:rPr>
          <w:color w:val="000000" w:themeColor="text1"/>
        </w:rPr>
        <w:t xml:space="preserve">and in communities and continuing </w:t>
      </w:r>
      <w:r w:rsidRPr="004D61CE">
        <w:rPr>
          <w:color w:val="000000" w:themeColor="text1"/>
        </w:rPr>
        <w:t>through to more formal settings of school education, vocational education and training and higher education. Education and training can help strengthen communities and regions both economically and socially, and there are strong links between higher levels of education and improved health outcomes.</w:t>
      </w:r>
    </w:p>
    <w:p w14:paraId="22507838" w14:textId="77777777" w:rsidR="00EF2BCD" w:rsidRPr="00037871" w:rsidRDefault="00EF2BCD" w:rsidP="00EF2BCD">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797DE97C" w14:textId="77777777" w:rsidTr="00E929ED">
        <w:tc>
          <w:tcPr>
            <w:tcW w:w="8789" w:type="dxa"/>
            <w:gridSpan w:val="3"/>
            <w:tcBorders>
              <w:top w:val="single" w:sz="6" w:space="0" w:color="78A22F"/>
              <w:left w:val="nil"/>
              <w:bottom w:val="nil"/>
              <w:right w:val="nil"/>
            </w:tcBorders>
            <w:shd w:val="clear" w:color="auto" w:fill="F2F2F2"/>
          </w:tcPr>
          <w:p w14:paraId="0420CDA5" w14:textId="77777777" w:rsidR="00EF2BCD" w:rsidRPr="007240DD" w:rsidRDefault="00EF2BCD" w:rsidP="004D61CE">
            <w:pPr>
              <w:pStyle w:val="BoxTitle"/>
              <w:spacing w:after="120"/>
            </w:pPr>
            <w:r w:rsidRPr="004D61CE">
              <w:rPr>
                <w:color w:val="000000" w:themeColor="text1"/>
              </w:rPr>
              <w:t>7.</w:t>
            </w:r>
            <w:r w:rsidR="004D61CE" w:rsidRPr="004D61CE">
              <w:rPr>
                <w:color w:val="000000" w:themeColor="text1"/>
              </w:rPr>
              <w:t>1</w:t>
            </w:r>
            <w:r w:rsidRPr="004D61CE">
              <w:rPr>
                <w:color w:val="000000" w:themeColor="text1"/>
              </w:rPr>
              <w:tab/>
              <w:t>Teacher quality</w:t>
            </w:r>
          </w:p>
        </w:tc>
      </w:tr>
      <w:tr w:rsidR="00037871" w:rsidRPr="00037871" w14:paraId="5868F0CE" w14:textId="77777777" w:rsidTr="00B04347">
        <w:trPr>
          <w:cantSplit/>
        </w:trPr>
        <w:tc>
          <w:tcPr>
            <w:tcW w:w="3970" w:type="dxa"/>
            <w:tcBorders>
              <w:top w:val="nil"/>
              <w:left w:val="nil"/>
              <w:bottom w:val="nil"/>
              <w:right w:val="nil"/>
            </w:tcBorders>
            <w:shd w:val="clear" w:color="auto" w:fill="F2F2F2"/>
          </w:tcPr>
          <w:p w14:paraId="6E73433D" w14:textId="77777777" w:rsidR="008528B1" w:rsidRPr="00F072ED" w:rsidRDefault="008528B1" w:rsidP="008528B1">
            <w:pPr>
              <w:pStyle w:val="Box"/>
            </w:pPr>
            <w:r w:rsidRPr="00F072ED">
              <w:t xml:space="preserve">Teacher quality is considered the most important ‘in school’ influence on student educational outcomes. </w:t>
            </w:r>
          </w:p>
          <w:p w14:paraId="56E76B7A" w14:textId="77777777" w:rsidR="00EF2BCD" w:rsidRPr="00F072ED" w:rsidRDefault="008528B1" w:rsidP="008E4321">
            <w:pPr>
              <w:pStyle w:val="Box"/>
            </w:pPr>
            <w:r w:rsidRPr="00F072ED">
              <w:t xml:space="preserve">Increasing the number of Aboriginal and Torres Strait Islander teachers could help foster student engagement and improve educational outcomes for Aboriginal and Torres Strait Islander students. </w:t>
            </w:r>
          </w:p>
        </w:tc>
        <w:tc>
          <w:tcPr>
            <w:tcW w:w="992" w:type="dxa"/>
            <w:tcBorders>
              <w:top w:val="nil"/>
              <w:left w:val="nil"/>
              <w:bottom w:val="nil"/>
              <w:right w:val="nil"/>
            </w:tcBorders>
            <w:shd w:val="clear" w:color="auto" w:fill="00819C"/>
          </w:tcPr>
          <w:p w14:paraId="07130BF4" w14:textId="77777777" w:rsidR="00EF2BCD" w:rsidRPr="00F072ED" w:rsidRDefault="00EF2BCD" w:rsidP="008E4321">
            <w:pPr>
              <w:pStyle w:val="BoxHeading1"/>
            </w:pPr>
          </w:p>
          <w:p w14:paraId="00BE40F3" w14:textId="77777777" w:rsidR="00EF2BCD" w:rsidRPr="00F072ED" w:rsidRDefault="00EF2BCD" w:rsidP="009342D8">
            <w:pPr>
              <w:pStyle w:val="Box"/>
              <w:spacing w:before="720" w:after="120"/>
              <w:jc w:val="center"/>
              <w:rPr>
                <w:b/>
                <w:sz w:val="30"/>
                <w:szCs w:val="30"/>
              </w:rPr>
            </w:pPr>
            <w:r w:rsidRPr="005254A0">
              <w:rPr>
                <w:b/>
                <w:color w:val="FFFFFF" w:themeColor="background1"/>
                <w:sz w:val="30"/>
                <w:szCs w:val="30"/>
              </w:rPr>
              <w:t>Data gap</w:t>
            </w:r>
          </w:p>
        </w:tc>
        <w:tc>
          <w:tcPr>
            <w:tcW w:w="3827" w:type="dxa"/>
            <w:tcBorders>
              <w:top w:val="nil"/>
              <w:left w:val="nil"/>
              <w:bottom w:val="nil"/>
              <w:right w:val="nil"/>
            </w:tcBorders>
            <w:shd w:val="clear" w:color="auto" w:fill="F2F2F2"/>
          </w:tcPr>
          <w:p w14:paraId="1DCE4B53" w14:textId="77777777" w:rsidR="008528B1" w:rsidRPr="00F072ED" w:rsidRDefault="008528B1" w:rsidP="008528B1">
            <w:pPr>
              <w:pStyle w:val="Box"/>
            </w:pPr>
            <w:r w:rsidRPr="00F072ED">
              <w:t>T</w:t>
            </w:r>
            <w:r w:rsidR="007A391C">
              <w:t>here is currently no nationally-</w:t>
            </w:r>
            <w:r w:rsidRPr="00F072ED">
              <w:t>agreed measure of teacher quality.</w:t>
            </w:r>
          </w:p>
          <w:p w14:paraId="0E2C669B" w14:textId="481E3539" w:rsidR="00EF2BCD" w:rsidRPr="00F072ED" w:rsidRDefault="004E25FB" w:rsidP="005B077E">
            <w:pPr>
              <w:pStyle w:val="Box"/>
            </w:pPr>
            <w:r w:rsidRPr="004E25FB">
              <w:t>The More Aboriginal and Torres Strait Islander Teachers Initiative (</w:t>
            </w:r>
            <w:proofErr w:type="spellStart"/>
            <w:r w:rsidRPr="004E25FB">
              <w:t>MATSITI</w:t>
            </w:r>
            <w:proofErr w:type="spellEnd"/>
            <w:r w:rsidRPr="004E25FB">
              <w:t xml:space="preserve">) found that there were 3100 Aboriginal and Torres Strait Islander school teachers nationally in 2015, </w:t>
            </w:r>
            <w:r w:rsidR="005B077E">
              <w:t>a net increase of</w:t>
            </w:r>
            <w:r w:rsidRPr="004E25FB">
              <w:t xml:space="preserve"> 439</w:t>
            </w:r>
            <w:r w:rsidR="00143FA8">
              <w:t> </w:t>
            </w:r>
            <w:r w:rsidRPr="004E25FB">
              <w:t xml:space="preserve">teachers </w:t>
            </w:r>
            <w:r w:rsidR="005B077E">
              <w:t>from</w:t>
            </w:r>
            <w:r w:rsidRPr="004E25FB">
              <w:t xml:space="preserve"> 2012</w:t>
            </w:r>
            <w:r w:rsidR="008528B1" w:rsidRPr="00F072ED">
              <w:t>.</w:t>
            </w:r>
            <w:r>
              <w:t xml:space="preserve"> Of these teachers, 83 per cent were classroom teachers, 7 per cent were deputy principals and 3 per cent were principals.</w:t>
            </w:r>
          </w:p>
        </w:tc>
      </w:tr>
      <w:tr w:rsidR="00037871" w:rsidRPr="00037871" w14:paraId="6ED109AB" w14:textId="77777777" w:rsidTr="00E929ED">
        <w:trPr>
          <w:cantSplit/>
        </w:trPr>
        <w:tc>
          <w:tcPr>
            <w:tcW w:w="8789" w:type="dxa"/>
            <w:gridSpan w:val="3"/>
            <w:tcBorders>
              <w:top w:val="nil"/>
              <w:left w:val="nil"/>
              <w:bottom w:val="nil"/>
              <w:right w:val="nil"/>
            </w:tcBorders>
            <w:shd w:val="clear" w:color="auto" w:fill="F2F2F2"/>
          </w:tcPr>
          <w:p w14:paraId="4CEB02A3" w14:textId="77777777" w:rsidR="008528B1" w:rsidRPr="00F072ED" w:rsidRDefault="008528B1" w:rsidP="00BB504E">
            <w:pPr>
              <w:pStyle w:val="Box"/>
              <w:rPr>
                <w:i/>
              </w:rPr>
            </w:pPr>
            <w:r w:rsidRPr="006C1699">
              <w:rPr>
                <w:i/>
              </w:rPr>
              <w:t>There is currently no nationally</w:t>
            </w:r>
            <w:r w:rsidR="00542F1B" w:rsidRPr="006C1699">
              <w:rPr>
                <w:i/>
              </w:rPr>
              <w:t>-</w:t>
            </w:r>
            <w:r w:rsidRPr="006C1699">
              <w:rPr>
                <w:i/>
              </w:rPr>
              <w:t xml:space="preserve">agreed measure of teacher quality. </w:t>
            </w:r>
          </w:p>
        </w:tc>
      </w:tr>
      <w:tr w:rsidR="00037871" w:rsidRPr="00037871" w14:paraId="3EC9485E" w14:textId="77777777" w:rsidTr="00E929ED">
        <w:trPr>
          <w:cantSplit/>
        </w:trPr>
        <w:tc>
          <w:tcPr>
            <w:tcW w:w="8789" w:type="dxa"/>
            <w:gridSpan w:val="3"/>
            <w:tcBorders>
              <w:top w:val="nil"/>
              <w:left w:val="nil"/>
              <w:bottom w:val="single" w:sz="6" w:space="0" w:color="78A22F"/>
              <w:right w:val="nil"/>
            </w:tcBorders>
            <w:shd w:val="clear" w:color="auto" w:fill="F2F2F2"/>
          </w:tcPr>
          <w:p w14:paraId="646CD8E2" w14:textId="77777777" w:rsidR="00EF2BCD" w:rsidRPr="00037871" w:rsidRDefault="00EF2BCD" w:rsidP="008E4321">
            <w:pPr>
              <w:pStyle w:val="Box"/>
              <w:spacing w:before="0" w:line="120" w:lineRule="exact"/>
              <w:rPr>
                <w:color w:val="00B050"/>
              </w:rPr>
            </w:pPr>
          </w:p>
        </w:tc>
      </w:tr>
      <w:tr w:rsidR="00037871" w:rsidRPr="00037871" w14:paraId="11A9F675" w14:textId="77777777" w:rsidTr="00E929ED">
        <w:tc>
          <w:tcPr>
            <w:tcW w:w="8789" w:type="dxa"/>
            <w:gridSpan w:val="3"/>
            <w:tcBorders>
              <w:top w:val="single" w:sz="6" w:space="0" w:color="78A22F"/>
              <w:left w:val="nil"/>
              <w:bottom w:val="nil"/>
              <w:right w:val="nil"/>
            </w:tcBorders>
          </w:tcPr>
          <w:p w14:paraId="4AEA1810" w14:textId="77777777" w:rsidR="00EF2BCD" w:rsidRPr="00037871" w:rsidRDefault="00EF2BCD" w:rsidP="008E4321">
            <w:pPr>
              <w:pStyle w:val="BoxSpaceBelow"/>
              <w:rPr>
                <w:color w:val="00B050"/>
              </w:rPr>
            </w:pPr>
          </w:p>
        </w:tc>
      </w:tr>
    </w:tbl>
    <w:p w14:paraId="40609569" w14:textId="77777777" w:rsidR="00EF2BCD" w:rsidRPr="00037871" w:rsidRDefault="00EF2BCD" w:rsidP="00EF2BCD">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35D9869E" w14:textId="77777777" w:rsidTr="00E929ED">
        <w:tc>
          <w:tcPr>
            <w:tcW w:w="8789" w:type="dxa"/>
            <w:gridSpan w:val="3"/>
            <w:tcBorders>
              <w:top w:val="single" w:sz="6" w:space="0" w:color="78A22F"/>
              <w:left w:val="nil"/>
              <w:bottom w:val="nil"/>
              <w:right w:val="nil"/>
            </w:tcBorders>
            <w:shd w:val="clear" w:color="auto" w:fill="F2F2F2"/>
          </w:tcPr>
          <w:p w14:paraId="5450ABBE" w14:textId="77777777" w:rsidR="00EF2BCD" w:rsidRPr="007240DD" w:rsidRDefault="00EF2BCD" w:rsidP="004D61CE">
            <w:pPr>
              <w:pStyle w:val="BoxTitle"/>
              <w:spacing w:after="120"/>
            </w:pPr>
            <w:r w:rsidRPr="004D61CE">
              <w:rPr>
                <w:color w:val="000000" w:themeColor="text1"/>
              </w:rPr>
              <w:t>7.</w:t>
            </w:r>
            <w:r w:rsidR="004D61CE" w:rsidRPr="004D61CE">
              <w:rPr>
                <w:color w:val="000000" w:themeColor="text1"/>
              </w:rPr>
              <w:t>2</w:t>
            </w:r>
            <w:r w:rsidRPr="004D61CE">
              <w:rPr>
                <w:color w:val="000000" w:themeColor="text1"/>
              </w:rPr>
              <w:tab/>
              <w:t>School engagement</w:t>
            </w:r>
          </w:p>
        </w:tc>
      </w:tr>
      <w:tr w:rsidR="00037871" w:rsidRPr="00037871" w14:paraId="21D8F814" w14:textId="77777777" w:rsidTr="00B04347">
        <w:trPr>
          <w:cantSplit/>
        </w:trPr>
        <w:tc>
          <w:tcPr>
            <w:tcW w:w="3970" w:type="dxa"/>
            <w:tcBorders>
              <w:top w:val="nil"/>
              <w:left w:val="nil"/>
              <w:bottom w:val="nil"/>
              <w:right w:val="nil"/>
            </w:tcBorders>
            <w:shd w:val="clear" w:color="auto" w:fill="F2F2F2"/>
          </w:tcPr>
          <w:p w14:paraId="652E247E" w14:textId="363AEAD0" w:rsidR="007935C2" w:rsidRDefault="007935C2" w:rsidP="008E4321">
            <w:pPr>
              <w:pStyle w:val="Box"/>
            </w:pPr>
            <w:r>
              <w:t>School engagement is more than just attendance.</w:t>
            </w:r>
          </w:p>
          <w:p w14:paraId="750E3921" w14:textId="5375D5DE" w:rsidR="007935C2" w:rsidRPr="005000A8" w:rsidRDefault="007935C2" w:rsidP="008E4321">
            <w:pPr>
              <w:pStyle w:val="Box"/>
            </w:pPr>
            <w:r w:rsidRPr="005000A8">
              <w:t xml:space="preserve">Research suggests that school engagement is made up of three main elements: </w:t>
            </w:r>
            <w:r>
              <w:t>behavioural, emotional and cognitive engagement</w:t>
            </w:r>
            <w:r w:rsidRPr="005000A8">
              <w:t>.</w:t>
            </w:r>
          </w:p>
        </w:tc>
        <w:tc>
          <w:tcPr>
            <w:tcW w:w="992" w:type="dxa"/>
            <w:tcBorders>
              <w:top w:val="nil"/>
              <w:left w:val="nil"/>
              <w:bottom w:val="nil"/>
              <w:right w:val="nil"/>
            </w:tcBorders>
            <w:shd w:val="clear" w:color="auto" w:fill="00819C"/>
          </w:tcPr>
          <w:p w14:paraId="1D89A931" w14:textId="77777777" w:rsidR="00FD58C1" w:rsidRDefault="00FD58C1" w:rsidP="008E4321">
            <w:pPr>
              <w:pStyle w:val="Box"/>
              <w:jc w:val="center"/>
              <w:rPr>
                <w:b/>
                <w:sz w:val="30"/>
                <w:szCs w:val="30"/>
              </w:rPr>
            </w:pPr>
          </w:p>
          <w:p w14:paraId="452C7BD1" w14:textId="77777777" w:rsidR="00FD58C1" w:rsidRDefault="00FD58C1" w:rsidP="008E4321">
            <w:pPr>
              <w:pStyle w:val="Box"/>
              <w:jc w:val="center"/>
              <w:rPr>
                <w:b/>
                <w:sz w:val="30"/>
                <w:szCs w:val="30"/>
              </w:rPr>
            </w:pPr>
          </w:p>
          <w:p w14:paraId="3DB2B01C" w14:textId="77777777" w:rsidR="00EF2BCD" w:rsidRPr="005000A8" w:rsidRDefault="00EF2BCD" w:rsidP="009342D8">
            <w:pPr>
              <w:pStyle w:val="Box"/>
              <w:spacing w:before="0" w:after="120"/>
              <w:jc w:val="center"/>
              <w:rPr>
                <w:b/>
                <w:sz w:val="30"/>
                <w:szCs w:val="30"/>
              </w:rPr>
            </w:pPr>
            <w:r w:rsidRPr="005254A0">
              <w:rPr>
                <w:b/>
                <w:color w:val="FFFFFF" w:themeColor="background1"/>
                <w:sz w:val="30"/>
                <w:szCs w:val="30"/>
              </w:rPr>
              <w:t>Data gap</w:t>
            </w:r>
          </w:p>
        </w:tc>
        <w:tc>
          <w:tcPr>
            <w:tcW w:w="3827" w:type="dxa"/>
            <w:tcBorders>
              <w:top w:val="nil"/>
              <w:left w:val="nil"/>
              <w:bottom w:val="nil"/>
              <w:right w:val="nil"/>
            </w:tcBorders>
            <w:shd w:val="clear" w:color="auto" w:fill="F2F2F2"/>
          </w:tcPr>
          <w:p w14:paraId="0B1AE53C" w14:textId="389FE39B" w:rsidR="004E25FB" w:rsidRPr="005000A8" w:rsidRDefault="00FD58C1" w:rsidP="008D237D">
            <w:pPr>
              <w:pStyle w:val="Box"/>
            </w:pPr>
            <w:r>
              <w:t xml:space="preserve">Aspects measured in this </w:t>
            </w:r>
            <w:r w:rsidR="00662EA0">
              <w:t xml:space="preserve">Report </w:t>
            </w:r>
            <w:r>
              <w:t>include attendance (a</w:t>
            </w:r>
            <w:r w:rsidR="004E25FB">
              <w:t>spect of behavioural engagement</w:t>
            </w:r>
            <w:r>
              <w:t>)</w:t>
            </w:r>
            <w:r w:rsidR="00B66EB8" w:rsidRPr="005000A8">
              <w:t xml:space="preserve"> in section 4.5 </w:t>
            </w:r>
            <w:r>
              <w:t xml:space="preserve">and </w:t>
            </w:r>
            <w:r w:rsidR="004E25FB">
              <w:t>sense of belonging</w:t>
            </w:r>
            <w:r>
              <w:t xml:space="preserve"> (aspect of emotional engagement)</w:t>
            </w:r>
            <w:r w:rsidR="004E25FB">
              <w:t xml:space="preserve">. Data show that Aboriginal and Torres Strait </w:t>
            </w:r>
            <w:r w:rsidR="00D15136">
              <w:t>I</w:t>
            </w:r>
            <w:r w:rsidR="004E25FB">
              <w:t>slander students</w:t>
            </w:r>
            <w:r w:rsidR="008D237D">
              <w:t>’</w:t>
            </w:r>
            <w:r w:rsidR="004E25FB">
              <w:t xml:space="preserve"> and non-Indigenous students</w:t>
            </w:r>
            <w:r w:rsidR="008D237D">
              <w:t>’</w:t>
            </w:r>
            <w:r w:rsidR="004E25FB">
              <w:t xml:space="preserve"> sense of belonging at school has been decreasing since 2003. </w:t>
            </w:r>
          </w:p>
        </w:tc>
      </w:tr>
      <w:tr w:rsidR="00037871" w:rsidRPr="00037871" w14:paraId="12704205" w14:textId="77777777" w:rsidTr="00E929ED">
        <w:trPr>
          <w:cantSplit/>
        </w:trPr>
        <w:tc>
          <w:tcPr>
            <w:tcW w:w="8789" w:type="dxa"/>
            <w:gridSpan w:val="3"/>
            <w:tcBorders>
              <w:top w:val="nil"/>
              <w:left w:val="nil"/>
              <w:bottom w:val="nil"/>
              <w:right w:val="nil"/>
            </w:tcBorders>
            <w:shd w:val="clear" w:color="auto" w:fill="F2F2F2"/>
          </w:tcPr>
          <w:p w14:paraId="1BB1E378" w14:textId="77777777" w:rsidR="0089750B" w:rsidRPr="005000A8" w:rsidRDefault="0089750B" w:rsidP="00BB504E">
            <w:pPr>
              <w:pStyle w:val="Box"/>
              <w:rPr>
                <w:i/>
              </w:rPr>
            </w:pPr>
            <w:r w:rsidRPr="005000A8">
              <w:rPr>
                <w:i/>
              </w:rPr>
              <w:t xml:space="preserve">There is </w:t>
            </w:r>
            <w:r w:rsidR="00B66EB8" w:rsidRPr="005000A8">
              <w:rPr>
                <w:i/>
              </w:rPr>
              <w:t xml:space="preserve">currently </w:t>
            </w:r>
            <w:r w:rsidRPr="005000A8">
              <w:rPr>
                <w:i/>
              </w:rPr>
              <w:t>no nationally</w:t>
            </w:r>
            <w:r w:rsidR="00B66EB8" w:rsidRPr="005000A8">
              <w:rPr>
                <w:i/>
              </w:rPr>
              <w:t>-</w:t>
            </w:r>
            <w:r w:rsidRPr="005000A8">
              <w:rPr>
                <w:i/>
              </w:rPr>
              <w:t>agreed definition of school engagement</w:t>
            </w:r>
            <w:r w:rsidR="005B25B5" w:rsidRPr="005000A8">
              <w:rPr>
                <w:i/>
              </w:rPr>
              <w:t xml:space="preserve"> and hence no agreed measure</w:t>
            </w:r>
            <w:r w:rsidRPr="005000A8">
              <w:rPr>
                <w:i/>
              </w:rPr>
              <w:t xml:space="preserve">. </w:t>
            </w:r>
          </w:p>
        </w:tc>
      </w:tr>
      <w:tr w:rsidR="00037871" w:rsidRPr="00037871" w14:paraId="4EFE5DCF" w14:textId="77777777" w:rsidTr="00E929ED">
        <w:trPr>
          <w:cantSplit/>
        </w:trPr>
        <w:tc>
          <w:tcPr>
            <w:tcW w:w="8789" w:type="dxa"/>
            <w:gridSpan w:val="3"/>
            <w:tcBorders>
              <w:top w:val="nil"/>
              <w:left w:val="nil"/>
              <w:bottom w:val="single" w:sz="6" w:space="0" w:color="78A22F"/>
              <w:right w:val="nil"/>
            </w:tcBorders>
            <w:shd w:val="clear" w:color="auto" w:fill="F2F2F2"/>
          </w:tcPr>
          <w:p w14:paraId="12E3FA19" w14:textId="77777777" w:rsidR="00EF2BCD" w:rsidRPr="00037871" w:rsidRDefault="00EF2BCD" w:rsidP="008E4321">
            <w:pPr>
              <w:pStyle w:val="Box"/>
              <w:spacing w:before="0" w:line="120" w:lineRule="exact"/>
              <w:rPr>
                <w:color w:val="00B050"/>
              </w:rPr>
            </w:pPr>
          </w:p>
        </w:tc>
      </w:tr>
      <w:tr w:rsidR="00037871" w:rsidRPr="00037871" w14:paraId="3078594E" w14:textId="77777777" w:rsidTr="00E929ED">
        <w:tc>
          <w:tcPr>
            <w:tcW w:w="8789" w:type="dxa"/>
            <w:gridSpan w:val="3"/>
            <w:tcBorders>
              <w:top w:val="single" w:sz="6" w:space="0" w:color="78A22F"/>
              <w:left w:val="nil"/>
              <w:bottom w:val="nil"/>
              <w:right w:val="nil"/>
            </w:tcBorders>
          </w:tcPr>
          <w:p w14:paraId="0F61A80B" w14:textId="77777777" w:rsidR="00EF2BCD" w:rsidRPr="00037871" w:rsidRDefault="00EF2BCD" w:rsidP="008E4321">
            <w:pPr>
              <w:pStyle w:val="BoxSpaceBelow"/>
              <w:rPr>
                <w:color w:val="00B050"/>
              </w:rPr>
            </w:pPr>
          </w:p>
        </w:tc>
      </w:tr>
    </w:tbl>
    <w:p w14:paraId="1406DEBA" w14:textId="77777777" w:rsidR="00EF2BCD" w:rsidRPr="00037871" w:rsidRDefault="00EF2BCD" w:rsidP="00EF2BCD">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6FEA84DC" w14:textId="77777777" w:rsidTr="00E929ED">
        <w:tc>
          <w:tcPr>
            <w:tcW w:w="8789" w:type="dxa"/>
            <w:gridSpan w:val="3"/>
            <w:tcBorders>
              <w:top w:val="single" w:sz="6" w:space="0" w:color="78A22F"/>
              <w:left w:val="nil"/>
              <w:bottom w:val="nil"/>
              <w:right w:val="nil"/>
            </w:tcBorders>
            <w:shd w:val="clear" w:color="auto" w:fill="F2F2F2"/>
          </w:tcPr>
          <w:p w14:paraId="669B53CB" w14:textId="77777777" w:rsidR="00EF2BCD" w:rsidRPr="004D61CE" w:rsidRDefault="00EF2BCD" w:rsidP="004D61CE">
            <w:pPr>
              <w:pStyle w:val="BoxTitle"/>
              <w:spacing w:after="120"/>
              <w:rPr>
                <w:color w:val="000000" w:themeColor="text1"/>
              </w:rPr>
            </w:pPr>
            <w:r w:rsidRPr="004D61CE">
              <w:rPr>
                <w:color w:val="000000" w:themeColor="text1"/>
              </w:rPr>
              <w:t>7.</w:t>
            </w:r>
            <w:r w:rsidR="004D61CE" w:rsidRPr="004D61CE">
              <w:rPr>
                <w:color w:val="000000" w:themeColor="text1"/>
              </w:rPr>
              <w:t>3</w:t>
            </w:r>
            <w:r w:rsidRPr="004D61CE">
              <w:rPr>
                <w:color w:val="000000" w:themeColor="text1"/>
              </w:rPr>
              <w:tab/>
              <w:t>Transition from school to work</w:t>
            </w:r>
          </w:p>
        </w:tc>
      </w:tr>
      <w:tr w:rsidR="00037871" w:rsidRPr="00037871" w14:paraId="576463AD" w14:textId="77777777" w:rsidTr="00237AD4">
        <w:trPr>
          <w:cantSplit/>
        </w:trPr>
        <w:tc>
          <w:tcPr>
            <w:tcW w:w="3970" w:type="dxa"/>
            <w:tcBorders>
              <w:top w:val="nil"/>
              <w:left w:val="nil"/>
              <w:bottom w:val="nil"/>
              <w:right w:val="nil"/>
            </w:tcBorders>
            <w:shd w:val="clear" w:color="auto" w:fill="F2F2F2"/>
          </w:tcPr>
          <w:p w14:paraId="4A16915F" w14:textId="64EA6580" w:rsidR="002262AA" w:rsidRPr="00D1080E" w:rsidRDefault="002729D8" w:rsidP="008E4321">
            <w:pPr>
              <w:pStyle w:val="Box"/>
            </w:pPr>
            <w:r w:rsidRPr="002729D8">
              <w:t>The successful transition of young people from school to further education, training and employment is important for establishing and maintaining social connections, and for their economic prospects and health and wellbeing</w:t>
            </w:r>
            <w:r w:rsidR="0089750B" w:rsidRPr="00D1080E">
              <w:t>.</w:t>
            </w:r>
          </w:p>
        </w:tc>
        <w:tc>
          <w:tcPr>
            <w:tcW w:w="992" w:type="dxa"/>
            <w:tcBorders>
              <w:top w:val="nil"/>
              <w:left w:val="nil"/>
              <w:bottom w:val="nil"/>
              <w:right w:val="nil"/>
            </w:tcBorders>
            <w:shd w:val="clear" w:color="auto" w:fill="DA9C13"/>
          </w:tcPr>
          <w:p w14:paraId="7E44B67E" w14:textId="73309900" w:rsidR="00EF2BCD" w:rsidRPr="002A0EC7" w:rsidRDefault="002729D8" w:rsidP="009342D8">
            <w:pPr>
              <w:pStyle w:val="BoxHeading1"/>
              <w:spacing w:before="360" w:line="240" w:lineRule="auto"/>
              <w:jc w:val="center"/>
              <w:rPr>
                <w:bCs/>
              </w:rPr>
            </w:pPr>
            <w:r w:rsidRPr="002A0EC7">
              <w:rPr>
                <w:bCs/>
                <w:color w:val="FFFFFF" w:themeColor="background1"/>
                <w:sz w:val="48"/>
                <w:szCs w:val="48"/>
              </w:rPr>
              <w:t>_</w:t>
            </w:r>
          </w:p>
        </w:tc>
        <w:tc>
          <w:tcPr>
            <w:tcW w:w="3827" w:type="dxa"/>
            <w:tcBorders>
              <w:top w:val="nil"/>
              <w:left w:val="nil"/>
              <w:bottom w:val="nil"/>
              <w:right w:val="nil"/>
            </w:tcBorders>
            <w:shd w:val="clear" w:color="auto" w:fill="F2F2F2"/>
          </w:tcPr>
          <w:p w14:paraId="2D19F1F7" w14:textId="29C77BF0" w:rsidR="00EF2BCD" w:rsidRPr="00D1080E" w:rsidRDefault="0089750B" w:rsidP="00FD58C1">
            <w:pPr>
              <w:pStyle w:val="Box"/>
            </w:pPr>
            <w:r w:rsidRPr="00D1080E">
              <w:t>The proportion of Aboriginal and Torres Strait Islander 17</w:t>
            </w:r>
            <w:r w:rsidR="00096D98" w:rsidRPr="00D1080E">
              <w:t>–</w:t>
            </w:r>
            <w:r w:rsidRPr="00D1080E">
              <w:t xml:space="preserve">24 year olds participating in </w:t>
            </w:r>
            <w:r w:rsidR="00096D98" w:rsidRPr="00D1080E">
              <w:t xml:space="preserve">post-school </w:t>
            </w:r>
            <w:r w:rsidRPr="00D1080E">
              <w:t xml:space="preserve">education, training or employment </w:t>
            </w:r>
            <w:r w:rsidR="002729D8">
              <w:t xml:space="preserve">was 36 </w:t>
            </w:r>
            <w:r w:rsidRPr="0057529E">
              <w:t>per cent</w:t>
            </w:r>
            <w:r w:rsidRPr="00D1080E">
              <w:t xml:space="preserve"> in 201</w:t>
            </w:r>
            <w:r w:rsidR="002729D8">
              <w:t>8</w:t>
            </w:r>
            <w:r w:rsidRPr="00D1080E">
              <w:t>-1</w:t>
            </w:r>
            <w:r w:rsidR="002729D8">
              <w:t>9, similar to 2002</w:t>
            </w:r>
            <w:r w:rsidRPr="00D1080E">
              <w:t xml:space="preserve">. </w:t>
            </w:r>
          </w:p>
        </w:tc>
      </w:tr>
      <w:tr w:rsidR="00037871" w:rsidRPr="00037871" w14:paraId="51F9F591" w14:textId="77777777" w:rsidTr="00E929ED">
        <w:trPr>
          <w:cantSplit/>
        </w:trPr>
        <w:tc>
          <w:tcPr>
            <w:tcW w:w="8789" w:type="dxa"/>
            <w:gridSpan w:val="3"/>
            <w:tcBorders>
              <w:top w:val="nil"/>
              <w:left w:val="nil"/>
              <w:bottom w:val="nil"/>
              <w:right w:val="nil"/>
            </w:tcBorders>
            <w:shd w:val="clear" w:color="auto" w:fill="F2F2F2"/>
          </w:tcPr>
          <w:p w14:paraId="4150C09C" w14:textId="16A77F4D" w:rsidR="00EF2BCD" w:rsidRPr="00D1080E" w:rsidRDefault="0089750B" w:rsidP="00D1080E">
            <w:pPr>
              <w:pStyle w:val="BoxHeading1"/>
              <w:rPr>
                <w:rStyle w:val="NoteLabel"/>
                <w:position w:val="0"/>
                <w:sz w:val="20"/>
              </w:rPr>
            </w:pPr>
            <w:r w:rsidRPr="00D1080E">
              <w:t>Proportion of pe</w:t>
            </w:r>
            <w:r w:rsidR="000B18DD" w:rsidRPr="00D1080E">
              <w:t>ople</w:t>
            </w:r>
            <w:r w:rsidRPr="00D1080E">
              <w:t xml:space="preserve"> aged 17–24 year</w:t>
            </w:r>
            <w:r w:rsidR="00096D98" w:rsidRPr="00D1080E">
              <w:t>s who are fully engaged in post-</w:t>
            </w:r>
            <w:r w:rsidRPr="00D1080E">
              <w:t>school education, trai</w:t>
            </w:r>
            <w:r w:rsidR="00CD2D97">
              <w:t>ning or employment, 2002 to 2017–19</w:t>
            </w:r>
            <w:r w:rsidR="00D1080E" w:rsidRPr="00D1080E">
              <w:rPr>
                <w:rStyle w:val="NoteLabel"/>
                <w:b/>
              </w:rPr>
              <w:t>a</w:t>
            </w:r>
          </w:p>
        </w:tc>
      </w:tr>
      <w:tr w:rsidR="00037871" w:rsidRPr="00037871" w14:paraId="49A2A7F2" w14:textId="77777777" w:rsidTr="00EC0AA0">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7D4E8DCB" w14:textId="6026A589" w:rsidR="006263E3" w:rsidRPr="006263E3" w:rsidRDefault="001E0C0D" w:rsidP="00E876D2">
            <w:pPr>
              <w:pStyle w:val="Box"/>
              <w:jc w:val="center"/>
            </w:pPr>
            <w:r w:rsidRPr="001E0C0D">
              <w:rPr>
                <w:noProof/>
              </w:rPr>
              <w:drawing>
                <wp:inline distT="0" distB="0" distL="0" distR="0" wp14:anchorId="5CD04AE2" wp14:editId="45A95D40">
                  <wp:extent cx="5362575" cy="2695575"/>
                  <wp:effectExtent l="0" t="0" r="0" b="0"/>
                  <wp:docPr id="73" name="Picture 73" descr="Proportion of people aged 17-24 years who are fully engaged in post-school education, training or employment, 2002 to 2017-19&#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r w:rsidR="00037871" w:rsidRPr="00037871" w14:paraId="459FE22A" w14:textId="77777777" w:rsidTr="00E929ED">
        <w:trPr>
          <w:cantSplit/>
        </w:trPr>
        <w:tc>
          <w:tcPr>
            <w:tcW w:w="8789" w:type="dxa"/>
            <w:gridSpan w:val="3"/>
            <w:tcBorders>
              <w:top w:val="nil"/>
              <w:left w:val="nil"/>
              <w:bottom w:val="nil"/>
              <w:right w:val="nil"/>
            </w:tcBorders>
            <w:shd w:val="clear" w:color="auto" w:fill="F2F2F2"/>
          </w:tcPr>
          <w:p w14:paraId="0011CADB" w14:textId="2C754894" w:rsidR="00EF2BCD" w:rsidRPr="00D1080E" w:rsidRDefault="00EF2BCD" w:rsidP="008D237D">
            <w:pPr>
              <w:pStyle w:val="Note"/>
            </w:pPr>
            <w:proofErr w:type="spellStart"/>
            <w:r w:rsidRPr="00D1080E">
              <w:rPr>
                <w:rStyle w:val="NoteLabel"/>
              </w:rPr>
              <w:t>a</w:t>
            </w:r>
            <w:proofErr w:type="spellEnd"/>
            <w:r w:rsidRPr="00D1080E">
              <w:rPr>
                <w:rFonts w:ascii="Arial Bold" w:hAnsi="Arial Bold"/>
                <w:b/>
                <w:vertAlign w:val="superscript"/>
              </w:rPr>
              <w:t xml:space="preserve"> </w:t>
            </w:r>
            <w:r w:rsidR="008D237D">
              <w:t>Error bars represent 95 per cent confidence intervals around each proportion</w:t>
            </w:r>
            <w:r w:rsidR="0089750B" w:rsidRPr="00D1080E">
              <w:t>.</w:t>
            </w:r>
            <w:r w:rsidR="00E95F70" w:rsidRPr="00D1080E">
              <w:t xml:space="preserve"> </w:t>
            </w:r>
          </w:p>
        </w:tc>
      </w:tr>
      <w:tr w:rsidR="00037871" w:rsidRPr="00037871" w14:paraId="1AC8C2B0" w14:textId="77777777" w:rsidTr="00E929ED">
        <w:trPr>
          <w:cantSplit/>
        </w:trPr>
        <w:tc>
          <w:tcPr>
            <w:tcW w:w="8789" w:type="dxa"/>
            <w:gridSpan w:val="3"/>
            <w:tcBorders>
              <w:top w:val="nil"/>
              <w:left w:val="nil"/>
              <w:bottom w:val="nil"/>
              <w:right w:val="nil"/>
            </w:tcBorders>
            <w:shd w:val="clear" w:color="auto" w:fill="F2F2F2"/>
          </w:tcPr>
          <w:p w14:paraId="21B43E5A" w14:textId="21728F17" w:rsidR="00EF2BCD" w:rsidRPr="00D1080E" w:rsidRDefault="00EF2BCD" w:rsidP="003D7A8A">
            <w:pPr>
              <w:pStyle w:val="BoxSource"/>
            </w:pPr>
            <w:r w:rsidRPr="00D1080E">
              <w:rPr>
                <w:i/>
              </w:rPr>
              <w:t>Source</w:t>
            </w:r>
            <w:r w:rsidRPr="00D1080E">
              <w:t xml:space="preserve">: </w:t>
            </w:r>
            <w:r w:rsidR="00D1080E" w:rsidRPr="00D1080E">
              <w:t>Figure 7.3</w:t>
            </w:r>
            <w:r w:rsidR="00673E0C" w:rsidRPr="00D1080E">
              <w:t>.</w:t>
            </w:r>
            <w:r w:rsidR="00CD2D97">
              <w:t>1</w:t>
            </w:r>
            <w:r w:rsidR="00673E0C" w:rsidRPr="00D1080E">
              <w:t xml:space="preserve"> in the main </w:t>
            </w:r>
            <w:r w:rsidR="003D7A8A">
              <w:t>R</w:t>
            </w:r>
            <w:r w:rsidR="003D7A8A" w:rsidRPr="00D1080E">
              <w:t>eport</w:t>
            </w:r>
            <w:r w:rsidR="00673E0C" w:rsidRPr="00D1080E">
              <w:t>.</w:t>
            </w:r>
          </w:p>
        </w:tc>
      </w:tr>
      <w:tr w:rsidR="00037871" w:rsidRPr="00037871" w14:paraId="42AD2529" w14:textId="77777777" w:rsidTr="00E929ED">
        <w:trPr>
          <w:cantSplit/>
        </w:trPr>
        <w:tc>
          <w:tcPr>
            <w:tcW w:w="8789" w:type="dxa"/>
            <w:gridSpan w:val="3"/>
            <w:tcBorders>
              <w:top w:val="nil"/>
              <w:left w:val="nil"/>
              <w:bottom w:val="single" w:sz="6" w:space="0" w:color="78A22F"/>
              <w:right w:val="nil"/>
            </w:tcBorders>
            <w:shd w:val="clear" w:color="auto" w:fill="F2F2F2"/>
          </w:tcPr>
          <w:p w14:paraId="22E19210" w14:textId="77777777" w:rsidR="00EF2BCD" w:rsidRPr="00037871" w:rsidRDefault="00EF2BCD" w:rsidP="008E4321">
            <w:pPr>
              <w:pStyle w:val="Box"/>
              <w:spacing w:before="0" w:line="120" w:lineRule="exact"/>
              <w:rPr>
                <w:color w:val="00B050"/>
              </w:rPr>
            </w:pPr>
          </w:p>
        </w:tc>
      </w:tr>
      <w:tr w:rsidR="00037871" w:rsidRPr="00037871" w14:paraId="0DE93B3F" w14:textId="77777777" w:rsidTr="00E929ED">
        <w:tc>
          <w:tcPr>
            <w:tcW w:w="8789" w:type="dxa"/>
            <w:gridSpan w:val="3"/>
            <w:tcBorders>
              <w:top w:val="single" w:sz="6" w:space="0" w:color="78A22F"/>
              <w:left w:val="nil"/>
              <w:bottom w:val="nil"/>
              <w:right w:val="nil"/>
            </w:tcBorders>
          </w:tcPr>
          <w:p w14:paraId="07777C53" w14:textId="77777777" w:rsidR="00EF2BCD" w:rsidRPr="00037871" w:rsidRDefault="00EF2BCD" w:rsidP="008E4321">
            <w:pPr>
              <w:pStyle w:val="BoxSpaceBelow"/>
              <w:rPr>
                <w:color w:val="00B050"/>
              </w:rPr>
            </w:pPr>
          </w:p>
        </w:tc>
      </w:tr>
    </w:tbl>
    <w:p w14:paraId="4792911D" w14:textId="77777777" w:rsidR="000017FD" w:rsidRPr="00320D2D" w:rsidRDefault="000017FD" w:rsidP="000017FD">
      <w:pPr>
        <w:pStyle w:val="BodyText"/>
      </w:pPr>
      <w:r w:rsidRPr="00037871">
        <w:rPr>
          <w:color w:val="00B050"/>
        </w:rPr>
        <w:br w:type="page"/>
      </w:r>
    </w:p>
    <w:p w14:paraId="5CD5EC56" w14:textId="6A21CBE0" w:rsidR="00EF2BCD" w:rsidRPr="004D61CE" w:rsidRDefault="00673E0C" w:rsidP="00673E0C">
      <w:pPr>
        <w:pStyle w:val="Heading2"/>
        <w:rPr>
          <w:color w:val="000000" w:themeColor="text1"/>
        </w:rPr>
      </w:pPr>
      <w:r w:rsidRPr="004D61CE">
        <w:rPr>
          <w:color w:val="000000" w:themeColor="text1"/>
        </w:rPr>
        <w:lastRenderedPageBreak/>
        <w:t xml:space="preserve">Healthy lives </w:t>
      </w:r>
    </w:p>
    <w:p w14:paraId="15D8812D" w14:textId="1AA23C07" w:rsidR="0089750B" w:rsidRDefault="000C0473" w:rsidP="0089750B">
      <w:pPr>
        <w:pStyle w:val="BodyText"/>
        <w:rPr>
          <w:color w:val="000000" w:themeColor="text1"/>
        </w:rPr>
      </w:pPr>
      <w:r w:rsidRPr="000C0473">
        <w:rPr>
          <w:color w:val="000000" w:themeColor="text1"/>
        </w:rPr>
        <w:t xml:space="preserve">Aboriginal and Torres Strait Islander people’s understanding of health is holistic and encompasses physical, mental, </w:t>
      </w:r>
      <w:r w:rsidR="00570FB9" w:rsidRPr="000C0473">
        <w:rPr>
          <w:color w:val="000000" w:themeColor="text1"/>
        </w:rPr>
        <w:t xml:space="preserve">cultural and </w:t>
      </w:r>
      <w:r w:rsidRPr="000C0473">
        <w:rPr>
          <w:color w:val="000000" w:themeColor="text1"/>
        </w:rPr>
        <w:t xml:space="preserve">spiritual health. Good health and wellbeing depends on the network of individuals, family, kin, and community, and it recognises an individual’s connection to land (which is central to wellbeing), culture, spirituality and ancestors. If the harmony of these interrelations is disrupted, it can lead to Aboriginal and Torres Strait Islander </w:t>
      </w:r>
      <w:r w:rsidR="00D15136">
        <w:rPr>
          <w:color w:val="000000" w:themeColor="text1"/>
        </w:rPr>
        <w:t xml:space="preserve">people’s </w:t>
      </w:r>
      <w:r w:rsidRPr="000C0473">
        <w:rPr>
          <w:color w:val="000000" w:themeColor="text1"/>
        </w:rPr>
        <w:t>ill health</w:t>
      </w:r>
      <w:r w:rsidR="0089750B" w:rsidRPr="004D61CE">
        <w:rPr>
          <w:color w:val="000000" w:themeColor="text1"/>
        </w:rPr>
        <w:t>.</w:t>
      </w:r>
    </w:p>
    <w:p w14:paraId="414CE79E" w14:textId="68A70310" w:rsidR="000C0473" w:rsidRPr="004D61CE" w:rsidRDefault="000C0473" w:rsidP="0089750B">
      <w:pPr>
        <w:pStyle w:val="BodyText"/>
        <w:rPr>
          <w:color w:val="000000" w:themeColor="text1"/>
        </w:rPr>
      </w:pPr>
      <w:r w:rsidRPr="000C0473">
        <w:rPr>
          <w:color w:val="000000" w:themeColor="text1"/>
        </w:rPr>
        <w:t>Health outcomes directly affect the quality</w:t>
      </w:r>
      <w:r w:rsidR="00570FB9">
        <w:rPr>
          <w:color w:val="000000" w:themeColor="text1"/>
        </w:rPr>
        <w:t xml:space="preserve"> and length</w:t>
      </w:r>
      <w:r w:rsidRPr="000C0473">
        <w:rPr>
          <w:color w:val="000000" w:themeColor="text1"/>
        </w:rPr>
        <w:t xml:space="preserve"> </w:t>
      </w:r>
      <w:r w:rsidR="00570FB9" w:rsidRPr="000C0473">
        <w:rPr>
          <w:color w:val="000000" w:themeColor="text1"/>
        </w:rPr>
        <w:t>of people’s lives</w:t>
      </w:r>
      <w:r w:rsidRPr="000C0473">
        <w:rPr>
          <w:color w:val="000000" w:themeColor="text1"/>
        </w:rPr>
        <w:t>, including their ability to socialise with family and friends, to participate in the community and to work and earn an income. Physical health outcomes reflect such things as a healthy living environment and access to and use of health and community services. Mental health outcomes are related to a complex range of medical issues, historical and lifestyle factors, and the stressors associated with entrenched disadvantage and drug and substance misuse.</w:t>
      </w:r>
    </w:p>
    <w:p w14:paraId="2DE05E56" w14:textId="77777777" w:rsidR="00673E0C" w:rsidRPr="00037871" w:rsidRDefault="00673E0C" w:rsidP="00673E0C">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4D61CE" w14:paraId="0E80D6EA" w14:textId="77777777" w:rsidTr="00E929ED">
        <w:tc>
          <w:tcPr>
            <w:tcW w:w="8789" w:type="dxa"/>
            <w:gridSpan w:val="3"/>
            <w:tcBorders>
              <w:top w:val="single" w:sz="6" w:space="0" w:color="78A22F"/>
              <w:left w:val="nil"/>
              <w:bottom w:val="nil"/>
              <w:right w:val="nil"/>
            </w:tcBorders>
            <w:shd w:val="clear" w:color="auto" w:fill="F2F2F2"/>
          </w:tcPr>
          <w:p w14:paraId="138FCB8F" w14:textId="77777777" w:rsidR="00673E0C" w:rsidRPr="004D61CE" w:rsidRDefault="00673E0C" w:rsidP="001D480C">
            <w:pPr>
              <w:pStyle w:val="BoxTitle"/>
              <w:spacing w:after="120"/>
              <w:rPr>
                <w:color w:val="000000" w:themeColor="text1"/>
              </w:rPr>
            </w:pPr>
            <w:r w:rsidRPr="004D61CE">
              <w:rPr>
                <w:color w:val="000000" w:themeColor="text1"/>
              </w:rPr>
              <w:t>8.1</w:t>
            </w:r>
            <w:r w:rsidRPr="004D61CE">
              <w:rPr>
                <w:color w:val="000000" w:themeColor="text1"/>
              </w:rPr>
              <w:tab/>
              <w:t>Access to primary health care</w:t>
            </w:r>
          </w:p>
        </w:tc>
      </w:tr>
      <w:tr w:rsidR="00037871" w:rsidRPr="00037871" w14:paraId="33581E47" w14:textId="77777777" w:rsidTr="00237AD4">
        <w:trPr>
          <w:cantSplit/>
        </w:trPr>
        <w:tc>
          <w:tcPr>
            <w:tcW w:w="3970" w:type="dxa"/>
            <w:tcBorders>
              <w:top w:val="nil"/>
              <w:left w:val="nil"/>
              <w:bottom w:val="nil"/>
              <w:right w:val="nil"/>
            </w:tcBorders>
            <w:shd w:val="clear" w:color="auto" w:fill="F2F2F2"/>
          </w:tcPr>
          <w:p w14:paraId="13F2B612" w14:textId="54AB0299" w:rsidR="00570FB9" w:rsidRDefault="00782819" w:rsidP="00570FB9">
            <w:pPr>
              <w:pStyle w:val="Box"/>
            </w:pPr>
            <w:r w:rsidRPr="00782819">
              <w:t>Primary health care is generally the first contact a person has with Australia’s health</w:t>
            </w:r>
            <w:r w:rsidR="00570FB9" w:rsidRPr="00782819">
              <w:t xml:space="preserve"> system</w:t>
            </w:r>
            <w:r w:rsidR="00570FB9">
              <w:t>.</w:t>
            </w:r>
          </w:p>
          <w:p w14:paraId="3C19B358" w14:textId="51795556" w:rsidR="00673E0C" w:rsidRPr="00ED1112" w:rsidRDefault="0089750B" w:rsidP="00D349AA">
            <w:pPr>
              <w:pStyle w:val="Box"/>
            </w:pPr>
            <w:r w:rsidRPr="00ED1112">
              <w:t xml:space="preserve">Access to services is a complex concept, involving sufficient supply of services and the ability and willingness to use </w:t>
            </w:r>
            <w:r w:rsidR="00DD75ED" w:rsidRPr="00ED1112">
              <w:t>them</w:t>
            </w:r>
            <w:r w:rsidRPr="00ED1112">
              <w:t xml:space="preserve"> (which may be influenced by affordability, location and </w:t>
            </w:r>
            <w:r w:rsidR="00D349AA">
              <w:t xml:space="preserve">the </w:t>
            </w:r>
            <w:r w:rsidR="00782819">
              <w:t xml:space="preserve">cultural </w:t>
            </w:r>
            <w:r w:rsidR="00D349AA">
              <w:t>safety</w:t>
            </w:r>
            <w:r w:rsidR="00782819">
              <w:t xml:space="preserve"> of the service</w:t>
            </w:r>
            <w:r w:rsidRPr="00ED1112">
              <w:t>).</w:t>
            </w:r>
          </w:p>
        </w:tc>
        <w:tc>
          <w:tcPr>
            <w:tcW w:w="992" w:type="dxa"/>
            <w:tcBorders>
              <w:top w:val="nil"/>
              <w:left w:val="nil"/>
              <w:bottom w:val="nil"/>
              <w:right w:val="nil"/>
            </w:tcBorders>
            <w:shd w:val="clear" w:color="auto" w:fill="DA9C13"/>
          </w:tcPr>
          <w:p w14:paraId="4101FC21" w14:textId="77777777" w:rsidR="00673E0C" w:rsidRPr="00ED1112" w:rsidRDefault="00673E0C" w:rsidP="002D5A2D">
            <w:pPr>
              <w:pStyle w:val="BoxHeading1"/>
              <w:jc w:val="center"/>
            </w:pPr>
          </w:p>
          <w:p w14:paraId="38AFCFAE" w14:textId="5AA189D8" w:rsidR="00673E0C" w:rsidRPr="002A0EC7" w:rsidRDefault="00673E0C" w:rsidP="009342D8">
            <w:pPr>
              <w:pStyle w:val="Box"/>
              <w:spacing w:before="480"/>
              <w:jc w:val="center"/>
              <w:rPr>
                <w:b/>
                <w:color w:val="FFFFFF" w:themeColor="background1"/>
              </w:rPr>
            </w:pPr>
            <w:r w:rsidRPr="00ED1112">
              <w:br/>
            </w:r>
            <w:r w:rsidR="002D5A2D" w:rsidRPr="002A0EC7">
              <w:rPr>
                <w:b/>
                <w:color w:val="FFFFFF" w:themeColor="background1"/>
                <w:sz w:val="48"/>
                <w:szCs w:val="48"/>
              </w:rPr>
              <w:t>_</w:t>
            </w:r>
          </w:p>
          <w:p w14:paraId="4BBF1EDA" w14:textId="032B19CC" w:rsidR="00673E0C" w:rsidRPr="00ED1112" w:rsidRDefault="00673E0C" w:rsidP="002D5A2D">
            <w:pPr>
              <w:pStyle w:val="Box"/>
              <w:jc w:val="center"/>
              <w:rPr>
                <w:b/>
                <w:sz w:val="48"/>
                <w:szCs w:val="48"/>
              </w:rPr>
            </w:pPr>
          </w:p>
        </w:tc>
        <w:tc>
          <w:tcPr>
            <w:tcW w:w="3827" w:type="dxa"/>
            <w:tcBorders>
              <w:top w:val="nil"/>
              <w:left w:val="nil"/>
              <w:bottom w:val="nil"/>
              <w:right w:val="nil"/>
            </w:tcBorders>
            <w:shd w:val="clear" w:color="auto" w:fill="F2F2F2"/>
          </w:tcPr>
          <w:p w14:paraId="2FDAB1D5" w14:textId="51AD07D5" w:rsidR="0089750B" w:rsidRPr="00ED1112" w:rsidRDefault="002D5A2D" w:rsidP="002D5A2D">
            <w:pPr>
              <w:pStyle w:val="Box"/>
            </w:pPr>
            <w:r>
              <w:t>T</w:t>
            </w:r>
            <w:r w:rsidR="0089750B" w:rsidRPr="00ED1112">
              <w:t xml:space="preserve">he proportion of Aboriginal and Torres Strait Islander </w:t>
            </w:r>
            <w:r w:rsidR="00FD58C1">
              <w:t>people</w:t>
            </w:r>
            <w:r w:rsidR="007A391C">
              <w:t xml:space="preserve"> 15 years </w:t>
            </w:r>
            <w:r w:rsidR="005766FA">
              <w:t>or</w:t>
            </w:r>
            <w:r w:rsidR="007A391C">
              <w:t xml:space="preserve"> </w:t>
            </w:r>
            <w:r w:rsidR="00FD58C1">
              <w:t>over</w:t>
            </w:r>
            <w:r w:rsidR="0089750B" w:rsidRPr="00ED1112">
              <w:t xml:space="preserve"> reporting their health as excellent or very</w:t>
            </w:r>
            <w:r w:rsidR="00570FB9" w:rsidRPr="00ED1112">
              <w:t xml:space="preserve"> good </w:t>
            </w:r>
            <w:r w:rsidR="00570FB9">
              <w:t xml:space="preserve">in 2018-19 </w:t>
            </w:r>
            <w:r w:rsidR="00570FB9" w:rsidRPr="000F0BC8">
              <w:t>(45 per cent) is largely unchanged from 2002</w:t>
            </w:r>
            <w:r w:rsidR="00246612" w:rsidRPr="000F0BC8">
              <w:t xml:space="preserve"> (44 per cent) following a decrease in 2012-13 (39 per cent)</w:t>
            </w:r>
            <w:r w:rsidR="00570FB9" w:rsidRPr="000F0BC8">
              <w:t>.</w:t>
            </w:r>
          </w:p>
          <w:p w14:paraId="73E500AF" w14:textId="250C0890" w:rsidR="00673E0C" w:rsidRPr="00ED1112" w:rsidRDefault="002D5A2D" w:rsidP="00D6019C">
            <w:pPr>
              <w:pStyle w:val="Box"/>
            </w:pPr>
            <w:r>
              <w:t>T</w:t>
            </w:r>
            <w:r w:rsidR="0089750B" w:rsidRPr="00ED1112">
              <w:t xml:space="preserve">he proportion of Aboriginal and Torres Strait Islander adults </w:t>
            </w:r>
            <w:r>
              <w:t xml:space="preserve">in 2018-19 </w:t>
            </w:r>
            <w:r w:rsidR="0089750B" w:rsidRPr="00ED1112">
              <w:t xml:space="preserve">reporting not seeing a </w:t>
            </w:r>
            <w:r>
              <w:t>doctor</w:t>
            </w:r>
            <w:r w:rsidR="0089750B" w:rsidRPr="00ED1112">
              <w:t xml:space="preserve"> in the previous 12</w:t>
            </w:r>
            <w:r w:rsidR="000F0BC8">
              <w:t> </w:t>
            </w:r>
            <w:r w:rsidR="0089750B" w:rsidRPr="00ED1112">
              <w:t>months</w:t>
            </w:r>
            <w:r>
              <w:t xml:space="preserve"> when needed (1</w:t>
            </w:r>
            <w:r w:rsidR="0089750B" w:rsidRPr="00ED1112">
              <w:t>9</w:t>
            </w:r>
            <w:r w:rsidR="00D6019C">
              <w:t> </w:t>
            </w:r>
            <w:r w:rsidR="0089750B" w:rsidRPr="00ED1112">
              <w:t>per cent</w:t>
            </w:r>
            <w:r>
              <w:t>)</w:t>
            </w:r>
            <w:r w:rsidR="0089750B" w:rsidRPr="00ED1112">
              <w:t xml:space="preserve"> </w:t>
            </w:r>
            <w:r>
              <w:t>is largely unchanged from 2012-13.</w:t>
            </w:r>
          </w:p>
        </w:tc>
      </w:tr>
      <w:tr w:rsidR="00037871" w:rsidRPr="00037871" w14:paraId="4E65CABE" w14:textId="77777777" w:rsidTr="00E929ED">
        <w:trPr>
          <w:cantSplit/>
        </w:trPr>
        <w:tc>
          <w:tcPr>
            <w:tcW w:w="8789" w:type="dxa"/>
            <w:gridSpan w:val="3"/>
            <w:tcBorders>
              <w:top w:val="nil"/>
              <w:left w:val="nil"/>
              <w:bottom w:val="single" w:sz="6" w:space="0" w:color="78A22F"/>
              <w:right w:val="nil"/>
            </w:tcBorders>
            <w:shd w:val="clear" w:color="auto" w:fill="F2F2F2"/>
          </w:tcPr>
          <w:p w14:paraId="7CA7DA11" w14:textId="77777777" w:rsidR="00673E0C" w:rsidRPr="00037871" w:rsidRDefault="00673E0C" w:rsidP="008E4321">
            <w:pPr>
              <w:pStyle w:val="Box"/>
              <w:spacing w:before="0" w:line="120" w:lineRule="exact"/>
              <w:rPr>
                <w:color w:val="00B050"/>
              </w:rPr>
            </w:pPr>
          </w:p>
        </w:tc>
      </w:tr>
      <w:tr w:rsidR="00037871" w:rsidRPr="00037871" w14:paraId="0405E3FF" w14:textId="77777777" w:rsidTr="00E929ED">
        <w:tc>
          <w:tcPr>
            <w:tcW w:w="8789" w:type="dxa"/>
            <w:gridSpan w:val="3"/>
            <w:tcBorders>
              <w:top w:val="single" w:sz="6" w:space="0" w:color="78A22F"/>
              <w:left w:val="nil"/>
              <w:bottom w:val="nil"/>
              <w:right w:val="nil"/>
            </w:tcBorders>
          </w:tcPr>
          <w:p w14:paraId="321FAB93" w14:textId="77777777" w:rsidR="00673E0C" w:rsidRPr="00037871" w:rsidRDefault="00673E0C" w:rsidP="008E4321">
            <w:pPr>
              <w:pStyle w:val="BoxSpaceBelow"/>
              <w:rPr>
                <w:color w:val="00B050"/>
              </w:rPr>
            </w:pPr>
          </w:p>
        </w:tc>
      </w:tr>
    </w:tbl>
    <w:p w14:paraId="71086CF3" w14:textId="77777777" w:rsidR="00673E0C" w:rsidRPr="00037871" w:rsidRDefault="00673E0C" w:rsidP="00673E0C">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5A33905E" w14:textId="77777777" w:rsidTr="00E929ED">
        <w:tc>
          <w:tcPr>
            <w:tcW w:w="8789" w:type="dxa"/>
            <w:gridSpan w:val="3"/>
            <w:tcBorders>
              <w:top w:val="single" w:sz="6" w:space="0" w:color="78A22F"/>
              <w:left w:val="nil"/>
              <w:bottom w:val="nil"/>
              <w:right w:val="nil"/>
            </w:tcBorders>
            <w:shd w:val="clear" w:color="auto" w:fill="F2F2F2"/>
          </w:tcPr>
          <w:p w14:paraId="6B4892C5" w14:textId="77777777" w:rsidR="00673E0C" w:rsidRPr="003F36AE" w:rsidRDefault="00673E0C" w:rsidP="005F164A">
            <w:pPr>
              <w:pStyle w:val="BoxTitle"/>
              <w:spacing w:after="120"/>
            </w:pPr>
            <w:r w:rsidRPr="004D61CE">
              <w:rPr>
                <w:color w:val="000000" w:themeColor="text1"/>
              </w:rPr>
              <w:t>8.2</w:t>
            </w:r>
            <w:r w:rsidRPr="004D61CE">
              <w:rPr>
                <w:color w:val="000000" w:themeColor="text1"/>
              </w:rPr>
              <w:tab/>
              <w:t>Potentially preventable hospitalisations</w:t>
            </w:r>
            <w:r w:rsidR="00ED1112">
              <w:rPr>
                <w:color w:val="000000" w:themeColor="text1"/>
              </w:rPr>
              <w:t xml:space="preserve"> </w:t>
            </w:r>
          </w:p>
        </w:tc>
      </w:tr>
      <w:tr w:rsidR="00037871" w:rsidRPr="00037871" w14:paraId="26B7CD85" w14:textId="77777777" w:rsidTr="00237AD4">
        <w:trPr>
          <w:cantSplit/>
        </w:trPr>
        <w:tc>
          <w:tcPr>
            <w:tcW w:w="3970" w:type="dxa"/>
            <w:tcBorders>
              <w:top w:val="nil"/>
              <w:left w:val="nil"/>
              <w:bottom w:val="nil"/>
              <w:right w:val="nil"/>
            </w:tcBorders>
            <w:shd w:val="clear" w:color="auto" w:fill="F2F2F2"/>
          </w:tcPr>
          <w:p w14:paraId="07364948" w14:textId="77777777" w:rsidR="00673E0C" w:rsidRPr="005F164A" w:rsidRDefault="0089750B" w:rsidP="008E4321">
            <w:pPr>
              <w:pStyle w:val="Box"/>
            </w:pPr>
            <w:r w:rsidRPr="005F164A">
              <w:t>Potentially preventable hospitalisations are an indirect measure of adequate primary health care. In many cases, hospital admissions can be prevented if more effective non-hospital care is available, either at an earlier stage in disease progression or as an alternative to hospital care.</w:t>
            </w:r>
          </w:p>
        </w:tc>
        <w:tc>
          <w:tcPr>
            <w:tcW w:w="992" w:type="dxa"/>
            <w:tcBorders>
              <w:top w:val="nil"/>
              <w:left w:val="nil"/>
              <w:bottom w:val="nil"/>
              <w:right w:val="nil"/>
            </w:tcBorders>
            <w:shd w:val="clear" w:color="auto" w:fill="7E7397"/>
          </w:tcPr>
          <w:p w14:paraId="48A60E8C" w14:textId="77777777" w:rsidR="00673E0C" w:rsidRPr="005F164A" w:rsidRDefault="00673E0C" w:rsidP="008E4321">
            <w:pPr>
              <w:pStyle w:val="BoxHeading1"/>
            </w:pPr>
          </w:p>
          <w:p w14:paraId="2E1166A1" w14:textId="77777777" w:rsidR="00673E0C" w:rsidRPr="005F164A" w:rsidRDefault="00AC2FA9" w:rsidP="009342D8">
            <w:pPr>
              <w:pStyle w:val="Box"/>
              <w:spacing w:before="360"/>
              <w:jc w:val="center"/>
              <w:rPr>
                <w:b/>
                <w:sz w:val="48"/>
                <w:szCs w:val="48"/>
              </w:rPr>
            </w:pPr>
            <w:r w:rsidRPr="005254A0">
              <w:rPr>
                <w:b/>
                <w:color w:val="FFFFFF" w:themeColor="background1"/>
                <w:sz w:val="48"/>
                <w:szCs w:val="48"/>
              </w:rPr>
              <w:t>?</w:t>
            </w:r>
          </w:p>
        </w:tc>
        <w:tc>
          <w:tcPr>
            <w:tcW w:w="3827" w:type="dxa"/>
            <w:tcBorders>
              <w:top w:val="nil"/>
              <w:left w:val="nil"/>
              <w:bottom w:val="nil"/>
              <w:right w:val="nil"/>
            </w:tcBorders>
            <w:shd w:val="clear" w:color="auto" w:fill="F2F2F2"/>
          </w:tcPr>
          <w:p w14:paraId="5AAFD629" w14:textId="4422C8F8" w:rsidR="00FB3243" w:rsidRPr="005F164A" w:rsidRDefault="00FB3243" w:rsidP="00FB3243">
            <w:pPr>
              <w:pStyle w:val="Box"/>
            </w:pPr>
            <w:r w:rsidRPr="00FB3243">
              <w:t>For Aboriginal and Torres Strait Islander people</w:t>
            </w:r>
            <w:r>
              <w:t xml:space="preserve">, </w:t>
            </w:r>
            <w:r w:rsidRPr="00FB3243">
              <w:t xml:space="preserve">hospitalisation rates for </w:t>
            </w:r>
            <w:r>
              <w:t xml:space="preserve">potentially preventable </w:t>
            </w:r>
            <w:r w:rsidRPr="00FB3243">
              <w:t>chronic, acute and vaccine-preventable conditions have increased over time.</w:t>
            </w:r>
          </w:p>
        </w:tc>
      </w:tr>
      <w:tr w:rsidR="00037871" w:rsidRPr="00037871" w14:paraId="5C4F2FFE" w14:textId="77777777" w:rsidTr="00E929ED">
        <w:trPr>
          <w:cantSplit/>
        </w:trPr>
        <w:tc>
          <w:tcPr>
            <w:tcW w:w="8789" w:type="dxa"/>
            <w:gridSpan w:val="3"/>
            <w:tcBorders>
              <w:top w:val="nil"/>
              <w:left w:val="nil"/>
              <w:bottom w:val="nil"/>
              <w:right w:val="nil"/>
            </w:tcBorders>
            <w:shd w:val="clear" w:color="auto" w:fill="F2F2F2"/>
          </w:tcPr>
          <w:p w14:paraId="74542CFF" w14:textId="56AE4790" w:rsidR="00673E0C" w:rsidRPr="00C744E3" w:rsidRDefault="00C744E3" w:rsidP="00C26F43">
            <w:pPr>
              <w:pStyle w:val="Box"/>
              <w:rPr>
                <w:i/>
              </w:rPr>
            </w:pPr>
            <w:r w:rsidRPr="00743220">
              <w:rPr>
                <w:i/>
              </w:rPr>
              <w:t>Results for this indicator are difficult to interpret</w:t>
            </w:r>
            <w:r>
              <w:rPr>
                <w:i/>
              </w:rPr>
              <w:t xml:space="preserve">. </w:t>
            </w:r>
            <w:r w:rsidR="00FD58C1">
              <w:rPr>
                <w:i/>
              </w:rPr>
              <w:t>T</w:t>
            </w:r>
            <w:r w:rsidRPr="00C744E3">
              <w:rPr>
                <w:i/>
              </w:rPr>
              <w:t>hese hospi</w:t>
            </w:r>
            <w:r>
              <w:rPr>
                <w:i/>
              </w:rPr>
              <w:t>talisations are a proxy measure</w:t>
            </w:r>
            <w:r w:rsidR="00FD58C1">
              <w:rPr>
                <w:i/>
              </w:rPr>
              <w:t xml:space="preserve"> </w:t>
            </w:r>
            <w:r w:rsidR="00C26F43">
              <w:rPr>
                <w:i/>
              </w:rPr>
              <w:t xml:space="preserve">as </w:t>
            </w:r>
            <w:r w:rsidRPr="00C744E3">
              <w:rPr>
                <w:i/>
              </w:rPr>
              <w:t>increasing hospitalisations for potentially preventable conditions may represent</w:t>
            </w:r>
            <w:r w:rsidR="00C26F43">
              <w:rPr>
                <w:i/>
              </w:rPr>
              <w:t xml:space="preserve"> a lack of access to primary care but could also reflect</w:t>
            </w:r>
            <w:r w:rsidRPr="00C744E3">
              <w:rPr>
                <w:i/>
              </w:rPr>
              <w:t xml:space="preserve"> better access to hospital services</w:t>
            </w:r>
            <w:r>
              <w:rPr>
                <w:i/>
              </w:rPr>
              <w:t>.</w:t>
            </w:r>
          </w:p>
        </w:tc>
      </w:tr>
      <w:tr w:rsidR="00037871" w:rsidRPr="00037871" w14:paraId="0B845AB6" w14:textId="77777777" w:rsidTr="00E929ED">
        <w:trPr>
          <w:cantSplit/>
        </w:trPr>
        <w:tc>
          <w:tcPr>
            <w:tcW w:w="8789" w:type="dxa"/>
            <w:gridSpan w:val="3"/>
            <w:tcBorders>
              <w:top w:val="nil"/>
              <w:left w:val="nil"/>
              <w:bottom w:val="single" w:sz="6" w:space="0" w:color="78A22F"/>
              <w:right w:val="nil"/>
            </w:tcBorders>
            <w:shd w:val="clear" w:color="auto" w:fill="F2F2F2"/>
          </w:tcPr>
          <w:p w14:paraId="64F0F8C4" w14:textId="77777777" w:rsidR="00673E0C" w:rsidRPr="00037871" w:rsidRDefault="00673E0C" w:rsidP="008E4321">
            <w:pPr>
              <w:pStyle w:val="Box"/>
              <w:spacing w:before="0" w:line="120" w:lineRule="exact"/>
              <w:rPr>
                <w:color w:val="00B050"/>
              </w:rPr>
            </w:pPr>
          </w:p>
        </w:tc>
      </w:tr>
      <w:tr w:rsidR="00037871" w:rsidRPr="00037871" w14:paraId="503DA968" w14:textId="77777777" w:rsidTr="00E929ED">
        <w:tc>
          <w:tcPr>
            <w:tcW w:w="8789" w:type="dxa"/>
            <w:gridSpan w:val="3"/>
            <w:tcBorders>
              <w:top w:val="single" w:sz="6" w:space="0" w:color="78A22F"/>
              <w:left w:val="nil"/>
              <w:bottom w:val="nil"/>
              <w:right w:val="nil"/>
            </w:tcBorders>
          </w:tcPr>
          <w:p w14:paraId="6F98B3FB" w14:textId="77777777" w:rsidR="00673E0C" w:rsidRPr="00037871" w:rsidRDefault="00673E0C" w:rsidP="008E4321">
            <w:pPr>
              <w:pStyle w:val="BoxSpaceBelow"/>
              <w:rPr>
                <w:color w:val="00B050"/>
              </w:rPr>
            </w:pPr>
          </w:p>
        </w:tc>
      </w:tr>
    </w:tbl>
    <w:p w14:paraId="6AED9AE6" w14:textId="77777777" w:rsidR="00AC2FA9" w:rsidRPr="00037871" w:rsidRDefault="00AC2FA9" w:rsidP="00AC2FA9">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49750A20" w14:textId="77777777" w:rsidTr="00E929ED">
        <w:tc>
          <w:tcPr>
            <w:tcW w:w="8789" w:type="dxa"/>
            <w:gridSpan w:val="3"/>
            <w:tcBorders>
              <w:top w:val="single" w:sz="6" w:space="0" w:color="78A22F"/>
              <w:left w:val="nil"/>
              <w:bottom w:val="nil"/>
              <w:right w:val="nil"/>
            </w:tcBorders>
            <w:shd w:val="clear" w:color="auto" w:fill="F2F2F2"/>
          </w:tcPr>
          <w:p w14:paraId="385C56A7" w14:textId="77777777" w:rsidR="00AC2FA9" w:rsidRPr="003F36AE" w:rsidRDefault="00AC2FA9" w:rsidP="001D480C">
            <w:pPr>
              <w:pStyle w:val="BoxTitle"/>
              <w:spacing w:after="120"/>
            </w:pPr>
            <w:r w:rsidRPr="004D61CE">
              <w:rPr>
                <w:color w:val="000000" w:themeColor="text1"/>
              </w:rPr>
              <w:t>8.3</w:t>
            </w:r>
            <w:r w:rsidRPr="004D61CE">
              <w:rPr>
                <w:color w:val="000000" w:themeColor="text1"/>
              </w:rPr>
              <w:tab/>
              <w:t>Potentially avoidable deaths</w:t>
            </w:r>
          </w:p>
        </w:tc>
      </w:tr>
      <w:tr w:rsidR="00037871" w:rsidRPr="00037871" w14:paraId="5908BD12" w14:textId="77777777" w:rsidTr="00237AD4">
        <w:trPr>
          <w:cantSplit/>
        </w:trPr>
        <w:tc>
          <w:tcPr>
            <w:tcW w:w="3970" w:type="dxa"/>
            <w:tcBorders>
              <w:top w:val="nil"/>
              <w:left w:val="nil"/>
              <w:bottom w:val="nil"/>
              <w:right w:val="nil"/>
            </w:tcBorders>
            <w:shd w:val="clear" w:color="auto" w:fill="F2F2F2"/>
          </w:tcPr>
          <w:p w14:paraId="2A125614" w14:textId="7B47E653" w:rsidR="00AC2FA9" w:rsidRPr="00B92E1D" w:rsidRDefault="0089750B" w:rsidP="00C744E3">
            <w:pPr>
              <w:pStyle w:val="Box"/>
            </w:pPr>
            <w:r w:rsidRPr="00B92E1D">
              <w:t>Reducing potentially avoidable deaths is a key contributor to</w:t>
            </w:r>
            <w:r w:rsidR="0057529E">
              <w:t xml:space="preserve"> </w:t>
            </w:r>
            <w:r w:rsidR="0057529E" w:rsidRPr="00047B12">
              <w:t>increasing</w:t>
            </w:r>
            <w:r w:rsidRPr="00B92E1D">
              <w:t xml:space="preserve"> life expectancy. </w:t>
            </w:r>
          </w:p>
        </w:tc>
        <w:tc>
          <w:tcPr>
            <w:tcW w:w="992" w:type="dxa"/>
            <w:tcBorders>
              <w:top w:val="nil"/>
              <w:left w:val="nil"/>
              <w:bottom w:val="nil"/>
              <w:right w:val="nil"/>
            </w:tcBorders>
            <w:shd w:val="clear" w:color="auto" w:fill="418A50"/>
          </w:tcPr>
          <w:p w14:paraId="6E93B076" w14:textId="40CF5174" w:rsidR="00AC2FA9" w:rsidRPr="0034662D" w:rsidRDefault="00B42D63" w:rsidP="009342D8">
            <w:pPr>
              <w:pStyle w:val="BoxHeading1"/>
              <w:spacing w:before="600" w:line="240" w:lineRule="auto"/>
              <w:jc w:val="center"/>
            </w:pPr>
            <w:r w:rsidRPr="00B42D63">
              <w:rPr>
                <w:rFonts w:cs="Arial"/>
                <w:noProof/>
                <w:sz w:val="48"/>
                <w:szCs w:val="48"/>
              </w:rPr>
              <mc:AlternateContent>
                <mc:Choice Requires="wpg">
                  <w:drawing>
                    <wp:anchor distT="0" distB="0" distL="114300" distR="114300" simplePos="0" relativeHeight="251767808" behindDoc="0" locked="0" layoutInCell="1" allowOverlap="1" wp14:anchorId="6C74981E" wp14:editId="73C54BD5">
                      <wp:simplePos x="0" y="0"/>
                      <wp:positionH relativeFrom="column">
                        <wp:posOffset>109349</wp:posOffset>
                      </wp:positionH>
                      <wp:positionV relativeFrom="paragraph">
                        <wp:posOffset>368935</wp:posOffset>
                      </wp:positionV>
                      <wp:extent cx="205105" cy="279400"/>
                      <wp:effectExtent l="19050" t="0" r="61595" b="6350"/>
                      <wp:wrapNone/>
                      <wp:docPr id="157"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58" name="Straight Connector 158"/>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59" name="Straight Connector 159"/>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F8115A7" id="Group 2" o:spid="_x0000_s1026" alt="Tick symbol" style="position:absolute;margin-left:8.6pt;margin-top:29.05pt;width:16.15pt;height:22pt;z-index:251767808;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">
                      <v:line id="Straight Connector 158"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" strokecolor="white [3212]" strokeweight="3pt">
                        <o:lock v:ext="edit" shapetype="f"/>
                      </v:line>
                      <v:line id="Straight Connector 159"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" strokecolor="white [3212]" strokeweight="3pt">
                        <o:lock v:ext="edit" shapetype="f"/>
                      </v:line>
                    </v:group>
                  </w:pict>
                </mc:Fallback>
              </mc:AlternateContent>
            </w:r>
          </w:p>
        </w:tc>
        <w:tc>
          <w:tcPr>
            <w:tcW w:w="3827" w:type="dxa"/>
            <w:tcBorders>
              <w:top w:val="nil"/>
              <w:left w:val="nil"/>
              <w:bottom w:val="nil"/>
              <w:right w:val="nil"/>
            </w:tcBorders>
            <w:shd w:val="clear" w:color="auto" w:fill="F2F2F2"/>
          </w:tcPr>
          <w:p w14:paraId="2C8A8478" w14:textId="68C2335C" w:rsidR="00BB504E" w:rsidRPr="00B92E1D" w:rsidRDefault="0089750B" w:rsidP="00C744E3">
            <w:pPr>
              <w:pStyle w:val="Box"/>
            </w:pPr>
            <w:r w:rsidRPr="00B92E1D">
              <w:t>Between 1998 and 201</w:t>
            </w:r>
            <w:r w:rsidR="00C744E3">
              <w:t>8 (</w:t>
            </w:r>
            <w:r w:rsidRPr="00B92E1D">
              <w:t>for</w:t>
            </w:r>
            <w:r w:rsidR="00C744E3">
              <w:t xml:space="preserve"> NSW, Queensland, WA, SA and the NT),</w:t>
            </w:r>
            <w:r w:rsidRPr="00B92E1D">
              <w:t xml:space="preserve"> mortality rates</w:t>
            </w:r>
            <w:r w:rsidR="00C744E3">
              <w:t xml:space="preserve"> for Aboriginal and Torres Strait Islander people</w:t>
            </w:r>
            <w:r w:rsidRPr="00B92E1D">
              <w:t xml:space="preserve"> from potentially avoidable deaths declined </w:t>
            </w:r>
            <w:r w:rsidR="00C744E3">
              <w:t>by 40 per cent</w:t>
            </w:r>
            <w:r w:rsidRPr="00B92E1D">
              <w:t>.</w:t>
            </w:r>
          </w:p>
        </w:tc>
      </w:tr>
      <w:tr w:rsidR="003D56C7" w:rsidRPr="00037871" w14:paraId="52F8A839" w14:textId="77777777" w:rsidTr="00E929ED">
        <w:trPr>
          <w:cantSplit/>
        </w:trPr>
        <w:tc>
          <w:tcPr>
            <w:tcW w:w="8789" w:type="dxa"/>
            <w:gridSpan w:val="3"/>
            <w:tcBorders>
              <w:top w:val="nil"/>
              <w:left w:val="nil"/>
              <w:bottom w:val="nil"/>
              <w:right w:val="nil"/>
            </w:tcBorders>
            <w:shd w:val="clear" w:color="auto" w:fill="F2F2F2"/>
          </w:tcPr>
          <w:p w14:paraId="14671E0D" w14:textId="2B151727" w:rsidR="003D56C7" w:rsidRPr="00B92E1D" w:rsidRDefault="003D56C7" w:rsidP="00662EA0">
            <w:pPr>
              <w:pStyle w:val="BoxHeading1"/>
            </w:pPr>
            <w:r w:rsidRPr="00EE6CEA">
              <w:t>Avoidable mortality</w:t>
            </w:r>
            <w:r>
              <w:t xml:space="preserve"> for Aboriginal and Torres Strait Islander people</w:t>
            </w:r>
            <w:r w:rsidRPr="00EE6CEA">
              <w:t>, NSW, Queensland, WA, SA, and the NT</w:t>
            </w:r>
            <w:r>
              <w:t xml:space="preserve"> combined</w:t>
            </w:r>
            <w:r w:rsidRPr="00EE6CEA">
              <w:t xml:space="preserve">, </w:t>
            </w:r>
            <w:r>
              <w:t xml:space="preserve">by sex, </w:t>
            </w:r>
            <w:r w:rsidRPr="00EE6CEA">
              <w:t>1998 to 2018</w:t>
            </w:r>
            <w:r w:rsidR="003D7A8A">
              <w:t xml:space="preserve"> (age</w:t>
            </w:r>
            <w:r w:rsidR="00662EA0">
              <w:noBreakHyphen/>
            </w:r>
            <w:r w:rsidR="003D7A8A">
              <w:t>standardised)</w:t>
            </w:r>
          </w:p>
        </w:tc>
      </w:tr>
      <w:tr w:rsidR="003D56C7" w:rsidRPr="00037871" w14:paraId="094A7F20" w14:textId="77777777" w:rsidTr="00CB48EB">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6E45DD5F" w14:textId="5BCFC154" w:rsidR="006263E3" w:rsidRPr="006263E3" w:rsidRDefault="001E0C0D" w:rsidP="00CB48EB">
            <w:pPr>
              <w:pStyle w:val="Box"/>
              <w:jc w:val="center"/>
            </w:pPr>
            <w:r w:rsidRPr="001E0C0D">
              <w:rPr>
                <w:noProof/>
              </w:rPr>
              <w:drawing>
                <wp:inline distT="0" distB="0" distL="0" distR="0" wp14:anchorId="779B9FB1" wp14:editId="4C389D2A">
                  <wp:extent cx="5362575" cy="2695575"/>
                  <wp:effectExtent l="0" t="0" r="9525" b="0"/>
                  <wp:docPr id="74" name="Picture 74" descr="Avoidable mortality for Aboriginal and Torres Strait Islander people, NSW, Queensland, WA, SA, and the NT combined, by sex, 1998 to 2018 (age-standardised)&#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r w:rsidR="00037871" w:rsidRPr="00037871" w14:paraId="1B3DFE98" w14:textId="77777777" w:rsidTr="00E929ED">
        <w:trPr>
          <w:cantSplit/>
        </w:trPr>
        <w:tc>
          <w:tcPr>
            <w:tcW w:w="8789" w:type="dxa"/>
            <w:gridSpan w:val="3"/>
            <w:tcBorders>
              <w:top w:val="nil"/>
              <w:left w:val="nil"/>
              <w:bottom w:val="nil"/>
              <w:right w:val="nil"/>
            </w:tcBorders>
            <w:shd w:val="clear" w:color="auto" w:fill="F2F2F2"/>
          </w:tcPr>
          <w:p w14:paraId="7B378032" w14:textId="07012880" w:rsidR="00AC2FA9" w:rsidRPr="00B92E1D" w:rsidRDefault="003D56C7" w:rsidP="003D7A8A">
            <w:pPr>
              <w:pStyle w:val="BoxSource"/>
            </w:pPr>
            <w:r w:rsidRPr="00D1080E">
              <w:rPr>
                <w:i/>
              </w:rPr>
              <w:t>Source</w:t>
            </w:r>
            <w:r w:rsidRPr="00D1080E">
              <w:t xml:space="preserve">: </w:t>
            </w:r>
            <w:r>
              <w:t>Figure 8</w:t>
            </w:r>
            <w:r w:rsidRPr="00D1080E">
              <w:t>.3.</w:t>
            </w:r>
            <w:r>
              <w:t>1</w:t>
            </w:r>
            <w:r w:rsidRPr="00D1080E">
              <w:t xml:space="preserve"> in the main </w:t>
            </w:r>
            <w:r w:rsidR="003D7A8A">
              <w:t>R</w:t>
            </w:r>
            <w:r w:rsidR="003D7A8A" w:rsidRPr="00D1080E">
              <w:t>eport</w:t>
            </w:r>
            <w:r w:rsidRPr="00D1080E">
              <w:t>.</w:t>
            </w:r>
          </w:p>
        </w:tc>
      </w:tr>
      <w:tr w:rsidR="00037871" w:rsidRPr="00037871" w14:paraId="6747A817" w14:textId="77777777" w:rsidTr="00E929ED">
        <w:trPr>
          <w:cantSplit/>
        </w:trPr>
        <w:tc>
          <w:tcPr>
            <w:tcW w:w="8789" w:type="dxa"/>
            <w:gridSpan w:val="3"/>
            <w:tcBorders>
              <w:top w:val="nil"/>
              <w:left w:val="nil"/>
              <w:bottom w:val="single" w:sz="6" w:space="0" w:color="78A22F"/>
              <w:right w:val="nil"/>
            </w:tcBorders>
            <w:shd w:val="clear" w:color="auto" w:fill="F2F2F2"/>
          </w:tcPr>
          <w:p w14:paraId="345CCD95" w14:textId="77777777" w:rsidR="00AC2FA9" w:rsidRPr="00037871" w:rsidRDefault="00AC2FA9" w:rsidP="008E4321">
            <w:pPr>
              <w:pStyle w:val="Box"/>
              <w:spacing w:before="0" w:line="120" w:lineRule="exact"/>
              <w:rPr>
                <w:color w:val="00B050"/>
              </w:rPr>
            </w:pPr>
          </w:p>
        </w:tc>
      </w:tr>
      <w:tr w:rsidR="00037871" w:rsidRPr="00037871" w14:paraId="3483F1F4" w14:textId="77777777" w:rsidTr="00E929ED">
        <w:tc>
          <w:tcPr>
            <w:tcW w:w="8789" w:type="dxa"/>
            <w:gridSpan w:val="3"/>
            <w:tcBorders>
              <w:top w:val="single" w:sz="6" w:space="0" w:color="78A22F"/>
              <w:left w:val="nil"/>
              <w:bottom w:val="nil"/>
              <w:right w:val="nil"/>
            </w:tcBorders>
          </w:tcPr>
          <w:p w14:paraId="430867D3" w14:textId="77777777" w:rsidR="00AC2FA9" w:rsidRPr="00037871" w:rsidRDefault="00AC2FA9" w:rsidP="008E4321">
            <w:pPr>
              <w:pStyle w:val="BoxSpaceBelow"/>
              <w:rPr>
                <w:color w:val="00B050"/>
              </w:rPr>
            </w:pPr>
          </w:p>
        </w:tc>
      </w:tr>
    </w:tbl>
    <w:p w14:paraId="44E5F17C" w14:textId="77777777" w:rsidR="00AC2FA9" w:rsidRPr="00037871" w:rsidRDefault="00AC2FA9" w:rsidP="004F06D2">
      <w:pPr>
        <w:pStyle w:val="BoxSpaceAbove"/>
        <w:ind w:firstLine="720"/>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037871" w14:paraId="4BDD9432" w14:textId="77777777" w:rsidTr="00E929ED">
        <w:tc>
          <w:tcPr>
            <w:tcW w:w="8789" w:type="dxa"/>
            <w:gridSpan w:val="3"/>
            <w:tcBorders>
              <w:top w:val="single" w:sz="6" w:space="0" w:color="78A22F"/>
              <w:left w:val="nil"/>
              <w:bottom w:val="nil"/>
              <w:right w:val="nil"/>
            </w:tcBorders>
            <w:shd w:val="clear" w:color="auto" w:fill="F2F2F2"/>
          </w:tcPr>
          <w:p w14:paraId="446E05B4" w14:textId="77777777" w:rsidR="00AC2FA9" w:rsidRPr="00AD0D0E" w:rsidRDefault="00AC2FA9" w:rsidP="001D480C">
            <w:pPr>
              <w:pStyle w:val="BoxTitle"/>
              <w:spacing w:after="120"/>
              <w:rPr>
                <w:color w:val="000000" w:themeColor="text1"/>
              </w:rPr>
            </w:pPr>
            <w:r w:rsidRPr="00AD0D0E">
              <w:rPr>
                <w:color w:val="000000" w:themeColor="text1"/>
              </w:rPr>
              <w:t>8.4</w:t>
            </w:r>
            <w:r w:rsidRPr="00AD0D0E">
              <w:rPr>
                <w:color w:val="000000" w:themeColor="text1"/>
              </w:rPr>
              <w:tab/>
              <w:t>Tobacco consumption and harm</w:t>
            </w:r>
          </w:p>
        </w:tc>
      </w:tr>
      <w:tr w:rsidR="00037871" w:rsidRPr="00037871" w14:paraId="73C665A5" w14:textId="77777777" w:rsidTr="00237AD4">
        <w:trPr>
          <w:cantSplit/>
        </w:trPr>
        <w:tc>
          <w:tcPr>
            <w:tcW w:w="3970" w:type="dxa"/>
            <w:tcBorders>
              <w:top w:val="nil"/>
              <w:left w:val="nil"/>
              <w:bottom w:val="nil"/>
              <w:right w:val="nil"/>
            </w:tcBorders>
            <w:shd w:val="clear" w:color="auto" w:fill="F2F2F2"/>
          </w:tcPr>
          <w:p w14:paraId="0E8B18C9" w14:textId="0451D859" w:rsidR="00AC2FA9" w:rsidRPr="005357E3" w:rsidRDefault="00C744E3" w:rsidP="00C744E3">
            <w:pPr>
              <w:pStyle w:val="Box"/>
            </w:pPr>
            <w:r w:rsidRPr="00C744E3">
              <w:t>Despite considerable progress in reducing smoking rates, tobacco consumption remains the biggest contributor to the burden of preventable ill health and death for Australian adults.</w:t>
            </w:r>
          </w:p>
        </w:tc>
        <w:tc>
          <w:tcPr>
            <w:tcW w:w="992" w:type="dxa"/>
            <w:tcBorders>
              <w:top w:val="nil"/>
              <w:left w:val="nil"/>
              <w:bottom w:val="nil"/>
              <w:right w:val="nil"/>
            </w:tcBorders>
            <w:shd w:val="clear" w:color="auto" w:fill="418A50"/>
          </w:tcPr>
          <w:p w14:paraId="0942899A" w14:textId="142E14B2" w:rsidR="00AC2FA9" w:rsidRPr="0034662D" w:rsidRDefault="00B42D63" w:rsidP="009342D8">
            <w:pPr>
              <w:pStyle w:val="BoxHeading1"/>
              <w:spacing w:before="360" w:line="240" w:lineRule="auto"/>
              <w:jc w:val="center"/>
            </w:pPr>
            <w:r w:rsidRPr="00B42D63">
              <w:rPr>
                <w:rFonts w:cs="Arial"/>
                <w:noProof/>
                <w:sz w:val="48"/>
                <w:szCs w:val="48"/>
              </w:rPr>
              <mc:AlternateContent>
                <mc:Choice Requires="wpg">
                  <w:drawing>
                    <wp:anchor distT="0" distB="0" distL="114300" distR="114300" simplePos="0" relativeHeight="251769856" behindDoc="0" locked="0" layoutInCell="1" allowOverlap="1" wp14:anchorId="46DCC017" wp14:editId="26C31D4B">
                      <wp:simplePos x="0" y="0"/>
                      <wp:positionH relativeFrom="column">
                        <wp:posOffset>113697</wp:posOffset>
                      </wp:positionH>
                      <wp:positionV relativeFrom="paragraph">
                        <wp:posOffset>563019</wp:posOffset>
                      </wp:positionV>
                      <wp:extent cx="205105" cy="279400"/>
                      <wp:effectExtent l="19050" t="0" r="61595" b="6350"/>
                      <wp:wrapNone/>
                      <wp:docPr id="160"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61" name="Straight Connector 161"/>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2" name="Straight Connector 162"/>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6822A62" id="Group 2" o:spid="_x0000_s1026" alt="Tick symbol" style="position:absolute;margin-left:8.95pt;margin-top:44.35pt;width:16.15pt;height:22pt;z-index:251769856;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">
                      <v:line id="Straight Connector 161"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" strokecolor="white [3212]" strokeweight="3pt">
                        <o:lock v:ext="edit" shapetype="f"/>
                      </v:line>
                      <v:line id="Straight Connector 162"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" strokecolor="white [3212]" strokeweight="3pt">
                        <o:lock v:ext="edit" shapetype="f"/>
                      </v:line>
                    </v:group>
                  </w:pict>
                </mc:Fallback>
              </mc:AlternateContent>
            </w:r>
            <w:r w:rsidR="00AC2FA9" w:rsidRPr="005357E3">
              <w:rPr>
                <w:rFonts w:cs="Arial"/>
                <w:b w:val="0"/>
                <w:sz w:val="48"/>
                <w:szCs w:val="48"/>
              </w:rPr>
              <w:br/>
            </w:r>
          </w:p>
        </w:tc>
        <w:tc>
          <w:tcPr>
            <w:tcW w:w="3827" w:type="dxa"/>
            <w:tcBorders>
              <w:top w:val="nil"/>
              <w:left w:val="nil"/>
              <w:bottom w:val="nil"/>
              <w:right w:val="nil"/>
            </w:tcBorders>
            <w:shd w:val="clear" w:color="auto" w:fill="F2F2F2"/>
          </w:tcPr>
          <w:p w14:paraId="250BC87E" w14:textId="14085B05" w:rsidR="00AC2FA9" w:rsidRDefault="003D56C7" w:rsidP="005357E3">
            <w:pPr>
              <w:pStyle w:val="Box"/>
            </w:pPr>
            <w:r>
              <w:t>Between 2001 and 2018</w:t>
            </w:r>
            <w:r w:rsidR="005357E3" w:rsidRPr="005357E3">
              <w:t>-1</w:t>
            </w:r>
            <w:r>
              <w:t>9</w:t>
            </w:r>
            <w:r w:rsidR="0089750B" w:rsidRPr="005357E3">
              <w:t>, the proportion of Aboriginal and Torres Strait Islander adults who were current daily smokers decreased from 51</w:t>
            </w:r>
            <w:r w:rsidR="005357E3" w:rsidRPr="005357E3">
              <w:t xml:space="preserve"> per cent to 4</w:t>
            </w:r>
            <w:r>
              <w:t>0</w:t>
            </w:r>
            <w:r w:rsidR="00143FA8">
              <w:t> </w:t>
            </w:r>
            <w:r w:rsidR="0089750B" w:rsidRPr="005357E3">
              <w:t xml:space="preserve">per cent. </w:t>
            </w:r>
          </w:p>
          <w:p w14:paraId="5FC716E6" w14:textId="7D3948FA" w:rsidR="003D56C7" w:rsidRPr="005357E3" w:rsidRDefault="003D56C7" w:rsidP="003D56C7">
            <w:pPr>
              <w:pStyle w:val="Box"/>
            </w:pPr>
            <w:r w:rsidRPr="003D56C7">
              <w:t xml:space="preserve">Smoking rates have </w:t>
            </w:r>
            <w:r w:rsidR="00FD58C1">
              <w:t xml:space="preserve">also </w:t>
            </w:r>
            <w:r w:rsidRPr="003D56C7">
              <w:t>decreased for non-Indigenous adults at a similar rate</w:t>
            </w:r>
            <w:r>
              <w:t>, but from a lower base</w:t>
            </w:r>
            <w:r w:rsidRPr="003D56C7">
              <w:t>.</w:t>
            </w:r>
            <w:r>
              <w:t xml:space="preserve"> </w:t>
            </w:r>
          </w:p>
        </w:tc>
      </w:tr>
      <w:tr w:rsidR="00037871" w:rsidRPr="00037871" w14:paraId="003DE2E3" w14:textId="77777777" w:rsidTr="00E929ED">
        <w:trPr>
          <w:cantSplit/>
        </w:trPr>
        <w:tc>
          <w:tcPr>
            <w:tcW w:w="8789" w:type="dxa"/>
            <w:gridSpan w:val="3"/>
            <w:tcBorders>
              <w:top w:val="nil"/>
              <w:left w:val="nil"/>
              <w:bottom w:val="single" w:sz="6" w:space="0" w:color="78A22F"/>
              <w:right w:val="nil"/>
            </w:tcBorders>
            <w:shd w:val="clear" w:color="auto" w:fill="F2F2F2"/>
          </w:tcPr>
          <w:p w14:paraId="4C3DF71D" w14:textId="77777777" w:rsidR="00AC2FA9" w:rsidRPr="00037871" w:rsidRDefault="00AC2FA9" w:rsidP="008E4321">
            <w:pPr>
              <w:pStyle w:val="Box"/>
              <w:spacing w:before="0" w:line="120" w:lineRule="exact"/>
              <w:rPr>
                <w:color w:val="00B050"/>
              </w:rPr>
            </w:pPr>
          </w:p>
        </w:tc>
      </w:tr>
      <w:tr w:rsidR="00037871" w:rsidRPr="00037871" w14:paraId="6AD1E48E" w14:textId="77777777" w:rsidTr="00E929ED">
        <w:tc>
          <w:tcPr>
            <w:tcW w:w="8789" w:type="dxa"/>
            <w:gridSpan w:val="3"/>
            <w:tcBorders>
              <w:top w:val="single" w:sz="6" w:space="0" w:color="78A22F"/>
              <w:left w:val="nil"/>
              <w:bottom w:val="nil"/>
              <w:right w:val="nil"/>
            </w:tcBorders>
          </w:tcPr>
          <w:p w14:paraId="6135DFA7" w14:textId="77777777" w:rsidR="00AC2FA9" w:rsidRPr="00037871" w:rsidRDefault="00AC2FA9" w:rsidP="008E4321">
            <w:pPr>
              <w:pStyle w:val="BoxSpaceBelow"/>
              <w:rPr>
                <w:color w:val="00B050"/>
              </w:rPr>
            </w:pPr>
          </w:p>
        </w:tc>
      </w:tr>
    </w:tbl>
    <w:p w14:paraId="113A107A" w14:textId="77777777" w:rsidR="00AC2FA9" w:rsidRPr="00037871" w:rsidRDefault="00AC2FA9" w:rsidP="00AC2FA9">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AD0D0E" w14:paraId="65260AFC" w14:textId="77777777" w:rsidTr="00E929ED">
        <w:tc>
          <w:tcPr>
            <w:tcW w:w="8789" w:type="dxa"/>
            <w:gridSpan w:val="3"/>
            <w:tcBorders>
              <w:top w:val="single" w:sz="6" w:space="0" w:color="78A22F"/>
              <w:left w:val="nil"/>
              <w:bottom w:val="nil"/>
              <w:right w:val="nil"/>
            </w:tcBorders>
            <w:shd w:val="clear" w:color="auto" w:fill="F2F2F2"/>
          </w:tcPr>
          <w:p w14:paraId="7B96D994" w14:textId="77777777" w:rsidR="00AC2FA9" w:rsidRPr="00AD0D0E" w:rsidRDefault="00AC2FA9" w:rsidP="001D480C">
            <w:pPr>
              <w:pStyle w:val="BoxTitle"/>
              <w:spacing w:after="120"/>
              <w:rPr>
                <w:color w:val="000000" w:themeColor="text1"/>
              </w:rPr>
            </w:pPr>
            <w:r w:rsidRPr="00AD0D0E">
              <w:rPr>
                <w:color w:val="000000" w:themeColor="text1"/>
              </w:rPr>
              <w:t>8.5</w:t>
            </w:r>
            <w:r w:rsidRPr="00AD0D0E">
              <w:rPr>
                <w:color w:val="000000" w:themeColor="text1"/>
              </w:rPr>
              <w:tab/>
              <w:t>Obesity and nutrition</w:t>
            </w:r>
          </w:p>
        </w:tc>
      </w:tr>
      <w:tr w:rsidR="00037871" w:rsidRPr="00037871" w14:paraId="1122B31A" w14:textId="77777777" w:rsidTr="00E929ED">
        <w:trPr>
          <w:cantSplit/>
        </w:trPr>
        <w:tc>
          <w:tcPr>
            <w:tcW w:w="3970" w:type="dxa"/>
            <w:tcBorders>
              <w:top w:val="nil"/>
              <w:left w:val="nil"/>
              <w:bottom w:val="nil"/>
              <w:right w:val="nil"/>
            </w:tcBorders>
            <w:shd w:val="clear" w:color="auto" w:fill="F2F2F2"/>
          </w:tcPr>
          <w:p w14:paraId="7F804813" w14:textId="504CF9E4" w:rsidR="00AC2FA9" w:rsidRPr="00635E1F" w:rsidRDefault="005204C1" w:rsidP="008E4321">
            <w:pPr>
              <w:pStyle w:val="Box"/>
            </w:pPr>
            <w:r w:rsidRPr="005204C1">
              <w:t>A healthy weight reduces the risk of heart disease, some cancers and other health conditions, whereas obesity leads to poor health and reduces average life expectancy</w:t>
            </w:r>
            <w:r w:rsidR="0089750B" w:rsidRPr="00635E1F">
              <w:t>.</w:t>
            </w:r>
          </w:p>
        </w:tc>
        <w:tc>
          <w:tcPr>
            <w:tcW w:w="992" w:type="dxa"/>
            <w:tcBorders>
              <w:top w:val="nil"/>
              <w:left w:val="nil"/>
              <w:bottom w:val="nil"/>
              <w:right w:val="nil"/>
            </w:tcBorders>
            <w:shd w:val="clear" w:color="auto" w:fill="AB0F14"/>
          </w:tcPr>
          <w:p w14:paraId="7759FBA2" w14:textId="77777777" w:rsidR="00AC2FA9" w:rsidRPr="00635E1F" w:rsidRDefault="00AC2FA9" w:rsidP="008E4321">
            <w:pPr>
              <w:pStyle w:val="BoxHeading1"/>
            </w:pPr>
          </w:p>
          <w:p w14:paraId="341B6ECE" w14:textId="77777777" w:rsidR="005204C1" w:rsidRDefault="005204C1" w:rsidP="0089750B">
            <w:pPr>
              <w:pStyle w:val="Box"/>
              <w:spacing w:before="160"/>
              <w:jc w:val="center"/>
              <w:rPr>
                <w:b/>
                <w:sz w:val="48"/>
                <w:szCs w:val="48"/>
              </w:rPr>
            </w:pPr>
          </w:p>
          <w:p w14:paraId="52176412" w14:textId="619B3CEF" w:rsidR="00AC2FA9" w:rsidRPr="002A0EC7" w:rsidRDefault="0042569A" w:rsidP="009342D8">
            <w:pPr>
              <w:pStyle w:val="Box"/>
              <w:spacing w:before="360"/>
              <w:jc w:val="center"/>
              <w:rPr>
                <w:rFonts w:asciiTheme="majorHAnsi" w:hAnsiTheme="majorHAnsi" w:cstheme="majorHAnsi"/>
                <w:bCs/>
                <w:sz w:val="48"/>
                <w:szCs w:val="48"/>
              </w:rPr>
            </w:pPr>
            <w:r w:rsidRPr="0042569A">
              <w:rPr>
                <w:rFonts w:cs="Arial"/>
                <w:bCs/>
                <w:noProof/>
                <w:sz w:val="48"/>
                <w:szCs w:val="48"/>
              </w:rPr>
              <mc:AlternateContent>
                <mc:Choice Requires="wpg">
                  <w:drawing>
                    <wp:anchor distT="0" distB="0" distL="114300" distR="114300" simplePos="0" relativeHeight="251728896" behindDoc="0" locked="0" layoutInCell="1" allowOverlap="1" wp14:anchorId="1B7D93D0" wp14:editId="64B18CBA">
                      <wp:simplePos x="0" y="0"/>
                      <wp:positionH relativeFrom="column">
                        <wp:posOffset>149096</wp:posOffset>
                      </wp:positionH>
                      <wp:positionV relativeFrom="paragraph">
                        <wp:posOffset>321945</wp:posOffset>
                      </wp:positionV>
                      <wp:extent cx="172857" cy="218365"/>
                      <wp:effectExtent l="19050" t="19050" r="17780" b="10795"/>
                      <wp:wrapNone/>
                      <wp:docPr id="134" name="Group 7" descr="Symbol of a X&#10;&#10;More details can be found within the text surrounding this image. "/>
                      <wp:cNvGraphicFramePr/>
                      <a:graphic xmlns:a="http://schemas.openxmlformats.org/drawingml/2006/main">
                        <a:graphicData uri="http://schemas.microsoft.com/office/word/2010/wordprocessingGroup">
                          <wpg:wgp>
                            <wpg:cNvGrpSpPr/>
                            <wpg:grpSpPr>
                              <a:xfrm rot="347790">
                                <a:off x="0" y="0"/>
                                <a:ext cx="172857" cy="218365"/>
                                <a:chOff x="0" y="0"/>
                                <a:chExt cx="718457" cy="718457"/>
                              </a:xfrm>
                            </wpg:grpSpPr>
                            <wps:wsp>
                              <wps:cNvPr id="135" name="Straight Connector 135"/>
                              <wps:cNvCnPr/>
                              <wps:spPr>
                                <a:xfrm>
                                  <a:off x="0" y="60650"/>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6" name="Straight Connector 136"/>
                              <wps:cNvCnPr>
                                <a:cxnSpLocks/>
                              </wps:cNvCnPr>
                              <wps:spPr>
                                <a:xfrm rot="5400000">
                                  <a:off x="-1" y="60649"/>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10B0C74" id="Group 7" o:spid="_x0000_s1026" alt="Symbol of a X&#10;&#10;More details can be found within the text surrounding this image. " style="position:absolute;margin-left:11.75pt;margin-top:25.35pt;width:13.6pt;height:17.2pt;rotation:379879fd;z-index:251728896;mso-width-relative:margin;mso-height-relative:margin" coordsize="7184,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">
                      <v:line id="Straight Connector 135" o:spid="_x0000_s1027" style="position:absolute;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" strokecolor="white [3212]" strokeweight="2.5pt"/>
                      <v:line id="Straight Connector 136" o:spid="_x0000_s1028" style="position:absolute;rotation:90;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" strokecolor="white [3212]" strokeweight="2.5pt">
                        <o:lock v:ext="edit" shapetype="f"/>
                      </v:line>
                    </v:group>
                  </w:pict>
                </mc:Fallback>
              </mc:AlternateContent>
            </w:r>
          </w:p>
        </w:tc>
        <w:tc>
          <w:tcPr>
            <w:tcW w:w="3827" w:type="dxa"/>
            <w:tcBorders>
              <w:top w:val="nil"/>
              <w:left w:val="nil"/>
              <w:bottom w:val="nil"/>
              <w:right w:val="nil"/>
            </w:tcBorders>
            <w:shd w:val="clear" w:color="auto" w:fill="F2F2F2"/>
          </w:tcPr>
          <w:p w14:paraId="7EC05C0C" w14:textId="6B1AFF54" w:rsidR="00C02B79" w:rsidRDefault="00C02B79" w:rsidP="00C02B79">
            <w:pPr>
              <w:pStyle w:val="Box"/>
            </w:pPr>
            <w:r>
              <w:t>The proportion of</w:t>
            </w:r>
            <w:r w:rsidR="0089750B" w:rsidRPr="00635E1F">
              <w:t xml:space="preserve"> Aboriginal and Torres Strait Islander adults </w:t>
            </w:r>
            <w:r>
              <w:t xml:space="preserve">who </w:t>
            </w:r>
            <w:r w:rsidR="0089750B" w:rsidRPr="00635E1F">
              <w:t>were overweight or obese</w:t>
            </w:r>
            <w:r>
              <w:t xml:space="preserve"> increased from</w:t>
            </w:r>
            <w:r w:rsidR="005204C1">
              <w:t xml:space="preserve"> 69</w:t>
            </w:r>
            <w:r w:rsidR="00D6019C">
              <w:t> </w:t>
            </w:r>
            <w:r w:rsidR="005204C1">
              <w:t>per cent in 2012-13</w:t>
            </w:r>
            <w:r>
              <w:t xml:space="preserve"> to 74 per cent in 2018-19</w:t>
            </w:r>
            <w:r w:rsidR="001509DC" w:rsidRPr="00635E1F">
              <w:t xml:space="preserve">. </w:t>
            </w:r>
          </w:p>
          <w:p w14:paraId="14DA2DFB" w14:textId="67ED6A91" w:rsidR="00635E1F" w:rsidRPr="00635E1F" w:rsidRDefault="00BB504E" w:rsidP="008D237D">
            <w:pPr>
              <w:pStyle w:val="Box"/>
            </w:pPr>
            <w:r>
              <w:t>Supplementary data on children’s fruit and vegetable intake in 201</w:t>
            </w:r>
            <w:r w:rsidR="008D237D">
              <w:t>7</w:t>
            </w:r>
            <w:r w:rsidR="008D237D">
              <w:rPr>
                <w:rFonts w:cs="Arial"/>
              </w:rPr>
              <w:t>–</w:t>
            </w:r>
            <w:r>
              <w:t>1</w:t>
            </w:r>
            <w:r w:rsidR="008D237D">
              <w:t>9</w:t>
            </w:r>
            <w:r>
              <w:t xml:space="preserve"> show that </w:t>
            </w:r>
            <w:r w:rsidR="002205C8">
              <w:t>69</w:t>
            </w:r>
            <w:r w:rsidR="00C02B79">
              <w:t> </w:t>
            </w:r>
            <w:r w:rsidR="00635E1F" w:rsidRPr="00635E1F">
              <w:t>per cent of Aboriginal and Torres Strait Islander children reported adequate daily intake of fruit</w:t>
            </w:r>
            <w:r>
              <w:t xml:space="preserve"> (</w:t>
            </w:r>
            <w:r w:rsidR="002205C8">
              <w:t>76</w:t>
            </w:r>
            <w:r w:rsidR="00635E1F" w:rsidRPr="00635E1F">
              <w:t xml:space="preserve"> per cent</w:t>
            </w:r>
            <w:r w:rsidR="0082585B">
              <w:t xml:space="preserve"> for non</w:t>
            </w:r>
            <w:r w:rsidR="0082585B">
              <w:noBreakHyphen/>
            </w:r>
            <w:r w:rsidR="00635E1F">
              <w:t>Indigenous children</w:t>
            </w:r>
            <w:r w:rsidR="002205C8">
              <w:t xml:space="preserve">), and </w:t>
            </w:r>
            <w:r w:rsidR="00934F0E">
              <w:t xml:space="preserve">about </w:t>
            </w:r>
            <w:r w:rsidR="002205C8">
              <w:t>6</w:t>
            </w:r>
            <w:r w:rsidR="0082585B">
              <w:t> per </w:t>
            </w:r>
            <w:r w:rsidR="00635E1F">
              <w:t xml:space="preserve">cent of all children reported </w:t>
            </w:r>
            <w:r w:rsidR="00635E1F" w:rsidRPr="00635E1F">
              <w:t>adequate daily vegetable intake.</w:t>
            </w:r>
          </w:p>
        </w:tc>
      </w:tr>
      <w:tr w:rsidR="00037871" w:rsidRPr="00037871" w14:paraId="0A0CA5CB" w14:textId="77777777" w:rsidTr="00E929ED">
        <w:trPr>
          <w:cantSplit/>
        </w:trPr>
        <w:tc>
          <w:tcPr>
            <w:tcW w:w="8789" w:type="dxa"/>
            <w:gridSpan w:val="3"/>
            <w:tcBorders>
              <w:top w:val="nil"/>
              <w:left w:val="nil"/>
              <w:bottom w:val="nil"/>
              <w:right w:val="nil"/>
            </w:tcBorders>
            <w:shd w:val="clear" w:color="auto" w:fill="F2F2F2"/>
          </w:tcPr>
          <w:p w14:paraId="7B3DB9C5" w14:textId="0C2074A0" w:rsidR="00AC2FA9" w:rsidRPr="00635E1F" w:rsidRDefault="002205C8" w:rsidP="004F06D2">
            <w:pPr>
              <w:pStyle w:val="BoxHeading1"/>
              <w:spacing w:before="240"/>
              <w:rPr>
                <w:i/>
              </w:rPr>
            </w:pPr>
            <w:r>
              <w:t>Overweight and obese adults, by Indigenous status, by age, by sex, 2017–19</w:t>
            </w:r>
          </w:p>
        </w:tc>
      </w:tr>
      <w:tr w:rsidR="002205C8" w:rsidRPr="00037871" w14:paraId="1909EB21" w14:textId="77777777" w:rsidTr="003F50C5">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4C55F7A2" w14:textId="708A7F7E" w:rsidR="006263E3" w:rsidRPr="003F50C5" w:rsidRDefault="009D72CF" w:rsidP="003F50C5">
            <w:pPr>
              <w:pStyle w:val="Box"/>
              <w:jc w:val="center"/>
            </w:pPr>
            <w:r w:rsidRPr="009D72CF">
              <w:rPr>
                <w:noProof/>
              </w:rPr>
              <w:drawing>
                <wp:inline distT="0" distB="0" distL="0" distR="0" wp14:anchorId="06E88E0A" wp14:editId="75CB2E2D">
                  <wp:extent cx="5400675" cy="2876550"/>
                  <wp:effectExtent l="0" t="0" r="0" b="0"/>
                  <wp:docPr id="75" name="Picture 75" descr="Overweight and obese adults, by Indigenous status, by age, by sex, 2017-19&#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r w:rsidR="002205C8" w:rsidRPr="00037871" w14:paraId="5BACC96D" w14:textId="77777777" w:rsidTr="00E929ED">
        <w:trPr>
          <w:cantSplit/>
        </w:trPr>
        <w:tc>
          <w:tcPr>
            <w:tcW w:w="8789" w:type="dxa"/>
            <w:gridSpan w:val="3"/>
            <w:tcBorders>
              <w:top w:val="nil"/>
              <w:left w:val="nil"/>
              <w:bottom w:val="nil"/>
              <w:right w:val="nil"/>
            </w:tcBorders>
            <w:shd w:val="clear" w:color="auto" w:fill="F2F2F2"/>
          </w:tcPr>
          <w:p w14:paraId="76C76CFB" w14:textId="63B18C96" w:rsidR="002205C8" w:rsidRPr="00143FA8" w:rsidRDefault="002205C8" w:rsidP="003D7A8A">
            <w:pPr>
              <w:pStyle w:val="Box"/>
              <w:rPr>
                <w:i/>
                <w:sz w:val="18"/>
                <w:szCs w:val="18"/>
              </w:rPr>
            </w:pPr>
            <w:r w:rsidRPr="00143FA8">
              <w:rPr>
                <w:i/>
                <w:sz w:val="18"/>
                <w:szCs w:val="18"/>
              </w:rPr>
              <w:t>Source</w:t>
            </w:r>
            <w:r w:rsidRPr="00143FA8">
              <w:rPr>
                <w:sz w:val="18"/>
                <w:szCs w:val="18"/>
              </w:rPr>
              <w:t xml:space="preserve">: Figure 8.5.1 in the main </w:t>
            </w:r>
            <w:r w:rsidR="003D7A8A" w:rsidRPr="00143FA8">
              <w:rPr>
                <w:sz w:val="18"/>
                <w:szCs w:val="18"/>
              </w:rPr>
              <w:t>Report</w:t>
            </w:r>
            <w:r w:rsidRPr="00143FA8">
              <w:rPr>
                <w:sz w:val="18"/>
                <w:szCs w:val="18"/>
              </w:rPr>
              <w:t>.</w:t>
            </w:r>
          </w:p>
        </w:tc>
      </w:tr>
      <w:tr w:rsidR="00037871" w:rsidRPr="00037871" w14:paraId="34B0B109" w14:textId="77777777" w:rsidTr="00E929ED">
        <w:trPr>
          <w:cantSplit/>
        </w:trPr>
        <w:tc>
          <w:tcPr>
            <w:tcW w:w="8789" w:type="dxa"/>
            <w:gridSpan w:val="3"/>
            <w:tcBorders>
              <w:top w:val="nil"/>
              <w:left w:val="nil"/>
              <w:bottom w:val="single" w:sz="6" w:space="0" w:color="78A22F"/>
              <w:right w:val="nil"/>
            </w:tcBorders>
            <w:shd w:val="clear" w:color="auto" w:fill="F2F2F2"/>
          </w:tcPr>
          <w:p w14:paraId="22410D87" w14:textId="77777777" w:rsidR="00AC2FA9" w:rsidRPr="00037871" w:rsidRDefault="00AC2FA9" w:rsidP="008E4321">
            <w:pPr>
              <w:pStyle w:val="Box"/>
              <w:spacing w:before="0" w:line="120" w:lineRule="exact"/>
              <w:rPr>
                <w:color w:val="00B050"/>
              </w:rPr>
            </w:pPr>
          </w:p>
        </w:tc>
      </w:tr>
      <w:tr w:rsidR="00037871" w:rsidRPr="00037871" w14:paraId="6A5ECD69" w14:textId="77777777" w:rsidTr="00E929ED">
        <w:tc>
          <w:tcPr>
            <w:tcW w:w="8789" w:type="dxa"/>
            <w:gridSpan w:val="3"/>
            <w:tcBorders>
              <w:top w:val="single" w:sz="6" w:space="0" w:color="78A22F"/>
              <w:left w:val="nil"/>
              <w:bottom w:val="nil"/>
              <w:right w:val="nil"/>
            </w:tcBorders>
          </w:tcPr>
          <w:p w14:paraId="79847A90" w14:textId="77777777" w:rsidR="00AC2FA9" w:rsidRPr="00037871" w:rsidRDefault="00AC2FA9" w:rsidP="008E4321">
            <w:pPr>
              <w:pStyle w:val="BoxSpaceBelow"/>
              <w:rPr>
                <w:color w:val="00B050"/>
              </w:rPr>
            </w:pPr>
          </w:p>
        </w:tc>
      </w:tr>
    </w:tbl>
    <w:p w14:paraId="51FB32F3" w14:textId="77777777" w:rsidR="00AC2FA9" w:rsidRPr="00037871" w:rsidRDefault="00AC2FA9" w:rsidP="00AC2FA9">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AD0D0E" w14:paraId="6C0DE840" w14:textId="77777777" w:rsidTr="00E929ED">
        <w:tc>
          <w:tcPr>
            <w:tcW w:w="8789" w:type="dxa"/>
            <w:gridSpan w:val="3"/>
            <w:tcBorders>
              <w:top w:val="single" w:sz="6" w:space="0" w:color="78A22F"/>
              <w:left w:val="nil"/>
              <w:bottom w:val="nil"/>
              <w:right w:val="nil"/>
            </w:tcBorders>
            <w:shd w:val="clear" w:color="auto" w:fill="F2F2F2"/>
          </w:tcPr>
          <w:p w14:paraId="2CDE6D25" w14:textId="77777777" w:rsidR="00AC2FA9" w:rsidRPr="00AD0D0E" w:rsidRDefault="00AC2FA9" w:rsidP="001D480C">
            <w:pPr>
              <w:pStyle w:val="BoxTitle"/>
              <w:spacing w:after="120"/>
              <w:rPr>
                <w:color w:val="000000" w:themeColor="text1"/>
              </w:rPr>
            </w:pPr>
            <w:r w:rsidRPr="00AD0D0E">
              <w:rPr>
                <w:color w:val="000000" w:themeColor="text1"/>
              </w:rPr>
              <w:t>8.6</w:t>
            </w:r>
            <w:r w:rsidRPr="00AD0D0E">
              <w:rPr>
                <w:color w:val="000000" w:themeColor="text1"/>
              </w:rPr>
              <w:tab/>
              <w:t>Oral health</w:t>
            </w:r>
          </w:p>
        </w:tc>
      </w:tr>
      <w:tr w:rsidR="00037871" w:rsidRPr="00037871" w14:paraId="24C3A16C" w14:textId="77777777" w:rsidTr="00B04347">
        <w:trPr>
          <w:cantSplit/>
        </w:trPr>
        <w:tc>
          <w:tcPr>
            <w:tcW w:w="3970" w:type="dxa"/>
            <w:tcBorders>
              <w:top w:val="nil"/>
              <w:left w:val="nil"/>
              <w:bottom w:val="nil"/>
              <w:right w:val="nil"/>
            </w:tcBorders>
            <w:shd w:val="clear" w:color="auto" w:fill="F2F2F2"/>
          </w:tcPr>
          <w:p w14:paraId="6C93C7D9" w14:textId="69FFA00A" w:rsidR="00AC2FA9" w:rsidRPr="00635E1F" w:rsidRDefault="002205C8" w:rsidP="008E4321">
            <w:pPr>
              <w:pStyle w:val="Box"/>
            </w:pPr>
            <w:r w:rsidRPr="002205C8">
              <w:t>Good oral health, being able to speak and smile, is important for people’s overall health and wellbeing — and it can prevent the most common chronic oral diseases, such as tooth decay and tooth loss</w:t>
            </w:r>
            <w:r w:rsidR="0089750B" w:rsidRPr="00635E1F">
              <w:t>.</w:t>
            </w:r>
          </w:p>
        </w:tc>
        <w:tc>
          <w:tcPr>
            <w:tcW w:w="992" w:type="dxa"/>
            <w:tcBorders>
              <w:top w:val="nil"/>
              <w:left w:val="nil"/>
              <w:bottom w:val="nil"/>
              <w:right w:val="nil"/>
            </w:tcBorders>
            <w:shd w:val="clear" w:color="auto" w:fill="00819C"/>
          </w:tcPr>
          <w:p w14:paraId="0CCF5779" w14:textId="77777777" w:rsidR="00FE1E8D" w:rsidRPr="00635E1F" w:rsidRDefault="00FE1E8D" w:rsidP="008E4321">
            <w:pPr>
              <w:pStyle w:val="Box"/>
              <w:jc w:val="center"/>
              <w:rPr>
                <w:b/>
                <w:sz w:val="30"/>
                <w:szCs w:val="30"/>
              </w:rPr>
            </w:pPr>
          </w:p>
          <w:p w14:paraId="095B68F2" w14:textId="77777777" w:rsidR="00AC2FA9" w:rsidRPr="00635E1F" w:rsidRDefault="00AC2FA9" w:rsidP="009342D8">
            <w:pPr>
              <w:pStyle w:val="Box"/>
              <w:spacing w:before="360" w:after="120"/>
              <w:jc w:val="center"/>
              <w:rPr>
                <w:b/>
                <w:sz w:val="30"/>
                <w:szCs w:val="30"/>
              </w:rPr>
            </w:pPr>
            <w:r w:rsidRPr="005254A0">
              <w:rPr>
                <w:b/>
                <w:color w:val="FFFFFF" w:themeColor="background1"/>
                <w:sz w:val="30"/>
                <w:szCs w:val="30"/>
              </w:rPr>
              <w:t>Data gap</w:t>
            </w:r>
          </w:p>
        </w:tc>
        <w:tc>
          <w:tcPr>
            <w:tcW w:w="3827" w:type="dxa"/>
            <w:tcBorders>
              <w:top w:val="nil"/>
              <w:left w:val="nil"/>
              <w:bottom w:val="nil"/>
              <w:right w:val="nil"/>
            </w:tcBorders>
            <w:shd w:val="clear" w:color="auto" w:fill="F2F2F2"/>
          </w:tcPr>
          <w:p w14:paraId="0A7AD17F" w14:textId="11E4DA03" w:rsidR="00AC2FA9" w:rsidRPr="00635E1F" w:rsidRDefault="00635E1F" w:rsidP="007D7733">
            <w:pPr>
              <w:pStyle w:val="Box"/>
            </w:pPr>
            <w:r w:rsidRPr="00635E1F">
              <w:t xml:space="preserve">Accurate data on </w:t>
            </w:r>
            <w:r w:rsidR="0082585B">
              <w:t>dental health</w:t>
            </w:r>
            <w:r w:rsidRPr="00635E1F">
              <w:t xml:space="preserve"> are relatively old</w:t>
            </w:r>
            <w:r w:rsidR="00C26F43">
              <w:t xml:space="preserve"> (for children, the most recent data are for 2012-14 and for adults are for 2017-18)</w:t>
            </w:r>
            <w:r w:rsidRPr="00635E1F">
              <w:t>. Supplementary data for Aborigi</w:t>
            </w:r>
            <w:r w:rsidR="0007674F">
              <w:t xml:space="preserve">nal and Torres Strait Islander people aged 15 years </w:t>
            </w:r>
            <w:r w:rsidR="005766FA">
              <w:t>or</w:t>
            </w:r>
            <w:r w:rsidR="0007674F">
              <w:t xml:space="preserve"> over</w:t>
            </w:r>
            <w:r w:rsidRPr="00635E1F">
              <w:t xml:space="preserve"> show </w:t>
            </w:r>
            <w:r>
              <w:t xml:space="preserve">that </w:t>
            </w:r>
            <w:r w:rsidR="0007674F">
              <w:t xml:space="preserve">in 2018-19, </w:t>
            </w:r>
            <w:r w:rsidR="00AC5BC0">
              <w:t>51</w:t>
            </w:r>
            <w:r w:rsidRPr="00635E1F">
              <w:t xml:space="preserve"> per cent reported </w:t>
            </w:r>
            <w:r w:rsidR="0007674F">
              <w:t>the loss of one or more teeth, similar to 2012</w:t>
            </w:r>
            <w:r w:rsidR="00753517">
              <w:noBreakHyphen/>
            </w:r>
            <w:r w:rsidR="0007674F">
              <w:t>13.</w:t>
            </w:r>
          </w:p>
        </w:tc>
      </w:tr>
      <w:tr w:rsidR="00037871" w:rsidRPr="00635E1F" w14:paraId="2AAB23A4" w14:textId="77777777" w:rsidTr="00E929ED">
        <w:trPr>
          <w:cantSplit/>
        </w:trPr>
        <w:tc>
          <w:tcPr>
            <w:tcW w:w="8789" w:type="dxa"/>
            <w:gridSpan w:val="3"/>
            <w:tcBorders>
              <w:top w:val="nil"/>
              <w:left w:val="nil"/>
              <w:bottom w:val="nil"/>
              <w:right w:val="nil"/>
            </w:tcBorders>
            <w:shd w:val="clear" w:color="auto" w:fill="F2F2F2"/>
          </w:tcPr>
          <w:p w14:paraId="00146D20" w14:textId="77777777" w:rsidR="0089750B" w:rsidRPr="00635E1F" w:rsidRDefault="0089750B" w:rsidP="0014070A">
            <w:pPr>
              <w:pStyle w:val="Box"/>
              <w:rPr>
                <w:i/>
              </w:rPr>
            </w:pPr>
            <w:r w:rsidRPr="00635E1F">
              <w:rPr>
                <w:i/>
              </w:rPr>
              <w:t>Nationally comparable time series data on tooth decay are not available.</w:t>
            </w:r>
          </w:p>
        </w:tc>
      </w:tr>
      <w:tr w:rsidR="00037871" w:rsidRPr="00037871" w14:paraId="7AB76C15" w14:textId="77777777" w:rsidTr="00E929ED">
        <w:trPr>
          <w:cantSplit/>
        </w:trPr>
        <w:tc>
          <w:tcPr>
            <w:tcW w:w="8789" w:type="dxa"/>
            <w:gridSpan w:val="3"/>
            <w:tcBorders>
              <w:top w:val="nil"/>
              <w:left w:val="nil"/>
              <w:bottom w:val="single" w:sz="6" w:space="0" w:color="78A22F"/>
              <w:right w:val="nil"/>
            </w:tcBorders>
            <w:shd w:val="clear" w:color="auto" w:fill="F2F2F2"/>
          </w:tcPr>
          <w:p w14:paraId="02831B35" w14:textId="77777777" w:rsidR="00AC2FA9" w:rsidRPr="00037871" w:rsidRDefault="00AC2FA9" w:rsidP="008E4321">
            <w:pPr>
              <w:pStyle w:val="Box"/>
              <w:spacing w:before="0" w:line="120" w:lineRule="exact"/>
              <w:rPr>
                <w:color w:val="00B050"/>
              </w:rPr>
            </w:pPr>
          </w:p>
        </w:tc>
      </w:tr>
      <w:tr w:rsidR="00037871" w:rsidRPr="00037871" w14:paraId="2FC65FEE" w14:textId="77777777" w:rsidTr="00E929ED">
        <w:tc>
          <w:tcPr>
            <w:tcW w:w="8789" w:type="dxa"/>
            <w:gridSpan w:val="3"/>
            <w:tcBorders>
              <w:top w:val="single" w:sz="6" w:space="0" w:color="78A22F"/>
              <w:left w:val="nil"/>
              <w:bottom w:val="nil"/>
              <w:right w:val="nil"/>
            </w:tcBorders>
          </w:tcPr>
          <w:p w14:paraId="69BA6BCC" w14:textId="77777777" w:rsidR="00AC2FA9" w:rsidRPr="00037871" w:rsidRDefault="00AC2FA9" w:rsidP="008E4321">
            <w:pPr>
              <w:pStyle w:val="BoxSpaceBelow"/>
              <w:rPr>
                <w:color w:val="00B050"/>
              </w:rPr>
            </w:pPr>
          </w:p>
        </w:tc>
      </w:tr>
    </w:tbl>
    <w:p w14:paraId="685AF9BC" w14:textId="77777777" w:rsidR="00FE1E8D" w:rsidRPr="004411EA" w:rsidRDefault="00FE1E8D" w:rsidP="00FE1E8D">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4411EA" w14:paraId="755B431E" w14:textId="77777777" w:rsidTr="00E929ED">
        <w:tc>
          <w:tcPr>
            <w:tcW w:w="8789" w:type="dxa"/>
            <w:gridSpan w:val="3"/>
            <w:tcBorders>
              <w:top w:val="single" w:sz="6" w:space="0" w:color="78A22F"/>
              <w:left w:val="nil"/>
              <w:bottom w:val="nil"/>
              <w:right w:val="nil"/>
            </w:tcBorders>
            <w:shd w:val="clear" w:color="auto" w:fill="F2F2F2"/>
          </w:tcPr>
          <w:p w14:paraId="052B9E0E" w14:textId="77777777" w:rsidR="00FE1E8D" w:rsidRPr="004411EA" w:rsidRDefault="00FE1E8D" w:rsidP="001D480C">
            <w:pPr>
              <w:pStyle w:val="BoxTitle"/>
              <w:spacing w:after="120"/>
            </w:pPr>
            <w:r w:rsidRPr="004411EA">
              <w:t>8.7</w:t>
            </w:r>
            <w:r w:rsidRPr="004411EA">
              <w:tab/>
              <w:t>Mental health</w:t>
            </w:r>
          </w:p>
        </w:tc>
      </w:tr>
      <w:tr w:rsidR="00037871" w:rsidRPr="004411EA" w14:paraId="36691255" w14:textId="77777777" w:rsidTr="00E929ED">
        <w:trPr>
          <w:cantSplit/>
        </w:trPr>
        <w:tc>
          <w:tcPr>
            <w:tcW w:w="3970" w:type="dxa"/>
            <w:tcBorders>
              <w:top w:val="nil"/>
              <w:left w:val="nil"/>
              <w:bottom w:val="nil"/>
              <w:right w:val="nil"/>
            </w:tcBorders>
            <w:shd w:val="clear" w:color="auto" w:fill="F2F2F2"/>
          </w:tcPr>
          <w:p w14:paraId="492AD367" w14:textId="44918EBD" w:rsidR="00FE1E8D" w:rsidRPr="004411EA" w:rsidRDefault="0007674F" w:rsidP="0007674F">
            <w:pPr>
              <w:pStyle w:val="Box"/>
            </w:pPr>
            <w:r w:rsidRPr="0007674F">
              <w:t>For Aboriginal and Torres Strait Islander people, social and emotional wellbeing is the foundation for both physical and mental health. It is a holistic concept reflecting the interconnectedness of individuals, family, kin and community, and it recognises an individual’s connection to land</w:t>
            </w:r>
            <w:r>
              <w:t>s</w:t>
            </w:r>
            <w:r w:rsidRPr="0007674F">
              <w:t>, culture, spirituality and ancestors. When the harmony of these interrelations is disrupted, ill health persists.</w:t>
            </w:r>
          </w:p>
        </w:tc>
        <w:tc>
          <w:tcPr>
            <w:tcW w:w="992" w:type="dxa"/>
            <w:tcBorders>
              <w:top w:val="nil"/>
              <w:left w:val="nil"/>
              <w:bottom w:val="nil"/>
              <w:right w:val="nil"/>
            </w:tcBorders>
            <w:shd w:val="clear" w:color="auto" w:fill="AB0F14"/>
          </w:tcPr>
          <w:p w14:paraId="0AFCF9DA" w14:textId="77777777" w:rsidR="00FE1E8D" w:rsidRPr="004411EA" w:rsidRDefault="00FE1E8D" w:rsidP="008E4321">
            <w:pPr>
              <w:pStyle w:val="BoxHeading1"/>
            </w:pPr>
          </w:p>
          <w:p w14:paraId="2609D519" w14:textId="77777777" w:rsidR="00FE1E8D" w:rsidRPr="004411EA" w:rsidRDefault="00FE1E8D" w:rsidP="008E4321">
            <w:pPr>
              <w:pStyle w:val="Box"/>
            </w:pPr>
          </w:p>
          <w:p w14:paraId="6240DCB2" w14:textId="77777777" w:rsidR="00FE1E8D" w:rsidRPr="004411EA" w:rsidRDefault="00FE1E8D" w:rsidP="008E4321">
            <w:pPr>
              <w:pStyle w:val="Box"/>
              <w:spacing w:before="0"/>
              <w:jc w:val="center"/>
              <w:rPr>
                <w:sz w:val="48"/>
                <w:szCs w:val="48"/>
              </w:rPr>
            </w:pPr>
            <w:r w:rsidRPr="004411EA">
              <w:rPr>
                <w:sz w:val="48"/>
                <w:szCs w:val="48"/>
              </w:rPr>
              <w:softHyphen/>
            </w:r>
            <w:r w:rsidRPr="004411EA">
              <w:rPr>
                <w:sz w:val="48"/>
                <w:szCs w:val="48"/>
              </w:rPr>
              <w:softHyphen/>
            </w:r>
          </w:p>
          <w:p w14:paraId="6D5F96D7" w14:textId="77C674C2" w:rsidR="00FE1E8D" w:rsidRPr="002A0EC7" w:rsidRDefault="0042569A" w:rsidP="009342D8">
            <w:pPr>
              <w:pStyle w:val="Box"/>
              <w:jc w:val="center"/>
              <w:rPr>
                <w:rFonts w:cs="Arial"/>
                <w:bCs/>
                <w:sz w:val="48"/>
                <w:szCs w:val="48"/>
              </w:rPr>
            </w:pPr>
            <w:r w:rsidRPr="0042569A">
              <w:rPr>
                <w:rFonts w:cs="Arial"/>
                <w:bCs/>
                <w:noProof/>
                <w:sz w:val="48"/>
                <w:szCs w:val="48"/>
              </w:rPr>
              <mc:AlternateContent>
                <mc:Choice Requires="wpg">
                  <w:drawing>
                    <wp:anchor distT="0" distB="0" distL="114300" distR="114300" simplePos="0" relativeHeight="251730944" behindDoc="0" locked="0" layoutInCell="1" allowOverlap="1" wp14:anchorId="137A1C88" wp14:editId="7038FE3B">
                      <wp:simplePos x="0" y="0"/>
                      <wp:positionH relativeFrom="column">
                        <wp:posOffset>145415</wp:posOffset>
                      </wp:positionH>
                      <wp:positionV relativeFrom="paragraph">
                        <wp:posOffset>140970</wp:posOffset>
                      </wp:positionV>
                      <wp:extent cx="172857" cy="218365"/>
                      <wp:effectExtent l="19050" t="19050" r="17780" b="10795"/>
                      <wp:wrapNone/>
                      <wp:docPr id="137" name="Group 7" descr="Symbol of a X&#10;&#10;More details can be found within the text surrounding this image. "/>
                      <wp:cNvGraphicFramePr/>
                      <a:graphic xmlns:a="http://schemas.openxmlformats.org/drawingml/2006/main">
                        <a:graphicData uri="http://schemas.microsoft.com/office/word/2010/wordprocessingGroup">
                          <wpg:wgp>
                            <wpg:cNvGrpSpPr/>
                            <wpg:grpSpPr>
                              <a:xfrm rot="347790">
                                <a:off x="0" y="0"/>
                                <a:ext cx="172857" cy="218365"/>
                                <a:chOff x="0" y="0"/>
                                <a:chExt cx="718457" cy="718457"/>
                              </a:xfrm>
                            </wpg:grpSpPr>
                            <wps:wsp>
                              <wps:cNvPr id="138" name="Straight Connector 138"/>
                              <wps:cNvCnPr/>
                              <wps:spPr>
                                <a:xfrm>
                                  <a:off x="0" y="60650"/>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39" name="Straight Connector 139"/>
                              <wps:cNvCnPr>
                                <a:cxnSpLocks/>
                              </wps:cNvCnPr>
                              <wps:spPr>
                                <a:xfrm rot="5400000">
                                  <a:off x="-1" y="60649"/>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81EADEC" id="Group 7" o:spid="_x0000_s1026" alt="Symbol of a X&#10;&#10;More details can be found within the text surrounding this image. " style="position:absolute;margin-left:11.45pt;margin-top:11.1pt;width:13.6pt;height:17.2pt;rotation:379879fd;z-index:251730944;mso-width-relative:margin;mso-height-relative:margin" coordsize="7184,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">
                      <v:line id="Straight Connector 138" o:spid="_x0000_s1027" style="position:absolute;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" strokecolor="white [3212]" strokeweight="2.5pt"/>
                      <v:line id="Straight Connector 139" o:spid="_x0000_s1028" style="position:absolute;rotation:90;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" strokecolor="white [3212]" strokeweight="2.5pt">
                        <o:lock v:ext="edit" shapetype="f"/>
                      </v:line>
                    </v:group>
                  </w:pict>
                </mc:Fallback>
              </mc:AlternateContent>
            </w:r>
          </w:p>
        </w:tc>
        <w:tc>
          <w:tcPr>
            <w:tcW w:w="3827" w:type="dxa"/>
            <w:tcBorders>
              <w:top w:val="nil"/>
              <w:left w:val="nil"/>
              <w:bottom w:val="nil"/>
              <w:right w:val="nil"/>
            </w:tcBorders>
            <w:shd w:val="clear" w:color="auto" w:fill="F2F2F2"/>
          </w:tcPr>
          <w:p w14:paraId="072AB1D1" w14:textId="1E066D24" w:rsidR="0089750B" w:rsidRPr="004411EA" w:rsidRDefault="00BB504E" w:rsidP="0089750B">
            <w:pPr>
              <w:pStyle w:val="Box"/>
            </w:pPr>
            <w:r>
              <w:t xml:space="preserve">The proportion of </w:t>
            </w:r>
            <w:r w:rsidR="0089750B" w:rsidRPr="004411EA">
              <w:t xml:space="preserve">Aboriginal and Torres Strait Islander adults </w:t>
            </w:r>
            <w:r w:rsidR="0034662D">
              <w:t xml:space="preserve">who </w:t>
            </w:r>
            <w:r w:rsidR="0089750B" w:rsidRPr="004411EA">
              <w:t>reported high/very high l</w:t>
            </w:r>
            <w:r>
              <w:t xml:space="preserve">evels of psychological distress </w:t>
            </w:r>
            <w:r w:rsidR="0089750B" w:rsidRPr="004411EA">
              <w:t>increase</w:t>
            </w:r>
            <w:r>
              <w:t>d</w:t>
            </w:r>
            <w:r w:rsidR="0089750B" w:rsidRPr="004411EA">
              <w:t xml:space="preserve"> </w:t>
            </w:r>
            <w:r w:rsidR="00B87E93">
              <w:t>from 27 per cent in</w:t>
            </w:r>
            <w:r w:rsidR="0089750B" w:rsidRPr="004411EA">
              <w:t xml:space="preserve"> 2004-05</w:t>
            </w:r>
            <w:r w:rsidR="006C1A1A">
              <w:t xml:space="preserve"> to 33 per cent in 2014</w:t>
            </w:r>
            <w:r>
              <w:t>-1</w:t>
            </w:r>
            <w:r w:rsidR="006C1A1A">
              <w:t>5</w:t>
            </w:r>
            <w:r w:rsidR="00C02B79">
              <w:t xml:space="preserve"> and were similar in </w:t>
            </w:r>
            <w:r w:rsidR="006C1A1A">
              <w:t>2018-19 (31 per cent)</w:t>
            </w:r>
            <w:r w:rsidR="0089750B" w:rsidRPr="004411EA">
              <w:t>.</w:t>
            </w:r>
          </w:p>
          <w:p w14:paraId="0BF44E36" w14:textId="11A03D9A" w:rsidR="00FE1E8D" w:rsidRPr="004411EA" w:rsidRDefault="0089750B" w:rsidP="0007674F">
            <w:pPr>
              <w:pStyle w:val="Box"/>
            </w:pPr>
            <w:r w:rsidRPr="004411EA">
              <w:t xml:space="preserve">After adjusting for population age structures, the proportion of Aboriginal and Torres Strait Islander adults experiencing high/very high psychological distress </w:t>
            </w:r>
            <w:r w:rsidR="00E95F70" w:rsidRPr="004411EA">
              <w:t>in 201</w:t>
            </w:r>
            <w:r w:rsidR="0007674F">
              <w:t>8</w:t>
            </w:r>
            <w:r w:rsidR="00E95F70" w:rsidRPr="004411EA">
              <w:t>-1</w:t>
            </w:r>
            <w:r w:rsidR="0007674F">
              <w:t>9</w:t>
            </w:r>
            <w:r w:rsidR="00E95F70" w:rsidRPr="004411EA">
              <w:t xml:space="preserve"> </w:t>
            </w:r>
            <w:r w:rsidRPr="004411EA">
              <w:t xml:space="preserve">was </w:t>
            </w:r>
            <w:r w:rsidR="0007674F">
              <w:t>more than twice the</w:t>
            </w:r>
            <w:r w:rsidRPr="004411EA">
              <w:t xml:space="preserve"> proportion for non</w:t>
            </w:r>
            <w:r w:rsidRPr="004411EA">
              <w:noBreakHyphen/>
            </w:r>
            <w:r w:rsidR="00B30E3C" w:rsidRPr="004411EA">
              <w:t>Indigenous adults</w:t>
            </w:r>
            <w:r w:rsidR="0007674F">
              <w:t xml:space="preserve"> in 2017-18</w:t>
            </w:r>
            <w:r w:rsidRPr="004411EA">
              <w:t>.</w:t>
            </w:r>
          </w:p>
        </w:tc>
      </w:tr>
      <w:tr w:rsidR="00037871" w:rsidRPr="004411EA" w14:paraId="7886C441" w14:textId="77777777" w:rsidTr="00E929ED">
        <w:trPr>
          <w:cantSplit/>
        </w:trPr>
        <w:tc>
          <w:tcPr>
            <w:tcW w:w="8789" w:type="dxa"/>
            <w:gridSpan w:val="3"/>
            <w:tcBorders>
              <w:top w:val="nil"/>
              <w:left w:val="nil"/>
              <w:bottom w:val="single" w:sz="6" w:space="0" w:color="78A22F"/>
              <w:right w:val="nil"/>
            </w:tcBorders>
            <w:shd w:val="clear" w:color="auto" w:fill="F2F2F2"/>
          </w:tcPr>
          <w:p w14:paraId="77F120DD" w14:textId="77777777" w:rsidR="00FE1E8D" w:rsidRPr="004411EA" w:rsidRDefault="00FE1E8D" w:rsidP="008E4321">
            <w:pPr>
              <w:pStyle w:val="Box"/>
              <w:spacing w:before="0" w:line="120" w:lineRule="exact"/>
            </w:pPr>
          </w:p>
        </w:tc>
      </w:tr>
      <w:tr w:rsidR="00037871" w:rsidRPr="004411EA" w14:paraId="2DB33FAD" w14:textId="77777777" w:rsidTr="00E929ED">
        <w:tc>
          <w:tcPr>
            <w:tcW w:w="8789" w:type="dxa"/>
            <w:gridSpan w:val="3"/>
            <w:tcBorders>
              <w:top w:val="single" w:sz="6" w:space="0" w:color="78A22F"/>
              <w:left w:val="nil"/>
              <w:bottom w:val="nil"/>
              <w:right w:val="nil"/>
            </w:tcBorders>
          </w:tcPr>
          <w:p w14:paraId="6523E91F" w14:textId="77777777" w:rsidR="00FE1E8D" w:rsidRPr="004411EA" w:rsidRDefault="00FE1E8D" w:rsidP="008E4321">
            <w:pPr>
              <w:pStyle w:val="BoxSpaceBelow"/>
            </w:pPr>
          </w:p>
        </w:tc>
      </w:tr>
    </w:tbl>
    <w:p w14:paraId="509E9B86" w14:textId="77777777" w:rsidR="00FE1E8D" w:rsidRPr="00037871" w:rsidRDefault="00FE1E8D" w:rsidP="00FE1E8D">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AD0D0E" w14:paraId="66028AB9" w14:textId="77777777" w:rsidTr="00E929ED">
        <w:tc>
          <w:tcPr>
            <w:tcW w:w="8789" w:type="dxa"/>
            <w:gridSpan w:val="3"/>
            <w:tcBorders>
              <w:top w:val="single" w:sz="6" w:space="0" w:color="78A22F"/>
              <w:left w:val="nil"/>
              <w:bottom w:val="nil"/>
              <w:right w:val="nil"/>
            </w:tcBorders>
            <w:shd w:val="clear" w:color="auto" w:fill="F2F2F2"/>
          </w:tcPr>
          <w:p w14:paraId="6FC14F0D" w14:textId="77777777" w:rsidR="00FE1E8D" w:rsidRPr="00AD0D0E" w:rsidRDefault="00FE1E8D" w:rsidP="001D480C">
            <w:pPr>
              <w:pStyle w:val="BoxTitle"/>
              <w:spacing w:after="120"/>
              <w:rPr>
                <w:color w:val="000000" w:themeColor="text1"/>
              </w:rPr>
            </w:pPr>
            <w:r w:rsidRPr="00AD0D0E">
              <w:rPr>
                <w:color w:val="000000" w:themeColor="text1"/>
              </w:rPr>
              <w:t>8.8</w:t>
            </w:r>
            <w:r w:rsidRPr="00AD0D0E">
              <w:rPr>
                <w:color w:val="000000" w:themeColor="text1"/>
              </w:rPr>
              <w:tab/>
              <w:t>Suicide and self-harm</w:t>
            </w:r>
          </w:p>
        </w:tc>
      </w:tr>
      <w:tr w:rsidR="00037871" w:rsidRPr="00037871" w14:paraId="579863BB" w14:textId="77777777" w:rsidTr="00E929ED">
        <w:trPr>
          <w:cantSplit/>
        </w:trPr>
        <w:tc>
          <w:tcPr>
            <w:tcW w:w="3970" w:type="dxa"/>
            <w:tcBorders>
              <w:top w:val="nil"/>
              <w:left w:val="nil"/>
              <w:bottom w:val="nil"/>
              <w:right w:val="nil"/>
            </w:tcBorders>
            <w:shd w:val="clear" w:color="auto" w:fill="F2F2F2"/>
          </w:tcPr>
          <w:p w14:paraId="0A90D5B8" w14:textId="3F816C23" w:rsidR="00FE1E8D" w:rsidRPr="00B87E93" w:rsidRDefault="006C1A1A" w:rsidP="006C1A1A">
            <w:pPr>
              <w:pStyle w:val="Box"/>
            </w:pPr>
            <w:r w:rsidRPr="006C1A1A">
              <w:t>Suicide is a serious public health challenge and causes substantial grief, pain and loss within and across communities</w:t>
            </w:r>
            <w:r>
              <w:t>.</w:t>
            </w:r>
            <w:r w:rsidRPr="006C1A1A">
              <w:t xml:space="preserve"> </w:t>
            </w:r>
          </w:p>
        </w:tc>
        <w:tc>
          <w:tcPr>
            <w:tcW w:w="992" w:type="dxa"/>
            <w:tcBorders>
              <w:top w:val="nil"/>
              <w:left w:val="nil"/>
              <w:bottom w:val="nil"/>
              <w:right w:val="nil"/>
            </w:tcBorders>
            <w:shd w:val="clear" w:color="auto" w:fill="AB0F14"/>
          </w:tcPr>
          <w:p w14:paraId="7163A6A4" w14:textId="77777777" w:rsidR="00FE1E8D" w:rsidRPr="00B87E93" w:rsidRDefault="00FE1E8D" w:rsidP="008E4321">
            <w:pPr>
              <w:pStyle w:val="BoxHeading1"/>
            </w:pPr>
          </w:p>
          <w:p w14:paraId="0AC19E40" w14:textId="50C0E5AC" w:rsidR="00FE1E8D" w:rsidRPr="00003878" w:rsidRDefault="0042569A" w:rsidP="009342D8">
            <w:pPr>
              <w:pStyle w:val="Box"/>
              <w:spacing w:before="720"/>
              <w:jc w:val="center"/>
              <w:rPr>
                <w:sz w:val="48"/>
                <w:szCs w:val="48"/>
              </w:rPr>
            </w:pPr>
            <w:r w:rsidRPr="0042569A">
              <w:rPr>
                <w:rFonts w:cs="Arial"/>
                <w:bCs/>
                <w:noProof/>
                <w:sz w:val="48"/>
                <w:szCs w:val="48"/>
              </w:rPr>
              <mc:AlternateContent>
                <mc:Choice Requires="wpg">
                  <w:drawing>
                    <wp:anchor distT="0" distB="0" distL="114300" distR="114300" simplePos="0" relativeHeight="251732992" behindDoc="0" locked="0" layoutInCell="1" allowOverlap="1" wp14:anchorId="1337DD04" wp14:editId="1095A881">
                      <wp:simplePos x="0" y="0"/>
                      <wp:positionH relativeFrom="column">
                        <wp:posOffset>146050</wp:posOffset>
                      </wp:positionH>
                      <wp:positionV relativeFrom="paragraph">
                        <wp:posOffset>521970</wp:posOffset>
                      </wp:positionV>
                      <wp:extent cx="172857" cy="218365"/>
                      <wp:effectExtent l="19050" t="19050" r="17780" b="10795"/>
                      <wp:wrapNone/>
                      <wp:docPr id="140" name="Group 7" descr="Symbol of a X&#10;&#10;More details can be found within the text surrounding this image. "/>
                      <wp:cNvGraphicFramePr/>
                      <a:graphic xmlns:a="http://schemas.openxmlformats.org/drawingml/2006/main">
                        <a:graphicData uri="http://schemas.microsoft.com/office/word/2010/wordprocessingGroup">
                          <wpg:wgp>
                            <wpg:cNvGrpSpPr/>
                            <wpg:grpSpPr>
                              <a:xfrm rot="347790">
                                <a:off x="0" y="0"/>
                                <a:ext cx="172857" cy="218365"/>
                                <a:chOff x="0" y="0"/>
                                <a:chExt cx="718457" cy="718457"/>
                              </a:xfrm>
                            </wpg:grpSpPr>
                            <wps:wsp>
                              <wps:cNvPr id="141" name="Straight Connector 141"/>
                              <wps:cNvCnPr/>
                              <wps:spPr>
                                <a:xfrm>
                                  <a:off x="0" y="60650"/>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2" name="Straight Connector 142"/>
                              <wps:cNvCnPr>
                                <a:cxnSpLocks/>
                              </wps:cNvCnPr>
                              <wps:spPr>
                                <a:xfrm rot="5400000">
                                  <a:off x="-1" y="60649"/>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4BFF3D2" id="Group 7" o:spid="_x0000_s1026" alt="Symbol of a X&#10;&#10;More details can be found within the text surrounding this image. " style="position:absolute;margin-left:11.5pt;margin-top:41.1pt;width:13.6pt;height:17.2pt;rotation:379879fd;z-index:251732992;mso-width-relative:margin;mso-height-relative:margin" coordsize="7184,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">
                      <v:line id="Straight Connector 141" o:spid="_x0000_s1027" style="position:absolute;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" strokecolor="white [3212]" strokeweight="2.5pt"/>
                      <v:line id="Straight Connector 142" o:spid="_x0000_s1028" style="position:absolute;rotation:90;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" strokecolor="white [3212]" strokeweight="2.5pt">
                        <o:lock v:ext="edit" shapetype="f"/>
                      </v:line>
                    </v:group>
                  </w:pict>
                </mc:Fallback>
              </mc:AlternateContent>
            </w:r>
            <w:r w:rsidR="00FE1E8D" w:rsidRPr="00B87E93">
              <w:rPr>
                <w:sz w:val="48"/>
                <w:szCs w:val="48"/>
              </w:rPr>
              <w:softHyphen/>
            </w:r>
          </w:p>
        </w:tc>
        <w:tc>
          <w:tcPr>
            <w:tcW w:w="3827" w:type="dxa"/>
            <w:tcBorders>
              <w:top w:val="nil"/>
              <w:left w:val="nil"/>
              <w:bottom w:val="nil"/>
              <w:right w:val="nil"/>
            </w:tcBorders>
            <w:shd w:val="clear" w:color="auto" w:fill="F2F2F2"/>
          </w:tcPr>
          <w:p w14:paraId="71B07881" w14:textId="27F0682F" w:rsidR="00C72792" w:rsidRDefault="0089750B" w:rsidP="00C72792">
            <w:pPr>
              <w:pStyle w:val="Box"/>
            </w:pPr>
            <w:r w:rsidRPr="00B87E93">
              <w:t>After adjusting for population age structures</w:t>
            </w:r>
            <w:r w:rsidR="00003878">
              <w:t xml:space="preserve">, </w:t>
            </w:r>
            <w:r w:rsidR="00BB504E" w:rsidRPr="00B87E93">
              <w:t>the suicide death rate for Aboriginal and Torres Str</w:t>
            </w:r>
            <w:r w:rsidR="00003878">
              <w:t xml:space="preserve">ait Islander </w:t>
            </w:r>
            <w:r w:rsidR="00C72792">
              <w:t xml:space="preserve">people increased by </w:t>
            </w:r>
            <w:r w:rsidR="00934F0E">
              <w:t xml:space="preserve">about </w:t>
            </w:r>
            <w:r w:rsidR="00C72792">
              <w:t>40 per cent</w:t>
            </w:r>
            <w:r w:rsidR="00E737C1">
              <w:t xml:space="preserve"> over the decade to 2018</w:t>
            </w:r>
            <w:r w:rsidR="00C72792">
              <w:t xml:space="preserve">, and </w:t>
            </w:r>
            <w:r w:rsidR="006C1A1A">
              <w:t xml:space="preserve">continues to be </w:t>
            </w:r>
            <w:r w:rsidR="00C13B8C">
              <w:t xml:space="preserve">about </w:t>
            </w:r>
            <w:r w:rsidR="00BB504E" w:rsidRPr="00B87E93">
              <w:t>twice the rat</w:t>
            </w:r>
            <w:r w:rsidR="00003878">
              <w:t>e for non</w:t>
            </w:r>
            <w:r w:rsidR="00003878">
              <w:noBreakHyphen/>
              <w:t>Indigenous people</w:t>
            </w:r>
            <w:r w:rsidR="00E0129B">
              <w:t>.</w:t>
            </w:r>
          </w:p>
          <w:p w14:paraId="2F01153C" w14:textId="7BD84EAF" w:rsidR="00C72792" w:rsidRPr="00B87E93" w:rsidRDefault="00C72792" w:rsidP="00934F0E">
            <w:pPr>
              <w:pStyle w:val="Box"/>
            </w:pPr>
            <w:r>
              <w:t xml:space="preserve">Rates for Aboriginal and Torres Strait Islander men are </w:t>
            </w:r>
            <w:r w:rsidR="00934F0E">
              <w:t xml:space="preserve">about </w:t>
            </w:r>
            <w:r>
              <w:t>three and half times the rate for women (and rising).</w:t>
            </w:r>
          </w:p>
        </w:tc>
      </w:tr>
      <w:tr w:rsidR="00037871" w:rsidRPr="00037871" w14:paraId="2F7B345C" w14:textId="77777777" w:rsidTr="00E929ED">
        <w:trPr>
          <w:cantSplit/>
        </w:trPr>
        <w:tc>
          <w:tcPr>
            <w:tcW w:w="8789" w:type="dxa"/>
            <w:gridSpan w:val="3"/>
            <w:tcBorders>
              <w:top w:val="nil"/>
              <w:left w:val="nil"/>
              <w:bottom w:val="nil"/>
              <w:right w:val="nil"/>
            </w:tcBorders>
            <w:shd w:val="clear" w:color="auto" w:fill="F2F2F2"/>
          </w:tcPr>
          <w:p w14:paraId="0C36DAF9" w14:textId="13E210AC" w:rsidR="00FE1E8D" w:rsidRPr="00B87E93" w:rsidRDefault="00003878" w:rsidP="00003878">
            <w:pPr>
              <w:pStyle w:val="BoxHeading1"/>
              <w:rPr>
                <w:rStyle w:val="NoteLabel"/>
                <w:b/>
                <w:position w:val="0"/>
                <w:sz w:val="22"/>
                <w:bdr w:val="single" w:sz="4" w:space="0" w:color="auto"/>
              </w:rPr>
            </w:pPr>
            <w:r>
              <w:t>Suicide rates for Aboriginal and Torres Strait Islander people</w:t>
            </w:r>
            <w:r w:rsidR="0089750B" w:rsidRPr="00B87E93">
              <w:t>, NSW, Victoria, Queensland, WA</w:t>
            </w:r>
            <w:r w:rsidR="00B87E93" w:rsidRPr="00B87E93">
              <w:t>, SA and the NT</w:t>
            </w:r>
            <w:r>
              <w:t xml:space="preserve"> combined</w:t>
            </w:r>
            <w:r w:rsidR="00B87E93" w:rsidRPr="00B87E93">
              <w:t xml:space="preserve">, </w:t>
            </w:r>
            <w:r>
              <w:t>by sex, 2008 to 2018</w:t>
            </w:r>
            <w:r w:rsidR="00CB0B7D">
              <w:t xml:space="preserve"> (age</w:t>
            </w:r>
            <w:r w:rsidR="00CB0B7D">
              <w:noBreakHyphen/>
            </w:r>
            <w:r w:rsidR="00662EA0">
              <w:t>standardised)</w:t>
            </w:r>
            <w:r>
              <w:t xml:space="preserve"> </w:t>
            </w:r>
          </w:p>
        </w:tc>
      </w:tr>
      <w:tr w:rsidR="00037871" w:rsidRPr="00037871" w14:paraId="70EDA8D2" w14:textId="77777777" w:rsidTr="00CB0B7D">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24948637" w14:textId="6D56BEF2" w:rsidR="006263E3" w:rsidRPr="00B87E93" w:rsidRDefault="00C305A0" w:rsidP="00CB0B7D">
            <w:pPr>
              <w:pStyle w:val="Box"/>
              <w:jc w:val="center"/>
            </w:pPr>
            <w:r w:rsidRPr="00C305A0">
              <w:rPr>
                <w:noProof/>
              </w:rPr>
              <w:drawing>
                <wp:inline distT="0" distB="0" distL="0" distR="0" wp14:anchorId="77F61DD8" wp14:editId="33E84180">
                  <wp:extent cx="5362575" cy="2695575"/>
                  <wp:effectExtent l="0" t="0" r="0" b="0"/>
                  <wp:docPr id="76" name="Picture 76" descr="Suicide rates for Aboriginal and Torres Strait Islander people, NSW, Victoria, Queensland, WA, SA and the NT combined, by sex, 2008 to 2018 (age-standardised)&#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362575" cy="2695575"/>
                          </a:xfrm>
                          <a:prstGeom prst="rect">
                            <a:avLst/>
                          </a:prstGeom>
                          <a:noFill/>
                          <a:ln>
                            <a:noFill/>
                          </a:ln>
                        </pic:spPr>
                      </pic:pic>
                    </a:graphicData>
                  </a:graphic>
                </wp:inline>
              </w:drawing>
            </w:r>
          </w:p>
        </w:tc>
      </w:tr>
      <w:tr w:rsidR="00037871" w:rsidRPr="00037871" w14:paraId="3519CA1A" w14:textId="77777777" w:rsidTr="00E929ED">
        <w:trPr>
          <w:cantSplit/>
        </w:trPr>
        <w:tc>
          <w:tcPr>
            <w:tcW w:w="8789" w:type="dxa"/>
            <w:gridSpan w:val="3"/>
            <w:tcBorders>
              <w:top w:val="nil"/>
              <w:left w:val="nil"/>
              <w:bottom w:val="nil"/>
              <w:right w:val="nil"/>
            </w:tcBorders>
            <w:shd w:val="clear" w:color="auto" w:fill="F2F2F2"/>
          </w:tcPr>
          <w:p w14:paraId="08CCD526" w14:textId="615F6AEC" w:rsidR="00FE1E8D" w:rsidRPr="00B87E93" w:rsidRDefault="0089750B" w:rsidP="003D7A8A">
            <w:pPr>
              <w:pStyle w:val="Source"/>
              <w:rPr>
                <w:szCs w:val="18"/>
              </w:rPr>
            </w:pPr>
            <w:r w:rsidRPr="00B87E93">
              <w:rPr>
                <w:i/>
              </w:rPr>
              <w:t>Source</w:t>
            </w:r>
            <w:r w:rsidRPr="00B87E93">
              <w:t>: Figure 8.8.</w:t>
            </w:r>
            <w:r w:rsidR="00D016DE">
              <w:t>1</w:t>
            </w:r>
            <w:r w:rsidR="00D016DE" w:rsidRPr="00B87E93">
              <w:t xml:space="preserve"> </w:t>
            </w:r>
            <w:r w:rsidRPr="00B87E93">
              <w:t xml:space="preserve">in the main </w:t>
            </w:r>
            <w:r w:rsidR="003D7A8A">
              <w:t>R</w:t>
            </w:r>
            <w:r w:rsidR="003D7A8A" w:rsidRPr="00B87E93">
              <w:t>eport</w:t>
            </w:r>
            <w:r w:rsidRPr="00B87E93">
              <w:t>.</w:t>
            </w:r>
          </w:p>
        </w:tc>
      </w:tr>
      <w:tr w:rsidR="00037871" w:rsidRPr="00037871" w14:paraId="6D24BA09" w14:textId="77777777" w:rsidTr="00E929ED">
        <w:trPr>
          <w:cantSplit/>
        </w:trPr>
        <w:tc>
          <w:tcPr>
            <w:tcW w:w="8789" w:type="dxa"/>
            <w:gridSpan w:val="3"/>
            <w:tcBorders>
              <w:top w:val="nil"/>
              <w:left w:val="nil"/>
              <w:bottom w:val="single" w:sz="6" w:space="0" w:color="78A22F"/>
              <w:right w:val="nil"/>
            </w:tcBorders>
            <w:shd w:val="clear" w:color="auto" w:fill="F2F2F2"/>
          </w:tcPr>
          <w:p w14:paraId="58310F4C" w14:textId="77777777" w:rsidR="00FE1E8D" w:rsidRPr="00037871" w:rsidRDefault="00FE1E8D" w:rsidP="008E4321">
            <w:pPr>
              <w:pStyle w:val="Box"/>
              <w:spacing w:before="0" w:line="120" w:lineRule="exact"/>
              <w:rPr>
                <w:color w:val="00B050"/>
              </w:rPr>
            </w:pPr>
          </w:p>
        </w:tc>
      </w:tr>
      <w:tr w:rsidR="00037871" w:rsidRPr="00037871" w14:paraId="25E9F053" w14:textId="77777777" w:rsidTr="00E929ED">
        <w:tc>
          <w:tcPr>
            <w:tcW w:w="8789" w:type="dxa"/>
            <w:gridSpan w:val="3"/>
            <w:tcBorders>
              <w:top w:val="single" w:sz="6" w:space="0" w:color="78A22F"/>
              <w:left w:val="nil"/>
              <w:bottom w:val="nil"/>
              <w:right w:val="nil"/>
            </w:tcBorders>
          </w:tcPr>
          <w:p w14:paraId="3501ECE5" w14:textId="77777777" w:rsidR="00FE1E8D" w:rsidRPr="00037871" w:rsidRDefault="00FE1E8D" w:rsidP="008E4321">
            <w:pPr>
              <w:pStyle w:val="BoxSpaceBelow"/>
              <w:rPr>
                <w:color w:val="00B050"/>
              </w:rPr>
            </w:pPr>
          </w:p>
        </w:tc>
      </w:tr>
    </w:tbl>
    <w:p w14:paraId="1AB55F8B" w14:textId="1ACFC81A" w:rsidR="00976114" w:rsidRPr="00AD0D0E" w:rsidRDefault="00FE1E8D" w:rsidP="00FE1E8D">
      <w:pPr>
        <w:pStyle w:val="Heading2"/>
        <w:rPr>
          <w:color w:val="000000" w:themeColor="text1"/>
        </w:rPr>
      </w:pPr>
      <w:r w:rsidRPr="00AD0D0E">
        <w:rPr>
          <w:color w:val="000000" w:themeColor="text1"/>
        </w:rPr>
        <w:t>Economic participation</w:t>
      </w:r>
    </w:p>
    <w:p w14:paraId="3B1F2499" w14:textId="14BDAE4D" w:rsidR="00FE1E8D" w:rsidRPr="00AD0D0E" w:rsidRDefault="0089750B" w:rsidP="0020338A">
      <w:pPr>
        <w:pStyle w:val="BodyText"/>
        <w:spacing w:before="200"/>
        <w:rPr>
          <w:color w:val="000000" w:themeColor="text1"/>
        </w:rPr>
      </w:pPr>
      <w:r w:rsidRPr="00AD0D0E">
        <w:rPr>
          <w:color w:val="000000" w:themeColor="text1"/>
        </w:rPr>
        <w:t xml:space="preserve">Participation in the economy can significantly influence living standards. </w:t>
      </w:r>
      <w:r w:rsidR="00BB68CE">
        <w:t>The extent to which people participate in the economy is closely related to their personal circumstances.</w:t>
      </w:r>
    </w:p>
    <w:p w14:paraId="34CBD7E7" w14:textId="77777777" w:rsidR="00FE1E8D" w:rsidRPr="00AD0D0E" w:rsidRDefault="00FE1E8D" w:rsidP="0020338A">
      <w:pPr>
        <w:pStyle w:val="BoxSpaceAbove"/>
        <w:spacing w:before="160"/>
        <w:rPr>
          <w:color w:val="000000" w:themeColor="text1"/>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AD0D0E" w14:paraId="5D891FCF" w14:textId="77777777" w:rsidTr="00E929ED">
        <w:tc>
          <w:tcPr>
            <w:tcW w:w="8789" w:type="dxa"/>
            <w:gridSpan w:val="3"/>
            <w:tcBorders>
              <w:top w:val="single" w:sz="6" w:space="0" w:color="78A22F"/>
              <w:left w:val="nil"/>
              <w:bottom w:val="nil"/>
              <w:right w:val="nil"/>
            </w:tcBorders>
            <w:shd w:val="clear" w:color="auto" w:fill="F2F2F2"/>
          </w:tcPr>
          <w:p w14:paraId="0B2675FD" w14:textId="77777777" w:rsidR="00FE1E8D" w:rsidRPr="00AD0D0E" w:rsidRDefault="00FE1E8D" w:rsidP="001D480C">
            <w:pPr>
              <w:pStyle w:val="BoxTitle"/>
              <w:spacing w:after="120"/>
              <w:rPr>
                <w:color w:val="000000" w:themeColor="text1"/>
              </w:rPr>
            </w:pPr>
            <w:r w:rsidRPr="00AD0D0E">
              <w:rPr>
                <w:color w:val="000000" w:themeColor="text1"/>
              </w:rPr>
              <w:t>9.1</w:t>
            </w:r>
            <w:r w:rsidRPr="00AD0D0E">
              <w:rPr>
                <w:color w:val="000000" w:themeColor="text1"/>
              </w:rPr>
              <w:tab/>
              <w:t>Employment by full time/part time status, sector and occupation</w:t>
            </w:r>
          </w:p>
        </w:tc>
      </w:tr>
      <w:tr w:rsidR="00037871" w:rsidRPr="00037871" w14:paraId="753CEDEF" w14:textId="77777777" w:rsidTr="00237AD4">
        <w:trPr>
          <w:cantSplit/>
        </w:trPr>
        <w:tc>
          <w:tcPr>
            <w:tcW w:w="3970" w:type="dxa"/>
            <w:tcBorders>
              <w:top w:val="nil"/>
              <w:left w:val="nil"/>
              <w:bottom w:val="nil"/>
              <w:right w:val="nil"/>
            </w:tcBorders>
            <w:shd w:val="clear" w:color="auto" w:fill="F2F2F2"/>
          </w:tcPr>
          <w:p w14:paraId="70962B2D" w14:textId="5821DD80" w:rsidR="00FE1E8D" w:rsidRPr="002A336B" w:rsidRDefault="00BB68CE" w:rsidP="0089750B">
            <w:pPr>
              <w:pStyle w:val="Box"/>
            </w:pPr>
            <w:r w:rsidRPr="00BB68CE">
              <w:t>Understanding the full time/part time status, sector and occupation of people’s employment provides insights into the work people do. Individuals may select their work (for example, part time work may be desirable for those with caring commitments), or it may be all that is available to them</w:t>
            </w:r>
            <w:r w:rsidR="0089750B" w:rsidRPr="002A336B">
              <w:t>.</w:t>
            </w:r>
          </w:p>
        </w:tc>
        <w:tc>
          <w:tcPr>
            <w:tcW w:w="992" w:type="dxa"/>
            <w:tcBorders>
              <w:top w:val="nil"/>
              <w:left w:val="nil"/>
              <w:bottom w:val="nil"/>
              <w:right w:val="nil"/>
            </w:tcBorders>
            <w:shd w:val="clear" w:color="auto" w:fill="418A50"/>
          </w:tcPr>
          <w:p w14:paraId="4C035B87" w14:textId="3B1B1E19" w:rsidR="0089750B" w:rsidRPr="002A336B" w:rsidRDefault="0089750B" w:rsidP="008E4321">
            <w:pPr>
              <w:pStyle w:val="BoxHeading1"/>
              <w:spacing w:before="240" w:line="240" w:lineRule="auto"/>
              <w:jc w:val="center"/>
              <w:rPr>
                <w:rFonts w:cs="Arial"/>
                <w:b w:val="0"/>
                <w:sz w:val="48"/>
                <w:szCs w:val="48"/>
              </w:rPr>
            </w:pPr>
          </w:p>
          <w:p w14:paraId="37DB1F63" w14:textId="1F372B41" w:rsidR="00FE1E8D" w:rsidRPr="0034662D" w:rsidRDefault="00B42D63" w:rsidP="009342D8">
            <w:pPr>
              <w:pStyle w:val="BoxHeading1"/>
              <w:spacing w:before="120" w:line="240" w:lineRule="auto"/>
              <w:jc w:val="center"/>
            </w:pPr>
            <w:r w:rsidRPr="00B42D63">
              <w:rPr>
                <w:rFonts w:cs="Arial"/>
                <w:noProof/>
                <w:sz w:val="48"/>
                <w:szCs w:val="48"/>
              </w:rPr>
              <mc:AlternateContent>
                <mc:Choice Requires="wpg">
                  <w:drawing>
                    <wp:anchor distT="0" distB="0" distL="114300" distR="114300" simplePos="0" relativeHeight="251771904" behindDoc="0" locked="0" layoutInCell="1" allowOverlap="1" wp14:anchorId="22832140" wp14:editId="1F887AB5">
                      <wp:simplePos x="0" y="0"/>
                      <wp:positionH relativeFrom="column">
                        <wp:posOffset>124589</wp:posOffset>
                      </wp:positionH>
                      <wp:positionV relativeFrom="paragraph">
                        <wp:posOffset>43815</wp:posOffset>
                      </wp:positionV>
                      <wp:extent cx="205105" cy="279400"/>
                      <wp:effectExtent l="19050" t="0" r="61595" b="6350"/>
                      <wp:wrapNone/>
                      <wp:docPr id="163"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64" name="Straight Connector 164"/>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5" name="Straight Connector 165"/>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83B428A" id="Group 2" o:spid="_x0000_s1026" alt="Tick symbol" style="position:absolute;margin-left:9.8pt;margin-top:3.45pt;width:16.15pt;height:22pt;z-index:251771904;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">
                      <v:line id="Straight Connector 164"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" strokecolor="white [3212]" strokeweight="3pt">
                        <o:lock v:ext="edit" shapetype="f"/>
                      </v:line>
                      <v:line id="Straight Connector 165"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" strokecolor="white [3212]" strokeweight="3pt">
                        <o:lock v:ext="edit" shapetype="f"/>
                      </v:line>
                    </v:group>
                  </w:pict>
                </mc:Fallback>
              </mc:AlternateContent>
            </w:r>
          </w:p>
        </w:tc>
        <w:tc>
          <w:tcPr>
            <w:tcW w:w="3827" w:type="dxa"/>
            <w:tcBorders>
              <w:top w:val="nil"/>
              <w:left w:val="nil"/>
              <w:bottom w:val="nil"/>
              <w:right w:val="nil"/>
            </w:tcBorders>
            <w:shd w:val="clear" w:color="auto" w:fill="F2F2F2"/>
          </w:tcPr>
          <w:p w14:paraId="06E0B2ED" w14:textId="18504514" w:rsidR="006F2441" w:rsidRPr="002A336B" w:rsidRDefault="00C26F43" w:rsidP="00402E43">
            <w:pPr>
              <w:pStyle w:val="Box"/>
            </w:pPr>
            <w:r>
              <w:t>For</w:t>
            </w:r>
            <w:r w:rsidR="006F2441">
              <w:t xml:space="preserve"> employed Aboriginal and Torres Strait Islander 1</w:t>
            </w:r>
            <w:r w:rsidR="00F70E53" w:rsidRPr="002A336B">
              <w:t>8–64 year</w:t>
            </w:r>
            <w:r w:rsidR="006F2441">
              <w:t xml:space="preserve"> olds</w:t>
            </w:r>
            <w:r>
              <w:t>, the proportion who are</w:t>
            </w:r>
            <w:r w:rsidR="0089750B" w:rsidRPr="002A336B">
              <w:t xml:space="preserve"> in full time employment increase</w:t>
            </w:r>
            <w:r w:rsidR="002A336B" w:rsidRPr="002A336B">
              <w:t xml:space="preserve">d from </w:t>
            </w:r>
            <w:r w:rsidR="002A336B" w:rsidRPr="000F0BC8">
              <w:t>5</w:t>
            </w:r>
            <w:r w:rsidR="00402E43" w:rsidRPr="000F0BC8">
              <w:t>5</w:t>
            </w:r>
            <w:r w:rsidR="002A336B" w:rsidRPr="002A336B">
              <w:t> per cent in 2002 to 63 per cent in 2014</w:t>
            </w:r>
            <w:r w:rsidR="0089750B" w:rsidRPr="002A336B">
              <w:noBreakHyphen/>
              <w:t>1</w:t>
            </w:r>
            <w:r w:rsidR="002A336B" w:rsidRPr="002A336B">
              <w:t>5</w:t>
            </w:r>
            <w:r w:rsidR="006F2441">
              <w:t>, and remained at this level in 2018</w:t>
            </w:r>
            <w:r w:rsidR="006F2441">
              <w:noBreakHyphen/>
              <w:t>19.</w:t>
            </w:r>
            <w:r w:rsidR="0089750B" w:rsidRPr="002A336B">
              <w:t xml:space="preserve"> </w:t>
            </w:r>
          </w:p>
        </w:tc>
      </w:tr>
      <w:tr w:rsidR="00037871" w:rsidRPr="00037871" w14:paraId="143A7054" w14:textId="77777777" w:rsidTr="00E929ED">
        <w:trPr>
          <w:cantSplit/>
        </w:trPr>
        <w:tc>
          <w:tcPr>
            <w:tcW w:w="8789" w:type="dxa"/>
            <w:gridSpan w:val="3"/>
            <w:tcBorders>
              <w:top w:val="nil"/>
              <w:left w:val="nil"/>
              <w:bottom w:val="nil"/>
              <w:right w:val="nil"/>
            </w:tcBorders>
            <w:shd w:val="clear" w:color="auto" w:fill="F2F2F2"/>
          </w:tcPr>
          <w:p w14:paraId="3D80E0BC" w14:textId="158A4D44" w:rsidR="00FE1E8D" w:rsidRPr="002A336B" w:rsidRDefault="0089750B" w:rsidP="005E3770">
            <w:pPr>
              <w:pStyle w:val="BoxHeading1"/>
              <w:rPr>
                <w:rStyle w:val="NoteLabel"/>
                <w:b/>
                <w:position w:val="0"/>
                <w:sz w:val="22"/>
              </w:rPr>
            </w:pPr>
            <w:r w:rsidRPr="002A336B">
              <w:t>Proportion of employed people aged 18–64 yea</w:t>
            </w:r>
            <w:r w:rsidR="005E3770">
              <w:t>rs in full time employment, 2004</w:t>
            </w:r>
            <w:r w:rsidR="000F0BC8">
              <w:noBreakHyphen/>
            </w:r>
            <w:r w:rsidR="005E3770">
              <w:t>05</w:t>
            </w:r>
            <w:r w:rsidR="00EA4AFB" w:rsidRPr="002A336B">
              <w:t xml:space="preserve"> to </w:t>
            </w:r>
            <w:r w:rsidRPr="002A336B">
              <w:t>201</w:t>
            </w:r>
            <w:r w:rsidR="005E3770">
              <w:t>7</w:t>
            </w:r>
            <w:r w:rsidR="002A336B" w:rsidRPr="002A336B">
              <w:t>-1</w:t>
            </w:r>
            <w:r w:rsidR="005E3770">
              <w:t>9</w:t>
            </w:r>
            <w:proofErr w:type="spellStart"/>
            <w:r w:rsidR="005E3770">
              <w:rPr>
                <w:rStyle w:val="NoteLabel"/>
                <w:b/>
              </w:rPr>
              <w:t>a,b,c</w:t>
            </w:r>
            <w:proofErr w:type="spellEnd"/>
          </w:p>
        </w:tc>
      </w:tr>
      <w:tr w:rsidR="00037871" w:rsidRPr="00037871" w14:paraId="4D9BD67C" w14:textId="77777777" w:rsidTr="00CB0B7D">
        <w:tblPrEx>
          <w:tblCellMar>
            <w:left w:w="108" w:type="dxa"/>
            <w:right w:w="108" w:type="dxa"/>
          </w:tblCellMar>
        </w:tblPrEx>
        <w:trPr>
          <w:cantSplit/>
        </w:trPr>
        <w:tc>
          <w:tcPr>
            <w:tcW w:w="8789" w:type="dxa"/>
            <w:gridSpan w:val="3"/>
            <w:tcBorders>
              <w:top w:val="nil"/>
              <w:left w:val="nil"/>
              <w:bottom w:val="nil"/>
              <w:right w:val="nil"/>
            </w:tcBorders>
            <w:shd w:val="clear" w:color="auto" w:fill="F2F2F2"/>
          </w:tcPr>
          <w:p w14:paraId="20F40CCD" w14:textId="7A7DEF37" w:rsidR="00E929ED" w:rsidRPr="002A336B" w:rsidRDefault="00C305A0" w:rsidP="00CB0B7D">
            <w:pPr>
              <w:pStyle w:val="Box"/>
              <w:jc w:val="center"/>
            </w:pPr>
            <w:r w:rsidRPr="00C305A0">
              <w:rPr>
                <w:noProof/>
              </w:rPr>
              <w:drawing>
                <wp:inline distT="0" distB="0" distL="0" distR="0" wp14:anchorId="0E3757D3" wp14:editId="0B224371">
                  <wp:extent cx="5400675" cy="2876550"/>
                  <wp:effectExtent l="0" t="0" r="0" b="0"/>
                  <wp:docPr id="77" name="Picture 77" descr="Proportion of employed people aged 18-64 years in full time employment, by Indigenous status, 2004-05 to 2017-19&#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00675" cy="2876550"/>
                          </a:xfrm>
                          <a:prstGeom prst="rect">
                            <a:avLst/>
                          </a:prstGeom>
                          <a:noFill/>
                          <a:ln>
                            <a:noFill/>
                          </a:ln>
                        </pic:spPr>
                      </pic:pic>
                    </a:graphicData>
                  </a:graphic>
                </wp:inline>
              </w:drawing>
            </w:r>
          </w:p>
        </w:tc>
      </w:tr>
      <w:tr w:rsidR="00037871" w:rsidRPr="00037871" w14:paraId="466C3075" w14:textId="77777777" w:rsidTr="00E929ED">
        <w:trPr>
          <w:cantSplit/>
        </w:trPr>
        <w:tc>
          <w:tcPr>
            <w:tcW w:w="8789" w:type="dxa"/>
            <w:gridSpan w:val="3"/>
            <w:tcBorders>
              <w:top w:val="nil"/>
              <w:left w:val="nil"/>
              <w:bottom w:val="nil"/>
              <w:right w:val="nil"/>
            </w:tcBorders>
            <w:shd w:val="clear" w:color="auto" w:fill="F2F2F2"/>
          </w:tcPr>
          <w:p w14:paraId="6E802DDC" w14:textId="3C9C3A60" w:rsidR="00FE1E8D" w:rsidRPr="002A336B" w:rsidRDefault="00FE1E8D" w:rsidP="005E3770">
            <w:pPr>
              <w:pStyle w:val="Note"/>
            </w:pPr>
            <w:proofErr w:type="spellStart"/>
            <w:r w:rsidRPr="002A336B">
              <w:rPr>
                <w:rStyle w:val="NoteLabel"/>
              </w:rPr>
              <w:t>a</w:t>
            </w:r>
            <w:proofErr w:type="spellEnd"/>
            <w:r w:rsidRPr="002A336B">
              <w:rPr>
                <w:rFonts w:ascii="Arial Bold" w:hAnsi="Arial Bold"/>
                <w:b/>
                <w:vertAlign w:val="superscript"/>
              </w:rPr>
              <w:t xml:space="preserve"> </w:t>
            </w:r>
            <w:r w:rsidR="0089750B" w:rsidRPr="002A336B">
              <w:t xml:space="preserve">Includes </w:t>
            </w:r>
            <w:proofErr w:type="spellStart"/>
            <w:r w:rsidR="0089750B" w:rsidRPr="002A336B">
              <w:t>CDEP</w:t>
            </w:r>
            <w:proofErr w:type="spellEnd"/>
            <w:r w:rsidR="0089750B" w:rsidRPr="002A336B">
              <w:t xml:space="preserve"> employment</w:t>
            </w:r>
            <w:r w:rsidR="0034662D">
              <w:t xml:space="preserve"> up to and including 2011–</w:t>
            </w:r>
            <w:r w:rsidR="002A336B" w:rsidRPr="002A336B">
              <w:t>13</w:t>
            </w:r>
            <w:r w:rsidR="0089750B" w:rsidRPr="002A336B">
              <w:t xml:space="preserve">. </w:t>
            </w:r>
            <w:r w:rsidR="005E3770">
              <w:rPr>
                <w:rStyle w:val="NoteLabel"/>
              </w:rPr>
              <w:t xml:space="preserve">b </w:t>
            </w:r>
            <w:r w:rsidR="005E3770">
              <w:t>Data for non-Indigenous people are not available for 2002</w:t>
            </w:r>
            <w:r w:rsidR="00D349AA">
              <w:t xml:space="preserve"> (baseline) so data presented in this chart</w:t>
            </w:r>
            <w:r w:rsidR="005E3770">
              <w:t xml:space="preserve"> are from 2004-05 onwards. </w:t>
            </w:r>
            <w:r w:rsidR="005E3770" w:rsidRPr="005E3770">
              <w:rPr>
                <w:rStyle w:val="NoteLabel"/>
              </w:rPr>
              <w:t>c</w:t>
            </w:r>
            <w:r w:rsidR="005E3770">
              <w:t xml:space="preserve"> E</w:t>
            </w:r>
            <w:r w:rsidR="0089750B" w:rsidRPr="002A336B">
              <w:t>rror bars represent 95 per cent confidence intervals around each estimate.</w:t>
            </w:r>
            <w:r w:rsidR="00E95F70" w:rsidRPr="002A336B">
              <w:t xml:space="preserve"> </w:t>
            </w:r>
          </w:p>
        </w:tc>
      </w:tr>
      <w:tr w:rsidR="00037871" w:rsidRPr="00037871" w14:paraId="6FBB668A" w14:textId="77777777" w:rsidTr="00E929ED">
        <w:trPr>
          <w:cantSplit/>
        </w:trPr>
        <w:tc>
          <w:tcPr>
            <w:tcW w:w="8789" w:type="dxa"/>
            <w:gridSpan w:val="3"/>
            <w:tcBorders>
              <w:top w:val="nil"/>
              <w:left w:val="nil"/>
              <w:bottom w:val="nil"/>
              <w:right w:val="nil"/>
            </w:tcBorders>
            <w:shd w:val="clear" w:color="auto" w:fill="F2F2F2"/>
          </w:tcPr>
          <w:p w14:paraId="3F8BC2C2" w14:textId="5A76E1B6" w:rsidR="00FE1E8D" w:rsidRPr="002A336B" w:rsidRDefault="00FE1E8D" w:rsidP="003D7A8A">
            <w:pPr>
              <w:pStyle w:val="BoxSource"/>
              <w:spacing w:before="80"/>
            </w:pPr>
            <w:r w:rsidRPr="002A336B">
              <w:rPr>
                <w:i/>
              </w:rPr>
              <w:t>Source</w:t>
            </w:r>
            <w:r w:rsidRPr="002A336B">
              <w:t xml:space="preserve">: Figure 9.1.1 in the main </w:t>
            </w:r>
            <w:r w:rsidR="003D7A8A">
              <w:t>R</w:t>
            </w:r>
            <w:r w:rsidR="003D7A8A" w:rsidRPr="002A336B">
              <w:t>eport</w:t>
            </w:r>
            <w:r w:rsidRPr="002A336B">
              <w:t>.</w:t>
            </w:r>
          </w:p>
        </w:tc>
      </w:tr>
      <w:tr w:rsidR="00037871" w:rsidRPr="00037871" w14:paraId="658A42EA" w14:textId="77777777" w:rsidTr="00E929ED">
        <w:trPr>
          <w:cantSplit/>
        </w:trPr>
        <w:tc>
          <w:tcPr>
            <w:tcW w:w="8789" w:type="dxa"/>
            <w:gridSpan w:val="3"/>
            <w:tcBorders>
              <w:top w:val="nil"/>
              <w:left w:val="nil"/>
              <w:bottom w:val="single" w:sz="6" w:space="0" w:color="78A22F"/>
              <w:right w:val="nil"/>
            </w:tcBorders>
            <w:shd w:val="clear" w:color="auto" w:fill="F2F2F2"/>
          </w:tcPr>
          <w:p w14:paraId="4B465DD3" w14:textId="77777777" w:rsidR="00FE1E8D" w:rsidRPr="00037871" w:rsidRDefault="00FE1E8D" w:rsidP="008E4321">
            <w:pPr>
              <w:pStyle w:val="Box"/>
              <w:spacing w:before="0" w:line="120" w:lineRule="exact"/>
              <w:rPr>
                <w:color w:val="00B050"/>
              </w:rPr>
            </w:pPr>
          </w:p>
        </w:tc>
      </w:tr>
      <w:tr w:rsidR="00037871" w:rsidRPr="00037871" w14:paraId="23F7DABA" w14:textId="77777777" w:rsidTr="00E929ED">
        <w:tc>
          <w:tcPr>
            <w:tcW w:w="8789" w:type="dxa"/>
            <w:gridSpan w:val="3"/>
            <w:tcBorders>
              <w:top w:val="single" w:sz="6" w:space="0" w:color="78A22F"/>
              <w:left w:val="nil"/>
              <w:bottom w:val="nil"/>
              <w:right w:val="nil"/>
            </w:tcBorders>
          </w:tcPr>
          <w:p w14:paraId="0435EDFE" w14:textId="77777777" w:rsidR="00FE1E8D" w:rsidRPr="00037871" w:rsidRDefault="00FE1E8D" w:rsidP="008E4321">
            <w:pPr>
              <w:pStyle w:val="BoxSpaceBelow"/>
              <w:rPr>
                <w:color w:val="00B050"/>
              </w:rPr>
            </w:pPr>
          </w:p>
        </w:tc>
      </w:tr>
    </w:tbl>
    <w:p w14:paraId="768EE6E9" w14:textId="77777777" w:rsidR="00FE1E8D" w:rsidRPr="00037871" w:rsidRDefault="00FE1E8D" w:rsidP="00FE1E8D">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BE50E9" w14:paraId="47AE1606" w14:textId="77777777" w:rsidTr="00E929ED">
        <w:tc>
          <w:tcPr>
            <w:tcW w:w="8789" w:type="dxa"/>
            <w:gridSpan w:val="3"/>
            <w:tcBorders>
              <w:top w:val="single" w:sz="6" w:space="0" w:color="78A22F"/>
              <w:left w:val="nil"/>
              <w:bottom w:val="nil"/>
              <w:right w:val="nil"/>
            </w:tcBorders>
            <w:shd w:val="clear" w:color="auto" w:fill="F2F2F2"/>
          </w:tcPr>
          <w:p w14:paraId="633D7493" w14:textId="77777777" w:rsidR="00FE1E8D" w:rsidRPr="00BE50E9" w:rsidRDefault="00FE1E8D" w:rsidP="001D480C">
            <w:pPr>
              <w:pStyle w:val="BoxTitle"/>
              <w:spacing w:after="120"/>
              <w:rPr>
                <w:color w:val="000000" w:themeColor="text1"/>
              </w:rPr>
            </w:pPr>
            <w:r w:rsidRPr="00BE50E9">
              <w:rPr>
                <w:color w:val="000000" w:themeColor="text1"/>
              </w:rPr>
              <w:t>9.2</w:t>
            </w:r>
            <w:r w:rsidRPr="00BE50E9">
              <w:rPr>
                <w:color w:val="000000" w:themeColor="text1"/>
              </w:rPr>
              <w:tab/>
              <w:t>Indigenous owned or controlled land and business</w:t>
            </w:r>
          </w:p>
        </w:tc>
      </w:tr>
      <w:tr w:rsidR="00037871" w:rsidRPr="00037871" w14:paraId="302CE3A3" w14:textId="77777777" w:rsidTr="00237AD4">
        <w:trPr>
          <w:cantSplit/>
        </w:trPr>
        <w:tc>
          <w:tcPr>
            <w:tcW w:w="3970" w:type="dxa"/>
            <w:tcBorders>
              <w:top w:val="nil"/>
              <w:left w:val="nil"/>
              <w:bottom w:val="nil"/>
              <w:right w:val="nil"/>
            </w:tcBorders>
            <w:shd w:val="clear" w:color="auto" w:fill="F2F2F2"/>
          </w:tcPr>
          <w:p w14:paraId="7C8FD039" w14:textId="10A66850" w:rsidR="00FE1E8D" w:rsidRDefault="00D86683" w:rsidP="008E4321">
            <w:pPr>
              <w:pStyle w:val="Box"/>
            </w:pPr>
            <w:r w:rsidRPr="00D86683">
              <w:t>Land and waters ownership or rights, self-employment and business ownership can lead to autonomy and economic independence for all people. Control over assets is a means of wealth creation for communities and families, and it can deliver increased income and employment</w:t>
            </w:r>
            <w:r w:rsidR="00013D89" w:rsidRPr="00655B32">
              <w:t>.</w:t>
            </w:r>
          </w:p>
          <w:p w14:paraId="34341810" w14:textId="77777777" w:rsidR="00D80695" w:rsidRPr="00655B32" w:rsidRDefault="00D80695" w:rsidP="008E4321">
            <w:pPr>
              <w:pStyle w:val="Box"/>
            </w:pPr>
          </w:p>
        </w:tc>
        <w:tc>
          <w:tcPr>
            <w:tcW w:w="992" w:type="dxa"/>
            <w:tcBorders>
              <w:top w:val="nil"/>
              <w:left w:val="nil"/>
              <w:bottom w:val="nil"/>
              <w:right w:val="nil"/>
            </w:tcBorders>
            <w:shd w:val="clear" w:color="auto" w:fill="418A50"/>
          </w:tcPr>
          <w:p w14:paraId="4D8BF34E" w14:textId="1484DA7E" w:rsidR="00FE1E8D" w:rsidRPr="00D7120B" w:rsidRDefault="00B42D63" w:rsidP="009342D8">
            <w:pPr>
              <w:pStyle w:val="BoxHeading1"/>
              <w:spacing w:before="960" w:line="240" w:lineRule="auto"/>
              <w:jc w:val="center"/>
              <w:rPr>
                <w:rFonts w:cs="Arial"/>
                <w:sz w:val="48"/>
                <w:szCs w:val="48"/>
              </w:rPr>
            </w:pPr>
            <w:r w:rsidRPr="00B42D63">
              <w:rPr>
                <w:rFonts w:cs="Arial"/>
                <w:noProof/>
                <w:sz w:val="48"/>
                <w:szCs w:val="48"/>
              </w:rPr>
              <mc:AlternateContent>
                <mc:Choice Requires="wpg">
                  <w:drawing>
                    <wp:anchor distT="0" distB="0" distL="114300" distR="114300" simplePos="0" relativeHeight="251773952" behindDoc="0" locked="0" layoutInCell="1" allowOverlap="1" wp14:anchorId="47BECF57" wp14:editId="7012AC52">
                      <wp:simplePos x="0" y="0"/>
                      <wp:positionH relativeFrom="column">
                        <wp:posOffset>114085</wp:posOffset>
                      </wp:positionH>
                      <wp:positionV relativeFrom="paragraph">
                        <wp:posOffset>1306938</wp:posOffset>
                      </wp:positionV>
                      <wp:extent cx="205105" cy="279400"/>
                      <wp:effectExtent l="19050" t="0" r="61595" b="6350"/>
                      <wp:wrapNone/>
                      <wp:docPr id="166"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67" name="Straight Connector 167"/>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68" name="Straight Connector 168"/>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984A6E7" id="Group 2" o:spid="_x0000_s1026" alt="Tick symbol" style="position:absolute;margin-left:9pt;margin-top:102.9pt;width:16.15pt;height:22pt;z-index:251773952;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">
                      <v:line id="Straight Connector 167"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" strokecolor="white [3212]" strokeweight="3pt">
                        <o:lock v:ext="edit" shapetype="f"/>
                      </v:line>
                      <v:line id="Straight Connector 168"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" strokecolor="white [3212]" strokeweight="3pt">
                        <o:lock v:ext="edit" shapetype="f"/>
                      </v:line>
                    </v:group>
                  </w:pict>
                </mc:Fallback>
              </mc:AlternateContent>
            </w:r>
            <w:r w:rsidR="00FE1E8D" w:rsidRPr="00655B32">
              <w:rPr>
                <w:rFonts w:cs="Arial"/>
                <w:b w:val="0"/>
                <w:sz w:val="48"/>
                <w:szCs w:val="48"/>
              </w:rPr>
              <w:br/>
            </w:r>
            <w:r w:rsidR="00FE1E8D" w:rsidRPr="00655B32">
              <w:rPr>
                <w:rFonts w:cs="Arial"/>
                <w:b w:val="0"/>
                <w:sz w:val="48"/>
                <w:szCs w:val="48"/>
              </w:rPr>
              <w:br/>
            </w:r>
          </w:p>
        </w:tc>
        <w:tc>
          <w:tcPr>
            <w:tcW w:w="3827" w:type="dxa"/>
            <w:tcBorders>
              <w:top w:val="nil"/>
              <w:left w:val="nil"/>
              <w:bottom w:val="nil"/>
              <w:right w:val="nil"/>
            </w:tcBorders>
            <w:shd w:val="clear" w:color="auto" w:fill="F2F2F2"/>
          </w:tcPr>
          <w:p w14:paraId="0D01DAD8" w14:textId="2B2E3FF8" w:rsidR="00FE1E8D" w:rsidRDefault="00D86683" w:rsidP="00013D89">
            <w:pPr>
              <w:pStyle w:val="Box"/>
            </w:pPr>
            <w:r>
              <w:t>As at 30 June 2019</w:t>
            </w:r>
            <w:r w:rsidR="00013D89" w:rsidRPr="00655B32">
              <w:t>, native title ha</w:t>
            </w:r>
            <w:r>
              <w:t>d been determined to exist in</w:t>
            </w:r>
            <w:r w:rsidR="00441131">
              <w:t xml:space="preserve"> about</w:t>
            </w:r>
            <w:r>
              <w:t xml:space="preserve"> 40</w:t>
            </w:r>
            <w:r w:rsidR="00013D89" w:rsidRPr="00655B32">
              <w:t xml:space="preserve"> per cent of Australia (up from 5 per cent in 2004) and registered Indigenou</w:t>
            </w:r>
            <w:r w:rsidR="00655B32" w:rsidRPr="00655B32">
              <w:t xml:space="preserve">s Land Use </w:t>
            </w:r>
            <w:r>
              <w:t>Agreements covered 33</w:t>
            </w:r>
            <w:r w:rsidR="00013D89" w:rsidRPr="00655B32">
              <w:t xml:space="preserve"> per cent of Australia.</w:t>
            </w:r>
          </w:p>
          <w:p w14:paraId="1B354C57" w14:textId="1DBDEDF8" w:rsidR="00A35C4C" w:rsidRPr="00655B32" w:rsidRDefault="006F2441" w:rsidP="00013D89">
            <w:pPr>
              <w:pStyle w:val="Box"/>
            </w:pPr>
            <w:r>
              <w:t>I</w:t>
            </w:r>
            <w:r w:rsidR="00D86683">
              <w:t>n May 2020</w:t>
            </w:r>
            <w:r w:rsidR="00A35C4C" w:rsidRPr="00655B32">
              <w:t xml:space="preserve">, Aboriginal and Torres Strait Islander </w:t>
            </w:r>
            <w:r>
              <w:t>people</w:t>
            </w:r>
            <w:r w:rsidR="00A35C4C" w:rsidRPr="00655B32">
              <w:t xml:space="preserve"> col</w:t>
            </w:r>
            <w:r w:rsidR="00D86683">
              <w:t>lectively owned or controlled 15</w:t>
            </w:r>
            <w:r w:rsidR="00A35C4C" w:rsidRPr="00655B32">
              <w:t> per cent of land in Australia, with most of this land in very remote areas</w:t>
            </w:r>
            <w:r w:rsidR="00D86683">
              <w:t xml:space="preserve"> </w:t>
            </w:r>
            <w:r w:rsidR="008D3CDB">
              <w:t xml:space="preserve">— </w:t>
            </w:r>
            <w:r w:rsidR="00D86683">
              <w:t>similar to 2014 and 2016.</w:t>
            </w:r>
          </w:p>
          <w:p w14:paraId="66BE5E19" w14:textId="111C2D3E" w:rsidR="00655B32" w:rsidRPr="00655B32" w:rsidRDefault="00D86683" w:rsidP="008D3CDB">
            <w:pPr>
              <w:pStyle w:val="Box"/>
            </w:pPr>
            <w:r>
              <w:t>In 2018-19, 11</w:t>
            </w:r>
            <w:r w:rsidR="00655B32" w:rsidRPr="00655B32">
              <w:t xml:space="preserve"> per cent of employed Aboriginal and Torres Strait </w:t>
            </w:r>
            <w:r w:rsidR="0082585B">
              <w:t xml:space="preserve">Islander </w:t>
            </w:r>
            <w:r w:rsidR="00655B32" w:rsidRPr="00655B32">
              <w:t xml:space="preserve">adults were self-employed </w:t>
            </w:r>
            <w:r w:rsidR="008D3CDB">
              <w:t xml:space="preserve">— </w:t>
            </w:r>
            <w:r>
              <w:t>up</w:t>
            </w:r>
            <w:r w:rsidR="00655B32" w:rsidRPr="00655B32">
              <w:t xml:space="preserve"> from 6</w:t>
            </w:r>
            <w:r w:rsidR="00143FA8">
              <w:t> </w:t>
            </w:r>
            <w:r w:rsidR="00655B32" w:rsidRPr="00655B32">
              <w:t>per cent in 2011–13</w:t>
            </w:r>
            <w:r w:rsidR="00246612">
              <w:t>, and similar to 2014</w:t>
            </w:r>
            <w:r w:rsidR="00246612">
              <w:noBreakHyphen/>
            </w:r>
            <w:r>
              <w:t>15</w:t>
            </w:r>
            <w:r w:rsidR="00655B32" w:rsidRPr="00655B32">
              <w:t>.</w:t>
            </w:r>
          </w:p>
        </w:tc>
      </w:tr>
      <w:tr w:rsidR="00037871" w:rsidRPr="00037871" w14:paraId="5FCDE661" w14:textId="77777777" w:rsidTr="00E929ED">
        <w:trPr>
          <w:cantSplit/>
        </w:trPr>
        <w:tc>
          <w:tcPr>
            <w:tcW w:w="8789" w:type="dxa"/>
            <w:gridSpan w:val="3"/>
            <w:tcBorders>
              <w:top w:val="nil"/>
              <w:left w:val="nil"/>
              <w:bottom w:val="single" w:sz="6" w:space="0" w:color="78A22F"/>
              <w:right w:val="nil"/>
            </w:tcBorders>
            <w:shd w:val="clear" w:color="auto" w:fill="F2F2F2"/>
          </w:tcPr>
          <w:p w14:paraId="146E1FFD" w14:textId="77777777" w:rsidR="00FE1E8D" w:rsidRPr="00037871" w:rsidRDefault="00FE1E8D" w:rsidP="008E4321">
            <w:pPr>
              <w:pStyle w:val="Box"/>
              <w:spacing w:before="0" w:line="120" w:lineRule="exact"/>
              <w:rPr>
                <w:color w:val="00B050"/>
              </w:rPr>
            </w:pPr>
          </w:p>
        </w:tc>
      </w:tr>
      <w:tr w:rsidR="00037871" w:rsidRPr="00037871" w14:paraId="5C00E8DB" w14:textId="77777777" w:rsidTr="00E929ED">
        <w:tc>
          <w:tcPr>
            <w:tcW w:w="8789" w:type="dxa"/>
            <w:gridSpan w:val="3"/>
            <w:tcBorders>
              <w:top w:val="single" w:sz="6" w:space="0" w:color="78A22F"/>
              <w:left w:val="nil"/>
              <w:bottom w:val="nil"/>
              <w:right w:val="nil"/>
            </w:tcBorders>
          </w:tcPr>
          <w:p w14:paraId="790BFD4A" w14:textId="77777777" w:rsidR="00FE1E8D" w:rsidRPr="00037871" w:rsidRDefault="00FE1E8D" w:rsidP="008E4321">
            <w:pPr>
              <w:pStyle w:val="BoxSpaceBelow"/>
              <w:rPr>
                <w:color w:val="00B050"/>
              </w:rPr>
            </w:pPr>
          </w:p>
        </w:tc>
      </w:tr>
    </w:tbl>
    <w:p w14:paraId="29F205D5" w14:textId="77777777" w:rsidR="00FE1E8D" w:rsidRPr="00037871" w:rsidRDefault="00FE1E8D" w:rsidP="00FE1E8D">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BE50E9" w14:paraId="7442B70F" w14:textId="77777777" w:rsidTr="00E929ED">
        <w:tc>
          <w:tcPr>
            <w:tcW w:w="8789" w:type="dxa"/>
            <w:gridSpan w:val="3"/>
            <w:tcBorders>
              <w:top w:val="single" w:sz="6" w:space="0" w:color="78A22F"/>
              <w:left w:val="nil"/>
              <w:bottom w:val="nil"/>
              <w:right w:val="nil"/>
            </w:tcBorders>
            <w:shd w:val="clear" w:color="auto" w:fill="F2F2F2"/>
          </w:tcPr>
          <w:p w14:paraId="44D681EA" w14:textId="77777777" w:rsidR="00FE1E8D" w:rsidRPr="00BE50E9" w:rsidRDefault="00FE1E8D" w:rsidP="001D480C">
            <w:pPr>
              <w:pStyle w:val="BoxTitle"/>
              <w:spacing w:after="120"/>
              <w:rPr>
                <w:color w:val="000000" w:themeColor="text1"/>
              </w:rPr>
            </w:pPr>
            <w:r w:rsidRPr="00BE50E9">
              <w:rPr>
                <w:color w:val="000000" w:themeColor="text1"/>
              </w:rPr>
              <w:t>9.3</w:t>
            </w:r>
            <w:r w:rsidRPr="00BE50E9">
              <w:rPr>
                <w:color w:val="000000" w:themeColor="text1"/>
              </w:rPr>
              <w:tab/>
              <w:t>Home ownership</w:t>
            </w:r>
          </w:p>
        </w:tc>
      </w:tr>
      <w:tr w:rsidR="00037871" w:rsidRPr="00037871" w14:paraId="38B226FC" w14:textId="77777777" w:rsidTr="00237AD4">
        <w:trPr>
          <w:cantSplit/>
        </w:trPr>
        <w:tc>
          <w:tcPr>
            <w:tcW w:w="3970" w:type="dxa"/>
            <w:tcBorders>
              <w:top w:val="nil"/>
              <w:left w:val="nil"/>
              <w:bottom w:val="nil"/>
              <w:right w:val="nil"/>
            </w:tcBorders>
            <w:shd w:val="clear" w:color="auto" w:fill="F2F2F2"/>
          </w:tcPr>
          <w:p w14:paraId="3E75BE79" w14:textId="2E0A1B02" w:rsidR="00FE1E8D" w:rsidRPr="001F386B" w:rsidRDefault="00013D89" w:rsidP="00D86683">
            <w:pPr>
              <w:pStyle w:val="Box"/>
            </w:pPr>
            <w:r w:rsidRPr="001F386B">
              <w:t xml:space="preserve">Home ownership, although not an aspiration of all </w:t>
            </w:r>
            <w:r w:rsidR="00D86683">
              <w:t>people</w:t>
            </w:r>
            <w:r w:rsidRPr="001F386B">
              <w:t>, is an important indicator of wealth and saving. Home ownership also provides security of tenure and allows control over living arrangements.</w:t>
            </w:r>
          </w:p>
        </w:tc>
        <w:tc>
          <w:tcPr>
            <w:tcW w:w="992" w:type="dxa"/>
            <w:tcBorders>
              <w:top w:val="nil"/>
              <w:left w:val="nil"/>
              <w:bottom w:val="nil"/>
              <w:right w:val="nil"/>
            </w:tcBorders>
            <w:shd w:val="clear" w:color="auto" w:fill="418A50"/>
          </w:tcPr>
          <w:p w14:paraId="461903E5" w14:textId="01F1A9D9" w:rsidR="00FE1E8D" w:rsidRPr="00D7120B" w:rsidRDefault="00B42D63" w:rsidP="009342D8">
            <w:pPr>
              <w:pStyle w:val="BoxHeading1"/>
              <w:spacing w:before="720" w:line="240" w:lineRule="auto"/>
              <w:jc w:val="center"/>
              <w:rPr>
                <w:rFonts w:cs="Arial"/>
                <w:sz w:val="48"/>
                <w:szCs w:val="48"/>
              </w:rPr>
            </w:pPr>
            <w:r w:rsidRPr="00B42D63">
              <w:rPr>
                <w:rFonts w:cs="Arial"/>
                <w:noProof/>
                <w:sz w:val="48"/>
                <w:szCs w:val="48"/>
              </w:rPr>
              <mc:AlternateContent>
                <mc:Choice Requires="wpg">
                  <w:drawing>
                    <wp:anchor distT="0" distB="0" distL="114300" distR="114300" simplePos="0" relativeHeight="251776000" behindDoc="0" locked="0" layoutInCell="1" allowOverlap="1" wp14:anchorId="2F0DA4BA" wp14:editId="4FA3F59B">
                      <wp:simplePos x="0" y="0"/>
                      <wp:positionH relativeFrom="column">
                        <wp:posOffset>129195</wp:posOffset>
                      </wp:positionH>
                      <wp:positionV relativeFrom="paragraph">
                        <wp:posOffset>756748</wp:posOffset>
                      </wp:positionV>
                      <wp:extent cx="205105" cy="279400"/>
                      <wp:effectExtent l="19050" t="0" r="61595" b="6350"/>
                      <wp:wrapNone/>
                      <wp:docPr id="169"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70" name="Straight Connector 170"/>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71" name="Straight Connector 171"/>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3833B48" id="Group 2" o:spid="_x0000_s1026" alt="Tick symbol" style="position:absolute;margin-left:10.15pt;margin-top:59.6pt;width:16.15pt;height:22pt;z-index:251776000;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">
                      <v:line id="Straight Connector 170"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" strokecolor="white [3212]" strokeweight="3pt">
                        <o:lock v:ext="edit" shapetype="f"/>
                      </v:line>
                      <v:line id="Straight Connector 171"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" strokecolor="white [3212]" strokeweight="3pt">
                        <o:lock v:ext="edit" shapetype="f"/>
                      </v:line>
                    </v:group>
                  </w:pict>
                </mc:Fallback>
              </mc:AlternateContent>
            </w:r>
          </w:p>
        </w:tc>
        <w:tc>
          <w:tcPr>
            <w:tcW w:w="3827" w:type="dxa"/>
            <w:tcBorders>
              <w:top w:val="nil"/>
              <w:left w:val="nil"/>
              <w:bottom w:val="nil"/>
              <w:right w:val="nil"/>
            </w:tcBorders>
            <w:shd w:val="clear" w:color="auto" w:fill="F2F2F2"/>
          </w:tcPr>
          <w:p w14:paraId="48B73D29" w14:textId="6A98C395" w:rsidR="00FE1E8D" w:rsidRPr="001F386B" w:rsidRDefault="00013D89" w:rsidP="00441131">
            <w:pPr>
              <w:pStyle w:val="Box"/>
            </w:pPr>
            <w:r w:rsidRPr="001F386B">
              <w:t xml:space="preserve">The proportion of Aboriginal and Torres Strait Islander adults living in a home owned or being purchased by a member of their household increased from </w:t>
            </w:r>
            <w:r w:rsidRPr="000F0BC8">
              <w:t>2</w:t>
            </w:r>
            <w:r w:rsidR="00441131" w:rsidRPr="000F0BC8">
              <w:t>2</w:t>
            </w:r>
            <w:r w:rsidRPr="001F386B">
              <w:t xml:space="preserve"> per cent in 1994 to </w:t>
            </w:r>
            <w:r w:rsidR="001F386B" w:rsidRPr="001F386B">
              <w:t>27 per cent in 2002</w:t>
            </w:r>
            <w:r w:rsidR="00701500">
              <w:t>,</w:t>
            </w:r>
            <w:r w:rsidR="001F386B" w:rsidRPr="001F386B">
              <w:t xml:space="preserve"> and</w:t>
            </w:r>
            <w:r w:rsidR="00701500">
              <w:t xml:space="preserve"> has remained at a similar level since (</w:t>
            </w:r>
            <w:r w:rsidR="00D86683">
              <w:t>31</w:t>
            </w:r>
            <w:r w:rsidR="00701500">
              <w:t> </w:t>
            </w:r>
            <w:r w:rsidR="001F386B" w:rsidRPr="001F386B">
              <w:t>per cent in 2</w:t>
            </w:r>
            <w:r w:rsidR="00D86683">
              <w:t>018-19</w:t>
            </w:r>
            <w:r w:rsidR="00701500">
              <w:t>)</w:t>
            </w:r>
            <w:r w:rsidRPr="001F386B">
              <w:t xml:space="preserve">. The </w:t>
            </w:r>
            <w:r w:rsidR="00701500">
              <w:t>p</w:t>
            </w:r>
            <w:r w:rsidR="0082585B">
              <w:t>roportion for non-</w:t>
            </w:r>
            <w:r w:rsidRPr="001F386B">
              <w:t xml:space="preserve">Indigenous </w:t>
            </w:r>
            <w:r w:rsidR="00D86683">
              <w:t>adults</w:t>
            </w:r>
            <w:r w:rsidRPr="001F386B">
              <w:t xml:space="preserve"> decreased from 74 to </w:t>
            </w:r>
            <w:r w:rsidR="001F386B" w:rsidRPr="001F386B">
              <w:t>6</w:t>
            </w:r>
            <w:r w:rsidR="00D86683">
              <w:t>8</w:t>
            </w:r>
            <w:r w:rsidR="0082585B">
              <w:t> per </w:t>
            </w:r>
            <w:r w:rsidRPr="001F386B">
              <w:t xml:space="preserve">cent between 2002 and </w:t>
            </w:r>
            <w:r w:rsidR="00D86683">
              <w:t>2017</w:t>
            </w:r>
            <w:r w:rsidR="006F2441">
              <w:noBreakHyphen/>
            </w:r>
            <w:r w:rsidR="00D86683">
              <w:t>18</w:t>
            </w:r>
            <w:r w:rsidRPr="001F386B">
              <w:t xml:space="preserve"> (earlier data are not available).</w:t>
            </w:r>
          </w:p>
        </w:tc>
      </w:tr>
      <w:tr w:rsidR="00037871" w:rsidRPr="00037871" w14:paraId="638F6893" w14:textId="77777777" w:rsidTr="00E929ED">
        <w:trPr>
          <w:cantSplit/>
        </w:trPr>
        <w:tc>
          <w:tcPr>
            <w:tcW w:w="8789" w:type="dxa"/>
            <w:gridSpan w:val="3"/>
            <w:tcBorders>
              <w:top w:val="nil"/>
              <w:left w:val="nil"/>
              <w:bottom w:val="single" w:sz="6" w:space="0" w:color="78A22F"/>
              <w:right w:val="nil"/>
            </w:tcBorders>
            <w:shd w:val="clear" w:color="auto" w:fill="F2F2F2"/>
          </w:tcPr>
          <w:p w14:paraId="258E6A44" w14:textId="77777777" w:rsidR="00FE1E8D" w:rsidRPr="00037871" w:rsidRDefault="00FE1E8D" w:rsidP="008E4321">
            <w:pPr>
              <w:pStyle w:val="Box"/>
              <w:spacing w:before="0" w:line="120" w:lineRule="exact"/>
              <w:rPr>
                <w:color w:val="00B050"/>
              </w:rPr>
            </w:pPr>
          </w:p>
        </w:tc>
      </w:tr>
      <w:tr w:rsidR="00037871" w:rsidRPr="00037871" w14:paraId="4AFAF97E" w14:textId="77777777" w:rsidTr="00E929ED">
        <w:tc>
          <w:tcPr>
            <w:tcW w:w="8789" w:type="dxa"/>
            <w:gridSpan w:val="3"/>
            <w:tcBorders>
              <w:top w:val="single" w:sz="6" w:space="0" w:color="78A22F"/>
              <w:left w:val="nil"/>
              <w:bottom w:val="nil"/>
              <w:right w:val="nil"/>
            </w:tcBorders>
          </w:tcPr>
          <w:p w14:paraId="0FABC03F" w14:textId="77777777" w:rsidR="00FE1E8D" w:rsidRPr="00037871" w:rsidRDefault="00FE1E8D" w:rsidP="008E4321">
            <w:pPr>
              <w:pStyle w:val="BoxSpaceBelow"/>
              <w:rPr>
                <w:color w:val="00B050"/>
              </w:rPr>
            </w:pPr>
          </w:p>
        </w:tc>
      </w:tr>
    </w:tbl>
    <w:p w14:paraId="194230FD" w14:textId="77777777" w:rsidR="00FE1E8D" w:rsidRPr="00037871" w:rsidRDefault="00FE1E8D" w:rsidP="00FE1E8D">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BE50E9" w14:paraId="0633B29A" w14:textId="77777777" w:rsidTr="00E929ED">
        <w:tc>
          <w:tcPr>
            <w:tcW w:w="8789" w:type="dxa"/>
            <w:gridSpan w:val="3"/>
            <w:tcBorders>
              <w:top w:val="single" w:sz="6" w:space="0" w:color="78A22F"/>
              <w:left w:val="nil"/>
              <w:bottom w:val="nil"/>
              <w:right w:val="nil"/>
            </w:tcBorders>
            <w:shd w:val="clear" w:color="auto" w:fill="F2F2F2"/>
          </w:tcPr>
          <w:p w14:paraId="1B5E2810" w14:textId="77777777" w:rsidR="00FE1E8D" w:rsidRPr="00BE50E9" w:rsidRDefault="00FE1E8D" w:rsidP="001D480C">
            <w:pPr>
              <w:pStyle w:val="BoxTitle"/>
              <w:spacing w:after="120"/>
              <w:rPr>
                <w:color w:val="000000" w:themeColor="text1"/>
              </w:rPr>
            </w:pPr>
            <w:r w:rsidRPr="00BE50E9">
              <w:rPr>
                <w:color w:val="000000" w:themeColor="text1"/>
              </w:rPr>
              <w:t>9.4</w:t>
            </w:r>
            <w:r w:rsidRPr="00BE50E9">
              <w:rPr>
                <w:color w:val="000000" w:themeColor="text1"/>
              </w:rPr>
              <w:tab/>
              <w:t>Income support</w:t>
            </w:r>
          </w:p>
        </w:tc>
      </w:tr>
      <w:tr w:rsidR="0007792C" w:rsidRPr="00037871" w14:paraId="1CD02563" w14:textId="77777777" w:rsidTr="00237AD4">
        <w:trPr>
          <w:cantSplit/>
        </w:trPr>
        <w:tc>
          <w:tcPr>
            <w:tcW w:w="3970" w:type="dxa"/>
            <w:tcBorders>
              <w:top w:val="nil"/>
              <w:left w:val="nil"/>
              <w:bottom w:val="nil"/>
              <w:right w:val="nil"/>
            </w:tcBorders>
            <w:shd w:val="clear" w:color="auto" w:fill="F2F2F2"/>
          </w:tcPr>
          <w:p w14:paraId="5B349D7E" w14:textId="713FE80C" w:rsidR="0007792C" w:rsidRPr="003B7568" w:rsidRDefault="0007792C" w:rsidP="0007792C">
            <w:pPr>
              <w:pStyle w:val="Box"/>
            </w:pPr>
            <w:r w:rsidRPr="003B7568">
              <w:t>Income support aims to support people who cannot, or cannot fully, support themselves</w:t>
            </w:r>
            <w:r>
              <w:t xml:space="preserve">. </w:t>
            </w:r>
            <w:r w:rsidRPr="0007792C">
              <w:t>Aboriginal and Torres Strait Islander people are more likely to experience barriers that affect earning capacity and financial security, which in turn contributes to their continued over-representation in the income support system</w:t>
            </w:r>
            <w:r>
              <w:t>.</w:t>
            </w:r>
          </w:p>
        </w:tc>
        <w:tc>
          <w:tcPr>
            <w:tcW w:w="992" w:type="dxa"/>
            <w:tcBorders>
              <w:top w:val="nil"/>
              <w:left w:val="nil"/>
              <w:bottom w:val="nil"/>
              <w:right w:val="nil"/>
            </w:tcBorders>
            <w:shd w:val="clear" w:color="auto" w:fill="7E7397"/>
          </w:tcPr>
          <w:p w14:paraId="0C8AD387" w14:textId="01FB7075" w:rsidR="0007792C" w:rsidRPr="00FB7513" w:rsidRDefault="0007792C" w:rsidP="009F50AD">
            <w:pPr>
              <w:pStyle w:val="BoxHeading1"/>
              <w:spacing w:before="960" w:line="240" w:lineRule="auto"/>
              <w:ind w:left="57"/>
              <w:rPr>
                <w:rFonts w:cs="Arial"/>
                <w:b w:val="0"/>
                <w:sz w:val="48"/>
                <w:szCs w:val="48"/>
              </w:rPr>
            </w:pPr>
            <w:r>
              <w:rPr>
                <w:rFonts w:cs="Arial"/>
                <w:b w:val="0"/>
                <w:sz w:val="48"/>
                <w:szCs w:val="48"/>
              </w:rPr>
              <w:t xml:space="preserve"> </w:t>
            </w:r>
            <w:r w:rsidRPr="005254A0">
              <w:rPr>
                <w:color w:val="FFFFFF" w:themeColor="background1"/>
                <w:sz w:val="48"/>
                <w:szCs w:val="48"/>
              </w:rPr>
              <w:t>?</w:t>
            </w:r>
          </w:p>
        </w:tc>
        <w:tc>
          <w:tcPr>
            <w:tcW w:w="3827" w:type="dxa"/>
            <w:tcBorders>
              <w:top w:val="nil"/>
              <w:left w:val="nil"/>
              <w:bottom w:val="nil"/>
              <w:right w:val="nil"/>
            </w:tcBorders>
            <w:shd w:val="clear" w:color="auto" w:fill="F2F2F2"/>
          </w:tcPr>
          <w:p w14:paraId="44E192F9" w14:textId="05158F91" w:rsidR="0007792C" w:rsidRPr="0007792C" w:rsidRDefault="0007792C" w:rsidP="0007792C">
            <w:pPr>
              <w:pStyle w:val="Box"/>
            </w:pPr>
            <w:r w:rsidRPr="0007792C">
              <w:t>In 2018</w:t>
            </w:r>
            <w:r w:rsidR="007F5DE6">
              <w:t>-</w:t>
            </w:r>
            <w:r w:rsidRPr="0007792C">
              <w:t>19, government pensions and allowances (45 per cent) and employee income (44 per cent) were jointly the main source of personal cash income for Aboriginal and Torres Strait Islander people aged 18−64 years.</w:t>
            </w:r>
          </w:p>
        </w:tc>
      </w:tr>
      <w:tr w:rsidR="0007792C" w:rsidRPr="00037871" w14:paraId="442CFDE6" w14:textId="77777777" w:rsidTr="00E929ED">
        <w:trPr>
          <w:cantSplit/>
        </w:trPr>
        <w:tc>
          <w:tcPr>
            <w:tcW w:w="8789" w:type="dxa"/>
            <w:gridSpan w:val="3"/>
            <w:tcBorders>
              <w:top w:val="nil"/>
              <w:left w:val="nil"/>
              <w:bottom w:val="nil"/>
              <w:right w:val="nil"/>
            </w:tcBorders>
            <w:shd w:val="clear" w:color="auto" w:fill="F2F2F2"/>
          </w:tcPr>
          <w:p w14:paraId="2FC2185A" w14:textId="309501F7" w:rsidR="0007792C" w:rsidRPr="0007792C" w:rsidRDefault="0007792C" w:rsidP="0007792C">
            <w:pPr>
              <w:pStyle w:val="Box"/>
              <w:rPr>
                <w:i/>
              </w:rPr>
            </w:pPr>
            <w:r w:rsidRPr="0007792C">
              <w:rPr>
                <w:i/>
              </w:rPr>
              <w:t>A lack of comparable data has limited analysis of income sources over time.</w:t>
            </w:r>
          </w:p>
        </w:tc>
      </w:tr>
      <w:tr w:rsidR="0007792C" w:rsidRPr="00037871" w14:paraId="051747B8" w14:textId="77777777" w:rsidTr="00E929ED">
        <w:trPr>
          <w:cantSplit/>
        </w:trPr>
        <w:tc>
          <w:tcPr>
            <w:tcW w:w="8789" w:type="dxa"/>
            <w:gridSpan w:val="3"/>
            <w:tcBorders>
              <w:top w:val="nil"/>
              <w:left w:val="nil"/>
              <w:bottom w:val="single" w:sz="6" w:space="0" w:color="78A22F"/>
              <w:right w:val="nil"/>
            </w:tcBorders>
            <w:shd w:val="clear" w:color="auto" w:fill="F2F2F2"/>
          </w:tcPr>
          <w:p w14:paraId="0D154C28" w14:textId="77777777" w:rsidR="0007792C" w:rsidRPr="00037871" w:rsidRDefault="0007792C" w:rsidP="0007792C">
            <w:pPr>
              <w:pStyle w:val="Box"/>
              <w:spacing w:before="0" w:line="120" w:lineRule="exact"/>
              <w:rPr>
                <w:color w:val="00B050"/>
              </w:rPr>
            </w:pPr>
          </w:p>
        </w:tc>
      </w:tr>
      <w:tr w:rsidR="0007792C" w:rsidRPr="00037871" w14:paraId="181B87A2" w14:textId="77777777" w:rsidTr="00E929ED">
        <w:tc>
          <w:tcPr>
            <w:tcW w:w="8789" w:type="dxa"/>
            <w:gridSpan w:val="3"/>
            <w:tcBorders>
              <w:top w:val="single" w:sz="6" w:space="0" w:color="78A22F"/>
              <w:left w:val="nil"/>
              <w:bottom w:val="nil"/>
              <w:right w:val="nil"/>
            </w:tcBorders>
          </w:tcPr>
          <w:p w14:paraId="6926FF42" w14:textId="77777777" w:rsidR="0007792C" w:rsidRPr="00037871" w:rsidRDefault="0007792C" w:rsidP="0007792C">
            <w:pPr>
              <w:pStyle w:val="BoxSpaceBelow"/>
              <w:rPr>
                <w:color w:val="00B050"/>
              </w:rPr>
            </w:pPr>
          </w:p>
        </w:tc>
      </w:tr>
    </w:tbl>
    <w:p w14:paraId="6D372155" w14:textId="75C2F54E" w:rsidR="00FE1E8D" w:rsidRPr="00DB1437" w:rsidRDefault="00FE1E8D" w:rsidP="00FE1E8D">
      <w:pPr>
        <w:pStyle w:val="Heading2"/>
        <w:rPr>
          <w:color w:val="000000" w:themeColor="text1"/>
        </w:rPr>
      </w:pPr>
      <w:r w:rsidRPr="00DB1437">
        <w:rPr>
          <w:color w:val="000000" w:themeColor="text1"/>
        </w:rPr>
        <w:t>Home environment</w:t>
      </w:r>
    </w:p>
    <w:p w14:paraId="7706B0C9" w14:textId="05782847" w:rsidR="00013D89" w:rsidRPr="00DB1437" w:rsidRDefault="00330028" w:rsidP="00013D89">
      <w:pPr>
        <w:pStyle w:val="BodyText"/>
        <w:rPr>
          <w:color w:val="000000" w:themeColor="text1"/>
        </w:rPr>
      </w:pPr>
      <w:r w:rsidRPr="00330028">
        <w:rPr>
          <w:color w:val="000000" w:themeColor="text1"/>
        </w:rPr>
        <w:t xml:space="preserve">Environmental conditions in the home are key to the wellbeing of Aboriginal and Torres Strait Islander people. Environmental health relates to physical, chemical and biological factors external to a person which potentially affect their health. Better environmental health can have positive outcomes for Aboriginal and Torres Strait Islander </w:t>
      </w:r>
      <w:r w:rsidR="00143FA8" w:rsidRPr="00330028">
        <w:rPr>
          <w:color w:val="000000" w:themeColor="text1"/>
        </w:rPr>
        <w:t>people and</w:t>
      </w:r>
      <w:r w:rsidRPr="00330028">
        <w:rPr>
          <w:color w:val="000000" w:themeColor="text1"/>
        </w:rPr>
        <w:t xml:space="preserve"> is especially beneficial for children’s physical and emotional wellbeing</w:t>
      </w:r>
      <w:r w:rsidR="00013D89" w:rsidRPr="00DB1437">
        <w:rPr>
          <w:color w:val="000000" w:themeColor="text1"/>
        </w:rPr>
        <w:t>.</w:t>
      </w:r>
    </w:p>
    <w:p w14:paraId="56B91969" w14:textId="77777777" w:rsidR="00FE1E8D" w:rsidRPr="00037871" w:rsidRDefault="00FE1E8D" w:rsidP="00FE1E8D">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3B5F03" w14:paraId="1B50B6A2" w14:textId="77777777" w:rsidTr="00E929ED">
        <w:tc>
          <w:tcPr>
            <w:tcW w:w="8789" w:type="dxa"/>
            <w:gridSpan w:val="3"/>
            <w:tcBorders>
              <w:top w:val="single" w:sz="6" w:space="0" w:color="78A22F"/>
              <w:left w:val="nil"/>
              <w:bottom w:val="nil"/>
              <w:right w:val="nil"/>
            </w:tcBorders>
            <w:shd w:val="clear" w:color="auto" w:fill="F2F2F2"/>
          </w:tcPr>
          <w:p w14:paraId="1610BDDE" w14:textId="77777777" w:rsidR="00FE1E8D" w:rsidRPr="003B5F03" w:rsidRDefault="00FE1E8D" w:rsidP="001D480C">
            <w:pPr>
              <w:pStyle w:val="BoxTitle"/>
              <w:spacing w:after="120"/>
              <w:rPr>
                <w:color w:val="000000" w:themeColor="text1"/>
              </w:rPr>
            </w:pPr>
            <w:r w:rsidRPr="003B5F03">
              <w:rPr>
                <w:color w:val="000000" w:themeColor="text1"/>
              </w:rPr>
              <w:t>10.1</w:t>
            </w:r>
            <w:r w:rsidRPr="003B5F03">
              <w:rPr>
                <w:color w:val="000000" w:themeColor="text1"/>
              </w:rPr>
              <w:tab/>
              <w:t>Overcrowding in housing</w:t>
            </w:r>
          </w:p>
        </w:tc>
      </w:tr>
      <w:tr w:rsidR="00037871" w:rsidRPr="00037871" w14:paraId="49F12D22" w14:textId="77777777" w:rsidTr="00237AD4">
        <w:trPr>
          <w:cantSplit/>
        </w:trPr>
        <w:tc>
          <w:tcPr>
            <w:tcW w:w="3970" w:type="dxa"/>
            <w:tcBorders>
              <w:top w:val="nil"/>
              <w:left w:val="nil"/>
              <w:bottom w:val="nil"/>
              <w:right w:val="nil"/>
            </w:tcBorders>
            <w:shd w:val="clear" w:color="auto" w:fill="F2F2F2"/>
          </w:tcPr>
          <w:p w14:paraId="027B152F" w14:textId="77777777" w:rsidR="00013D89" w:rsidRPr="006F5754" w:rsidRDefault="00013D89" w:rsidP="00013D89">
            <w:pPr>
              <w:pStyle w:val="Box"/>
            </w:pPr>
            <w:r w:rsidRPr="006F5754">
              <w:t xml:space="preserve">Better, less cramped living conditions are linked to positive effects on health, education and family relationships. </w:t>
            </w:r>
          </w:p>
          <w:p w14:paraId="46E8659E" w14:textId="057F00EA" w:rsidR="00FE1E8D" w:rsidRPr="006F5754" w:rsidRDefault="00013D89" w:rsidP="0027651D">
            <w:pPr>
              <w:pStyle w:val="Box"/>
            </w:pPr>
            <w:r w:rsidRPr="006F5754">
              <w:t>Cultural and social factors influence the way housing is used by different peoples.</w:t>
            </w:r>
            <w:r w:rsidR="0027651D">
              <w:t xml:space="preserve"> </w:t>
            </w:r>
            <w:r w:rsidR="0027651D" w:rsidRPr="0027651D">
              <w:t>Overcrowding in Australia is measured using the Canadian National Occupancy Standard, which will reflect the culture and preferences of some, but not all, Aboriginal and Torres Strait Islander people</w:t>
            </w:r>
            <w:r w:rsidR="0027651D">
              <w:t>.</w:t>
            </w:r>
          </w:p>
        </w:tc>
        <w:tc>
          <w:tcPr>
            <w:tcW w:w="992" w:type="dxa"/>
            <w:tcBorders>
              <w:top w:val="nil"/>
              <w:left w:val="nil"/>
              <w:bottom w:val="nil"/>
              <w:right w:val="nil"/>
            </w:tcBorders>
            <w:shd w:val="clear" w:color="auto" w:fill="418A50"/>
          </w:tcPr>
          <w:p w14:paraId="5C8F4B6C" w14:textId="59F1654E" w:rsidR="00FE1E8D" w:rsidRPr="003B1511" w:rsidRDefault="00B42D63" w:rsidP="00142ACE">
            <w:pPr>
              <w:pStyle w:val="BoxHeading1"/>
              <w:spacing w:before="240" w:line="240" w:lineRule="auto"/>
              <w:jc w:val="center"/>
            </w:pPr>
            <w:r w:rsidRPr="00B42D63">
              <w:rPr>
                <w:rFonts w:cs="Arial"/>
                <w:noProof/>
                <w:sz w:val="48"/>
                <w:szCs w:val="48"/>
              </w:rPr>
              <mc:AlternateContent>
                <mc:Choice Requires="wpg">
                  <w:drawing>
                    <wp:anchor distT="0" distB="0" distL="114300" distR="114300" simplePos="0" relativeHeight="251778048" behindDoc="0" locked="0" layoutInCell="1" allowOverlap="1" wp14:anchorId="1CC842E5" wp14:editId="3296AF66">
                      <wp:simplePos x="0" y="0"/>
                      <wp:positionH relativeFrom="column">
                        <wp:posOffset>136945</wp:posOffset>
                      </wp:positionH>
                      <wp:positionV relativeFrom="paragraph">
                        <wp:posOffset>857487</wp:posOffset>
                      </wp:positionV>
                      <wp:extent cx="205105" cy="279400"/>
                      <wp:effectExtent l="19050" t="0" r="61595" b="6350"/>
                      <wp:wrapNone/>
                      <wp:docPr id="172" name="Group 2" descr="Tick symbol"/>
                      <wp:cNvGraphicFramePr/>
                      <a:graphic xmlns:a="http://schemas.openxmlformats.org/drawingml/2006/main">
                        <a:graphicData uri="http://schemas.microsoft.com/office/word/2010/wordprocessingGroup">
                          <wpg:wgp>
                            <wpg:cNvGrpSpPr/>
                            <wpg:grpSpPr>
                              <a:xfrm>
                                <a:off x="0" y="0"/>
                                <a:ext cx="205105" cy="279400"/>
                                <a:chOff x="0" y="0"/>
                                <a:chExt cx="723377" cy="745367"/>
                              </a:xfrm>
                            </wpg:grpSpPr>
                            <wps:wsp>
                              <wps:cNvPr id="173" name="Straight Connector 173"/>
                              <wps:cNvCnPr>
                                <a:cxnSpLocks/>
                              </wps:cNvCnPr>
                              <wps:spPr>
                                <a:xfrm rot="720580" flipH="1">
                                  <a:off x="304912" y="0"/>
                                  <a:ext cx="418465" cy="74536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74" name="Straight Connector 174"/>
                              <wps:cNvCnPr>
                                <a:cxnSpLocks/>
                              </wps:cNvCnPr>
                              <wps:spPr>
                                <a:xfrm flipH="1" flipV="1">
                                  <a:off x="0" y="436268"/>
                                  <a:ext cx="251368" cy="250307"/>
                                </a:xfrm>
                                <a:prstGeom prst="line">
                                  <a:avLst/>
                                </a:prstGeom>
                                <a:ln w="3810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E4B6EBC" id="Group 2" o:spid="_x0000_s1026" alt="Tick symbol" style="position:absolute;margin-left:10.8pt;margin-top:67.5pt;width:16.15pt;height:22pt;z-index:251778048;mso-width-relative:margin;mso-height-relative:margin" coordsize="7233,7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">
                      <v:line id="Straight Connector 173" o:spid="_x0000_s1027" style="position:absolute;rotation:-787066fd;flip:x;visibility:visible;mso-wrap-style:square" from="3049,0" to="7233,74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" strokecolor="white [3212]" strokeweight="3pt">
                        <o:lock v:ext="edit" shapetype="f"/>
                      </v:line>
                      <v:line id="Straight Connector 174" o:spid="_x0000_s1028" style="position:absolute;flip:x y;visibility:visible;mso-wrap-style:square" from="0,4362" to="2513,6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" strokecolor="white [3212]" strokeweight="3pt">
                        <o:lock v:ext="edit" shapetype="f"/>
                      </v:line>
                    </v:group>
                  </w:pict>
                </mc:Fallback>
              </mc:AlternateContent>
            </w:r>
            <w:r w:rsidR="00FE1E8D" w:rsidRPr="006F5754">
              <w:rPr>
                <w:rFonts w:cs="Arial"/>
                <w:b w:val="0"/>
                <w:sz w:val="48"/>
                <w:szCs w:val="48"/>
              </w:rPr>
              <w:br/>
            </w:r>
            <w:r w:rsidR="00FE1E8D" w:rsidRPr="006F5754">
              <w:rPr>
                <w:rFonts w:cs="Arial"/>
                <w:b w:val="0"/>
                <w:sz w:val="48"/>
                <w:szCs w:val="48"/>
              </w:rPr>
              <w:br/>
            </w:r>
          </w:p>
        </w:tc>
        <w:tc>
          <w:tcPr>
            <w:tcW w:w="3827" w:type="dxa"/>
            <w:tcBorders>
              <w:top w:val="nil"/>
              <w:left w:val="nil"/>
              <w:bottom w:val="nil"/>
              <w:right w:val="nil"/>
            </w:tcBorders>
            <w:shd w:val="clear" w:color="auto" w:fill="F2F2F2"/>
          </w:tcPr>
          <w:p w14:paraId="2F2C1A14" w14:textId="4449A0FE" w:rsidR="00FE1E8D" w:rsidRPr="006F5754" w:rsidRDefault="00013D89" w:rsidP="00441131">
            <w:pPr>
              <w:pStyle w:val="Box"/>
            </w:pPr>
            <w:r w:rsidRPr="006F5754">
              <w:t xml:space="preserve">The proportion of Aboriginal and Torres Strait Islander </w:t>
            </w:r>
            <w:r w:rsidR="0027651D">
              <w:t>people</w:t>
            </w:r>
            <w:r w:rsidRPr="006F5754">
              <w:t xml:space="preserve"> living in overcrowded households decreased f</w:t>
            </w:r>
            <w:r w:rsidR="0027651D">
              <w:t>rom 27 per cent in 2004</w:t>
            </w:r>
            <w:r w:rsidR="0027651D">
              <w:noBreakHyphen/>
              <w:t>05 to 18</w:t>
            </w:r>
            <w:r w:rsidR="006F5754" w:rsidRPr="006F5754">
              <w:t xml:space="preserve"> per cent in 201</w:t>
            </w:r>
            <w:r w:rsidR="0027651D">
              <w:t>8</w:t>
            </w:r>
            <w:r w:rsidR="006F5754" w:rsidRPr="006F5754">
              <w:t>-1</w:t>
            </w:r>
            <w:r w:rsidR="0027651D">
              <w:t>9</w:t>
            </w:r>
            <w:r w:rsidRPr="006F5754">
              <w:t xml:space="preserve">, including a decrease in overcrowding in </w:t>
            </w:r>
            <w:r w:rsidR="00441131" w:rsidRPr="000F0BC8">
              <w:t>all</w:t>
            </w:r>
            <w:r w:rsidR="0027651D" w:rsidRPr="000F0BC8">
              <w:t xml:space="preserve"> remote areas from </w:t>
            </w:r>
            <w:r w:rsidR="00441131" w:rsidRPr="000F0BC8">
              <w:t>5</w:t>
            </w:r>
            <w:r w:rsidR="0027651D" w:rsidRPr="000F0BC8">
              <w:t>3</w:t>
            </w:r>
            <w:r w:rsidR="00143FA8">
              <w:t> </w:t>
            </w:r>
            <w:r w:rsidR="0027651D" w:rsidRPr="000F0BC8">
              <w:t>to 42</w:t>
            </w:r>
            <w:r w:rsidR="00701500" w:rsidRPr="000F0BC8">
              <w:t xml:space="preserve"> per cent</w:t>
            </w:r>
            <w:r w:rsidR="0027651D" w:rsidRPr="000F0BC8">
              <w:t>.</w:t>
            </w:r>
          </w:p>
        </w:tc>
      </w:tr>
      <w:tr w:rsidR="00037871" w:rsidRPr="00037871" w14:paraId="448C02BC" w14:textId="77777777" w:rsidTr="00E929ED">
        <w:trPr>
          <w:cantSplit/>
        </w:trPr>
        <w:tc>
          <w:tcPr>
            <w:tcW w:w="8789" w:type="dxa"/>
            <w:gridSpan w:val="3"/>
            <w:tcBorders>
              <w:top w:val="nil"/>
              <w:left w:val="nil"/>
              <w:bottom w:val="single" w:sz="6" w:space="0" w:color="78A22F"/>
              <w:right w:val="nil"/>
            </w:tcBorders>
            <w:shd w:val="clear" w:color="auto" w:fill="F2F2F2"/>
          </w:tcPr>
          <w:p w14:paraId="5D2DE3E0" w14:textId="77777777" w:rsidR="00FE1E8D" w:rsidRPr="00037871" w:rsidRDefault="00FE1E8D" w:rsidP="008E4321">
            <w:pPr>
              <w:pStyle w:val="Box"/>
              <w:spacing w:before="0" w:line="120" w:lineRule="exact"/>
              <w:rPr>
                <w:color w:val="00B050"/>
              </w:rPr>
            </w:pPr>
          </w:p>
        </w:tc>
      </w:tr>
      <w:tr w:rsidR="00037871" w:rsidRPr="00037871" w14:paraId="3B14499B" w14:textId="77777777" w:rsidTr="00E929ED">
        <w:tc>
          <w:tcPr>
            <w:tcW w:w="8789" w:type="dxa"/>
            <w:gridSpan w:val="3"/>
            <w:tcBorders>
              <w:top w:val="single" w:sz="6" w:space="0" w:color="78A22F"/>
              <w:left w:val="nil"/>
              <w:bottom w:val="nil"/>
              <w:right w:val="nil"/>
            </w:tcBorders>
          </w:tcPr>
          <w:p w14:paraId="4A51B186" w14:textId="77777777" w:rsidR="00FE1E8D" w:rsidRPr="00037871" w:rsidRDefault="00FE1E8D" w:rsidP="008E4321">
            <w:pPr>
              <w:pStyle w:val="BoxSpaceBelow"/>
              <w:rPr>
                <w:color w:val="00B050"/>
              </w:rPr>
            </w:pPr>
          </w:p>
        </w:tc>
      </w:tr>
    </w:tbl>
    <w:p w14:paraId="145896AE" w14:textId="77777777" w:rsidR="00FE1E8D" w:rsidRPr="00037871" w:rsidRDefault="00FE1E8D" w:rsidP="00FE1E8D">
      <w:pPr>
        <w:pStyle w:val="BodyText"/>
        <w:rPr>
          <w:color w:val="00B050"/>
        </w:rPr>
      </w:pPr>
    </w:p>
    <w:p w14:paraId="25993CBF" w14:textId="77777777" w:rsidR="00D82758" w:rsidRPr="00037871" w:rsidRDefault="00D82758" w:rsidP="00D82758">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3B5F03" w14:paraId="090992A8" w14:textId="77777777" w:rsidTr="00E929ED">
        <w:tc>
          <w:tcPr>
            <w:tcW w:w="8789" w:type="dxa"/>
            <w:gridSpan w:val="3"/>
            <w:tcBorders>
              <w:top w:val="single" w:sz="6" w:space="0" w:color="78A22F"/>
              <w:left w:val="nil"/>
              <w:bottom w:val="nil"/>
              <w:right w:val="nil"/>
            </w:tcBorders>
            <w:shd w:val="clear" w:color="auto" w:fill="F2F2F2"/>
          </w:tcPr>
          <w:p w14:paraId="02BC3352" w14:textId="77777777" w:rsidR="00D82758" w:rsidRPr="003B5F03" w:rsidRDefault="00D82758" w:rsidP="001D480C">
            <w:pPr>
              <w:pStyle w:val="BoxTitle"/>
              <w:spacing w:after="120"/>
              <w:rPr>
                <w:color w:val="000000" w:themeColor="text1"/>
              </w:rPr>
            </w:pPr>
            <w:r w:rsidRPr="003B5F03">
              <w:rPr>
                <w:color w:val="000000" w:themeColor="text1"/>
              </w:rPr>
              <w:t>10.2</w:t>
            </w:r>
            <w:r w:rsidRPr="003B5F03">
              <w:rPr>
                <w:color w:val="000000" w:themeColor="text1"/>
              </w:rPr>
              <w:tab/>
              <w:t>Rates of disease associated with poor environmental health</w:t>
            </w:r>
          </w:p>
        </w:tc>
      </w:tr>
      <w:tr w:rsidR="00037871" w:rsidRPr="00037871" w14:paraId="455446E1" w14:textId="77777777" w:rsidTr="00237AD4">
        <w:trPr>
          <w:cantSplit/>
        </w:trPr>
        <w:tc>
          <w:tcPr>
            <w:tcW w:w="3970" w:type="dxa"/>
            <w:tcBorders>
              <w:top w:val="nil"/>
              <w:left w:val="nil"/>
              <w:bottom w:val="nil"/>
              <w:right w:val="nil"/>
            </w:tcBorders>
            <w:shd w:val="clear" w:color="auto" w:fill="F2F2F2"/>
          </w:tcPr>
          <w:p w14:paraId="7463AB32" w14:textId="77777777" w:rsidR="00D82758" w:rsidRDefault="00FF7EC4" w:rsidP="00CF00C8">
            <w:pPr>
              <w:pStyle w:val="Box"/>
            </w:pPr>
            <w:r w:rsidRPr="00FF7EC4">
              <w:t>Good environmental health can help promote a better quality of life and prevent diseases such as scabies and rheumatic heart disease</w:t>
            </w:r>
            <w:r w:rsidR="00013D89" w:rsidRPr="00E07E8D">
              <w:t>.</w:t>
            </w:r>
          </w:p>
          <w:p w14:paraId="4F4BDD8C" w14:textId="4069DB8F" w:rsidR="00FF7EC4" w:rsidRPr="00E07E8D" w:rsidRDefault="00FF7EC4" w:rsidP="00FF7EC4">
            <w:pPr>
              <w:pStyle w:val="Box"/>
            </w:pPr>
            <w:r w:rsidRPr="00FF7EC4">
              <w:t>Some of the key environmental factors affecting health are poor air quality, lack of safe drinking water and power, inadequate waste and sanitation facilities</w:t>
            </w:r>
            <w:r>
              <w:t xml:space="preserve"> </w:t>
            </w:r>
            <w:r w:rsidRPr="00FF7EC4">
              <w:t>and poor housing and overcrowding</w:t>
            </w:r>
            <w:r>
              <w:t>.</w:t>
            </w:r>
          </w:p>
        </w:tc>
        <w:tc>
          <w:tcPr>
            <w:tcW w:w="992" w:type="dxa"/>
            <w:tcBorders>
              <w:top w:val="nil"/>
              <w:left w:val="nil"/>
              <w:bottom w:val="nil"/>
              <w:right w:val="nil"/>
            </w:tcBorders>
            <w:shd w:val="clear" w:color="auto" w:fill="7E7397"/>
          </w:tcPr>
          <w:p w14:paraId="2C7F1C44" w14:textId="77777777" w:rsidR="00D82758" w:rsidRPr="00E07E8D" w:rsidRDefault="00D82758" w:rsidP="008E4321">
            <w:pPr>
              <w:pStyle w:val="BoxHeading1"/>
            </w:pPr>
          </w:p>
          <w:p w14:paraId="236C3426" w14:textId="77777777" w:rsidR="00D82758" w:rsidRPr="00E07E8D" w:rsidRDefault="00D82758" w:rsidP="008E4321">
            <w:pPr>
              <w:pStyle w:val="Box"/>
            </w:pPr>
          </w:p>
          <w:p w14:paraId="0919484F" w14:textId="77777777" w:rsidR="00A908B5" w:rsidRPr="00E07E8D" w:rsidRDefault="00A908B5" w:rsidP="008E4321">
            <w:pPr>
              <w:pStyle w:val="Box"/>
            </w:pPr>
          </w:p>
          <w:p w14:paraId="29F7C283" w14:textId="77777777" w:rsidR="00D82758" w:rsidRPr="00E07E8D" w:rsidRDefault="00D82758" w:rsidP="008E4321">
            <w:pPr>
              <w:pStyle w:val="Box"/>
            </w:pPr>
          </w:p>
          <w:p w14:paraId="20EDDDD4" w14:textId="4A4B114E" w:rsidR="00D82758" w:rsidRPr="00E07E8D" w:rsidRDefault="00D82758" w:rsidP="009342D8">
            <w:pPr>
              <w:pStyle w:val="Box"/>
              <w:spacing w:before="0"/>
              <w:jc w:val="center"/>
              <w:rPr>
                <w:b/>
                <w:sz w:val="48"/>
                <w:szCs w:val="48"/>
              </w:rPr>
            </w:pPr>
            <w:r w:rsidRPr="005254A0">
              <w:rPr>
                <w:b/>
                <w:color w:val="FFFFFF" w:themeColor="background1"/>
                <w:sz w:val="48"/>
                <w:szCs w:val="48"/>
              </w:rPr>
              <w:t>?</w:t>
            </w:r>
          </w:p>
        </w:tc>
        <w:tc>
          <w:tcPr>
            <w:tcW w:w="3827" w:type="dxa"/>
            <w:tcBorders>
              <w:top w:val="nil"/>
              <w:left w:val="nil"/>
              <w:bottom w:val="nil"/>
              <w:right w:val="nil"/>
            </w:tcBorders>
            <w:shd w:val="clear" w:color="auto" w:fill="F2F2F2"/>
          </w:tcPr>
          <w:p w14:paraId="6063D75E" w14:textId="6B6E369D" w:rsidR="00013D89" w:rsidRPr="00E07E8D" w:rsidRDefault="00013D89" w:rsidP="00C545AB">
            <w:pPr>
              <w:pStyle w:val="Box"/>
            </w:pPr>
            <w:r w:rsidRPr="00E07E8D">
              <w:t>For NSW, Victoria, Queensland, WA, SA and the NT combined, from 20</w:t>
            </w:r>
            <w:r w:rsidR="00FF7EC4">
              <w:t xml:space="preserve">10-11 to 2018-19, </w:t>
            </w:r>
            <w:r w:rsidR="00E07E8D" w:rsidRPr="00E07E8D">
              <w:t>hospitalisation</w:t>
            </w:r>
            <w:r w:rsidR="00957665">
              <w:t xml:space="preserve"> rates</w:t>
            </w:r>
            <w:r w:rsidR="00E07E8D" w:rsidRPr="00E07E8D">
              <w:t xml:space="preserve"> for </w:t>
            </w:r>
            <w:r w:rsidRPr="00E07E8D">
              <w:t xml:space="preserve">Aboriginal and Torres Strait Islander </w:t>
            </w:r>
            <w:r w:rsidR="00FF7EC4">
              <w:t>people</w:t>
            </w:r>
            <w:r w:rsidRPr="00E07E8D">
              <w:t xml:space="preserve"> </w:t>
            </w:r>
            <w:r w:rsidR="00E07E8D" w:rsidRPr="00E07E8D">
              <w:t xml:space="preserve">increased for </w:t>
            </w:r>
            <w:r w:rsidR="00FF7EC4">
              <w:t>just over half of the</w:t>
            </w:r>
            <w:r w:rsidRPr="00E07E8D">
              <w:t xml:space="preserve"> selected diseases. </w:t>
            </w:r>
          </w:p>
          <w:p w14:paraId="714A2AAE" w14:textId="427EC425" w:rsidR="00D82758" w:rsidRPr="00E07E8D" w:rsidRDefault="00013D89" w:rsidP="006F2441">
            <w:pPr>
              <w:pStyle w:val="Box"/>
            </w:pPr>
            <w:r w:rsidRPr="00E07E8D">
              <w:t>For NSW, Queensland, WA, S</w:t>
            </w:r>
            <w:r w:rsidR="00FF7EC4">
              <w:t>A and the NT combined, from 2009</w:t>
            </w:r>
            <w:r w:rsidRPr="00E07E8D">
              <w:t>–20</w:t>
            </w:r>
            <w:r w:rsidR="00FF7EC4">
              <w:t>13</w:t>
            </w:r>
            <w:r w:rsidRPr="00E07E8D">
              <w:t xml:space="preserve"> to </w:t>
            </w:r>
            <w:r w:rsidR="00C545AB" w:rsidRPr="00E07E8D">
              <w:br/>
            </w:r>
            <w:r w:rsidR="00FF7EC4">
              <w:t>2014</w:t>
            </w:r>
            <w:r w:rsidRPr="00E07E8D">
              <w:t>–201</w:t>
            </w:r>
            <w:r w:rsidR="00FF7EC4">
              <w:t>8</w:t>
            </w:r>
            <w:r w:rsidRPr="00E07E8D">
              <w:t xml:space="preserve">, the death rate for Aboriginal and Torres Strait Islander </w:t>
            </w:r>
            <w:r w:rsidR="006F2441">
              <w:t>people</w:t>
            </w:r>
            <w:r w:rsidRPr="00E07E8D">
              <w:t xml:space="preserve"> from diseases associated with poor environmental health </w:t>
            </w:r>
            <w:r w:rsidR="00FF7EC4">
              <w:t>remained relatively unchanged</w:t>
            </w:r>
            <w:r w:rsidR="006F2441">
              <w:t>.</w:t>
            </w:r>
          </w:p>
        </w:tc>
      </w:tr>
      <w:tr w:rsidR="00037871" w:rsidRPr="00E07E8D" w14:paraId="42D7802F" w14:textId="77777777" w:rsidTr="00E929ED">
        <w:trPr>
          <w:cantSplit/>
        </w:trPr>
        <w:tc>
          <w:tcPr>
            <w:tcW w:w="8789" w:type="dxa"/>
            <w:gridSpan w:val="3"/>
            <w:tcBorders>
              <w:top w:val="nil"/>
              <w:left w:val="nil"/>
              <w:bottom w:val="nil"/>
              <w:right w:val="nil"/>
            </w:tcBorders>
            <w:shd w:val="clear" w:color="auto" w:fill="F2F2F2"/>
          </w:tcPr>
          <w:p w14:paraId="4D2FEE58" w14:textId="70B57B35" w:rsidR="00D82758" w:rsidRPr="00E07E8D" w:rsidRDefault="00FF7EC4" w:rsidP="00FF7EC4">
            <w:pPr>
              <w:pStyle w:val="Box"/>
              <w:rPr>
                <w:i/>
              </w:rPr>
            </w:pPr>
            <w:r>
              <w:rPr>
                <w:i/>
              </w:rPr>
              <w:t>Results for this indicator are difficult to interpret with</w:t>
            </w:r>
            <w:r w:rsidR="00013D89" w:rsidRPr="00E07E8D">
              <w:rPr>
                <w:i/>
              </w:rPr>
              <w:t xml:space="preserve"> an increase in the hospitalisation rate but </w:t>
            </w:r>
            <w:r>
              <w:rPr>
                <w:i/>
              </w:rPr>
              <w:t>no change</w:t>
            </w:r>
            <w:r w:rsidR="00013D89" w:rsidRPr="00E07E8D">
              <w:rPr>
                <w:i/>
              </w:rPr>
              <w:t xml:space="preserve"> in the death rate.</w:t>
            </w:r>
          </w:p>
        </w:tc>
      </w:tr>
      <w:tr w:rsidR="00037871" w:rsidRPr="00037871" w14:paraId="586D7A0B" w14:textId="77777777" w:rsidTr="00E929ED">
        <w:trPr>
          <w:cantSplit/>
        </w:trPr>
        <w:tc>
          <w:tcPr>
            <w:tcW w:w="8789" w:type="dxa"/>
            <w:gridSpan w:val="3"/>
            <w:tcBorders>
              <w:top w:val="nil"/>
              <w:left w:val="nil"/>
              <w:bottom w:val="single" w:sz="6" w:space="0" w:color="78A22F"/>
              <w:right w:val="nil"/>
            </w:tcBorders>
            <w:shd w:val="clear" w:color="auto" w:fill="F2F2F2"/>
          </w:tcPr>
          <w:p w14:paraId="5134249D" w14:textId="77777777" w:rsidR="00D82758" w:rsidRPr="00037871" w:rsidRDefault="00D82758" w:rsidP="008E4321">
            <w:pPr>
              <w:pStyle w:val="Box"/>
              <w:spacing w:before="0" w:line="120" w:lineRule="exact"/>
              <w:rPr>
                <w:color w:val="00B050"/>
              </w:rPr>
            </w:pPr>
          </w:p>
        </w:tc>
      </w:tr>
      <w:tr w:rsidR="00037871" w:rsidRPr="00037871" w14:paraId="5F293B34" w14:textId="77777777" w:rsidTr="00E929ED">
        <w:tc>
          <w:tcPr>
            <w:tcW w:w="8789" w:type="dxa"/>
            <w:gridSpan w:val="3"/>
            <w:tcBorders>
              <w:top w:val="single" w:sz="6" w:space="0" w:color="78A22F"/>
              <w:left w:val="nil"/>
              <w:bottom w:val="nil"/>
              <w:right w:val="nil"/>
            </w:tcBorders>
          </w:tcPr>
          <w:p w14:paraId="7AEFDE1F" w14:textId="77777777" w:rsidR="00D82758" w:rsidRPr="00037871" w:rsidRDefault="00D82758" w:rsidP="008E4321">
            <w:pPr>
              <w:pStyle w:val="BoxSpaceBelow"/>
              <w:rPr>
                <w:color w:val="00B050"/>
              </w:rPr>
            </w:pPr>
          </w:p>
        </w:tc>
      </w:tr>
    </w:tbl>
    <w:p w14:paraId="4BD1221E" w14:textId="77777777" w:rsidR="00D82758" w:rsidRPr="00037871" w:rsidRDefault="00D82758" w:rsidP="00D82758">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3B5F03" w14:paraId="4CE284B4" w14:textId="77777777" w:rsidTr="00E929ED">
        <w:tc>
          <w:tcPr>
            <w:tcW w:w="8789" w:type="dxa"/>
            <w:gridSpan w:val="3"/>
            <w:tcBorders>
              <w:top w:val="single" w:sz="6" w:space="0" w:color="78A22F"/>
              <w:left w:val="nil"/>
              <w:bottom w:val="nil"/>
              <w:right w:val="nil"/>
            </w:tcBorders>
            <w:shd w:val="clear" w:color="auto" w:fill="F2F2F2"/>
          </w:tcPr>
          <w:p w14:paraId="3116A5C7" w14:textId="77777777" w:rsidR="00D82758" w:rsidRPr="003B5F03" w:rsidRDefault="00D82758" w:rsidP="001D480C">
            <w:pPr>
              <w:pStyle w:val="BoxTitle"/>
              <w:spacing w:after="120"/>
              <w:rPr>
                <w:color w:val="000000" w:themeColor="text1"/>
              </w:rPr>
            </w:pPr>
            <w:r w:rsidRPr="003B5F03">
              <w:rPr>
                <w:color w:val="000000" w:themeColor="text1"/>
              </w:rPr>
              <w:t>10.3</w:t>
            </w:r>
            <w:r w:rsidRPr="003B5F03">
              <w:rPr>
                <w:color w:val="000000" w:themeColor="text1"/>
              </w:rPr>
              <w:tab/>
              <w:t>Access to clean water and functional sewerage and electricity services</w:t>
            </w:r>
          </w:p>
        </w:tc>
      </w:tr>
      <w:tr w:rsidR="00037871" w:rsidRPr="00037871" w14:paraId="286A21FF" w14:textId="77777777" w:rsidTr="00237AD4">
        <w:trPr>
          <w:cantSplit/>
        </w:trPr>
        <w:tc>
          <w:tcPr>
            <w:tcW w:w="3970" w:type="dxa"/>
            <w:tcBorders>
              <w:top w:val="nil"/>
              <w:left w:val="nil"/>
              <w:bottom w:val="nil"/>
              <w:right w:val="nil"/>
            </w:tcBorders>
            <w:shd w:val="clear" w:color="auto" w:fill="F2F2F2"/>
          </w:tcPr>
          <w:p w14:paraId="2909DD2F" w14:textId="77777777" w:rsidR="00D82758" w:rsidRPr="00E07E8D" w:rsidRDefault="00013D89" w:rsidP="008E4321">
            <w:pPr>
              <w:pStyle w:val="Box"/>
            </w:pPr>
            <w:r w:rsidRPr="00E07E8D">
              <w:t>Communities need a clean, adequate and reliable supply of water for drinking, cooking and washing; a functional sewerage system to prevent sew</w:t>
            </w:r>
            <w:r w:rsidR="002102BD" w:rsidRPr="00E07E8D">
              <w:t>er</w:t>
            </w:r>
            <w:r w:rsidRPr="00E07E8D">
              <w:t>age from contaminating drinking water and food; and access to a reliable electricity (or gas) supply for cooking, refrigeration, and running household appliances.</w:t>
            </w:r>
          </w:p>
        </w:tc>
        <w:tc>
          <w:tcPr>
            <w:tcW w:w="992" w:type="dxa"/>
            <w:tcBorders>
              <w:top w:val="nil"/>
              <w:left w:val="nil"/>
              <w:bottom w:val="nil"/>
              <w:right w:val="nil"/>
            </w:tcBorders>
            <w:shd w:val="clear" w:color="auto" w:fill="DA9C13"/>
          </w:tcPr>
          <w:p w14:paraId="4934BB2A" w14:textId="77777777" w:rsidR="00D82758" w:rsidRPr="00E07E8D" w:rsidRDefault="00D82758" w:rsidP="008E4321">
            <w:pPr>
              <w:pStyle w:val="Box"/>
            </w:pPr>
          </w:p>
          <w:p w14:paraId="06FD0351" w14:textId="2B90C4D4" w:rsidR="00D82758" w:rsidRPr="00E07E8D" w:rsidRDefault="00E07E8D" w:rsidP="009342D8">
            <w:pPr>
              <w:pStyle w:val="Box"/>
              <w:spacing w:before="240"/>
              <w:jc w:val="center"/>
              <w:rPr>
                <w:sz w:val="48"/>
                <w:szCs w:val="48"/>
              </w:rPr>
            </w:pPr>
            <w:r w:rsidRPr="005254A0">
              <w:rPr>
                <w:b/>
                <w:color w:val="FFFFFF" w:themeColor="background1"/>
                <w:sz w:val="48"/>
                <w:szCs w:val="48"/>
              </w:rPr>
              <w:t>_</w:t>
            </w:r>
          </w:p>
        </w:tc>
        <w:tc>
          <w:tcPr>
            <w:tcW w:w="3827" w:type="dxa"/>
            <w:tcBorders>
              <w:top w:val="nil"/>
              <w:left w:val="nil"/>
              <w:bottom w:val="nil"/>
              <w:right w:val="nil"/>
            </w:tcBorders>
            <w:shd w:val="clear" w:color="auto" w:fill="F2F2F2"/>
          </w:tcPr>
          <w:p w14:paraId="3374F1B9" w14:textId="785A0732" w:rsidR="00D82758" w:rsidRPr="00E07E8D" w:rsidRDefault="00E07E8D" w:rsidP="00FF7EC4">
            <w:pPr>
              <w:pStyle w:val="Box"/>
            </w:pPr>
            <w:r w:rsidRPr="00E07E8D">
              <w:t>T</w:t>
            </w:r>
            <w:r w:rsidR="00013D89" w:rsidRPr="00E07E8D">
              <w:t xml:space="preserve">he proportion of Aboriginal and Torres Strait Islander households living in houses of an acceptable standard (including structural issues and working facilities) </w:t>
            </w:r>
            <w:r w:rsidR="00FF7EC4">
              <w:t>was 80 per cent in 2018-19, similar to 2008 (following a decrease to</w:t>
            </w:r>
            <w:r w:rsidRPr="00E07E8D">
              <w:t xml:space="preserve"> 78 per cent in </w:t>
            </w:r>
            <w:r w:rsidR="00FF7EC4">
              <w:t>2012-13)</w:t>
            </w:r>
            <w:r w:rsidRPr="00E07E8D">
              <w:t>.</w:t>
            </w:r>
          </w:p>
        </w:tc>
      </w:tr>
      <w:tr w:rsidR="00037871" w:rsidRPr="00037871" w14:paraId="42EB5374" w14:textId="77777777" w:rsidTr="00E929ED">
        <w:trPr>
          <w:cantSplit/>
        </w:trPr>
        <w:tc>
          <w:tcPr>
            <w:tcW w:w="8789" w:type="dxa"/>
            <w:gridSpan w:val="3"/>
            <w:tcBorders>
              <w:top w:val="nil"/>
              <w:left w:val="nil"/>
              <w:bottom w:val="nil"/>
              <w:right w:val="nil"/>
            </w:tcBorders>
            <w:shd w:val="clear" w:color="auto" w:fill="F2F2F2"/>
          </w:tcPr>
          <w:p w14:paraId="0AA6FAAC" w14:textId="77777777" w:rsidR="00013D89" w:rsidRPr="00E07E8D" w:rsidRDefault="00013D89" w:rsidP="00CF00C8">
            <w:pPr>
              <w:pStyle w:val="Box"/>
              <w:rPr>
                <w:i/>
              </w:rPr>
            </w:pPr>
            <w:r w:rsidRPr="00E07E8D">
              <w:rPr>
                <w:i/>
              </w:rPr>
              <w:t>Data on access to water, sewerage and el</w:t>
            </w:r>
            <w:r w:rsidR="00CF00C8" w:rsidRPr="00E07E8D">
              <w:rPr>
                <w:i/>
              </w:rPr>
              <w:t xml:space="preserve">ectricity services in discrete Aboriginal and Torres Strait Islander </w:t>
            </w:r>
            <w:r w:rsidRPr="00E07E8D">
              <w:rPr>
                <w:i/>
              </w:rPr>
              <w:t>communities are relatively old and with limited time series.</w:t>
            </w:r>
          </w:p>
        </w:tc>
      </w:tr>
      <w:tr w:rsidR="00037871" w:rsidRPr="00037871" w14:paraId="25B32C17" w14:textId="77777777" w:rsidTr="00E929ED">
        <w:trPr>
          <w:cantSplit/>
        </w:trPr>
        <w:tc>
          <w:tcPr>
            <w:tcW w:w="8789" w:type="dxa"/>
            <w:gridSpan w:val="3"/>
            <w:tcBorders>
              <w:top w:val="nil"/>
              <w:left w:val="nil"/>
              <w:bottom w:val="single" w:sz="6" w:space="0" w:color="78A22F"/>
              <w:right w:val="nil"/>
            </w:tcBorders>
            <w:shd w:val="clear" w:color="auto" w:fill="F2F2F2"/>
          </w:tcPr>
          <w:p w14:paraId="58ED611B" w14:textId="77777777" w:rsidR="00D82758" w:rsidRPr="00037871" w:rsidRDefault="00D82758" w:rsidP="008E4321">
            <w:pPr>
              <w:pStyle w:val="Box"/>
              <w:spacing w:before="0" w:line="120" w:lineRule="exact"/>
              <w:rPr>
                <w:color w:val="00B050"/>
              </w:rPr>
            </w:pPr>
          </w:p>
        </w:tc>
      </w:tr>
      <w:tr w:rsidR="00037871" w:rsidRPr="00037871" w14:paraId="0E916D70" w14:textId="77777777" w:rsidTr="00E929ED">
        <w:tc>
          <w:tcPr>
            <w:tcW w:w="8789" w:type="dxa"/>
            <w:gridSpan w:val="3"/>
            <w:tcBorders>
              <w:top w:val="single" w:sz="6" w:space="0" w:color="78A22F"/>
              <w:left w:val="nil"/>
              <w:bottom w:val="nil"/>
              <w:right w:val="nil"/>
            </w:tcBorders>
          </w:tcPr>
          <w:p w14:paraId="65AF3BAE" w14:textId="77777777" w:rsidR="00D82758" w:rsidRPr="00037871" w:rsidRDefault="00D82758" w:rsidP="008E4321">
            <w:pPr>
              <w:pStyle w:val="BoxSpaceBelow"/>
              <w:rPr>
                <w:color w:val="00B050"/>
              </w:rPr>
            </w:pPr>
          </w:p>
        </w:tc>
      </w:tr>
    </w:tbl>
    <w:p w14:paraId="7C201263" w14:textId="77777777" w:rsidR="000017FD" w:rsidRPr="00320D2D" w:rsidRDefault="000017FD" w:rsidP="000017FD">
      <w:pPr>
        <w:pStyle w:val="BodyText"/>
      </w:pPr>
      <w:r w:rsidRPr="00037871">
        <w:rPr>
          <w:color w:val="00B050"/>
        </w:rPr>
        <w:br w:type="page"/>
      </w:r>
    </w:p>
    <w:p w14:paraId="756E62B6" w14:textId="534995BD" w:rsidR="00FE1E8D" w:rsidRPr="003B5F03" w:rsidRDefault="00D82758" w:rsidP="00D82758">
      <w:pPr>
        <w:pStyle w:val="Heading2"/>
        <w:rPr>
          <w:color w:val="000000" w:themeColor="text1"/>
        </w:rPr>
      </w:pPr>
      <w:r w:rsidRPr="003B5F03">
        <w:rPr>
          <w:color w:val="000000" w:themeColor="text1"/>
        </w:rPr>
        <w:lastRenderedPageBreak/>
        <w:t>Safe and supportive communities</w:t>
      </w:r>
    </w:p>
    <w:p w14:paraId="26CDDEF9" w14:textId="4F2F5593" w:rsidR="00013D89" w:rsidRPr="003B5F03" w:rsidRDefault="00013D89" w:rsidP="00013D89">
      <w:pPr>
        <w:pStyle w:val="BodyText"/>
        <w:rPr>
          <w:color w:val="000000" w:themeColor="text1"/>
        </w:rPr>
      </w:pPr>
      <w:r w:rsidRPr="003B5F03">
        <w:rPr>
          <w:color w:val="000000" w:themeColor="text1"/>
        </w:rPr>
        <w:t xml:space="preserve">Safe and supportive families and communities provide a resilient, caring and protective environment, promoting a range of positive outcomes. </w:t>
      </w:r>
      <w:r w:rsidR="004B21C5" w:rsidRPr="004B21C5">
        <w:rPr>
          <w:color w:val="000000" w:themeColor="text1"/>
        </w:rPr>
        <w:t>However, the history of colonisation and intergenerational trauma has deeply affected Aboriginal and Torres Strait Islander people as individuals and communities in many ways. This trauma has contributed to family and community disruption, alcohol and drug misuse, violence and harm, and contact w</w:t>
      </w:r>
      <w:r w:rsidR="004B21C5">
        <w:rPr>
          <w:color w:val="000000" w:themeColor="text1"/>
        </w:rPr>
        <w:t>ith the criminal justice system</w:t>
      </w:r>
      <w:r w:rsidRPr="003B5F03">
        <w:rPr>
          <w:color w:val="000000" w:themeColor="text1"/>
        </w:rPr>
        <w:t>.</w:t>
      </w:r>
    </w:p>
    <w:p w14:paraId="42EFBDDD" w14:textId="77777777" w:rsidR="00D82758" w:rsidRPr="00037871" w:rsidRDefault="00D82758" w:rsidP="00D82758">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3B5F03" w14:paraId="5DF17371" w14:textId="77777777" w:rsidTr="00E929ED">
        <w:tc>
          <w:tcPr>
            <w:tcW w:w="8789" w:type="dxa"/>
            <w:gridSpan w:val="3"/>
            <w:tcBorders>
              <w:top w:val="single" w:sz="6" w:space="0" w:color="78A22F"/>
              <w:left w:val="nil"/>
              <w:bottom w:val="nil"/>
              <w:right w:val="nil"/>
            </w:tcBorders>
            <w:shd w:val="clear" w:color="auto" w:fill="F2F2F2"/>
          </w:tcPr>
          <w:p w14:paraId="0253A519" w14:textId="77777777" w:rsidR="00D82758" w:rsidRPr="003B5F03" w:rsidRDefault="00D82758" w:rsidP="001D480C">
            <w:pPr>
              <w:pStyle w:val="BoxTitle"/>
              <w:spacing w:after="120"/>
              <w:rPr>
                <w:color w:val="000000" w:themeColor="text1"/>
              </w:rPr>
            </w:pPr>
            <w:r w:rsidRPr="003B5F03">
              <w:rPr>
                <w:color w:val="000000" w:themeColor="text1"/>
              </w:rPr>
              <w:t>11.1</w:t>
            </w:r>
            <w:r w:rsidRPr="003B5F03">
              <w:rPr>
                <w:color w:val="000000" w:themeColor="text1"/>
              </w:rPr>
              <w:tab/>
              <w:t>Alcohol consumption and harm</w:t>
            </w:r>
          </w:p>
        </w:tc>
      </w:tr>
      <w:tr w:rsidR="00037871" w:rsidRPr="00037871" w14:paraId="6362C5EA" w14:textId="77777777" w:rsidTr="00237AD4">
        <w:trPr>
          <w:cantSplit/>
        </w:trPr>
        <w:tc>
          <w:tcPr>
            <w:tcW w:w="3970" w:type="dxa"/>
            <w:tcBorders>
              <w:top w:val="nil"/>
              <w:left w:val="nil"/>
              <w:bottom w:val="nil"/>
              <w:right w:val="nil"/>
            </w:tcBorders>
            <w:shd w:val="clear" w:color="auto" w:fill="F2F2F2"/>
          </w:tcPr>
          <w:p w14:paraId="12E69B36" w14:textId="13186C2C" w:rsidR="00D82758" w:rsidRPr="00647C3E" w:rsidRDefault="004B21C5" w:rsidP="006F1C9E">
            <w:pPr>
              <w:pStyle w:val="Box"/>
            </w:pPr>
            <w:r w:rsidRPr="004B21C5">
              <w:t>Drinking alcohol at harmful levels comes with social and financial burden to the drinker, their families, and the people and community around them. Alcohol contributes to disability and death, family violence and the burden of disease</w:t>
            </w:r>
            <w:r w:rsidR="00013D89" w:rsidRPr="00647C3E">
              <w:t>.</w:t>
            </w:r>
          </w:p>
        </w:tc>
        <w:tc>
          <w:tcPr>
            <w:tcW w:w="992" w:type="dxa"/>
            <w:tcBorders>
              <w:top w:val="nil"/>
              <w:left w:val="nil"/>
              <w:bottom w:val="nil"/>
              <w:right w:val="nil"/>
            </w:tcBorders>
            <w:shd w:val="clear" w:color="auto" w:fill="DA9C13"/>
          </w:tcPr>
          <w:p w14:paraId="33DD12FA" w14:textId="77777777" w:rsidR="00D82758" w:rsidRPr="00647C3E" w:rsidRDefault="00D82758" w:rsidP="008E4321">
            <w:pPr>
              <w:pStyle w:val="BoxHeading1"/>
            </w:pPr>
          </w:p>
          <w:p w14:paraId="7E57BACD" w14:textId="77777777" w:rsidR="00D82758" w:rsidRPr="00647C3E" w:rsidRDefault="00D82758" w:rsidP="00013D89">
            <w:pPr>
              <w:pStyle w:val="Box"/>
              <w:spacing w:before="200"/>
              <w:jc w:val="center"/>
              <w:rPr>
                <w:sz w:val="48"/>
                <w:szCs w:val="48"/>
              </w:rPr>
            </w:pPr>
            <w:r w:rsidRPr="005254A0">
              <w:rPr>
                <w:b/>
                <w:color w:val="FFFFFF" w:themeColor="background1"/>
                <w:sz w:val="48"/>
                <w:szCs w:val="48"/>
              </w:rPr>
              <w:t>_</w:t>
            </w:r>
          </w:p>
        </w:tc>
        <w:tc>
          <w:tcPr>
            <w:tcW w:w="3827" w:type="dxa"/>
            <w:tcBorders>
              <w:top w:val="nil"/>
              <w:left w:val="nil"/>
              <w:bottom w:val="nil"/>
              <w:right w:val="nil"/>
            </w:tcBorders>
            <w:shd w:val="clear" w:color="auto" w:fill="F2F2F2"/>
          </w:tcPr>
          <w:p w14:paraId="06A6583E" w14:textId="4F66EB22" w:rsidR="00013D89" w:rsidRDefault="004B21C5" w:rsidP="00701500">
            <w:pPr>
              <w:pStyle w:val="Box"/>
            </w:pPr>
            <w:r>
              <w:t>In 2018</w:t>
            </w:r>
            <w:r w:rsidR="00647C3E" w:rsidRPr="00647C3E">
              <w:t>-1</w:t>
            </w:r>
            <w:r>
              <w:t>9</w:t>
            </w:r>
            <w:r w:rsidR="00647C3E" w:rsidRPr="00647C3E">
              <w:t xml:space="preserve">, </w:t>
            </w:r>
            <w:r>
              <w:t>20</w:t>
            </w:r>
            <w:r w:rsidR="00011D0F">
              <w:t> </w:t>
            </w:r>
            <w:r w:rsidR="00011D0F" w:rsidRPr="00647C3E">
              <w:t>per</w:t>
            </w:r>
            <w:r w:rsidR="00011D0F">
              <w:t> </w:t>
            </w:r>
            <w:r w:rsidR="00011D0F" w:rsidRPr="00647C3E">
              <w:t xml:space="preserve">cent </w:t>
            </w:r>
            <w:r w:rsidR="0082585B">
              <w:t xml:space="preserve">of </w:t>
            </w:r>
            <w:r w:rsidR="00013D89" w:rsidRPr="00647C3E">
              <w:t xml:space="preserve">Aboriginal and Torres Strait Islander </w:t>
            </w:r>
            <w:r>
              <w:t>adults</w:t>
            </w:r>
            <w:r w:rsidR="00701500">
              <w:t xml:space="preserve"> </w:t>
            </w:r>
            <w:r w:rsidR="00013D89" w:rsidRPr="00647C3E">
              <w:t>reported exceeding lifeti</w:t>
            </w:r>
            <w:r w:rsidR="006F2441">
              <w:t xml:space="preserve">me alcohol risk guidelines, </w:t>
            </w:r>
            <w:r w:rsidR="00013D89" w:rsidRPr="00647C3E">
              <w:t>similar to 20</w:t>
            </w:r>
            <w:r w:rsidR="00D82DD4">
              <w:t>12-13</w:t>
            </w:r>
            <w:r w:rsidR="00701500">
              <w:t>.</w:t>
            </w:r>
          </w:p>
          <w:p w14:paraId="3693E91D" w14:textId="1114A88B" w:rsidR="00D82758" w:rsidRPr="00647C3E" w:rsidRDefault="00701500" w:rsidP="007429C8">
            <w:pPr>
              <w:pStyle w:val="Box"/>
            </w:pPr>
            <w:r>
              <w:t xml:space="preserve">The proportion </w:t>
            </w:r>
            <w:r w:rsidR="00011D0F">
              <w:t>who</w:t>
            </w:r>
            <w:r>
              <w:t xml:space="preserve"> reported </w:t>
            </w:r>
            <w:r w:rsidR="007429C8">
              <w:t xml:space="preserve">exceeding the single occasion risk guidelines at least once </w:t>
            </w:r>
            <w:r w:rsidR="00011D0F">
              <w:t>in the previous 12 </w:t>
            </w:r>
            <w:r w:rsidR="00013D89" w:rsidRPr="00647C3E">
              <w:t>months</w:t>
            </w:r>
            <w:r w:rsidR="007429C8">
              <w:t xml:space="preserve"> was 53</w:t>
            </w:r>
            <w:r w:rsidR="000F0BC8">
              <w:t> </w:t>
            </w:r>
            <w:r w:rsidR="007429C8">
              <w:t>per cent, also similar to 2012-13.</w:t>
            </w:r>
          </w:p>
        </w:tc>
      </w:tr>
      <w:tr w:rsidR="00037871" w:rsidRPr="00037871" w14:paraId="09FB26BA" w14:textId="77777777" w:rsidTr="00E929ED">
        <w:trPr>
          <w:cantSplit/>
        </w:trPr>
        <w:tc>
          <w:tcPr>
            <w:tcW w:w="8789" w:type="dxa"/>
            <w:gridSpan w:val="3"/>
            <w:tcBorders>
              <w:top w:val="nil"/>
              <w:left w:val="nil"/>
              <w:bottom w:val="single" w:sz="6" w:space="0" w:color="78A22F"/>
              <w:right w:val="nil"/>
            </w:tcBorders>
            <w:shd w:val="clear" w:color="auto" w:fill="F2F2F2"/>
          </w:tcPr>
          <w:p w14:paraId="5F4F8DAE" w14:textId="77777777" w:rsidR="00D82758" w:rsidRPr="00037871" w:rsidRDefault="00D82758" w:rsidP="008E4321">
            <w:pPr>
              <w:pStyle w:val="Box"/>
              <w:spacing w:before="0" w:line="120" w:lineRule="exact"/>
              <w:rPr>
                <w:color w:val="00B050"/>
              </w:rPr>
            </w:pPr>
          </w:p>
        </w:tc>
      </w:tr>
      <w:tr w:rsidR="00037871" w:rsidRPr="00037871" w14:paraId="1C49BF19" w14:textId="77777777" w:rsidTr="00E929ED">
        <w:tc>
          <w:tcPr>
            <w:tcW w:w="8789" w:type="dxa"/>
            <w:gridSpan w:val="3"/>
            <w:tcBorders>
              <w:top w:val="single" w:sz="6" w:space="0" w:color="78A22F"/>
              <w:left w:val="nil"/>
              <w:bottom w:val="nil"/>
              <w:right w:val="nil"/>
            </w:tcBorders>
          </w:tcPr>
          <w:p w14:paraId="0309713C" w14:textId="77777777" w:rsidR="00D82758" w:rsidRPr="00037871" w:rsidRDefault="00D82758" w:rsidP="008E4321">
            <w:pPr>
              <w:pStyle w:val="BoxSpaceBelow"/>
              <w:rPr>
                <w:color w:val="00B050"/>
              </w:rPr>
            </w:pPr>
          </w:p>
        </w:tc>
      </w:tr>
    </w:tbl>
    <w:p w14:paraId="5434F3AE" w14:textId="77777777" w:rsidR="00D82758" w:rsidRPr="004411EA" w:rsidRDefault="00D82758" w:rsidP="00D82758">
      <w:pPr>
        <w:pStyle w:val="BoxSpaceAbove"/>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4411EA" w14:paraId="43B08D7F" w14:textId="77777777" w:rsidTr="00E929ED">
        <w:tc>
          <w:tcPr>
            <w:tcW w:w="8789" w:type="dxa"/>
            <w:gridSpan w:val="3"/>
            <w:tcBorders>
              <w:top w:val="single" w:sz="6" w:space="0" w:color="78A22F"/>
              <w:left w:val="nil"/>
              <w:bottom w:val="nil"/>
              <w:right w:val="nil"/>
            </w:tcBorders>
            <w:shd w:val="clear" w:color="auto" w:fill="F2F2F2"/>
          </w:tcPr>
          <w:p w14:paraId="0E7543A3" w14:textId="77777777" w:rsidR="00D82758" w:rsidRPr="004411EA" w:rsidRDefault="00D82758" w:rsidP="001D480C">
            <w:pPr>
              <w:pStyle w:val="BoxTitle"/>
              <w:spacing w:after="120"/>
            </w:pPr>
            <w:r w:rsidRPr="004411EA">
              <w:t>11.2</w:t>
            </w:r>
            <w:r w:rsidRPr="004411EA">
              <w:tab/>
              <w:t>Drug and other substance use and harm</w:t>
            </w:r>
          </w:p>
        </w:tc>
      </w:tr>
      <w:tr w:rsidR="00C05945" w:rsidRPr="004411EA" w14:paraId="222599E9" w14:textId="77777777" w:rsidTr="00E929ED">
        <w:trPr>
          <w:cantSplit/>
        </w:trPr>
        <w:tc>
          <w:tcPr>
            <w:tcW w:w="3970" w:type="dxa"/>
            <w:tcBorders>
              <w:top w:val="nil"/>
              <w:left w:val="nil"/>
              <w:bottom w:val="nil"/>
              <w:right w:val="nil"/>
            </w:tcBorders>
            <w:shd w:val="clear" w:color="auto" w:fill="F2F2F2"/>
          </w:tcPr>
          <w:p w14:paraId="52ACAFBC" w14:textId="77777777" w:rsidR="00D82758" w:rsidRDefault="00013D89" w:rsidP="007429C8">
            <w:pPr>
              <w:pStyle w:val="Box"/>
            </w:pPr>
            <w:r w:rsidRPr="008462CE">
              <w:t xml:space="preserve">The misuse of legal and </w:t>
            </w:r>
            <w:r w:rsidR="007429C8">
              <w:t xml:space="preserve">illegal </w:t>
            </w:r>
            <w:r w:rsidRPr="008462CE">
              <w:t xml:space="preserve">substances can </w:t>
            </w:r>
            <w:r w:rsidR="007429C8" w:rsidRPr="007429C8">
              <w:t>negatively affect the lives of individuals, families and communities. Users are more susceptible to illness and accident, and injecting drug users who share needles are at a greater risk of blood</w:t>
            </w:r>
            <w:r w:rsidR="007429C8" w:rsidRPr="007429C8">
              <w:rPr>
                <w:rFonts w:ascii="Cambria Math" w:hAnsi="Cambria Math" w:cs="Cambria Math"/>
              </w:rPr>
              <w:t>‑</w:t>
            </w:r>
            <w:r w:rsidR="007429C8" w:rsidRPr="007429C8">
              <w:t>borne diseases</w:t>
            </w:r>
            <w:r w:rsidRPr="008462CE">
              <w:t>.</w:t>
            </w:r>
          </w:p>
          <w:p w14:paraId="67310D56" w14:textId="2FE48124" w:rsidR="006B2EB8" w:rsidRPr="008462CE" w:rsidRDefault="006B2EB8" w:rsidP="007429C8">
            <w:pPr>
              <w:pStyle w:val="Box"/>
            </w:pPr>
            <w:r w:rsidRPr="006B2EB8">
              <w:t>Illicit substance use often co-occurs with mental illness and psychological distress.</w:t>
            </w:r>
          </w:p>
        </w:tc>
        <w:tc>
          <w:tcPr>
            <w:tcW w:w="992" w:type="dxa"/>
            <w:tcBorders>
              <w:top w:val="nil"/>
              <w:left w:val="nil"/>
              <w:bottom w:val="nil"/>
              <w:right w:val="nil"/>
            </w:tcBorders>
            <w:shd w:val="clear" w:color="auto" w:fill="990000"/>
          </w:tcPr>
          <w:p w14:paraId="5FD99207" w14:textId="77777777" w:rsidR="00524C50" w:rsidRPr="008462CE" w:rsidRDefault="00524C50" w:rsidP="00524C50">
            <w:pPr>
              <w:pStyle w:val="BoxHeading1"/>
            </w:pPr>
          </w:p>
          <w:p w14:paraId="38C40510" w14:textId="77777777" w:rsidR="00524C50" w:rsidRPr="008462CE" w:rsidRDefault="00524C50" w:rsidP="00524C50">
            <w:pPr>
              <w:pStyle w:val="Box"/>
            </w:pPr>
          </w:p>
          <w:p w14:paraId="53030D94" w14:textId="7A36CC31" w:rsidR="00D82758" w:rsidRPr="008462CE" w:rsidRDefault="0042569A" w:rsidP="00524C50">
            <w:pPr>
              <w:pStyle w:val="Box"/>
              <w:spacing w:before="360"/>
              <w:jc w:val="center"/>
              <w:rPr>
                <w:sz w:val="48"/>
                <w:szCs w:val="48"/>
              </w:rPr>
            </w:pPr>
            <w:r w:rsidRPr="0042569A">
              <w:rPr>
                <w:rFonts w:cs="Arial"/>
                <w:bCs/>
                <w:noProof/>
                <w:sz w:val="48"/>
                <w:szCs w:val="48"/>
              </w:rPr>
              <mc:AlternateContent>
                <mc:Choice Requires="wpg">
                  <w:drawing>
                    <wp:anchor distT="0" distB="0" distL="114300" distR="114300" simplePos="0" relativeHeight="251735040" behindDoc="0" locked="0" layoutInCell="1" allowOverlap="1" wp14:anchorId="23447AD3" wp14:editId="730E1EE8">
                      <wp:simplePos x="0" y="0"/>
                      <wp:positionH relativeFrom="column">
                        <wp:posOffset>136525</wp:posOffset>
                      </wp:positionH>
                      <wp:positionV relativeFrom="paragraph">
                        <wp:posOffset>312420</wp:posOffset>
                      </wp:positionV>
                      <wp:extent cx="172857" cy="218365"/>
                      <wp:effectExtent l="19050" t="19050" r="17780" b="10795"/>
                      <wp:wrapNone/>
                      <wp:docPr id="143" name="Group 7" descr="Symbol of a X&#10;&#10;More details can be found within the text surrounding this image. "/>
                      <wp:cNvGraphicFramePr/>
                      <a:graphic xmlns:a="http://schemas.openxmlformats.org/drawingml/2006/main">
                        <a:graphicData uri="http://schemas.microsoft.com/office/word/2010/wordprocessingGroup">
                          <wpg:wgp>
                            <wpg:cNvGrpSpPr/>
                            <wpg:grpSpPr>
                              <a:xfrm rot="347790">
                                <a:off x="0" y="0"/>
                                <a:ext cx="172857" cy="218365"/>
                                <a:chOff x="0" y="0"/>
                                <a:chExt cx="718457" cy="718457"/>
                              </a:xfrm>
                            </wpg:grpSpPr>
                            <wps:wsp>
                              <wps:cNvPr id="144" name="Straight Connector 144"/>
                              <wps:cNvCnPr/>
                              <wps:spPr>
                                <a:xfrm>
                                  <a:off x="0" y="60650"/>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s:wsp>
                              <wps:cNvPr id="145" name="Straight Connector 145"/>
                              <wps:cNvCnPr>
                                <a:cxnSpLocks/>
                              </wps:cNvCnPr>
                              <wps:spPr>
                                <a:xfrm rot="5400000">
                                  <a:off x="-1" y="60649"/>
                                  <a:ext cx="718457" cy="597159"/>
                                </a:xfrm>
                                <a:prstGeom prst="line">
                                  <a:avLst/>
                                </a:prstGeom>
                                <a:ln w="31750">
                                  <a:solidFill>
                                    <a:schemeClr val="bg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44191F3" id="Group 7" o:spid="_x0000_s1026" alt="Symbol of a X&#10;&#10;More details can be found within the text surrounding this image. " style="position:absolute;margin-left:10.75pt;margin-top:24.6pt;width:13.6pt;height:17.2pt;rotation:379879fd;z-index:251735040;mso-width-relative:margin;mso-height-relative:margin" coordsize="7184,7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">
                      <v:line id="Straight Connector 144" o:spid="_x0000_s1027" style="position:absolute;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" strokecolor="white [3212]" strokeweight="2.5pt"/>
                      <v:line id="Straight Connector 145" o:spid="_x0000_s1028" style="position:absolute;rotation:90;visibility:visible;mso-wrap-style:square" from="0,606" to="7184,65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" strokecolor="white [3212]" strokeweight="2.5pt">
                        <o:lock v:ext="edit" shapetype="f"/>
                      </v:line>
                    </v:group>
                  </w:pict>
                </mc:Fallback>
              </mc:AlternateContent>
            </w:r>
            <w:r w:rsidR="00524C50" w:rsidRPr="008462CE">
              <w:rPr>
                <w:sz w:val="48"/>
                <w:szCs w:val="48"/>
              </w:rPr>
              <w:softHyphen/>
            </w:r>
          </w:p>
        </w:tc>
        <w:tc>
          <w:tcPr>
            <w:tcW w:w="3827" w:type="dxa"/>
            <w:tcBorders>
              <w:top w:val="nil"/>
              <w:left w:val="nil"/>
              <w:bottom w:val="nil"/>
              <w:right w:val="nil"/>
            </w:tcBorders>
            <w:shd w:val="clear" w:color="auto" w:fill="F2F2F2"/>
          </w:tcPr>
          <w:p w14:paraId="31BFC191" w14:textId="6173FB9E" w:rsidR="00861C2B" w:rsidRDefault="006F2441" w:rsidP="007429C8">
            <w:pPr>
              <w:pStyle w:val="Box"/>
            </w:pPr>
            <w:r>
              <w:t xml:space="preserve">The majority of Aboriginal and Torres Strait Islander adults do not misuse substances. </w:t>
            </w:r>
            <w:r w:rsidR="007429C8">
              <w:t>In 2018-19, 70 per cent of Aboriginal and Torr</w:t>
            </w:r>
            <w:r w:rsidR="00E75300">
              <w:t>e</w:t>
            </w:r>
            <w:r w:rsidR="007429C8">
              <w:t xml:space="preserve">s Strait Islander adults reported they had not </w:t>
            </w:r>
            <w:r>
              <w:t xml:space="preserve">misused </w:t>
            </w:r>
            <w:r w:rsidR="007429C8" w:rsidRPr="007429C8">
              <w:t>substances</w:t>
            </w:r>
            <w:r w:rsidR="007429C8">
              <w:t xml:space="preserve"> in the previous 12 months</w:t>
            </w:r>
            <w:r w:rsidR="007429C8" w:rsidRPr="007429C8">
              <w:t>.</w:t>
            </w:r>
          </w:p>
          <w:p w14:paraId="60AB2E8C" w14:textId="2429ACBD" w:rsidR="007429C8" w:rsidRPr="008462CE" w:rsidRDefault="007429C8" w:rsidP="00A2523E">
            <w:pPr>
              <w:pStyle w:val="Box"/>
            </w:pPr>
            <w:r w:rsidRPr="007429C8">
              <w:t xml:space="preserve">But the proportion who report that they are </w:t>
            </w:r>
            <w:r w:rsidR="006F2441">
              <w:t xml:space="preserve">misusing </w:t>
            </w:r>
            <w:r w:rsidR="00A2523E">
              <w:t>has</w:t>
            </w:r>
            <w:r w:rsidRPr="007429C8">
              <w:t xml:space="preserve"> increas</w:t>
            </w:r>
            <w:r w:rsidR="00A2523E">
              <w:t>ed</w:t>
            </w:r>
            <w:r w:rsidRPr="007429C8">
              <w:t xml:space="preserve"> over time</w:t>
            </w:r>
            <w:r>
              <w:t xml:space="preserve"> (from</w:t>
            </w:r>
            <w:r w:rsidR="00F27CAE">
              <w:t xml:space="preserve"> 23</w:t>
            </w:r>
            <w:r w:rsidR="000F0BC8">
              <w:t> </w:t>
            </w:r>
            <w:r w:rsidR="00F27CAE">
              <w:t>per cent in 2002 to 28 per cent in 2018</w:t>
            </w:r>
            <w:r w:rsidR="000F0BC8">
              <w:noBreakHyphen/>
            </w:r>
            <w:r w:rsidR="00F27CAE">
              <w:t>19, with the increase occurring between 2012-13 and 2014-15)</w:t>
            </w:r>
            <w:r w:rsidRPr="007429C8">
              <w:t>.</w:t>
            </w:r>
          </w:p>
        </w:tc>
      </w:tr>
      <w:tr w:rsidR="00037871" w:rsidRPr="004411EA" w14:paraId="2DB9DEBA" w14:textId="77777777" w:rsidTr="00E929ED">
        <w:trPr>
          <w:cantSplit/>
        </w:trPr>
        <w:tc>
          <w:tcPr>
            <w:tcW w:w="8789" w:type="dxa"/>
            <w:gridSpan w:val="3"/>
            <w:tcBorders>
              <w:top w:val="nil"/>
              <w:left w:val="nil"/>
              <w:bottom w:val="single" w:sz="6" w:space="0" w:color="78A22F"/>
              <w:right w:val="nil"/>
            </w:tcBorders>
            <w:shd w:val="clear" w:color="auto" w:fill="F2F2F2"/>
          </w:tcPr>
          <w:p w14:paraId="553357BD" w14:textId="77777777" w:rsidR="00D82758" w:rsidRPr="004411EA" w:rsidRDefault="00D82758" w:rsidP="008E4321">
            <w:pPr>
              <w:pStyle w:val="Box"/>
              <w:spacing w:before="0" w:line="120" w:lineRule="exact"/>
            </w:pPr>
          </w:p>
        </w:tc>
      </w:tr>
      <w:tr w:rsidR="00037871" w:rsidRPr="004411EA" w14:paraId="46BFEA7B" w14:textId="77777777" w:rsidTr="00E929ED">
        <w:tc>
          <w:tcPr>
            <w:tcW w:w="8789" w:type="dxa"/>
            <w:gridSpan w:val="3"/>
            <w:tcBorders>
              <w:top w:val="single" w:sz="6" w:space="0" w:color="78A22F"/>
              <w:left w:val="nil"/>
              <w:bottom w:val="nil"/>
              <w:right w:val="nil"/>
            </w:tcBorders>
          </w:tcPr>
          <w:p w14:paraId="4EA26315" w14:textId="77777777" w:rsidR="00D82758" w:rsidRPr="004411EA" w:rsidRDefault="00D82758" w:rsidP="008E4321">
            <w:pPr>
              <w:pStyle w:val="BoxSpaceBelow"/>
            </w:pPr>
          </w:p>
        </w:tc>
      </w:tr>
    </w:tbl>
    <w:p w14:paraId="4B933FF5" w14:textId="77777777" w:rsidR="00D82758" w:rsidRPr="00037871" w:rsidRDefault="00D82758" w:rsidP="00D82758">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FB47D2" w14:paraId="65B0AB80" w14:textId="77777777" w:rsidTr="00E929ED">
        <w:tc>
          <w:tcPr>
            <w:tcW w:w="8789" w:type="dxa"/>
            <w:gridSpan w:val="3"/>
            <w:tcBorders>
              <w:top w:val="single" w:sz="6" w:space="0" w:color="78A22F"/>
              <w:left w:val="nil"/>
              <w:bottom w:val="nil"/>
              <w:right w:val="nil"/>
            </w:tcBorders>
            <w:shd w:val="clear" w:color="auto" w:fill="F2F2F2"/>
          </w:tcPr>
          <w:p w14:paraId="6B097A96" w14:textId="0FED3CA1" w:rsidR="00D82758" w:rsidRPr="00FB47D2" w:rsidRDefault="00F27CAE" w:rsidP="001D480C">
            <w:pPr>
              <w:pStyle w:val="BoxTitle"/>
              <w:spacing w:after="120"/>
              <w:rPr>
                <w:color w:val="000000" w:themeColor="text1"/>
              </w:rPr>
            </w:pPr>
            <w:r>
              <w:rPr>
                <w:color w:val="000000" w:themeColor="text1"/>
              </w:rPr>
              <w:t>11.3</w:t>
            </w:r>
            <w:r>
              <w:rPr>
                <w:color w:val="000000" w:themeColor="text1"/>
              </w:rPr>
              <w:tab/>
              <w:t>Youth</w:t>
            </w:r>
            <w:r w:rsidR="00D82758" w:rsidRPr="00FB47D2">
              <w:rPr>
                <w:color w:val="000000" w:themeColor="text1"/>
              </w:rPr>
              <w:t xml:space="preserve"> diversions</w:t>
            </w:r>
          </w:p>
        </w:tc>
      </w:tr>
      <w:tr w:rsidR="00037871" w:rsidRPr="00037871" w14:paraId="377E88F2" w14:textId="77777777" w:rsidTr="00B04347">
        <w:trPr>
          <w:cantSplit/>
        </w:trPr>
        <w:tc>
          <w:tcPr>
            <w:tcW w:w="3970" w:type="dxa"/>
            <w:tcBorders>
              <w:top w:val="nil"/>
              <w:left w:val="nil"/>
              <w:bottom w:val="nil"/>
              <w:right w:val="nil"/>
            </w:tcBorders>
            <w:shd w:val="clear" w:color="auto" w:fill="F2F2F2"/>
          </w:tcPr>
          <w:p w14:paraId="13B97112" w14:textId="542EF255" w:rsidR="00D82758" w:rsidRPr="0006170B" w:rsidRDefault="00F27CAE" w:rsidP="00013D89">
            <w:pPr>
              <w:pStyle w:val="Box"/>
            </w:pPr>
            <w:r w:rsidRPr="00F27CAE">
              <w:t>Youth diversion provides an opportunity for the criminal justice system to identify and respond to the complex needs of young people so that they are prevented from entering and re-entering the system, which can fundamentally change their life trajectory</w:t>
            </w:r>
            <w:r>
              <w:t>.</w:t>
            </w:r>
          </w:p>
        </w:tc>
        <w:tc>
          <w:tcPr>
            <w:tcW w:w="992" w:type="dxa"/>
            <w:tcBorders>
              <w:top w:val="nil"/>
              <w:left w:val="nil"/>
              <w:bottom w:val="nil"/>
              <w:right w:val="nil"/>
            </w:tcBorders>
            <w:shd w:val="clear" w:color="auto" w:fill="00819C"/>
          </w:tcPr>
          <w:p w14:paraId="6EF2598D" w14:textId="77777777" w:rsidR="00D82758" w:rsidRPr="0006170B" w:rsidRDefault="00D82758" w:rsidP="008E4321">
            <w:pPr>
              <w:pStyle w:val="Box"/>
              <w:jc w:val="center"/>
              <w:rPr>
                <w:b/>
                <w:sz w:val="30"/>
                <w:szCs w:val="30"/>
              </w:rPr>
            </w:pPr>
          </w:p>
          <w:p w14:paraId="3C96EE73" w14:textId="77777777" w:rsidR="00A40519" w:rsidRDefault="00A40519" w:rsidP="00D82758">
            <w:pPr>
              <w:pStyle w:val="Box"/>
              <w:spacing w:before="0"/>
              <w:jc w:val="center"/>
              <w:rPr>
                <w:b/>
                <w:sz w:val="30"/>
                <w:szCs w:val="30"/>
              </w:rPr>
            </w:pPr>
          </w:p>
          <w:p w14:paraId="0546821B" w14:textId="77777777" w:rsidR="00A40519" w:rsidRDefault="00A40519" w:rsidP="00D82758">
            <w:pPr>
              <w:pStyle w:val="Box"/>
              <w:spacing w:before="0"/>
              <w:jc w:val="center"/>
              <w:rPr>
                <w:b/>
                <w:sz w:val="30"/>
                <w:szCs w:val="30"/>
              </w:rPr>
            </w:pPr>
          </w:p>
          <w:p w14:paraId="6262663D" w14:textId="77777777" w:rsidR="00D82758" w:rsidRPr="0006170B" w:rsidRDefault="00D82758" w:rsidP="009342D8">
            <w:pPr>
              <w:pStyle w:val="Box"/>
              <w:spacing w:before="240" w:after="120"/>
              <w:jc w:val="center"/>
              <w:rPr>
                <w:b/>
                <w:sz w:val="30"/>
                <w:szCs w:val="30"/>
              </w:rPr>
            </w:pPr>
            <w:r w:rsidRPr="005254A0">
              <w:rPr>
                <w:b/>
                <w:color w:val="FFFFFF" w:themeColor="background1"/>
                <w:sz w:val="30"/>
                <w:szCs w:val="30"/>
              </w:rPr>
              <w:t>Data gap</w:t>
            </w:r>
          </w:p>
        </w:tc>
        <w:tc>
          <w:tcPr>
            <w:tcW w:w="3827" w:type="dxa"/>
            <w:tcBorders>
              <w:top w:val="nil"/>
              <w:left w:val="nil"/>
              <w:bottom w:val="nil"/>
              <w:right w:val="nil"/>
            </w:tcBorders>
            <w:shd w:val="clear" w:color="auto" w:fill="F2F2F2"/>
          </w:tcPr>
          <w:p w14:paraId="79421B4D" w14:textId="7AAE5EC9" w:rsidR="00D82758" w:rsidRDefault="00F27CAE" w:rsidP="0006170B">
            <w:pPr>
              <w:pStyle w:val="Box"/>
            </w:pPr>
            <w:r>
              <w:t>F</w:t>
            </w:r>
            <w:r w:rsidRPr="00F27CAE">
              <w:t>or most jurisdictions the average diversion rate for Aboriginal and Torres Strait Islander and non-Indigenous young people over the last four years (2015-16 to 2018-19) was lower or the same as in the preceding four years (2010-11 to 2014</w:t>
            </w:r>
            <w:r w:rsidR="000F0BC8">
              <w:noBreakHyphen/>
            </w:r>
            <w:r w:rsidRPr="00F27CAE">
              <w:t>15), indicating a trend nationally towards less diversion</w:t>
            </w:r>
            <w:r w:rsidR="00013D89" w:rsidRPr="0006170B">
              <w:t>.</w:t>
            </w:r>
          </w:p>
          <w:p w14:paraId="73F92147" w14:textId="4B36AF65" w:rsidR="006B2EB8" w:rsidRPr="0006170B" w:rsidRDefault="006B2EB8" w:rsidP="00E37779">
            <w:pPr>
              <w:pStyle w:val="Box"/>
            </w:pPr>
            <w:r>
              <w:t>In 2018-19, r</w:t>
            </w:r>
            <w:r w:rsidRPr="006B2EB8">
              <w:t xml:space="preserve">ates of diversions for Aboriginal and Torres Strait Islander young people </w:t>
            </w:r>
            <w:r w:rsidR="00C13B8C">
              <w:t>were</w:t>
            </w:r>
            <w:r w:rsidRPr="006B2EB8">
              <w:t xml:space="preserve"> between </w:t>
            </w:r>
            <w:r w:rsidR="00DD57C6" w:rsidRPr="000F0BC8">
              <w:t>39</w:t>
            </w:r>
            <w:r w:rsidR="00C13B8C">
              <w:t xml:space="preserve"> and </w:t>
            </w:r>
            <w:r w:rsidR="00DD57C6" w:rsidRPr="000F0BC8">
              <w:t>88</w:t>
            </w:r>
            <w:r w:rsidR="00E37779">
              <w:t> </w:t>
            </w:r>
            <w:r w:rsidRPr="006B2EB8">
              <w:t>per cent below the rates for non</w:t>
            </w:r>
            <w:r w:rsidR="00DD57C6">
              <w:noBreakHyphen/>
            </w:r>
            <w:r w:rsidRPr="006B2EB8">
              <w:t>Indigenous young people.</w:t>
            </w:r>
          </w:p>
        </w:tc>
      </w:tr>
      <w:tr w:rsidR="00037871" w:rsidRPr="00037871" w14:paraId="381930EE" w14:textId="77777777" w:rsidTr="00E929ED">
        <w:trPr>
          <w:cantSplit/>
        </w:trPr>
        <w:tc>
          <w:tcPr>
            <w:tcW w:w="8789" w:type="dxa"/>
            <w:gridSpan w:val="3"/>
            <w:tcBorders>
              <w:top w:val="nil"/>
              <w:left w:val="nil"/>
              <w:bottom w:val="nil"/>
              <w:right w:val="nil"/>
            </w:tcBorders>
            <w:shd w:val="clear" w:color="auto" w:fill="F2F2F2"/>
          </w:tcPr>
          <w:p w14:paraId="0C5871FA" w14:textId="77777777" w:rsidR="00D82758" w:rsidRPr="0006170B" w:rsidRDefault="00013D89" w:rsidP="0014070A">
            <w:pPr>
              <w:pStyle w:val="Box"/>
              <w:rPr>
                <w:i/>
              </w:rPr>
            </w:pPr>
            <w:r w:rsidRPr="0006170B">
              <w:rPr>
                <w:i/>
              </w:rPr>
              <w:t>Nationally comparable data are not currently available.</w:t>
            </w:r>
          </w:p>
        </w:tc>
      </w:tr>
      <w:tr w:rsidR="00037871" w:rsidRPr="00037871" w14:paraId="2903BF51" w14:textId="77777777" w:rsidTr="00E929ED">
        <w:trPr>
          <w:cantSplit/>
        </w:trPr>
        <w:tc>
          <w:tcPr>
            <w:tcW w:w="8789" w:type="dxa"/>
            <w:gridSpan w:val="3"/>
            <w:tcBorders>
              <w:top w:val="nil"/>
              <w:left w:val="nil"/>
              <w:bottom w:val="single" w:sz="6" w:space="0" w:color="78A22F"/>
              <w:right w:val="nil"/>
            </w:tcBorders>
            <w:shd w:val="clear" w:color="auto" w:fill="F2F2F2"/>
          </w:tcPr>
          <w:p w14:paraId="0E428562" w14:textId="77777777" w:rsidR="00D82758" w:rsidRPr="00037871" w:rsidRDefault="00D82758" w:rsidP="008E4321">
            <w:pPr>
              <w:pStyle w:val="Box"/>
              <w:spacing w:before="0" w:line="120" w:lineRule="exact"/>
              <w:rPr>
                <w:color w:val="00B050"/>
              </w:rPr>
            </w:pPr>
          </w:p>
        </w:tc>
      </w:tr>
      <w:tr w:rsidR="00037871" w:rsidRPr="00037871" w14:paraId="21DDC02E" w14:textId="77777777" w:rsidTr="00E929ED">
        <w:tc>
          <w:tcPr>
            <w:tcW w:w="8789" w:type="dxa"/>
            <w:gridSpan w:val="3"/>
            <w:tcBorders>
              <w:top w:val="single" w:sz="6" w:space="0" w:color="78A22F"/>
              <w:left w:val="nil"/>
              <w:bottom w:val="nil"/>
              <w:right w:val="nil"/>
            </w:tcBorders>
          </w:tcPr>
          <w:p w14:paraId="0FCF618B" w14:textId="77777777" w:rsidR="00D82758" w:rsidRPr="00037871" w:rsidRDefault="00D82758" w:rsidP="008E4321">
            <w:pPr>
              <w:pStyle w:val="BoxSpaceBelow"/>
              <w:rPr>
                <w:color w:val="00B050"/>
              </w:rPr>
            </w:pPr>
          </w:p>
        </w:tc>
      </w:tr>
    </w:tbl>
    <w:p w14:paraId="53225E68" w14:textId="77777777" w:rsidR="00D82758" w:rsidRPr="00037871" w:rsidRDefault="00D82758" w:rsidP="00D82758">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FB47D2" w14:paraId="738B8F7C" w14:textId="77777777" w:rsidTr="00E929ED">
        <w:tc>
          <w:tcPr>
            <w:tcW w:w="8789" w:type="dxa"/>
            <w:gridSpan w:val="3"/>
            <w:tcBorders>
              <w:top w:val="single" w:sz="6" w:space="0" w:color="78A22F"/>
              <w:left w:val="nil"/>
              <w:bottom w:val="nil"/>
              <w:right w:val="nil"/>
            </w:tcBorders>
            <w:shd w:val="clear" w:color="auto" w:fill="F2F2F2"/>
          </w:tcPr>
          <w:p w14:paraId="688C9060" w14:textId="77777777" w:rsidR="00D82758" w:rsidRPr="00FB47D2" w:rsidRDefault="00D82758" w:rsidP="001D480C">
            <w:pPr>
              <w:pStyle w:val="BoxTitle"/>
              <w:spacing w:after="120"/>
              <w:rPr>
                <w:color w:val="000000" w:themeColor="text1"/>
              </w:rPr>
            </w:pPr>
            <w:r w:rsidRPr="00FB47D2">
              <w:rPr>
                <w:color w:val="000000" w:themeColor="text1"/>
              </w:rPr>
              <w:t>11.4</w:t>
            </w:r>
            <w:r w:rsidRPr="00FB47D2">
              <w:rPr>
                <w:color w:val="000000" w:themeColor="text1"/>
              </w:rPr>
              <w:tab/>
              <w:t>Repeat offending</w:t>
            </w:r>
          </w:p>
        </w:tc>
      </w:tr>
      <w:tr w:rsidR="00037871" w:rsidRPr="00037871" w14:paraId="6CA9A230" w14:textId="77777777" w:rsidTr="00237AD4">
        <w:trPr>
          <w:cantSplit/>
        </w:trPr>
        <w:tc>
          <w:tcPr>
            <w:tcW w:w="3970" w:type="dxa"/>
            <w:tcBorders>
              <w:top w:val="nil"/>
              <w:left w:val="nil"/>
              <w:bottom w:val="nil"/>
              <w:right w:val="nil"/>
            </w:tcBorders>
            <w:shd w:val="clear" w:color="auto" w:fill="F2F2F2"/>
          </w:tcPr>
          <w:p w14:paraId="6E7DB5E1" w14:textId="77777777" w:rsidR="00D82758" w:rsidRDefault="006B2EB8" w:rsidP="008E4321">
            <w:pPr>
              <w:pStyle w:val="Box"/>
            </w:pPr>
            <w:r w:rsidRPr="006B2EB8">
              <w:t>While most Aboriginal and Torres Strait Islander people do not have contact with the justice system, the higher rates of incarceration among Aboriginal and Torres Strait Islander people compared to non-Indigenous people are strongly linked to higher rates of re-incarceration</w:t>
            </w:r>
            <w:r>
              <w:t xml:space="preserve">. </w:t>
            </w:r>
          </w:p>
          <w:p w14:paraId="4C0C755E" w14:textId="767350E9" w:rsidR="006B2EB8" w:rsidRPr="007E1CB2" w:rsidRDefault="006B2EB8" w:rsidP="008E4321">
            <w:pPr>
              <w:pStyle w:val="Box"/>
            </w:pPr>
            <w:r w:rsidRPr="006B2EB8">
              <w:t>Aboriginal and Torres Strait Islander youth enter the criminal justice s</w:t>
            </w:r>
            <w:r>
              <w:t>ystem at a younger age than non-</w:t>
            </w:r>
            <w:r w:rsidRPr="006B2EB8">
              <w:t>Indigenous youth, which is a factor in their rates of return</w:t>
            </w:r>
            <w:r>
              <w:t>.</w:t>
            </w:r>
          </w:p>
        </w:tc>
        <w:tc>
          <w:tcPr>
            <w:tcW w:w="992" w:type="dxa"/>
            <w:tcBorders>
              <w:top w:val="nil"/>
              <w:left w:val="nil"/>
              <w:bottom w:val="nil"/>
              <w:right w:val="nil"/>
            </w:tcBorders>
            <w:shd w:val="clear" w:color="auto" w:fill="DA9C13"/>
          </w:tcPr>
          <w:p w14:paraId="14FF7197" w14:textId="77777777" w:rsidR="00D82758" w:rsidRPr="007E1CB2" w:rsidRDefault="00D82758" w:rsidP="008E4321">
            <w:pPr>
              <w:pStyle w:val="BoxHeading1"/>
            </w:pPr>
          </w:p>
          <w:p w14:paraId="26B56A8D" w14:textId="77777777" w:rsidR="00D82758" w:rsidRPr="007E1CB2" w:rsidRDefault="00D82758" w:rsidP="008E4321">
            <w:pPr>
              <w:pStyle w:val="Box"/>
            </w:pPr>
          </w:p>
          <w:p w14:paraId="18C55BA5" w14:textId="77777777" w:rsidR="00D82758" w:rsidRPr="007E1CB2" w:rsidRDefault="00D82758" w:rsidP="008E4321">
            <w:pPr>
              <w:pStyle w:val="Box"/>
              <w:spacing w:before="0"/>
              <w:jc w:val="center"/>
              <w:rPr>
                <w:sz w:val="48"/>
                <w:szCs w:val="48"/>
              </w:rPr>
            </w:pPr>
            <w:r w:rsidRPr="007E1CB2">
              <w:rPr>
                <w:sz w:val="48"/>
                <w:szCs w:val="48"/>
              </w:rPr>
              <w:softHyphen/>
            </w:r>
            <w:r w:rsidRPr="007E1CB2">
              <w:rPr>
                <w:sz w:val="48"/>
                <w:szCs w:val="48"/>
              </w:rPr>
              <w:softHyphen/>
            </w:r>
          </w:p>
          <w:p w14:paraId="66599A29" w14:textId="77777777" w:rsidR="00D82758" w:rsidRPr="007E1CB2" w:rsidRDefault="00D82758" w:rsidP="008E4321">
            <w:pPr>
              <w:pStyle w:val="Box"/>
              <w:spacing w:before="0"/>
              <w:jc w:val="center"/>
              <w:rPr>
                <w:sz w:val="48"/>
                <w:szCs w:val="48"/>
              </w:rPr>
            </w:pPr>
            <w:r w:rsidRPr="005254A0">
              <w:rPr>
                <w:b/>
                <w:color w:val="FFFFFF" w:themeColor="background1"/>
                <w:sz w:val="48"/>
                <w:szCs w:val="48"/>
              </w:rPr>
              <w:t>_</w:t>
            </w:r>
          </w:p>
        </w:tc>
        <w:tc>
          <w:tcPr>
            <w:tcW w:w="3827" w:type="dxa"/>
            <w:tcBorders>
              <w:top w:val="nil"/>
              <w:left w:val="nil"/>
              <w:bottom w:val="nil"/>
              <w:right w:val="nil"/>
            </w:tcBorders>
            <w:shd w:val="clear" w:color="auto" w:fill="F2F2F2"/>
          </w:tcPr>
          <w:p w14:paraId="167C1334" w14:textId="2D847C11" w:rsidR="00013D89" w:rsidRPr="007E1CB2" w:rsidRDefault="00EE4B55" w:rsidP="00013D89">
            <w:pPr>
              <w:pStyle w:val="Box"/>
            </w:pPr>
            <w:r w:rsidRPr="007E1CB2">
              <w:t>On 3</w:t>
            </w:r>
            <w:r w:rsidR="006B2EB8">
              <w:t>0 June 2019, 78</w:t>
            </w:r>
            <w:r w:rsidR="00013D89" w:rsidRPr="007E1CB2">
              <w:t xml:space="preserve"> per cent of Aboriginal and Torres Strait Islander </w:t>
            </w:r>
            <w:r w:rsidR="006B2EB8">
              <w:t xml:space="preserve">adult </w:t>
            </w:r>
            <w:r w:rsidR="00013D89" w:rsidRPr="007E1CB2">
              <w:t>prisoners had a known prio</w:t>
            </w:r>
            <w:r w:rsidRPr="007E1CB2">
              <w:t>r imprisonment, compared with 50</w:t>
            </w:r>
            <w:r w:rsidR="00013D89" w:rsidRPr="007E1CB2">
              <w:t xml:space="preserve"> per cent of non</w:t>
            </w:r>
            <w:r w:rsidR="00013D89" w:rsidRPr="007E1CB2">
              <w:noBreakHyphen/>
              <w:t xml:space="preserve">Indigenous prisoners. These proportions have remained relatively unchanged since 2000. </w:t>
            </w:r>
          </w:p>
          <w:p w14:paraId="30F9727B" w14:textId="1B3F49D1" w:rsidR="00D82758" w:rsidRPr="007E1CB2" w:rsidRDefault="006B2EB8" w:rsidP="00A40519">
            <w:pPr>
              <w:pStyle w:val="Box"/>
            </w:pPr>
            <w:r>
              <w:t xml:space="preserve">Over the period 2000-01 to 2018-19, </w:t>
            </w:r>
            <w:r w:rsidR="005000A8">
              <w:t>5</w:t>
            </w:r>
            <w:r>
              <w:t>5</w:t>
            </w:r>
            <w:r w:rsidR="00A40519">
              <w:t> </w:t>
            </w:r>
            <w:r w:rsidR="005000A8">
              <w:t xml:space="preserve">per cent of </w:t>
            </w:r>
            <w:r w:rsidR="00013D89" w:rsidRPr="007E1CB2">
              <w:t xml:space="preserve">Aboriginal and Torres Strait Islander young people </w:t>
            </w:r>
            <w:r>
              <w:t>in sentenced supervision had more than one supervised sentence</w:t>
            </w:r>
            <w:r w:rsidR="005000A8">
              <w:t xml:space="preserve">, </w:t>
            </w:r>
            <w:r>
              <w:t>compared to 34 per cent for n</w:t>
            </w:r>
            <w:r w:rsidR="00013D89" w:rsidRPr="007E1CB2">
              <w:t>on</w:t>
            </w:r>
            <w:r w:rsidR="00013D89" w:rsidRPr="007E1CB2">
              <w:noBreakHyphen/>
              <w:t>Indigenous you</w:t>
            </w:r>
            <w:r w:rsidR="005000A8">
              <w:t>ng people.</w:t>
            </w:r>
          </w:p>
        </w:tc>
      </w:tr>
      <w:tr w:rsidR="00037871" w:rsidRPr="00037871" w14:paraId="4B8FA974" w14:textId="77777777" w:rsidTr="00E929ED">
        <w:trPr>
          <w:cantSplit/>
        </w:trPr>
        <w:tc>
          <w:tcPr>
            <w:tcW w:w="8789" w:type="dxa"/>
            <w:gridSpan w:val="3"/>
            <w:tcBorders>
              <w:top w:val="nil"/>
              <w:left w:val="nil"/>
              <w:bottom w:val="single" w:sz="6" w:space="0" w:color="78A22F"/>
              <w:right w:val="nil"/>
            </w:tcBorders>
            <w:shd w:val="clear" w:color="auto" w:fill="F2F2F2"/>
          </w:tcPr>
          <w:p w14:paraId="1C7B91A8" w14:textId="77777777" w:rsidR="00D82758" w:rsidRPr="00037871" w:rsidRDefault="00D82758" w:rsidP="008E4321">
            <w:pPr>
              <w:pStyle w:val="Box"/>
              <w:spacing w:before="0" w:line="120" w:lineRule="exact"/>
              <w:rPr>
                <w:color w:val="00B050"/>
              </w:rPr>
            </w:pPr>
          </w:p>
        </w:tc>
      </w:tr>
      <w:tr w:rsidR="00037871" w:rsidRPr="00037871" w14:paraId="6F99EB29" w14:textId="77777777" w:rsidTr="00E929ED">
        <w:tc>
          <w:tcPr>
            <w:tcW w:w="8789" w:type="dxa"/>
            <w:gridSpan w:val="3"/>
            <w:tcBorders>
              <w:top w:val="single" w:sz="6" w:space="0" w:color="78A22F"/>
              <w:left w:val="nil"/>
              <w:bottom w:val="nil"/>
              <w:right w:val="nil"/>
            </w:tcBorders>
          </w:tcPr>
          <w:p w14:paraId="6164B5A8" w14:textId="77777777" w:rsidR="00D82758" w:rsidRPr="00037871" w:rsidRDefault="00D82758" w:rsidP="008E4321">
            <w:pPr>
              <w:pStyle w:val="BoxSpaceBelow"/>
              <w:rPr>
                <w:color w:val="00B050"/>
              </w:rPr>
            </w:pPr>
          </w:p>
        </w:tc>
      </w:tr>
    </w:tbl>
    <w:p w14:paraId="7EDF6AC4" w14:textId="77777777" w:rsidR="00D82758" w:rsidRPr="00037871" w:rsidRDefault="00D82758" w:rsidP="00D82758">
      <w:pPr>
        <w:pStyle w:val="BoxSpaceAbove"/>
        <w:rPr>
          <w:color w:val="00B050"/>
        </w:rPr>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3970"/>
        <w:gridCol w:w="992"/>
        <w:gridCol w:w="3827"/>
      </w:tblGrid>
      <w:tr w:rsidR="00037871" w:rsidRPr="00FB47D2" w14:paraId="6A8BCA67" w14:textId="77777777" w:rsidTr="00E929ED">
        <w:tc>
          <w:tcPr>
            <w:tcW w:w="8789" w:type="dxa"/>
            <w:gridSpan w:val="3"/>
            <w:tcBorders>
              <w:top w:val="single" w:sz="6" w:space="0" w:color="78A22F"/>
              <w:left w:val="nil"/>
              <w:bottom w:val="nil"/>
              <w:right w:val="nil"/>
            </w:tcBorders>
            <w:shd w:val="clear" w:color="auto" w:fill="F2F2F2"/>
          </w:tcPr>
          <w:p w14:paraId="5C0FF08A" w14:textId="77777777" w:rsidR="00D82758" w:rsidRPr="00FB47D2" w:rsidRDefault="00D82758" w:rsidP="001D480C">
            <w:pPr>
              <w:pStyle w:val="BoxTitle"/>
              <w:spacing w:after="120"/>
              <w:rPr>
                <w:color w:val="000000" w:themeColor="text1"/>
              </w:rPr>
            </w:pPr>
            <w:r w:rsidRPr="00FB47D2">
              <w:rPr>
                <w:color w:val="000000" w:themeColor="text1"/>
              </w:rPr>
              <w:t>11.5</w:t>
            </w:r>
            <w:r w:rsidRPr="00FB47D2">
              <w:rPr>
                <w:color w:val="000000" w:themeColor="text1"/>
              </w:rPr>
              <w:tab/>
              <w:t>Community functioning</w:t>
            </w:r>
          </w:p>
        </w:tc>
      </w:tr>
      <w:tr w:rsidR="00037871" w:rsidRPr="00037871" w14:paraId="5F3FF58F" w14:textId="77777777" w:rsidTr="00237AD4">
        <w:trPr>
          <w:cantSplit/>
        </w:trPr>
        <w:tc>
          <w:tcPr>
            <w:tcW w:w="3970" w:type="dxa"/>
            <w:tcBorders>
              <w:top w:val="nil"/>
              <w:left w:val="nil"/>
              <w:bottom w:val="nil"/>
              <w:right w:val="nil"/>
            </w:tcBorders>
            <w:shd w:val="clear" w:color="auto" w:fill="F2F2F2"/>
          </w:tcPr>
          <w:p w14:paraId="0FE0BD51" w14:textId="77777777" w:rsidR="00D82758" w:rsidRPr="007E1CB2" w:rsidRDefault="00013D89" w:rsidP="008E4321">
            <w:pPr>
              <w:pStyle w:val="Box"/>
            </w:pPr>
            <w:r w:rsidRPr="007E1CB2">
              <w:t>For many people, individual wellbeing is closely tied to the wellbeing of their community as a whole.</w:t>
            </w:r>
          </w:p>
        </w:tc>
        <w:tc>
          <w:tcPr>
            <w:tcW w:w="992" w:type="dxa"/>
            <w:tcBorders>
              <w:top w:val="nil"/>
              <w:left w:val="nil"/>
              <w:bottom w:val="nil"/>
              <w:right w:val="nil"/>
            </w:tcBorders>
            <w:shd w:val="clear" w:color="auto" w:fill="DA9C13"/>
          </w:tcPr>
          <w:p w14:paraId="0C326D59" w14:textId="77777777" w:rsidR="00D82758" w:rsidRPr="007E1CB2" w:rsidRDefault="00D82758" w:rsidP="008E4321">
            <w:pPr>
              <w:pStyle w:val="Box"/>
              <w:jc w:val="center"/>
              <w:rPr>
                <w:b/>
                <w:sz w:val="30"/>
                <w:szCs w:val="30"/>
              </w:rPr>
            </w:pPr>
          </w:p>
          <w:p w14:paraId="0599A4C3" w14:textId="77777777" w:rsidR="00D82758" w:rsidRPr="007E1CB2" w:rsidRDefault="007E1CB2" w:rsidP="009342D8">
            <w:pPr>
              <w:pStyle w:val="Box"/>
              <w:spacing w:before="240"/>
              <w:jc w:val="center"/>
              <w:rPr>
                <w:b/>
                <w:sz w:val="30"/>
                <w:szCs w:val="30"/>
              </w:rPr>
            </w:pPr>
            <w:r w:rsidRPr="005254A0">
              <w:rPr>
                <w:b/>
                <w:color w:val="FFFFFF" w:themeColor="background1"/>
                <w:sz w:val="48"/>
                <w:szCs w:val="48"/>
              </w:rPr>
              <w:t>_</w:t>
            </w:r>
          </w:p>
        </w:tc>
        <w:tc>
          <w:tcPr>
            <w:tcW w:w="3827" w:type="dxa"/>
            <w:tcBorders>
              <w:top w:val="nil"/>
              <w:left w:val="nil"/>
              <w:bottom w:val="nil"/>
              <w:right w:val="nil"/>
            </w:tcBorders>
            <w:shd w:val="clear" w:color="auto" w:fill="F2F2F2"/>
          </w:tcPr>
          <w:p w14:paraId="72526D81" w14:textId="17969441" w:rsidR="00D82758" w:rsidRPr="007E1CB2" w:rsidRDefault="007E1CB2" w:rsidP="00355172">
            <w:pPr>
              <w:pStyle w:val="Box"/>
            </w:pPr>
            <w:r w:rsidRPr="007E1CB2">
              <w:t xml:space="preserve">Whilst there is no overall measure of community functioning, outcomes for 2014-15 are not significantly different to those for 2008, for the six themes that make up community functioning: connectedness to </w:t>
            </w:r>
            <w:r w:rsidR="00355172">
              <w:t>C</w:t>
            </w:r>
            <w:r w:rsidRPr="007E1CB2">
              <w:t>ountry; land and history; culture and identity; resilience; leadership; having a role, structure and routine; feeling safe; and vitality</w:t>
            </w:r>
            <w:r w:rsidR="00013D89" w:rsidRPr="007E1CB2">
              <w:t>.</w:t>
            </w:r>
          </w:p>
        </w:tc>
      </w:tr>
      <w:tr w:rsidR="00037871" w:rsidRPr="00037871" w14:paraId="6D80D0C1" w14:textId="77777777" w:rsidTr="00E929ED">
        <w:trPr>
          <w:cantSplit/>
        </w:trPr>
        <w:tc>
          <w:tcPr>
            <w:tcW w:w="8789" w:type="dxa"/>
            <w:gridSpan w:val="3"/>
            <w:tcBorders>
              <w:top w:val="nil"/>
              <w:left w:val="nil"/>
              <w:bottom w:val="single" w:sz="6" w:space="0" w:color="78A22F"/>
              <w:right w:val="nil"/>
            </w:tcBorders>
            <w:shd w:val="clear" w:color="auto" w:fill="F2F2F2"/>
          </w:tcPr>
          <w:p w14:paraId="190EF2AF" w14:textId="77777777" w:rsidR="00D82758" w:rsidRPr="00037871" w:rsidRDefault="00D82758" w:rsidP="008E4321">
            <w:pPr>
              <w:pStyle w:val="Box"/>
              <w:spacing w:before="0" w:line="120" w:lineRule="exact"/>
              <w:rPr>
                <w:color w:val="00B050"/>
              </w:rPr>
            </w:pPr>
          </w:p>
        </w:tc>
      </w:tr>
      <w:tr w:rsidR="00037871" w:rsidRPr="00037871" w14:paraId="735A406A" w14:textId="77777777" w:rsidTr="00E929ED">
        <w:tc>
          <w:tcPr>
            <w:tcW w:w="8789" w:type="dxa"/>
            <w:gridSpan w:val="3"/>
            <w:tcBorders>
              <w:top w:val="single" w:sz="6" w:space="0" w:color="78A22F"/>
              <w:left w:val="nil"/>
              <w:bottom w:val="nil"/>
              <w:right w:val="nil"/>
            </w:tcBorders>
          </w:tcPr>
          <w:p w14:paraId="01D56A43" w14:textId="77777777" w:rsidR="00D82758" w:rsidRPr="00037871" w:rsidRDefault="00D82758" w:rsidP="008E4321">
            <w:pPr>
              <w:pStyle w:val="BoxSpaceBelow"/>
              <w:rPr>
                <w:color w:val="00B050"/>
              </w:rPr>
            </w:pPr>
          </w:p>
        </w:tc>
      </w:tr>
    </w:tbl>
    <w:p w14:paraId="5DB12179" w14:textId="77777777" w:rsidR="00603367" w:rsidRDefault="00603367" w:rsidP="00054A66">
      <w:pPr>
        <w:pStyle w:val="BodyText"/>
      </w:pPr>
    </w:p>
    <w:p w14:paraId="04E4A75A" w14:textId="77777777" w:rsidR="00603367" w:rsidRPr="00054A66" w:rsidRDefault="00603367" w:rsidP="00054A66">
      <w:pPr>
        <w:pStyle w:val="BodyText"/>
      </w:pPr>
      <w:r>
        <w:br w:type="page"/>
      </w:r>
    </w:p>
    <w:p w14:paraId="68660590" w14:textId="6DD4A354" w:rsidR="00D82758" w:rsidRPr="00FB47D2" w:rsidRDefault="00D82758" w:rsidP="00D82758">
      <w:pPr>
        <w:pStyle w:val="Heading2"/>
        <w:rPr>
          <w:color w:val="000000" w:themeColor="text1"/>
        </w:rPr>
      </w:pPr>
      <w:r w:rsidRPr="00FB47D2">
        <w:rPr>
          <w:color w:val="000000" w:themeColor="text1"/>
        </w:rPr>
        <w:lastRenderedPageBreak/>
        <w:t>Outcomes for Torres Strait Islander people</w:t>
      </w:r>
    </w:p>
    <w:p w14:paraId="2CF05B2D" w14:textId="2B21A09B" w:rsidR="00013D89" w:rsidRPr="00FB47D2" w:rsidRDefault="00013D89" w:rsidP="00013D89">
      <w:pPr>
        <w:pStyle w:val="BodyText"/>
        <w:spacing w:before="120"/>
        <w:rPr>
          <w:color w:val="000000" w:themeColor="text1"/>
        </w:rPr>
      </w:pPr>
      <w:r w:rsidRPr="00FB47D2">
        <w:rPr>
          <w:color w:val="000000" w:themeColor="text1"/>
        </w:rPr>
        <w:t xml:space="preserve">Torres Strait Islander </w:t>
      </w:r>
      <w:r w:rsidR="005D5BB8">
        <w:rPr>
          <w:color w:val="000000" w:themeColor="text1"/>
        </w:rPr>
        <w:t>people</w:t>
      </w:r>
      <w:r w:rsidRPr="00FB47D2">
        <w:rPr>
          <w:color w:val="000000" w:themeColor="text1"/>
        </w:rPr>
        <w:t xml:space="preserve"> are </w:t>
      </w:r>
      <w:r w:rsidR="00355172">
        <w:rPr>
          <w:color w:val="000000" w:themeColor="text1"/>
        </w:rPr>
        <w:t xml:space="preserve">ethnically and culturally distinct from Aboriginal people, </w:t>
      </w:r>
      <w:r w:rsidR="00355172" w:rsidRPr="00E40632">
        <w:t>and there is also great diversity in Torres Strait Islander communities, languages and traditions</w:t>
      </w:r>
      <w:r w:rsidRPr="00FB47D2">
        <w:rPr>
          <w:color w:val="000000" w:themeColor="text1"/>
        </w:rPr>
        <w:t xml:space="preserve">. The relatively small number of Torres Strait Islander </w:t>
      </w:r>
      <w:r w:rsidR="005D5BB8">
        <w:rPr>
          <w:color w:val="000000" w:themeColor="text1"/>
        </w:rPr>
        <w:t>people</w:t>
      </w:r>
      <w:r w:rsidRPr="00FB47D2">
        <w:rPr>
          <w:color w:val="000000" w:themeColor="text1"/>
        </w:rPr>
        <w:t xml:space="preserve"> limits the ability to report </w:t>
      </w:r>
      <w:r w:rsidR="00CC58DD">
        <w:rPr>
          <w:color w:val="000000" w:themeColor="text1"/>
        </w:rPr>
        <w:t>comprehensively</w:t>
      </w:r>
      <w:r w:rsidRPr="00FB47D2">
        <w:rPr>
          <w:color w:val="000000" w:themeColor="text1"/>
        </w:rPr>
        <w:t xml:space="preserve"> on outcomes, but</w:t>
      </w:r>
      <w:r w:rsidR="00355172">
        <w:rPr>
          <w:color w:val="000000" w:themeColor="text1"/>
        </w:rPr>
        <w:t xml:space="preserve"> Census</w:t>
      </w:r>
      <w:r w:rsidRPr="00FB47D2">
        <w:rPr>
          <w:color w:val="000000" w:themeColor="text1"/>
        </w:rPr>
        <w:t xml:space="preserve"> data are available for some indicators</w:t>
      </w:r>
      <w:r w:rsidR="00355172">
        <w:rPr>
          <w:color w:val="000000" w:themeColor="text1"/>
        </w:rPr>
        <w:t>. Census data are used instead of survey data as survey data</w:t>
      </w:r>
      <w:r w:rsidR="00355172">
        <w:t xml:space="preserve"> are subject to sampling error which makes it difficult to detect differences between results for relatively small populations</w:t>
      </w:r>
      <w:r w:rsidRPr="00FB47D2">
        <w:rPr>
          <w:color w:val="000000" w:themeColor="text1"/>
        </w:rPr>
        <w:t>.</w:t>
      </w:r>
    </w:p>
    <w:p w14:paraId="1BE69C79" w14:textId="77777777" w:rsidR="001601B9" w:rsidRPr="00200950" w:rsidRDefault="001601B9" w:rsidP="00237AD4">
      <w:pPr>
        <w:pStyle w:val="BoxSpaceAbove"/>
        <w:spacing w:before="240"/>
      </w:pPr>
    </w:p>
    <w:tbl>
      <w:tblPr>
        <w:tblW w:w="8789" w:type="dxa"/>
        <w:tblBorders>
          <w:top w:val="single" w:sz="6" w:space="0" w:color="78A22F"/>
          <w:left w:val="single" w:sz="6" w:space="0" w:color="78A22F"/>
          <w:bottom w:val="single" w:sz="6" w:space="0" w:color="78A22F"/>
          <w:right w:val="single" w:sz="6" w:space="0" w:color="78A22F"/>
        </w:tblBorders>
        <w:tblLayout w:type="fixed"/>
        <w:tblCellMar>
          <w:left w:w="142" w:type="dxa"/>
          <w:right w:w="142" w:type="dxa"/>
        </w:tblCellMar>
        <w:tblLook w:val="0000" w:firstRow="0" w:lastRow="0" w:firstColumn="0" w:lastColumn="0" w:noHBand="0" w:noVBand="0"/>
      </w:tblPr>
      <w:tblGrid>
        <w:gridCol w:w="8789"/>
      </w:tblGrid>
      <w:tr w:rsidR="00037871" w:rsidRPr="00037871" w14:paraId="1AD71B33" w14:textId="77777777" w:rsidTr="00E929ED">
        <w:tc>
          <w:tcPr>
            <w:tcW w:w="8789" w:type="dxa"/>
            <w:tcBorders>
              <w:top w:val="single" w:sz="6" w:space="0" w:color="78A22F"/>
              <w:left w:val="nil"/>
              <w:bottom w:val="nil"/>
              <w:right w:val="nil"/>
            </w:tcBorders>
            <w:shd w:val="clear" w:color="auto" w:fill="F2F2F2"/>
          </w:tcPr>
          <w:p w14:paraId="790DA09A" w14:textId="77777777" w:rsidR="001601B9" w:rsidRPr="00967F72" w:rsidRDefault="001601B9" w:rsidP="001D480C">
            <w:pPr>
              <w:pStyle w:val="BoxTitle"/>
              <w:spacing w:after="120"/>
            </w:pPr>
            <w:r w:rsidRPr="00967F72">
              <w:t>Outcomes for Torres Strait Islander people</w:t>
            </w:r>
          </w:p>
        </w:tc>
      </w:tr>
      <w:tr w:rsidR="00037871" w:rsidRPr="00037871" w14:paraId="52B9709A" w14:textId="77777777" w:rsidTr="00E929ED">
        <w:trPr>
          <w:cantSplit/>
        </w:trPr>
        <w:tc>
          <w:tcPr>
            <w:tcW w:w="8789" w:type="dxa"/>
            <w:tcBorders>
              <w:top w:val="nil"/>
              <w:left w:val="nil"/>
              <w:bottom w:val="nil"/>
              <w:right w:val="nil"/>
            </w:tcBorders>
            <w:shd w:val="clear" w:color="auto" w:fill="F2F2F2"/>
          </w:tcPr>
          <w:p w14:paraId="52220FAA" w14:textId="77777777" w:rsidR="003D56F7" w:rsidRDefault="003D56F7" w:rsidP="003D56F7">
            <w:pPr>
              <w:pStyle w:val="Box"/>
            </w:pPr>
            <w:r w:rsidRPr="00355172">
              <w:t xml:space="preserve">Torres Strait Islander people are about one in ten of the Aboriginal and Torres Strait Islander population, with the majority living in Queensland. </w:t>
            </w:r>
          </w:p>
          <w:p w14:paraId="7FBFBC2E" w14:textId="77777777" w:rsidR="003D56F7" w:rsidRDefault="003D56F7" w:rsidP="003D56F7">
            <w:pPr>
              <w:pStyle w:val="Box"/>
            </w:pPr>
            <w:r w:rsidRPr="00032B64">
              <w:t>Torres Strait Islander people have higher levels of year 12 or equivalent attainment and comparable levels of post-secondary attainment to Aboriginal people. For Torres Strait Islander people, rates in very remote areas are comparable to those in regional areas while those for Aboriginal people d</w:t>
            </w:r>
            <w:r>
              <w:t>ecrease as remoteness increases.</w:t>
            </w:r>
          </w:p>
          <w:p w14:paraId="79A31F3A" w14:textId="77777777" w:rsidR="003D56F7" w:rsidRDefault="003D56F7" w:rsidP="003D56F7">
            <w:pPr>
              <w:pStyle w:val="Box"/>
            </w:pPr>
            <w:r w:rsidRPr="00032B64">
              <w:t xml:space="preserve">Rates of </w:t>
            </w:r>
            <w:r>
              <w:t xml:space="preserve">year 12 and </w:t>
            </w:r>
            <w:r w:rsidRPr="00032B64">
              <w:t xml:space="preserve">post-secondary attainment have increased over time for Torres Strait Islander people, with much of the growth in </w:t>
            </w:r>
            <w:r>
              <w:t xml:space="preserve">post-secondary </w:t>
            </w:r>
            <w:r w:rsidRPr="00032B64">
              <w:t>qualifications from Certificate III to Diploma level.</w:t>
            </w:r>
          </w:p>
          <w:p w14:paraId="01F1F148" w14:textId="77777777" w:rsidR="003D56F7" w:rsidRDefault="003D56F7" w:rsidP="003D56F7">
            <w:pPr>
              <w:pStyle w:val="Box"/>
            </w:pPr>
            <w:r w:rsidRPr="00355172">
              <w:t xml:space="preserve">Despite this growth in </w:t>
            </w:r>
            <w:r>
              <w:t>educational</w:t>
            </w:r>
            <w:r w:rsidRPr="00355172">
              <w:t xml:space="preserve"> attainment, this does not appear to have translated into better employment outcomes for Torres Strait Islander people, and the engagement of Torres Strait Islander people in the workforce is declining.</w:t>
            </w:r>
            <w:r>
              <w:t xml:space="preserve"> Employment data (particularly in remote areas) is affected by the replacement of </w:t>
            </w:r>
            <w:proofErr w:type="spellStart"/>
            <w:r>
              <w:t>CDEP</w:t>
            </w:r>
            <w:proofErr w:type="spellEnd"/>
            <w:r>
              <w:t xml:space="preserve"> with the CDP, and the associated change in classification of participants from employed to not employed.</w:t>
            </w:r>
          </w:p>
          <w:p w14:paraId="7F148EDB" w14:textId="118AB119" w:rsidR="00355172" w:rsidRPr="00200950" w:rsidRDefault="003D56F7" w:rsidP="003D56F7">
            <w:pPr>
              <w:pStyle w:val="Box"/>
            </w:pPr>
            <w:r>
              <w:t>For those living in the Torres Strait Region, for selected health indicators, Aboriginal and Torres Strait Islander people appear to have a better quality of life than their peers on the mainland. With lower rates of substance use, long</w:t>
            </w:r>
            <w:r w:rsidR="001D6CD7">
              <w:t>-</w:t>
            </w:r>
            <w:r>
              <w:t>term health conditions and psychological distress.</w:t>
            </w:r>
          </w:p>
        </w:tc>
      </w:tr>
      <w:tr w:rsidR="00037871" w:rsidRPr="00037871" w14:paraId="38F6AAF3" w14:textId="77777777" w:rsidTr="00E929ED">
        <w:trPr>
          <w:cantSplit/>
        </w:trPr>
        <w:tc>
          <w:tcPr>
            <w:tcW w:w="8789" w:type="dxa"/>
            <w:tcBorders>
              <w:top w:val="nil"/>
              <w:left w:val="nil"/>
              <w:bottom w:val="nil"/>
              <w:right w:val="nil"/>
            </w:tcBorders>
            <w:shd w:val="clear" w:color="auto" w:fill="F2F2F2"/>
          </w:tcPr>
          <w:p w14:paraId="2F21A654" w14:textId="4E4EFA04" w:rsidR="001601B9" w:rsidRPr="00200950" w:rsidRDefault="00105F87" w:rsidP="00CB0B7D">
            <w:pPr>
              <w:pStyle w:val="BoxHeading1"/>
              <w:spacing w:before="120"/>
              <w:rPr>
                <w:rStyle w:val="NoteLabel"/>
              </w:rPr>
            </w:pPr>
            <w:r>
              <w:t>People aged 20</w:t>
            </w:r>
            <w:r>
              <w:rPr>
                <w:rFonts w:cs="Arial"/>
              </w:rPr>
              <w:t>–</w:t>
            </w:r>
            <w:r>
              <w:t>64 years w</w:t>
            </w:r>
            <w:r w:rsidRPr="00F370DF">
              <w:t>ith non</w:t>
            </w:r>
            <w:r>
              <w:noBreakHyphen/>
            </w:r>
            <w:r w:rsidRPr="00F370DF">
              <w:t>school qualifications a</w:t>
            </w:r>
            <w:r>
              <w:t>t Certificate III level or above, by Aboriginal and Torres Strait Islander status, 2011 and 2016</w:t>
            </w:r>
          </w:p>
        </w:tc>
      </w:tr>
      <w:tr w:rsidR="00037871" w:rsidRPr="00037871" w14:paraId="75C10FA3" w14:textId="77777777" w:rsidTr="00006B8E">
        <w:tblPrEx>
          <w:tblCellMar>
            <w:left w:w="108" w:type="dxa"/>
            <w:right w:w="108" w:type="dxa"/>
          </w:tblCellMar>
        </w:tblPrEx>
        <w:trPr>
          <w:cantSplit/>
        </w:trPr>
        <w:tc>
          <w:tcPr>
            <w:tcW w:w="8789" w:type="dxa"/>
            <w:tcBorders>
              <w:top w:val="nil"/>
              <w:left w:val="nil"/>
              <w:bottom w:val="nil"/>
              <w:right w:val="nil"/>
            </w:tcBorders>
            <w:shd w:val="clear" w:color="auto" w:fill="F2F2F2"/>
          </w:tcPr>
          <w:p w14:paraId="6A08FC39" w14:textId="0236C6A4" w:rsidR="00237AD4" w:rsidRPr="00237AD4" w:rsidRDefault="00C305A0" w:rsidP="00C305A0">
            <w:pPr>
              <w:pStyle w:val="Box"/>
              <w:spacing w:before="0"/>
              <w:jc w:val="center"/>
            </w:pPr>
            <w:r w:rsidRPr="00C305A0">
              <w:rPr>
                <w:noProof/>
              </w:rPr>
              <w:drawing>
                <wp:inline distT="0" distB="0" distL="0" distR="0" wp14:anchorId="5C6800AB" wp14:editId="0A6F2120">
                  <wp:extent cx="2667000" cy="2409825"/>
                  <wp:effectExtent l="0" t="0" r="0" b="0"/>
                  <wp:docPr id="83" name="Picture 83" descr="People aged 20-64 years with non-school qualifications at Certificate III level or above, by Aboriginal and Torres Strait Islander status, 2011 and 2016&#10;&#10;Aboriginal people&#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67000" cy="2409825"/>
                          </a:xfrm>
                          <a:prstGeom prst="rect">
                            <a:avLst/>
                          </a:prstGeom>
                          <a:noFill/>
                          <a:ln>
                            <a:noFill/>
                          </a:ln>
                        </pic:spPr>
                      </pic:pic>
                    </a:graphicData>
                  </a:graphic>
                </wp:inline>
              </w:drawing>
            </w:r>
            <w:r w:rsidR="00006B8E">
              <w:rPr>
                <w:noProof/>
              </w:rPr>
              <w:t xml:space="preserve"> </w:t>
            </w:r>
            <w:r w:rsidR="00A30F3B" w:rsidRPr="00A30F3B">
              <w:rPr>
                <w:noProof/>
              </w:rPr>
              <w:drawing>
                <wp:inline distT="0" distB="0" distL="0" distR="0" wp14:anchorId="5A925F51" wp14:editId="5F4A2F95">
                  <wp:extent cx="2667000" cy="2409825"/>
                  <wp:effectExtent l="0" t="0" r="0" b="0"/>
                  <wp:docPr id="85" name="Picture 85" descr="People aged 20-64 years with non-school qualifications at Certificate III level or above, by Aboriginal and Torres Strait Islander status, 2011 and 2016&#10;&#10;Torres Strait Islander people&#10;&#10;More details can be found within the text surrounding this im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667000" cy="2409825"/>
                          </a:xfrm>
                          <a:prstGeom prst="rect">
                            <a:avLst/>
                          </a:prstGeom>
                          <a:noFill/>
                          <a:ln>
                            <a:noFill/>
                          </a:ln>
                        </pic:spPr>
                      </pic:pic>
                    </a:graphicData>
                  </a:graphic>
                </wp:inline>
              </w:drawing>
            </w:r>
          </w:p>
        </w:tc>
      </w:tr>
      <w:tr w:rsidR="00AA3EA5" w:rsidRPr="00AA3EA5" w14:paraId="34826F7F" w14:textId="77777777" w:rsidTr="00E929ED">
        <w:trPr>
          <w:cantSplit/>
        </w:trPr>
        <w:tc>
          <w:tcPr>
            <w:tcW w:w="8789" w:type="dxa"/>
            <w:tcBorders>
              <w:top w:val="nil"/>
              <w:left w:val="nil"/>
              <w:bottom w:val="nil"/>
              <w:right w:val="nil"/>
            </w:tcBorders>
            <w:shd w:val="clear" w:color="auto" w:fill="F2F2F2"/>
          </w:tcPr>
          <w:p w14:paraId="0A81E6DD" w14:textId="2D082AC8" w:rsidR="001601B9" w:rsidRPr="00AA3EA5" w:rsidRDefault="00105F87" w:rsidP="00237AD4">
            <w:pPr>
              <w:pStyle w:val="BoxSource"/>
              <w:spacing w:before="60"/>
            </w:pPr>
            <w:proofErr w:type="spellStart"/>
            <w:r>
              <w:t>TSR</w:t>
            </w:r>
            <w:proofErr w:type="spellEnd"/>
            <w:r>
              <w:t xml:space="preserve"> = Torres Strait Region</w:t>
            </w:r>
          </w:p>
        </w:tc>
      </w:tr>
      <w:tr w:rsidR="00CC58DD" w:rsidRPr="00AA3EA5" w14:paraId="08249106" w14:textId="77777777" w:rsidTr="00E929ED">
        <w:trPr>
          <w:cantSplit/>
        </w:trPr>
        <w:tc>
          <w:tcPr>
            <w:tcW w:w="8789" w:type="dxa"/>
            <w:tcBorders>
              <w:top w:val="nil"/>
              <w:left w:val="nil"/>
              <w:bottom w:val="nil"/>
              <w:right w:val="nil"/>
            </w:tcBorders>
            <w:shd w:val="clear" w:color="auto" w:fill="F2F2F2"/>
          </w:tcPr>
          <w:p w14:paraId="0AFC325B" w14:textId="09F26F76" w:rsidR="00CC58DD" w:rsidRPr="00143FA8" w:rsidRDefault="00105F87" w:rsidP="00237AD4">
            <w:pPr>
              <w:pStyle w:val="Box"/>
              <w:keepNext w:val="0"/>
              <w:keepLines/>
              <w:spacing w:before="60" w:line="220" w:lineRule="exact"/>
              <w:rPr>
                <w:sz w:val="18"/>
                <w:szCs w:val="18"/>
              </w:rPr>
            </w:pPr>
            <w:r w:rsidRPr="00143FA8">
              <w:rPr>
                <w:i/>
                <w:sz w:val="18"/>
                <w:szCs w:val="18"/>
              </w:rPr>
              <w:t>Source</w:t>
            </w:r>
            <w:r w:rsidRPr="00143FA8">
              <w:rPr>
                <w:sz w:val="18"/>
                <w:szCs w:val="18"/>
              </w:rPr>
              <w:t xml:space="preserve">: Figure 12.1 in the main </w:t>
            </w:r>
            <w:r w:rsidR="003D7A8A" w:rsidRPr="00143FA8">
              <w:rPr>
                <w:sz w:val="18"/>
                <w:szCs w:val="18"/>
              </w:rPr>
              <w:t>Report</w:t>
            </w:r>
            <w:r w:rsidRPr="00143FA8">
              <w:rPr>
                <w:sz w:val="18"/>
                <w:szCs w:val="18"/>
              </w:rPr>
              <w:t>.</w:t>
            </w:r>
          </w:p>
        </w:tc>
      </w:tr>
      <w:tr w:rsidR="00AA3EA5" w:rsidRPr="00AA3EA5" w14:paraId="051C9D64" w14:textId="77777777" w:rsidTr="00E929ED">
        <w:trPr>
          <w:cantSplit/>
        </w:trPr>
        <w:tc>
          <w:tcPr>
            <w:tcW w:w="8789" w:type="dxa"/>
            <w:tcBorders>
              <w:top w:val="nil"/>
              <w:left w:val="nil"/>
              <w:bottom w:val="single" w:sz="6" w:space="0" w:color="78A22F"/>
              <w:right w:val="nil"/>
            </w:tcBorders>
            <w:shd w:val="clear" w:color="auto" w:fill="F2F2F2"/>
          </w:tcPr>
          <w:p w14:paraId="7DDC3CFC" w14:textId="77777777" w:rsidR="001601B9" w:rsidRPr="00AA3EA5" w:rsidRDefault="001601B9" w:rsidP="00C305A0">
            <w:pPr>
              <w:pStyle w:val="Box"/>
              <w:keepNext w:val="0"/>
              <w:spacing w:before="0" w:line="120" w:lineRule="exact"/>
            </w:pPr>
          </w:p>
        </w:tc>
      </w:tr>
      <w:tr w:rsidR="00AA3EA5" w:rsidRPr="00AA3EA5" w14:paraId="55B45298" w14:textId="77777777" w:rsidTr="00E929ED">
        <w:tc>
          <w:tcPr>
            <w:tcW w:w="8789" w:type="dxa"/>
            <w:tcBorders>
              <w:top w:val="single" w:sz="6" w:space="0" w:color="78A22F"/>
              <w:left w:val="nil"/>
              <w:bottom w:val="nil"/>
              <w:right w:val="nil"/>
            </w:tcBorders>
          </w:tcPr>
          <w:p w14:paraId="35CEB2F6" w14:textId="77777777" w:rsidR="001601B9" w:rsidRPr="00AA3EA5" w:rsidRDefault="001601B9" w:rsidP="00C305A0">
            <w:pPr>
              <w:pStyle w:val="BoxSpaceBelow"/>
              <w:spacing w:before="0" w:after="0" w:line="40" w:lineRule="exact"/>
            </w:pPr>
          </w:p>
        </w:tc>
      </w:tr>
    </w:tbl>
    <w:p w14:paraId="01D17926" w14:textId="77777777" w:rsidR="00826ABC" w:rsidRPr="000D4B13" w:rsidRDefault="00826ABC" w:rsidP="00826ABC">
      <w:pPr>
        <w:pStyle w:val="Heading2"/>
        <w:rPr>
          <w:color w:val="000000" w:themeColor="text1"/>
        </w:rPr>
      </w:pPr>
      <w:r w:rsidRPr="000D4B13">
        <w:rPr>
          <w:color w:val="000000" w:themeColor="text1"/>
        </w:rPr>
        <w:lastRenderedPageBreak/>
        <w:t>Future directions in data</w:t>
      </w:r>
    </w:p>
    <w:p w14:paraId="5C2157CE" w14:textId="34AAAD8D" w:rsidR="00D47FF8" w:rsidRPr="000D4B13" w:rsidRDefault="00D47FF8" w:rsidP="00D47FF8">
      <w:pPr>
        <w:pStyle w:val="BodyText"/>
        <w:spacing w:after="120"/>
        <w:rPr>
          <w:color w:val="000000" w:themeColor="text1"/>
        </w:rPr>
      </w:pPr>
      <w:r w:rsidRPr="000D4B13">
        <w:rPr>
          <w:color w:val="000000" w:themeColor="text1"/>
        </w:rPr>
        <w:t>All Australian governments have agreed that improvement of data</w:t>
      </w:r>
      <w:r w:rsidR="00037AB9" w:rsidRPr="000D4B13">
        <w:rPr>
          <w:color w:val="000000" w:themeColor="text1"/>
        </w:rPr>
        <w:t xml:space="preserve"> </w:t>
      </w:r>
      <w:r w:rsidR="00E82D5B">
        <w:rPr>
          <w:color w:val="000000" w:themeColor="text1"/>
        </w:rPr>
        <w:t>on</w:t>
      </w:r>
      <w:r w:rsidR="00037AB9" w:rsidRPr="000D4B13">
        <w:rPr>
          <w:color w:val="000000" w:themeColor="text1"/>
        </w:rPr>
        <w:t xml:space="preserve"> Aboriginal and Torres Strait Islander </w:t>
      </w:r>
      <w:r w:rsidR="00E82D5B">
        <w:rPr>
          <w:color w:val="000000" w:themeColor="text1"/>
        </w:rPr>
        <w:t>people</w:t>
      </w:r>
      <w:r w:rsidRPr="000D4B13">
        <w:rPr>
          <w:color w:val="000000" w:themeColor="text1"/>
        </w:rPr>
        <w:t xml:space="preserve"> is a high priority, and there have been improvements in many data sources since the first </w:t>
      </w:r>
      <w:proofErr w:type="spellStart"/>
      <w:r w:rsidRPr="000D4B13">
        <w:rPr>
          <w:color w:val="000000" w:themeColor="text1"/>
        </w:rPr>
        <w:t>OID</w:t>
      </w:r>
      <w:proofErr w:type="spellEnd"/>
      <w:r w:rsidRPr="000D4B13">
        <w:rPr>
          <w:color w:val="000000" w:themeColor="text1"/>
        </w:rPr>
        <w:t xml:space="preserve"> report in 2003. </w:t>
      </w:r>
      <w:r w:rsidR="003D56F7" w:rsidRPr="000D4B13">
        <w:rPr>
          <w:color w:val="000000" w:themeColor="text1"/>
        </w:rPr>
        <w:t>However, there are still some key data gaps</w:t>
      </w:r>
      <w:r w:rsidR="003D56F7">
        <w:rPr>
          <w:color w:val="000000" w:themeColor="text1"/>
        </w:rPr>
        <w:t xml:space="preserve"> for individual indicators (details on data issues for all indicators are available at the end of each indicator section in the main </w:t>
      </w:r>
      <w:r w:rsidR="003D7A8A">
        <w:rPr>
          <w:color w:val="000000" w:themeColor="text1"/>
        </w:rPr>
        <w:t>Report</w:t>
      </w:r>
      <w:r w:rsidR="003D56F7">
        <w:rPr>
          <w:color w:val="000000" w:themeColor="text1"/>
        </w:rPr>
        <w:t>)</w:t>
      </w:r>
      <w:r w:rsidR="003D56F7" w:rsidRPr="000D4B13">
        <w:rPr>
          <w:color w:val="000000" w:themeColor="text1"/>
        </w:rPr>
        <w:t>.</w:t>
      </w:r>
    </w:p>
    <w:p w14:paraId="0632721A" w14:textId="77777777" w:rsidR="00826ABC" w:rsidRPr="00037871" w:rsidRDefault="00826ABC" w:rsidP="00127FB7">
      <w:pPr>
        <w:pStyle w:val="BoxSpaceAbove"/>
        <w:spacing w:before="120"/>
        <w:rPr>
          <w:color w:val="00B050"/>
        </w:rPr>
      </w:pPr>
    </w:p>
    <w:tbl>
      <w:tblPr>
        <w:tblW w:w="0" w:type="auto"/>
        <w:tblBorders>
          <w:top w:val="single" w:sz="6" w:space="0" w:color="auto"/>
          <w:left w:val="single" w:sz="6" w:space="0" w:color="auto"/>
          <w:bottom w:val="single" w:sz="6" w:space="0" w:color="auto"/>
          <w:right w:val="single" w:sz="6" w:space="0" w:color="auto"/>
        </w:tblBorders>
        <w:tblCellMar>
          <w:left w:w="142" w:type="dxa"/>
          <w:right w:w="142" w:type="dxa"/>
        </w:tblCellMar>
        <w:tblLook w:val="0000" w:firstRow="0" w:lastRow="0" w:firstColumn="0" w:lastColumn="0" w:noHBand="0" w:noVBand="0"/>
      </w:tblPr>
      <w:tblGrid>
        <w:gridCol w:w="8789"/>
      </w:tblGrid>
      <w:tr w:rsidR="00037871" w:rsidRPr="00037871" w14:paraId="1150609D" w14:textId="77777777" w:rsidTr="00E929ED">
        <w:tc>
          <w:tcPr>
            <w:tcW w:w="8789" w:type="dxa"/>
            <w:tcBorders>
              <w:top w:val="single" w:sz="6" w:space="0" w:color="78A22F"/>
              <w:left w:val="nil"/>
              <w:bottom w:val="nil"/>
              <w:right w:val="nil"/>
            </w:tcBorders>
            <w:shd w:val="clear" w:color="auto" w:fill="auto"/>
          </w:tcPr>
          <w:p w14:paraId="58500804" w14:textId="77777777" w:rsidR="00826ABC" w:rsidRPr="007268E9" w:rsidRDefault="00826ABC" w:rsidP="00826ABC">
            <w:pPr>
              <w:pStyle w:val="Subtitle"/>
            </w:pPr>
          </w:p>
        </w:tc>
      </w:tr>
      <w:tr w:rsidR="00037871" w:rsidRPr="00037871" w14:paraId="10507FD1" w14:textId="77777777" w:rsidTr="00E929ED">
        <w:trPr>
          <w:cantSplit/>
        </w:trPr>
        <w:tc>
          <w:tcPr>
            <w:tcW w:w="8789" w:type="dxa"/>
            <w:tcBorders>
              <w:top w:val="nil"/>
              <w:left w:val="nil"/>
              <w:bottom w:val="nil"/>
              <w:right w:val="nil"/>
            </w:tcBorders>
            <w:shd w:val="clear" w:color="auto" w:fill="auto"/>
          </w:tcPr>
          <w:tbl>
            <w:tblPr>
              <w:tblW w:w="5000" w:type="pct"/>
              <w:tblCellMar>
                <w:top w:w="28" w:type="dxa"/>
                <w:left w:w="0" w:type="dxa"/>
                <w:right w:w="0" w:type="dxa"/>
              </w:tblCellMar>
              <w:tblLook w:val="0000" w:firstRow="0" w:lastRow="0" w:firstColumn="0" w:lastColumn="0" w:noHBand="0" w:noVBand="0"/>
            </w:tblPr>
            <w:tblGrid>
              <w:gridCol w:w="2677"/>
              <w:gridCol w:w="177"/>
              <w:gridCol w:w="5651"/>
            </w:tblGrid>
            <w:tr w:rsidR="00037871" w:rsidRPr="00037871" w14:paraId="0525BF35" w14:textId="77777777" w:rsidTr="00227E25">
              <w:tc>
                <w:tcPr>
                  <w:tcW w:w="1574" w:type="pct"/>
                  <w:tcBorders>
                    <w:top w:val="single" w:sz="6" w:space="0" w:color="BFBFBF"/>
                    <w:bottom w:val="single" w:sz="6" w:space="0" w:color="BFBFBF"/>
                  </w:tcBorders>
                  <w:shd w:val="clear" w:color="auto" w:fill="auto"/>
                  <w:tcMar>
                    <w:top w:w="28" w:type="dxa"/>
                  </w:tcMar>
                </w:tcPr>
                <w:p w14:paraId="539734BC" w14:textId="77777777" w:rsidR="00227E25" w:rsidRPr="007268E9" w:rsidRDefault="00227E25" w:rsidP="00826ABC">
                  <w:pPr>
                    <w:pStyle w:val="TableColumnHeading"/>
                    <w:jc w:val="left"/>
                    <w:rPr>
                      <w:b/>
                      <w:color w:val="000000" w:themeColor="text1"/>
                    </w:rPr>
                  </w:pPr>
                  <w:r w:rsidRPr="007268E9">
                    <w:rPr>
                      <w:b/>
                      <w:color w:val="000000" w:themeColor="text1"/>
                    </w:rPr>
                    <w:t>Indicator</w:t>
                  </w:r>
                </w:p>
              </w:tc>
              <w:tc>
                <w:tcPr>
                  <w:tcW w:w="104" w:type="pct"/>
                  <w:tcBorders>
                    <w:top w:val="single" w:sz="6" w:space="0" w:color="BFBFBF"/>
                    <w:bottom w:val="single" w:sz="6" w:space="0" w:color="BFBFBF"/>
                  </w:tcBorders>
                  <w:shd w:val="clear" w:color="auto" w:fill="auto"/>
                </w:tcPr>
                <w:p w14:paraId="6ACEF7FF" w14:textId="77777777" w:rsidR="00227E25" w:rsidRPr="007268E9" w:rsidRDefault="00227E25" w:rsidP="00826ABC">
                  <w:pPr>
                    <w:pStyle w:val="TableColumnHeading"/>
                    <w:jc w:val="left"/>
                    <w:rPr>
                      <w:b/>
                      <w:color w:val="000000" w:themeColor="text1"/>
                    </w:rPr>
                  </w:pPr>
                </w:p>
              </w:tc>
              <w:tc>
                <w:tcPr>
                  <w:tcW w:w="3322" w:type="pct"/>
                  <w:tcBorders>
                    <w:top w:val="single" w:sz="6" w:space="0" w:color="BFBFBF"/>
                    <w:bottom w:val="single" w:sz="6" w:space="0" w:color="BFBFBF"/>
                  </w:tcBorders>
                  <w:shd w:val="clear" w:color="auto" w:fill="auto"/>
                  <w:tcMar>
                    <w:top w:w="28" w:type="dxa"/>
                  </w:tcMar>
                </w:tcPr>
                <w:p w14:paraId="210CDA77" w14:textId="77777777" w:rsidR="00227E25" w:rsidRPr="007268E9" w:rsidRDefault="00227E25" w:rsidP="00826ABC">
                  <w:pPr>
                    <w:pStyle w:val="TableColumnHeading"/>
                    <w:ind w:right="28"/>
                    <w:jc w:val="left"/>
                    <w:rPr>
                      <w:b/>
                      <w:color w:val="000000" w:themeColor="text1"/>
                    </w:rPr>
                  </w:pPr>
                  <w:r w:rsidRPr="007268E9">
                    <w:rPr>
                      <w:b/>
                      <w:color w:val="000000" w:themeColor="text1"/>
                    </w:rPr>
                    <w:t>Data priority</w:t>
                  </w:r>
                </w:p>
              </w:tc>
            </w:tr>
            <w:tr w:rsidR="003D56F7" w:rsidRPr="00037871" w14:paraId="3913099C" w14:textId="77777777" w:rsidTr="00227E25">
              <w:tc>
                <w:tcPr>
                  <w:tcW w:w="1574" w:type="pct"/>
                  <w:tcBorders>
                    <w:top w:val="single" w:sz="6" w:space="0" w:color="BFBFBF"/>
                  </w:tcBorders>
                </w:tcPr>
                <w:p w14:paraId="1424FBAB" w14:textId="7AC36E8F" w:rsidR="003D56F7" w:rsidRPr="003D56F7" w:rsidRDefault="003D56F7" w:rsidP="003D56F7">
                  <w:pPr>
                    <w:pStyle w:val="TableUnitsRow"/>
                    <w:jc w:val="left"/>
                    <w:rPr>
                      <w:color w:val="000000" w:themeColor="text1"/>
                      <w:sz w:val="20"/>
                      <w:szCs w:val="22"/>
                    </w:rPr>
                  </w:pPr>
                  <w:r w:rsidRPr="00032B64">
                    <w:rPr>
                      <w:color w:val="000000" w:themeColor="text1"/>
                      <w:sz w:val="20"/>
                      <w:szCs w:val="22"/>
                    </w:rPr>
                    <w:t>Life expectancy and mortality</w:t>
                  </w:r>
                </w:p>
              </w:tc>
              <w:tc>
                <w:tcPr>
                  <w:tcW w:w="104" w:type="pct"/>
                  <w:tcBorders>
                    <w:top w:val="single" w:sz="6" w:space="0" w:color="BFBFBF"/>
                  </w:tcBorders>
                </w:tcPr>
                <w:p w14:paraId="69D7976D" w14:textId="77777777" w:rsidR="003D56F7" w:rsidRPr="003D56F7" w:rsidRDefault="003D56F7" w:rsidP="003D56F7">
                  <w:pPr>
                    <w:pStyle w:val="TableUnitsRow"/>
                    <w:jc w:val="left"/>
                    <w:rPr>
                      <w:color w:val="000000" w:themeColor="text1"/>
                      <w:sz w:val="20"/>
                      <w:szCs w:val="22"/>
                    </w:rPr>
                  </w:pPr>
                </w:p>
              </w:tc>
              <w:tc>
                <w:tcPr>
                  <w:tcW w:w="3322" w:type="pct"/>
                  <w:tcBorders>
                    <w:top w:val="single" w:sz="6" w:space="0" w:color="BFBFBF"/>
                  </w:tcBorders>
                </w:tcPr>
                <w:p w14:paraId="0ED9154E" w14:textId="36756906" w:rsidR="003D56F7" w:rsidRPr="003D56F7" w:rsidRDefault="003D56F7" w:rsidP="003D56F7">
                  <w:pPr>
                    <w:pStyle w:val="TableUnitsRow"/>
                    <w:ind w:right="28"/>
                    <w:jc w:val="both"/>
                    <w:rPr>
                      <w:color w:val="000000" w:themeColor="text1"/>
                      <w:sz w:val="20"/>
                      <w:szCs w:val="22"/>
                    </w:rPr>
                  </w:pPr>
                  <w:r w:rsidRPr="00032B64">
                    <w:rPr>
                      <w:color w:val="000000" w:themeColor="text1"/>
                      <w:sz w:val="20"/>
                      <w:szCs w:val="22"/>
                    </w:rPr>
                    <w:t xml:space="preserve">Continue work </w:t>
                  </w:r>
                  <w:r>
                    <w:rPr>
                      <w:color w:val="000000" w:themeColor="text1"/>
                      <w:sz w:val="20"/>
                      <w:szCs w:val="22"/>
                    </w:rPr>
                    <w:t>to</w:t>
                  </w:r>
                  <w:r w:rsidRPr="00032B64">
                    <w:rPr>
                      <w:color w:val="000000" w:themeColor="text1"/>
                      <w:sz w:val="20"/>
                      <w:szCs w:val="22"/>
                    </w:rPr>
                    <w:t xml:space="preserve"> improv</w:t>
                  </w:r>
                  <w:r>
                    <w:rPr>
                      <w:color w:val="000000" w:themeColor="text1"/>
                      <w:sz w:val="20"/>
                      <w:szCs w:val="22"/>
                    </w:rPr>
                    <w:t>e</w:t>
                  </w:r>
                  <w:r w:rsidRPr="00032B64">
                    <w:rPr>
                      <w:color w:val="000000" w:themeColor="text1"/>
                      <w:sz w:val="20"/>
                      <w:szCs w:val="22"/>
                    </w:rPr>
                    <w:t xml:space="preserve"> Aboriginal and Torres Strait Islander deaths data, to inform estimat</w:t>
                  </w:r>
                  <w:r>
                    <w:rPr>
                      <w:color w:val="000000" w:themeColor="text1"/>
                      <w:sz w:val="20"/>
                      <w:szCs w:val="22"/>
                    </w:rPr>
                    <w:t>es of mortality</w:t>
                  </w:r>
                  <w:r w:rsidRPr="00032B64">
                    <w:rPr>
                      <w:color w:val="000000" w:themeColor="text1"/>
                      <w:sz w:val="20"/>
                      <w:szCs w:val="22"/>
                    </w:rPr>
                    <w:t xml:space="preserve"> by jurisdiction. </w:t>
                  </w:r>
                </w:p>
              </w:tc>
            </w:tr>
            <w:tr w:rsidR="003D56F7" w:rsidRPr="00037871" w14:paraId="0A00C421" w14:textId="77777777" w:rsidTr="006D5AC6">
              <w:tc>
                <w:tcPr>
                  <w:tcW w:w="1574" w:type="pct"/>
                </w:tcPr>
                <w:p w14:paraId="2A6468F6" w14:textId="514AD56F" w:rsidR="003D56F7" w:rsidRPr="003D56F7" w:rsidRDefault="003D56F7" w:rsidP="00BC7EFA">
                  <w:pPr>
                    <w:pStyle w:val="TableBodyText"/>
                    <w:spacing w:before="80"/>
                    <w:jc w:val="left"/>
                    <w:rPr>
                      <w:color w:val="000000" w:themeColor="text1"/>
                      <w:sz w:val="20"/>
                      <w:szCs w:val="22"/>
                    </w:rPr>
                  </w:pPr>
                  <w:r>
                    <w:rPr>
                      <w:color w:val="000000" w:themeColor="text1"/>
                      <w:sz w:val="20"/>
                      <w:szCs w:val="22"/>
                    </w:rPr>
                    <w:t>Disability and chronic disease</w:t>
                  </w:r>
                </w:p>
              </w:tc>
              <w:tc>
                <w:tcPr>
                  <w:tcW w:w="104" w:type="pct"/>
                </w:tcPr>
                <w:p w14:paraId="691B5D30" w14:textId="77777777" w:rsidR="003D56F7" w:rsidRPr="003D56F7" w:rsidRDefault="003D56F7" w:rsidP="003D56F7">
                  <w:pPr>
                    <w:pStyle w:val="TableBodyText"/>
                    <w:spacing w:before="120"/>
                    <w:jc w:val="left"/>
                    <w:rPr>
                      <w:color w:val="000000" w:themeColor="text1"/>
                      <w:sz w:val="20"/>
                      <w:szCs w:val="22"/>
                    </w:rPr>
                  </w:pPr>
                </w:p>
              </w:tc>
              <w:tc>
                <w:tcPr>
                  <w:tcW w:w="3322" w:type="pct"/>
                </w:tcPr>
                <w:p w14:paraId="59D2E0A3" w14:textId="3EEADD63" w:rsidR="003D56F7" w:rsidRPr="003D56F7" w:rsidRDefault="003D56F7" w:rsidP="00BC7EFA">
                  <w:pPr>
                    <w:pStyle w:val="TableBodyText"/>
                    <w:spacing w:before="80"/>
                    <w:jc w:val="left"/>
                    <w:rPr>
                      <w:color w:val="000000" w:themeColor="text1"/>
                      <w:sz w:val="20"/>
                      <w:szCs w:val="22"/>
                    </w:rPr>
                  </w:pPr>
                  <w:r>
                    <w:rPr>
                      <w:sz w:val="20"/>
                      <w:szCs w:val="22"/>
                    </w:rPr>
                    <w:t>Develop a culturally appropriate measure of disability and more frequent reporting on prevalence.</w:t>
                  </w:r>
                </w:p>
              </w:tc>
            </w:tr>
            <w:tr w:rsidR="003D56F7" w:rsidRPr="00037871" w14:paraId="5299BE4C" w14:textId="77777777" w:rsidTr="00227E25">
              <w:tc>
                <w:tcPr>
                  <w:tcW w:w="1574" w:type="pct"/>
                  <w:shd w:val="clear" w:color="auto" w:fill="auto"/>
                </w:tcPr>
                <w:p w14:paraId="5A70E394" w14:textId="533C058A" w:rsidR="003D56F7" w:rsidRPr="003D56F7" w:rsidRDefault="003D56F7" w:rsidP="00BC7EFA">
                  <w:pPr>
                    <w:pStyle w:val="TableBodyText"/>
                    <w:spacing w:before="80"/>
                    <w:jc w:val="left"/>
                    <w:rPr>
                      <w:color w:val="000000" w:themeColor="text1"/>
                      <w:sz w:val="20"/>
                      <w:szCs w:val="22"/>
                    </w:rPr>
                  </w:pPr>
                  <w:r>
                    <w:rPr>
                      <w:color w:val="000000" w:themeColor="text1"/>
                      <w:sz w:val="20"/>
                      <w:szCs w:val="22"/>
                    </w:rPr>
                    <w:t>Household and individual income and Income support</w:t>
                  </w:r>
                </w:p>
              </w:tc>
              <w:tc>
                <w:tcPr>
                  <w:tcW w:w="104" w:type="pct"/>
                  <w:shd w:val="clear" w:color="auto" w:fill="auto"/>
                </w:tcPr>
                <w:p w14:paraId="37D78A72" w14:textId="77777777" w:rsidR="003D56F7" w:rsidRPr="003D56F7" w:rsidRDefault="003D56F7" w:rsidP="003D56F7">
                  <w:pPr>
                    <w:pStyle w:val="TableBodyText"/>
                    <w:spacing w:before="120"/>
                    <w:jc w:val="left"/>
                    <w:rPr>
                      <w:color w:val="000000" w:themeColor="text1"/>
                      <w:sz w:val="20"/>
                      <w:szCs w:val="22"/>
                    </w:rPr>
                  </w:pPr>
                </w:p>
              </w:tc>
              <w:tc>
                <w:tcPr>
                  <w:tcW w:w="3322" w:type="pct"/>
                  <w:shd w:val="clear" w:color="auto" w:fill="auto"/>
                </w:tcPr>
                <w:p w14:paraId="62E6FD8C" w14:textId="40AD7286" w:rsidR="003D56F7" w:rsidRPr="003D56F7" w:rsidRDefault="003D56F7" w:rsidP="00BC7EFA">
                  <w:pPr>
                    <w:pStyle w:val="TableBodyText"/>
                    <w:spacing w:before="80"/>
                    <w:jc w:val="left"/>
                    <w:rPr>
                      <w:color w:val="000000" w:themeColor="text1"/>
                      <w:sz w:val="20"/>
                      <w:szCs w:val="22"/>
                    </w:rPr>
                  </w:pPr>
                  <w:r>
                    <w:rPr>
                      <w:color w:val="000000" w:themeColor="text1"/>
                      <w:sz w:val="20"/>
                      <w:szCs w:val="22"/>
                    </w:rPr>
                    <w:t>Maintain comparability of household and personal income across collections and over time.</w:t>
                  </w:r>
                </w:p>
              </w:tc>
            </w:tr>
            <w:tr w:rsidR="003D56F7" w:rsidRPr="00037871" w14:paraId="7814CDA7" w14:textId="77777777" w:rsidTr="00745BA5">
              <w:tc>
                <w:tcPr>
                  <w:tcW w:w="1574" w:type="pct"/>
                  <w:shd w:val="clear" w:color="auto" w:fill="auto"/>
                </w:tcPr>
                <w:p w14:paraId="6F264CA9" w14:textId="590F4E07" w:rsidR="003D56F7" w:rsidRPr="003D56F7" w:rsidRDefault="003D56F7" w:rsidP="00BC7EFA">
                  <w:pPr>
                    <w:pStyle w:val="TableBodyText"/>
                    <w:spacing w:before="80"/>
                    <w:jc w:val="left"/>
                    <w:rPr>
                      <w:color w:val="000000" w:themeColor="text1"/>
                      <w:sz w:val="20"/>
                      <w:szCs w:val="22"/>
                    </w:rPr>
                  </w:pPr>
                  <w:r>
                    <w:rPr>
                      <w:color w:val="000000" w:themeColor="text1"/>
                      <w:sz w:val="20"/>
                      <w:szCs w:val="22"/>
                    </w:rPr>
                    <w:t>Family and community violence</w:t>
                  </w:r>
                </w:p>
              </w:tc>
              <w:tc>
                <w:tcPr>
                  <w:tcW w:w="104" w:type="pct"/>
                  <w:shd w:val="clear" w:color="auto" w:fill="auto"/>
                </w:tcPr>
                <w:p w14:paraId="2B57F48B" w14:textId="77777777" w:rsidR="003D56F7" w:rsidRPr="003D56F7" w:rsidRDefault="003D56F7" w:rsidP="003D56F7">
                  <w:pPr>
                    <w:pStyle w:val="TableBodyText"/>
                    <w:spacing w:before="120"/>
                    <w:jc w:val="left"/>
                    <w:rPr>
                      <w:color w:val="000000" w:themeColor="text1"/>
                      <w:sz w:val="20"/>
                      <w:szCs w:val="22"/>
                    </w:rPr>
                  </w:pPr>
                </w:p>
              </w:tc>
              <w:tc>
                <w:tcPr>
                  <w:tcW w:w="3322" w:type="pct"/>
                  <w:shd w:val="clear" w:color="auto" w:fill="auto"/>
                </w:tcPr>
                <w:p w14:paraId="684D49CB" w14:textId="3B314A18" w:rsidR="003D56F7" w:rsidRPr="003D56F7" w:rsidRDefault="003D56F7" w:rsidP="00BC7EFA">
                  <w:pPr>
                    <w:pStyle w:val="TableBodyText"/>
                    <w:spacing w:before="80"/>
                    <w:jc w:val="left"/>
                    <w:rPr>
                      <w:sz w:val="20"/>
                      <w:szCs w:val="22"/>
                    </w:rPr>
                  </w:pPr>
                  <w:r>
                    <w:rPr>
                      <w:color w:val="000000" w:themeColor="text1"/>
                      <w:sz w:val="20"/>
                      <w:szCs w:val="22"/>
                    </w:rPr>
                    <w:t>Maintain comparability across collections and over time.</w:t>
                  </w:r>
                </w:p>
              </w:tc>
            </w:tr>
            <w:tr w:rsidR="003D56F7" w:rsidRPr="00037871" w14:paraId="3298F52E" w14:textId="77777777" w:rsidTr="00227E25">
              <w:tc>
                <w:tcPr>
                  <w:tcW w:w="1574" w:type="pct"/>
                  <w:shd w:val="clear" w:color="auto" w:fill="auto"/>
                </w:tcPr>
                <w:p w14:paraId="512288DC" w14:textId="6CF4559B" w:rsidR="003D56F7" w:rsidRPr="003D56F7" w:rsidRDefault="003D56F7" w:rsidP="00BC7EFA">
                  <w:pPr>
                    <w:pStyle w:val="TableBodyText"/>
                    <w:spacing w:before="80"/>
                    <w:jc w:val="left"/>
                    <w:rPr>
                      <w:color w:val="000000" w:themeColor="text1"/>
                      <w:sz w:val="20"/>
                      <w:szCs w:val="22"/>
                    </w:rPr>
                  </w:pPr>
                  <w:r w:rsidRPr="00032B64">
                    <w:rPr>
                      <w:color w:val="000000" w:themeColor="text1"/>
                      <w:sz w:val="20"/>
                      <w:szCs w:val="22"/>
                    </w:rPr>
                    <w:t xml:space="preserve">Substantiated child </w:t>
                  </w:r>
                  <w:r w:rsidRPr="00032B64">
                    <w:rPr>
                      <w:color w:val="000000" w:themeColor="text1"/>
                      <w:sz w:val="20"/>
                      <w:szCs w:val="22"/>
                    </w:rPr>
                    <w:br/>
                    <w:t>abuse and neglect</w:t>
                  </w:r>
                </w:p>
              </w:tc>
              <w:tc>
                <w:tcPr>
                  <w:tcW w:w="104" w:type="pct"/>
                  <w:shd w:val="clear" w:color="auto" w:fill="auto"/>
                </w:tcPr>
                <w:p w14:paraId="34E9503E" w14:textId="77777777" w:rsidR="003D56F7" w:rsidRPr="003D56F7" w:rsidRDefault="003D56F7" w:rsidP="003D56F7">
                  <w:pPr>
                    <w:pStyle w:val="TableBodyText"/>
                    <w:spacing w:before="120"/>
                    <w:jc w:val="both"/>
                    <w:rPr>
                      <w:color w:val="000000" w:themeColor="text1"/>
                      <w:sz w:val="20"/>
                      <w:szCs w:val="22"/>
                    </w:rPr>
                  </w:pPr>
                </w:p>
              </w:tc>
              <w:tc>
                <w:tcPr>
                  <w:tcW w:w="3322" w:type="pct"/>
                  <w:shd w:val="clear" w:color="auto" w:fill="auto"/>
                </w:tcPr>
                <w:p w14:paraId="75B818B6" w14:textId="748501CF" w:rsidR="003D56F7" w:rsidRPr="003D56F7" w:rsidRDefault="003D56F7" w:rsidP="00BC7EFA">
                  <w:pPr>
                    <w:pStyle w:val="TableBodyText"/>
                    <w:spacing w:before="80"/>
                    <w:jc w:val="left"/>
                    <w:rPr>
                      <w:sz w:val="20"/>
                      <w:szCs w:val="22"/>
                    </w:rPr>
                  </w:pPr>
                  <w:r w:rsidRPr="00032B64">
                    <w:rPr>
                      <w:color w:val="000000" w:themeColor="text1"/>
                      <w:sz w:val="20"/>
                      <w:szCs w:val="22"/>
                    </w:rPr>
                    <w:t>Collect data on the prevalence of child abuse and neglect.</w:t>
                  </w:r>
                </w:p>
              </w:tc>
            </w:tr>
            <w:tr w:rsidR="003D56F7" w:rsidRPr="00037871" w14:paraId="7B749AD3" w14:textId="77777777" w:rsidTr="00745BA5">
              <w:tc>
                <w:tcPr>
                  <w:tcW w:w="1574" w:type="pct"/>
                  <w:shd w:val="clear" w:color="auto" w:fill="auto"/>
                </w:tcPr>
                <w:p w14:paraId="3102B151" w14:textId="10B8CEFF" w:rsidR="003D56F7" w:rsidRPr="003D56F7" w:rsidRDefault="003D56F7" w:rsidP="00BC7EFA">
                  <w:pPr>
                    <w:pStyle w:val="TableBodyText"/>
                    <w:spacing w:before="80"/>
                    <w:jc w:val="left"/>
                    <w:rPr>
                      <w:color w:val="000000" w:themeColor="text1"/>
                      <w:sz w:val="20"/>
                      <w:szCs w:val="22"/>
                    </w:rPr>
                  </w:pPr>
                  <w:r w:rsidRPr="00032B64">
                    <w:rPr>
                      <w:color w:val="000000" w:themeColor="text1"/>
                      <w:sz w:val="20"/>
                      <w:szCs w:val="22"/>
                    </w:rPr>
                    <w:t>Participation in</w:t>
                  </w:r>
                  <w:r w:rsidRPr="00032B64">
                    <w:rPr>
                      <w:color w:val="000000" w:themeColor="text1"/>
                      <w:sz w:val="20"/>
                      <w:szCs w:val="22"/>
                      <w:bdr w:val="single" w:sz="4" w:space="0" w:color="auto"/>
                    </w:rPr>
                    <w:t xml:space="preserve"> </w:t>
                  </w:r>
                  <w:r w:rsidRPr="00032B64">
                    <w:rPr>
                      <w:color w:val="000000" w:themeColor="text1"/>
                      <w:sz w:val="20"/>
                      <w:szCs w:val="22"/>
                      <w:bdr w:val="single" w:sz="4" w:space="0" w:color="auto"/>
                    </w:rPr>
                    <w:br/>
                  </w:r>
                  <w:r w:rsidRPr="00032B64">
                    <w:rPr>
                      <w:color w:val="000000" w:themeColor="text1"/>
                      <w:sz w:val="20"/>
                      <w:szCs w:val="22"/>
                    </w:rPr>
                    <w:t>decision</w:t>
                  </w:r>
                  <w:r w:rsidR="00122D3D">
                    <w:rPr>
                      <w:color w:val="000000" w:themeColor="text1"/>
                      <w:sz w:val="20"/>
                      <w:szCs w:val="22"/>
                    </w:rPr>
                    <w:noBreakHyphen/>
                  </w:r>
                  <w:r w:rsidRPr="00032B64">
                    <w:rPr>
                      <w:color w:val="000000" w:themeColor="text1"/>
                      <w:sz w:val="20"/>
                      <w:szCs w:val="22"/>
                    </w:rPr>
                    <w:t>making</w:t>
                  </w:r>
                </w:p>
              </w:tc>
              <w:tc>
                <w:tcPr>
                  <w:tcW w:w="104" w:type="pct"/>
                  <w:shd w:val="clear" w:color="auto" w:fill="auto"/>
                </w:tcPr>
                <w:p w14:paraId="4F592E77" w14:textId="77777777" w:rsidR="003D56F7" w:rsidRPr="003D56F7" w:rsidRDefault="003D56F7" w:rsidP="003D56F7">
                  <w:pPr>
                    <w:pStyle w:val="TableBodyText"/>
                    <w:spacing w:before="120"/>
                    <w:jc w:val="both"/>
                    <w:rPr>
                      <w:color w:val="000000" w:themeColor="text1"/>
                      <w:sz w:val="20"/>
                      <w:szCs w:val="22"/>
                    </w:rPr>
                  </w:pPr>
                </w:p>
              </w:tc>
              <w:tc>
                <w:tcPr>
                  <w:tcW w:w="3322" w:type="pct"/>
                  <w:shd w:val="clear" w:color="auto" w:fill="auto"/>
                </w:tcPr>
                <w:p w14:paraId="2B58745B" w14:textId="1CE9C7FB" w:rsidR="003D56F7" w:rsidRPr="003D56F7" w:rsidRDefault="003D56F7" w:rsidP="00BC7EFA">
                  <w:pPr>
                    <w:pStyle w:val="TableBodyText"/>
                    <w:spacing w:before="80"/>
                    <w:jc w:val="left"/>
                    <w:rPr>
                      <w:sz w:val="20"/>
                      <w:szCs w:val="22"/>
                    </w:rPr>
                  </w:pPr>
                  <w:r w:rsidRPr="00032B64">
                    <w:rPr>
                      <w:color w:val="000000" w:themeColor="text1"/>
                      <w:sz w:val="20"/>
                      <w:szCs w:val="22"/>
                    </w:rPr>
                    <w:t>Collect data on the preferred measure of ‘wanting to, and</w:t>
                  </w:r>
                  <w:r w:rsidR="00073A38">
                    <w:rPr>
                      <w:color w:val="000000" w:themeColor="text1"/>
                      <w:sz w:val="20"/>
                      <w:szCs w:val="22"/>
                    </w:rPr>
                    <w:t xml:space="preserve"> </w:t>
                  </w:r>
                  <w:r w:rsidRPr="00032B64">
                    <w:rPr>
                      <w:color w:val="000000" w:themeColor="text1"/>
                      <w:sz w:val="20"/>
                      <w:szCs w:val="22"/>
                      <w:bdr w:val="single" w:sz="4" w:space="0" w:color="auto"/>
                    </w:rPr>
                    <w:t xml:space="preserve"> </w:t>
                  </w:r>
                  <w:r w:rsidRPr="00032B64">
                    <w:rPr>
                      <w:color w:val="000000" w:themeColor="text1"/>
                      <w:sz w:val="20"/>
                      <w:szCs w:val="22"/>
                    </w:rPr>
                    <w:t>ability to’ participate in decision</w:t>
                  </w:r>
                  <w:r w:rsidR="00122D3D">
                    <w:rPr>
                      <w:color w:val="000000" w:themeColor="text1"/>
                      <w:sz w:val="20"/>
                      <w:szCs w:val="22"/>
                    </w:rPr>
                    <w:noBreakHyphen/>
                  </w:r>
                  <w:r w:rsidRPr="00032B64">
                    <w:rPr>
                      <w:color w:val="000000" w:themeColor="text1"/>
                      <w:sz w:val="20"/>
                      <w:szCs w:val="22"/>
                    </w:rPr>
                    <w:t>making.</w:t>
                  </w:r>
                </w:p>
              </w:tc>
            </w:tr>
            <w:tr w:rsidR="003D56F7" w:rsidRPr="00037871" w14:paraId="4C6A7979" w14:textId="77777777" w:rsidTr="00745BA5">
              <w:tc>
                <w:tcPr>
                  <w:tcW w:w="1574" w:type="pct"/>
                  <w:shd w:val="clear" w:color="auto" w:fill="auto"/>
                </w:tcPr>
                <w:p w14:paraId="436493B4" w14:textId="0001877C" w:rsidR="003D56F7" w:rsidRPr="003D56F7" w:rsidRDefault="003D56F7" w:rsidP="00BC7EFA">
                  <w:pPr>
                    <w:pStyle w:val="TableBodyText"/>
                    <w:spacing w:before="80"/>
                    <w:jc w:val="left"/>
                    <w:rPr>
                      <w:color w:val="000000" w:themeColor="text1"/>
                      <w:sz w:val="20"/>
                      <w:szCs w:val="22"/>
                    </w:rPr>
                  </w:pPr>
                  <w:r w:rsidRPr="00032B64">
                    <w:rPr>
                      <w:color w:val="000000" w:themeColor="text1"/>
                      <w:sz w:val="20"/>
                      <w:szCs w:val="22"/>
                    </w:rPr>
                    <w:t xml:space="preserve">Indigenous cultural </w:t>
                  </w:r>
                  <w:r w:rsidRPr="00032B64">
                    <w:rPr>
                      <w:color w:val="000000" w:themeColor="text1"/>
                      <w:sz w:val="20"/>
                      <w:szCs w:val="22"/>
                    </w:rPr>
                    <w:br/>
                    <w:t>studies</w:t>
                  </w:r>
                </w:p>
              </w:tc>
              <w:tc>
                <w:tcPr>
                  <w:tcW w:w="104" w:type="pct"/>
                  <w:shd w:val="clear" w:color="auto" w:fill="auto"/>
                </w:tcPr>
                <w:p w14:paraId="04832E65" w14:textId="77777777" w:rsidR="003D56F7" w:rsidRPr="003D56F7" w:rsidRDefault="003D56F7" w:rsidP="003D56F7">
                  <w:pPr>
                    <w:pStyle w:val="TableBodyText"/>
                    <w:spacing w:before="120"/>
                    <w:jc w:val="left"/>
                    <w:rPr>
                      <w:color w:val="000000" w:themeColor="text1"/>
                      <w:sz w:val="20"/>
                      <w:szCs w:val="22"/>
                    </w:rPr>
                  </w:pPr>
                </w:p>
              </w:tc>
              <w:tc>
                <w:tcPr>
                  <w:tcW w:w="3322" w:type="pct"/>
                  <w:shd w:val="clear" w:color="auto" w:fill="auto"/>
                </w:tcPr>
                <w:p w14:paraId="37978F8A" w14:textId="55B7541F" w:rsidR="003D56F7" w:rsidRPr="003D56F7" w:rsidRDefault="003D56F7" w:rsidP="00BC7EFA">
                  <w:pPr>
                    <w:pStyle w:val="TableBodyText"/>
                    <w:spacing w:before="80"/>
                    <w:jc w:val="left"/>
                    <w:rPr>
                      <w:color w:val="000000" w:themeColor="text1"/>
                      <w:sz w:val="20"/>
                      <w:szCs w:val="22"/>
                    </w:rPr>
                  </w:pPr>
                  <w:r w:rsidRPr="00032B64">
                    <w:rPr>
                      <w:sz w:val="20"/>
                      <w:szCs w:val="22"/>
                    </w:rPr>
                    <w:t>Develop a measure and data source.</w:t>
                  </w:r>
                </w:p>
              </w:tc>
            </w:tr>
            <w:tr w:rsidR="003D56F7" w:rsidRPr="00037871" w14:paraId="09CC0F9B" w14:textId="77777777" w:rsidTr="00227E25">
              <w:tc>
                <w:tcPr>
                  <w:tcW w:w="1574" w:type="pct"/>
                  <w:shd w:val="clear" w:color="auto" w:fill="auto"/>
                </w:tcPr>
                <w:p w14:paraId="2BC2F6B8" w14:textId="75230C51" w:rsidR="003D56F7" w:rsidRPr="003D56F7" w:rsidRDefault="003D56F7" w:rsidP="00BC7EFA">
                  <w:pPr>
                    <w:pStyle w:val="TableBodyText"/>
                    <w:spacing w:before="80"/>
                    <w:jc w:val="left"/>
                    <w:rPr>
                      <w:color w:val="000000" w:themeColor="text1"/>
                      <w:sz w:val="20"/>
                      <w:szCs w:val="22"/>
                    </w:rPr>
                  </w:pPr>
                  <w:r w:rsidRPr="00032B64">
                    <w:rPr>
                      <w:color w:val="000000" w:themeColor="text1"/>
                      <w:sz w:val="20"/>
                      <w:szCs w:val="22"/>
                    </w:rPr>
                    <w:t>Teacher quality</w:t>
                  </w:r>
                </w:p>
              </w:tc>
              <w:tc>
                <w:tcPr>
                  <w:tcW w:w="104" w:type="pct"/>
                  <w:shd w:val="clear" w:color="auto" w:fill="auto"/>
                </w:tcPr>
                <w:p w14:paraId="717FA990" w14:textId="77777777" w:rsidR="003D56F7" w:rsidRPr="003D56F7" w:rsidRDefault="003D56F7" w:rsidP="003D56F7">
                  <w:pPr>
                    <w:pStyle w:val="TableBodyText"/>
                    <w:spacing w:before="120"/>
                    <w:jc w:val="both"/>
                    <w:rPr>
                      <w:color w:val="000000" w:themeColor="text1"/>
                      <w:sz w:val="20"/>
                      <w:szCs w:val="22"/>
                    </w:rPr>
                  </w:pPr>
                </w:p>
              </w:tc>
              <w:tc>
                <w:tcPr>
                  <w:tcW w:w="3322" w:type="pct"/>
                  <w:shd w:val="clear" w:color="auto" w:fill="auto"/>
                </w:tcPr>
                <w:p w14:paraId="4998E668" w14:textId="5C9C6C12" w:rsidR="003D56F7" w:rsidRPr="003D56F7" w:rsidRDefault="003D56F7" w:rsidP="00BC7EFA">
                  <w:pPr>
                    <w:pStyle w:val="TableBodyText"/>
                    <w:spacing w:before="80"/>
                    <w:jc w:val="left"/>
                    <w:rPr>
                      <w:color w:val="000000" w:themeColor="text1"/>
                      <w:sz w:val="20"/>
                      <w:szCs w:val="22"/>
                    </w:rPr>
                  </w:pPr>
                  <w:r w:rsidRPr="00032B64">
                    <w:rPr>
                      <w:sz w:val="20"/>
                      <w:szCs w:val="22"/>
                    </w:rPr>
                    <w:t xml:space="preserve">Develop </w:t>
                  </w:r>
                  <w:r>
                    <w:rPr>
                      <w:sz w:val="20"/>
                      <w:szCs w:val="22"/>
                    </w:rPr>
                    <w:t>a</w:t>
                  </w:r>
                  <w:r w:rsidRPr="00032B64">
                    <w:rPr>
                      <w:sz w:val="20"/>
                      <w:szCs w:val="22"/>
                    </w:rPr>
                    <w:t xml:space="preserve"> measure</w:t>
                  </w:r>
                  <w:r>
                    <w:rPr>
                      <w:sz w:val="20"/>
                      <w:szCs w:val="22"/>
                    </w:rPr>
                    <w:t xml:space="preserve"> and data source</w:t>
                  </w:r>
                  <w:r w:rsidRPr="00032B64">
                    <w:rPr>
                      <w:sz w:val="20"/>
                      <w:szCs w:val="22"/>
                    </w:rPr>
                    <w:t>.</w:t>
                  </w:r>
                </w:p>
              </w:tc>
            </w:tr>
            <w:tr w:rsidR="003D56F7" w:rsidRPr="00037871" w14:paraId="55161EEF" w14:textId="77777777" w:rsidTr="00227E25">
              <w:tc>
                <w:tcPr>
                  <w:tcW w:w="1574" w:type="pct"/>
                  <w:shd w:val="clear" w:color="auto" w:fill="auto"/>
                </w:tcPr>
                <w:p w14:paraId="747F6F64" w14:textId="77EAD710" w:rsidR="003D56F7" w:rsidRPr="003D56F7" w:rsidRDefault="003D56F7" w:rsidP="00BC7EFA">
                  <w:pPr>
                    <w:pStyle w:val="TableBodyText"/>
                    <w:spacing w:before="80"/>
                    <w:jc w:val="left"/>
                    <w:rPr>
                      <w:color w:val="000000" w:themeColor="text1"/>
                      <w:sz w:val="20"/>
                      <w:szCs w:val="22"/>
                    </w:rPr>
                  </w:pPr>
                  <w:r w:rsidRPr="00032B64">
                    <w:rPr>
                      <w:color w:val="000000" w:themeColor="text1"/>
                      <w:sz w:val="20"/>
                      <w:szCs w:val="22"/>
                    </w:rPr>
                    <w:t>School engagement</w:t>
                  </w:r>
                </w:p>
              </w:tc>
              <w:tc>
                <w:tcPr>
                  <w:tcW w:w="104" w:type="pct"/>
                  <w:shd w:val="clear" w:color="auto" w:fill="auto"/>
                </w:tcPr>
                <w:p w14:paraId="57E15779" w14:textId="77777777" w:rsidR="003D56F7" w:rsidRPr="003D56F7" w:rsidRDefault="003D56F7" w:rsidP="003D56F7">
                  <w:pPr>
                    <w:pStyle w:val="TableBodyText"/>
                    <w:spacing w:before="120"/>
                    <w:jc w:val="both"/>
                    <w:rPr>
                      <w:color w:val="000000" w:themeColor="text1"/>
                      <w:sz w:val="20"/>
                      <w:szCs w:val="22"/>
                    </w:rPr>
                  </w:pPr>
                </w:p>
              </w:tc>
              <w:tc>
                <w:tcPr>
                  <w:tcW w:w="3322" w:type="pct"/>
                  <w:shd w:val="clear" w:color="auto" w:fill="auto"/>
                </w:tcPr>
                <w:p w14:paraId="7AE59871" w14:textId="07496991" w:rsidR="003D56F7" w:rsidRPr="003D56F7" w:rsidRDefault="003D56F7" w:rsidP="00BC7EFA">
                  <w:pPr>
                    <w:pStyle w:val="TableBodyText"/>
                    <w:spacing w:before="80"/>
                    <w:jc w:val="left"/>
                    <w:rPr>
                      <w:color w:val="000000" w:themeColor="text1"/>
                      <w:sz w:val="20"/>
                      <w:szCs w:val="22"/>
                    </w:rPr>
                  </w:pPr>
                  <w:r w:rsidRPr="00032B64">
                    <w:rPr>
                      <w:sz w:val="20"/>
                      <w:szCs w:val="22"/>
                    </w:rPr>
                    <w:t>Develop a nationally agreed definition, to inform selection of measures.</w:t>
                  </w:r>
                </w:p>
              </w:tc>
            </w:tr>
            <w:tr w:rsidR="003D56F7" w:rsidRPr="00037871" w14:paraId="42181FCE" w14:textId="77777777" w:rsidTr="00227E25">
              <w:tc>
                <w:tcPr>
                  <w:tcW w:w="1574" w:type="pct"/>
                  <w:shd w:val="clear" w:color="auto" w:fill="auto"/>
                </w:tcPr>
                <w:p w14:paraId="4CADA8A4" w14:textId="266390C1" w:rsidR="003D56F7" w:rsidRPr="003D56F7" w:rsidRDefault="003D56F7" w:rsidP="003D56F7">
                  <w:pPr>
                    <w:pStyle w:val="TableBodyText"/>
                    <w:spacing w:before="120"/>
                    <w:jc w:val="left"/>
                    <w:rPr>
                      <w:color w:val="000000" w:themeColor="text1"/>
                      <w:sz w:val="20"/>
                      <w:szCs w:val="22"/>
                    </w:rPr>
                  </w:pPr>
                  <w:r>
                    <w:rPr>
                      <w:color w:val="000000" w:themeColor="text1"/>
                      <w:sz w:val="20"/>
                      <w:szCs w:val="22"/>
                    </w:rPr>
                    <w:t>Year 12 attainment</w:t>
                  </w:r>
                </w:p>
              </w:tc>
              <w:tc>
                <w:tcPr>
                  <w:tcW w:w="104" w:type="pct"/>
                  <w:shd w:val="clear" w:color="auto" w:fill="auto"/>
                </w:tcPr>
                <w:p w14:paraId="3D2B720C" w14:textId="77777777" w:rsidR="003D56F7" w:rsidRPr="003D56F7" w:rsidRDefault="003D56F7" w:rsidP="003D56F7">
                  <w:pPr>
                    <w:pStyle w:val="TableBodyText"/>
                    <w:spacing w:before="120"/>
                    <w:jc w:val="left"/>
                    <w:rPr>
                      <w:color w:val="000000" w:themeColor="text1"/>
                      <w:sz w:val="20"/>
                      <w:szCs w:val="22"/>
                    </w:rPr>
                  </w:pPr>
                </w:p>
              </w:tc>
              <w:tc>
                <w:tcPr>
                  <w:tcW w:w="3322" w:type="pct"/>
                  <w:shd w:val="clear" w:color="auto" w:fill="auto"/>
                </w:tcPr>
                <w:p w14:paraId="46C3015D" w14:textId="54B514FA" w:rsidR="003D56F7" w:rsidRPr="003D56F7" w:rsidRDefault="003D56F7" w:rsidP="003D56F7">
                  <w:pPr>
                    <w:pStyle w:val="TableBodyText"/>
                    <w:spacing w:before="120"/>
                    <w:ind w:right="28"/>
                    <w:jc w:val="both"/>
                    <w:rPr>
                      <w:color w:val="000000" w:themeColor="text1"/>
                      <w:sz w:val="20"/>
                      <w:szCs w:val="22"/>
                    </w:rPr>
                  </w:pPr>
                  <w:r>
                    <w:rPr>
                      <w:sz w:val="20"/>
                      <w:szCs w:val="22"/>
                    </w:rPr>
                    <w:t>Collect data on senior secondary certification.</w:t>
                  </w:r>
                </w:p>
              </w:tc>
            </w:tr>
            <w:tr w:rsidR="003D56F7" w:rsidRPr="00037871" w14:paraId="1669A8BF" w14:textId="77777777" w:rsidTr="003D56F7">
              <w:tc>
                <w:tcPr>
                  <w:tcW w:w="1574" w:type="pct"/>
                  <w:shd w:val="clear" w:color="auto" w:fill="auto"/>
                </w:tcPr>
                <w:p w14:paraId="32890591" w14:textId="41F2A4FE" w:rsidR="003D56F7" w:rsidRPr="003D56F7" w:rsidRDefault="003D56F7" w:rsidP="003D56F7">
                  <w:pPr>
                    <w:pStyle w:val="TableBodyText"/>
                    <w:spacing w:before="120"/>
                    <w:jc w:val="left"/>
                    <w:rPr>
                      <w:color w:val="000000" w:themeColor="text1"/>
                      <w:sz w:val="20"/>
                      <w:szCs w:val="22"/>
                    </w:rPr>
                  </w:pPr>
                  <w:r w:rsidRPr="00032B64">
                    <w:rPr>
                      <w:color w:val="000000" w:themeColor="text1"/>
                      <w:sz w:val="20"/>
                      <w:szCs w:val="22"/>
                    </w:rPr>
                    <w:t xml:space="preserve">Access to traditional </w:t>
                  </w:r>
                  <w:r w:rsidRPr="00032B64">
                    <w:rPr>
                      <w:color w:val="000000" w:themeColor="text1"/>
                      <w:sz w:val="20"/>
                      <w:szCs w:val="22"/>
                    </w:rPr>
                    <w:br/>
                    <w:t>lands and waters</w:t>
                  </w:r>
                  <w:r>
                    <w:rPr>
                      <w:color w:val="000000" w:themeColor="text1"/>
                      <w:sz w:val="20"/>
                      <w:szCs w:val="22"/>
                    </w:rPr>
                    <w:t xml:space="preserve"> / Indigenous owned land</w:t>
                  </w:r>
                </w:p>
              </w:tc>
              <w:tc>
                <w:tcPr>
                  <w:tcW w:w="104" w:type="pct"/>
                  <w:shd w:val="clear" w:color="auto" w:fill="auto"/>
                </w:tcPr>
                <w:p w14:paraId="4DA75C73" w14:textId="77777777" w:rsidR="003D56F7" w:rsidRPr="003D56F7" w:rsidRDefault="003D56F7" w:rsidP="003D56F7">
                  <w:pPr>
                    <w:pStyle w:val="TableBodyText"/>
                    <w:spacing w:before="120"/>
                    <w:jc w:val="left"/>
                    <w:rPr>
                      <w:color w:val="000000" w:themeColor="text1"/>
                      <w:sz w:val="20"/>
                      <w:szCs w:val="22"/>
                    </w:rPr>
                  </w:pPr>
                </w:p>
              </w:tc>
              <w:tc>
                <w:tcPr>
                  <w:tcW w:w="3322" w:type="pct"/>
                  <w:shd w:val="clear" w:color="auto" w:fill="auto"/>
                </w:tcPr>
                <w:p w14:paraId="28927A46" w14:textId="14B08CE0" w:rsidR="003D56F7" w:rsidRPr="003D56F7" w:rsidRDefault="003D56F7" w:rsidP="003D56F7">
                  <w:pPr>
                    <w:pStyle w:val="TableBodyText"/>
                    <w:spacing w:before="120"/>
                    <w:ind w:right="28"/>
                    <w:jc w:val="both"/>
                    <w:rPr>
                      <w:color w:val="000000" w:themeColor="text1"/>
                      <w:sz w:val="20"/>
                      <w:szCs w:val="22"/>
                    </w:rPr>
                  </w:pPr>
                  <w:r>
                    <w:rPr>
                      <w:color w:val="000000" w:themeColor="text1"/>
                      <w:sz w:val="20"/>
                      <w:szCs w:val="22"/>
                    </w:rPr>
                    <w:t>Co</w:t>
                  </w:r>
                  <w:r w:rsidRPr="00032B64">
                    <w:rPr>
                      <w:color w:val="000000" w:themeColor="text1"/>
                      <w:sz w:val="20"/>
                      <w:szCs w:val="22"/>
                    </w:rPr>
                    <w:t xml:space="preserve">llect data on </w:t>
                  </w:r>
                  <w:r>
                    <w:rPr>
                      <w:color w:val="000000" w:themeColor="text1"/>
                      <w:sz w:val="20"/>
                      <w:szCs w:val="22"/>
                    </w:rPr>
                    <w:t xml:space="preserve">ownership of, and </w:t>
                  </w:r>
                  <w:r w:rsidRPr="00032B64">
                    <w:rPr>
                      <w:color w:val="000000" w:themeColor="text1"/>
                      <w:sz w:val="20"/>
                      <w:szCs w:val="22"/>
                    </w:rPr>
                    <w:t>access to</w:t>
                  </w:r>
                  <w:r>
                    <w:rPr>
                      <w:color w:val="000000" w:themeColor="text1"/>
                      <w:sz w:val="20"/>
                      <w:szCs w:val="22"/>
                    </w:rPr>
                    <w:t>,</w:t>
                  </w:r>
                  <w:r w:rsidRPr="00032B64">
                    <w:rPr>
                      <w:color w:val="000000" w:themeColor="text1"/>
                      <w:sz w:val="20"/>
                      <w:szCs w:val="22"/>
                    </w:rPr>
                    <w:t xml:space="preserve"> water</w:t>
                  </w:r>
                  <w:r>
                    <w:rPr>
                      <w:color w:val="000000" w:themeColor="text1"/>
                      <w:sz w:val="20"/>
                      <w:szCs w:val="22"/>
                    </w:rPr>
                    <w:t>s and improve reporting of tenure type for Indigenous land</w:t>
                  </w:r>
                  <w:r w:rsidRPr="00032B64">
                    <w:rPr>
                      <w:color w:val="000000" w:themeColor="text1"/>
                      <w:sz w:val="20"/>
                      <w:szCs w:val="22"/>
                    </w:rPr>
                    <w:t>.</w:t>
                  </w:r>
                </w:p>
              </w:tc>
            </w:tr>
            <w:tr w:rsidR="003D56F7" w:rsidRPr="00037871" w14:paraId="1405CE24" w14:textId="77777777" w:rsidTr="003D56F7">
              <w:tc>
                <w:tcPr>
                  <w:tcW w:w="1574" w:type="pct"/>
                  <w:shd w:val="clear" w:color="auto" w:fill="auto"/>
                </w:tcPr>
                <w:p w14:paraId="2FFA9319" w14:textId="541936BB" w:rsidR="003D56F7" w:rsidRPr="003D56F7" w:rsidRDefault="003D56F7" w:rsidP="003D56F7">
                  <w:pPr>
                    <w:pStyle w:val="TableBodyText"/>
                    <w:spacing w:before="120"/>
                    <w:jc w:val="left"/>
                    <w:rPr>
                      <w:color w:val="000000" w:themeColor="text1"/>
                      <w:sz w:val="20"/>
                      <w:szCs w:val="22"/>
                    </w:rPr>
                  </w:pPr>
                  <w:r w:rsidRPr="00032B64">
                    <w:rPr>
                      <w:color w:val="000000" w:themeColor="text1"/>
                      <w:sz w:val="20"/>
                      <w:szCs w:val="22"/>
                    </w:rPr>
                    <w:t>Oral health</w:t>
                  </w:r>
                </w:p>
              </w:tc>
              <w:tc>
                <w:tcPr>
                  <w:tcW w:w="104" w:type="pct"/>
                  <w:shd w:val="clear" w:color="auto" w:fill="auto"/>
                </w:tcPr>
                <w:p w14:paraId="3AE9F9C7" w14:textId="77777777" w:rsidR="003D56F7" w:rsidRPr="003D56F7" w:rsidRDefault="003D56F7" w:rsidP="003D56F7">
                  <w:pPr>
                    <w:pStyle w:val="TableBodyText"/>
                    <w:spacing w:before="120"/>
                    <w:jc w:val="left"/>
                    <w:rPr>
                      <w:color w:val="000000" w:themeColor="text1"/>
                      <w:sz w:val="20"/>
                      <w:szCs w:val="22"/>
                    </w:rPr>
                  </w:pPr>
                </w:p>
              </w:tc>
              <w:tc>
                <w:tcPr>
                  <w:tcW w:w="3322" w:type="pct"/>
                  <w:shd w:val="clear" w:color="auto" w:fill="auto"/>
                </w:tcPr>
                <w:p w14:paraId="3D201D03" w14:textId="6655771A" w:rsidR="003D56F7" w:rsidRPr="003D56F7" w:rsidRDefault="003D56F7" w:rsidP="003D56F7">
                  <w:pPr>
                    <w:pStyle w:val="TableBodyText"/>
                    <w:spacing w:before="120"/>
                    <w:ind w:right="28"/>
                    <w:jc w:val="both"/>
                    <w:rPr>
                      <w:color w:val="000000" w:themeColor="text1"/>
                      <w:sz w:val="20"/>
                      <w:szCs w:val="22"/>
                    </w:rPr>
                  </w:pPr>
                  <w:r>
                    <w:rPr>
                      <w:color w:val="000000" w:themeColor="text1"/>
                      <w:sz w:val="20"/>
                      <w:szCs w:val="22"/>
                    </w:rPr>
                    <w:t xml:space="preserve">Collect nationally comparable </w:t>
                  </w:r>
                  <w:r w:rsidRPr="00032B64">
                    <w:rPr>
                      <w:color w:val="000000" w:themeColor="text1"/>
                      <w:sz w:val="20"/>
                      <w:szCs w:val="22"/>
                    </w:rPr>
                    <w:t>data.</w:t>
                  </w:r>
                </w:p>
              </w:tc>
            </w:tr>
            <w:tr w:rsidR="003D56F7" w:rsidRPr="00037871" w14:paraId="505755D1" w14:textId="77777777" w:rsidTr="003D56F7">
              <w:tc>
                <w:tcPr>
                  <w:tcW w:w="1574" w:type="pct"/>
                  <w:shd w:val="clear" w:color="auto" w:fill="auto"/>
                </w:tcPr>
                <w:p w14:paraId="259339A1" w14:textId="77C7121C" w:rsidR="003D56F7" w:rsidRPr="003D56F7" w:rsidRDefault="003D56F7" w:rsidP="003D56F7">
                  <w:pPr>
                    <w:pStyle w:val="TableBodyText"/>
                    <w:spacing w:before="120"/>
                    <w:jc w:val="left"/>
                    <w:rPr>
                      <w:color w:val="000000" w:themeColor="text1"/>
                      <w:sz w:val="20"/>
                      <w:szCs w:val="22"/>
                    </w:rPr>
                  </w:pPr>
                  <w:r>
                    <w:rPr>
                      <w:color w:val="000000" w:themeColor="text1"/>
                      <w:sz w:val="20"/>
                      <w:szCs w:val="22"/>
                    </w:rPr>
                    <w:t>Home ownership</w:t>
                  </w:r>
                </w:p>
              </w:tc>
              <w:tc>
                <w:tcPr>
                  <w:tcW w:w="104" w:type="pct"/>
                  <w:shd w:val="clear" w:color="auto" w:fill="auto"/>
                </w:tcPr>
                <w:p w14:paraId="1C169C26" w14:textId="77777777" w:rsidR="003D56F7" w:rsidRPr="003D56F7" w:rsidRDefault="003D56F7" w:rsidP="003D56F7">
                  <w:pPr>
                    <w:pStyle w:val="TableBodyText"/>
                    <w:spacing w:before="120"/>
                    <w:jc w:val="left"/>
                    <w:rPr>
                      <w:color w:val="000000" w:themeColor="text1"/>
                      <w:sz w:val="20"/>
                      <w:szCs w:val="22"/>
                    </w:rPr>
                  </w:pPr>
                </w:p>
              </w:tc>
              <w:tc>
                <w:tcPr>
                  <w:tcW w:w="3322" w:type="pct"/>
                  <w:shd w:val="clear" w:color="auto" w:fill="auto"/>
                </w:tcPr>
                <w:p w14:paraId="2A711C4C" w14:textId="2B0EAB11" w:rsidR="003D56F7" w:rsidRPr="003D56F7" w:rsidRDefault="003D56F7" w:rsidP="003D56F7">
                  <w:pPr>
                    <w:pStyle w:val="TableBodyText"/>
                    <w:spacing w:before="120"/>
                    <w:ind w:right="28"/>
                    <w:jc w:val="both"/>
                    <w:rPr>
                      <w:color w:val="000000" w:themeColor="text1"/>
                      <w:sz w:val="20"/>
                      <w:szCs w:val="22"/>
                    </w:rPr>
                  </w:pPr>
                  <w:r>
                    <w:rPr>
                      <w:color w:val="000000" w:themeColor="text1"/>
                      <w:sz w:val="20"/>
                      <w:szCs w:val="22"/>
                    </w:rPr>
                    <w:t>Collect data on preferences.</w:t>
                  </w:r>
                </w:p>
              </w:tc>
            </w:tr>
            <w:tr w:rsidR="003D56F7" w:rsidRPr="00037871" w14:paraId="7B8C536B" w14:textId="77777777" w:rsidTr="003D56F7">
              <w:tc>
                <w:tcPr>
                  <w:tcW w:w="1574" w:type="pct"/>
                  <w:shd w:val="clear" w:color="auto" w:fill="auto"/>
                </w:tcPr>
                <w:p w14:paraId="4A623FE9" w14:textId="3E394755" w:rsidR="003D56F7" w:rsidRPr="003D56F7" w:rsidRDefault="003D56F7" w:rsidP="003D56F7">
                  <w:pPr>
                    <w:pStyle w:val="TableBodyText"/>
                    <w:spacing w:before="120"/>
                    <w:jc w:val="left"/>
                    <w:rPr>
                      <w:color w:val="000000" w:themeColor="text1"/>
                      <w:sz w:val="20"/>
                      <w:szCs w:val="22"/>
                    </w:rPr>
                  </w:pPr>
                  <w:r w:rsidRPr="00032B64">
                    <w:rPr>
                      <w:color w:val="000000" w:themeColor="text1"/>
                      <w:sz w:val="20"/>
                      <w:szCs w:val="22"/>
                    </w:rPr>
                    <w:t>Youth diversions</w:t>
                  </w:r>
                </w:p>
              </w:tc>
              <w:tc>
                <w:tcPr>
                  <w:tcW w:w="104" w:type="pct"/>
                  <w:shd w:val="clear" w:color="auto" w:fill="auto"/>
                </w:tcPr>
                <w:p w14:paraId="363AA5FC" w14:textId="77777777" w:rsidR="003D56F7" w:rsidRPr="003D56F7" w:rsidRDefault="003D56F7" w:rsidP="003D56F7">
                  <w:pPr>
                    <w:pStyle w:val="TableBodyText"/>
                    <w:spacing w:before="120"/>
                    <w:jc w:val="left"/>
                    <w:rPr>
                      <w:color w:val="000000" w:themeColor="text1"/>
                      <w:sz w:val="20"/>
                      <w:szCs w:val="22"/>
                    </w:rPr>
                  </w:pPr>
                </w:p>
              </w:tc>
              <w:tc>
                <w:tcPr>
                  <w:tcW w:w="3322" w:type="pct"/>
                  <w:shd w:val="clear" w:color="auto" w:fill="auto"/>
                </w:tcPr>
                <w:p w14:paraId="02FE944F" w14:textId="36727068" w:rsidR="003D56F7" w:rsidRPr="003D56F7" w:rsidRDefault="003D56F7" w:rsidP="003D56F7">
                  <w:pPr>
                    <w:pStyle w:val="TableBodyText"/>
                    <w:spacing w:before="120"/>
                    <w:ind w:right="28"/>
                    <w:jc w:val="both"/>
                    <w:rPr>
                      <w:color w:val="000000" w:themeColor="text1"/>
                      <w:sz w:val="20"/>
                      <w:szCs w:val="22"/>
                    </w:rPr>
                  </w:pPr>
                  <w:r>
                    <w:rPr>
                      <w:color w:val="000000" w:themeColor="text1"/>
                      <w:sz w:val="20"/>
                      <w:szCs w:val="22"/>
                    </w:rPr>
                    <w:t>C</w:t>
                  </w:r>
                  <w:r w:rsidRPr="00032B64">
                    <w:rPr>
                      <w:color w:val="000000" w:themeColor="text1"/>
                      <w:sz w:val="20"/>
                      <w:szCs w:val="22"/>
                    </w:rPr>
                    <w:t>ollect nationally comparable data.</w:t>
                  </w:r>
                </w:p>
              </w:tc>
            </w:tr>
            <w:tr w:rsidR="003D56F7" w:rsidRPr="00037871" w14:paraId="1BCFD8A6" w14:textId="77777777" w:rsidTr="003D56F7">
              <w:tc>
                <w:tcPr>
                  <w:tcW w:w="1574" w:type="pct"/>
                  <w:shd w:val="clear" w:color="auto" w:fill="auto"/>
                </w:tcPr>
                <w:p w14:paraId="7DE02E37" w14:textId="5F4F082B" w:rsidR="003D56F7" w:rsidRPr="003D56F7" w:rsidRDefault="003D56F7" w:rsidP="003D56F7">
                  <w:pPr>
                    <w:pStyle w:val="TableBodyText"/>
                    <w:spacing w:before="120"/>
                    <w:jc w:val="left"/>
                    <w:rPr>
                      <w:color w:val="000000" w:themeColor="text1"/>
                      <w:sz w:val="20"/>
                      <w:szCs w:val="22"/>
                    </w:rPr>
                  </w:pPr>
                  <w:r w:rsidRPr="00032B64">
                    <w:rPr>
                      <w:color w:val="000000" w:themeColor="text1"/>
                      <w:sz w:val="20"/>
                      <w:szCs w:val="22"/>
                    </w:rPr>
                    <w:t>Self-employment and Indigenous business</w:t>
                  </w:r>
                </w:p>
              </w:tc>
              <w:tc>
                <w:tcPr>
                  <w:tcW w:w="104" w:type="pct"/>
                  <w:shd w:val="clear" w:color="auto" w:fill="auto"/>
                </w:tcPr>
                <w:p w14:paraId="1C59F42F" w14:textId="77777777" w:rsidR="003D56F7" w:rsidRPr="003D56F7" w:rsidRDefault="003D56F7" w:rsidP="003D56F7">
                  <w:pPr>
                    <w:pStyle w:val="TableBodyText"/>
                    <w:spacing w:before="120"/>
                    <w:jc w:val="left"/>
                    <w:rPr>
                      <w:color w:val="000000" w:themeColor="text1"/>
                      <w:sz w:val="20"/>
                      <w:szCs w:val="22"/>
                    </w:rPr>
                  </w:pPr>
                </w:p>
              </w:tc>
              <w:tc>
                <w:tcPr>
                  <w:tcW w:w="3322" w:type="pct"/>
                  <w:shd w:val="clear" w:color="auto" w:fill="auto"/>
                </w:tcPr>
                <w:p w14:paraId="41F980D2" w14:textId="75F930E9" w:rsidR="003D56F7" w:rsidRPr="003D56F7" w:rsidRDefault="003D56F7" w:rsidP="003D56F7">
                  <w:pPr>
                    <w:pStyle w:val="TableBodyText"/>
                    <w:spacing w:before="120"/>
                    <w:ind w:right="28"/>
                    <w:jc w:val="both"/>
                    <w:rPr>
                      <w:color w:val="000000" w:themeColor="text1"/>
                      <w:sz w:val="20"/>
                      <w:szCs w:val="22"/>
                    </w:rPr>
                  </w:pPr>
                  <w:r>
                    <w:rPr>
                      <w:color w:val="000000" w:themeColor="text1"/>
                      <w:sz w:val="20"/>
                      <w:szCs w:val="22"/>
                    </w:rPr>
                    <w:t xml:space="preserve">Collect </w:t>
                  </w:r>
                  <w:r w:rsidRPr="00032B64">
                    <w:rPr>
                      <w:color w:val="000000" w:themeColor="text1"/>
                      <w:sz w:val="20"/>
                      <w:szCs w:val="22"/>
                    </w:rPr>
                    <w:t>data on Indigenous businesses.</w:t>
                  </w:r>
                </w:p>
              </w:tc>
            </w:tr>
            <w:tr w:rsidR="003D56F7" w:rsidRPr="00037871" w14:paraId="22F4ADA1" w14:textId="77777777" w:rsidTr="00227E25">
              <w:tc>
                <w:tcPr>
                  <w:tcW w:w="1574" w:type="pct"/>
                  <w:tcBorders>
                    <w:bottom w:val="single" w:sz="6" w:space="0" w:color="BFBFBF"/>
                  </w:tcBorders>
                  <w:shd w:val="clear" w:color="auto" w:fill="auto"/>
                </w:tcPr>
                <w:p w14:paraId="1FD353D2" w14:textId="73D64BEF" w:rsidR="003D56F7" w:rsidRPr="003D56F7" w:rsidRDefault="003D56F7" w:rsidP="003D56F7">
                  <w:pPr>
                    <w:pStyle w:val="TableBodyText"/>
                    <w:spacing w:before="120"/>
                    <w:jc w:val="left"/>
                    <w:rPr>
                      <w:color w:val="000000" w:themeColor="text1"/>
                      <w:sz w:val="20"/>
                      <w:szCs w:val="22"/>
                    </w:rPr>
                  </w:pPr>
                  <w:r w:rsidRPr="00032B64">
                    <w:rPr>
                      <w:color w:val="000000" w:themeColor="text1"/>
                      <w:sz w:val="20"/>
                      <w:szCs w:val="22"/>
                    </w:rPr>
                    <w:t xml:space="preserve">Access to clean water </w:t>
                  </w:r>
                  <w:r w:rsidRPr="00032B64">
                    <w:rPr>
                      <w:color w:val="000000" w:themeColor="text1"/>
                      <w:sz w:val="20"/>
                      <w:szCs w:val="22"/>
                    </w:rPr>
                    <w:br/>
                    <w:t>and functional sewerage and electricity services</w:t>
                  </w:r>
                </w:p>
              </w:tc>
              <w:tc>
                <w:tcPr>
                  <w:tcW w:w="104" w:type="pct"/>
                  <w:tcBorders>
                    <w:bottom w:val="single" w:sz="6" w:space="0" w:color="BFBFBF"/>
                  </w:tcBorders>
                  <w:shd w:val="clear" w:color="auto" w:fill="auto"/>
                </w:tcPr>
                <w:p w14:paraId="0943564A" w14:textId="77777777" w:rsidR="003D56F7" w:rsidRPr="003D56F7" w:rsidRDefault="003D56F7" w:rsidP="003D56F7">
                  <w:pPr>
                    <w:pStyle w:val="TableBodyText"/>
                    <w:spacing w:before="120"/>
                    <w:jc w:val="left"/>
                    <w:rPr>
                      <w:color w:val="000000" w:themeColor="text1"/>
                      <w:sz w:val="20"/>
                      <w:szCs w:val="22"/>
                    </w:rPr>
                  </w:pPr>
                </w:p>
              </w:tc>
              <w:tc>
                <w:tcPr>
                  <w:tcW w:w="3322" w:type="pct"/>
                  <w:tcBorders>
                    <w:bottom w:val="single" w:sz="6" w:space="0" w:color="BFBFBF"/>
                  </w:tcBorders>
                  <w:shd w:val="clear" w:color="auto" w:fill="auto"/>
                </w:tcPr>
                <w:p w14:paraId="775214CB" w14:textId="7F2C023C" w:rsidR="003D56F7" w:rsidRPr="003D56F7" w:rsidRDefault="003D56F7" w:rsidP="003D56F7">
                  <w:pPr>
                    <w:pStyle w:val="TableBodyText"/>
                    <w:spacing w:before="120"/>
                    <w:ind w:right="28"/>
                    <w:jc w:val="both"/>
                    <w:rPr>
                      <w:color w:val="000000" w:themeColor="text1"/>
                      <w:sz w:val="20"/>
                      <w:szCs w:val="22"/>
                    </w:rPr>
                  </w:pPr>
                  <w:r w:rsidRPr="00032B64">
                    <w:rPr>
                      <w:color w:val="000000" w:themeColor="text1"/>
                      <w:sz w:val="20"/>
                      <w:szCs w:val="22"/>
                    </w:rPr>
                    <w:t xml:space="preserve">Collect data on essential services in Aboriginal and Torres Strait Islander communities. </w:t>
                  </w:r>
                </w:p>
              </w:tc>
            </w:tr>
          </w:tbl>
          <w:p w14:paraId="6E7B6EA4" w14:textId="77777777" w:rsidR="00826ABC" w:rsidRPr="00037871" w:rsidRDefault="00826ABC" w:rsidP="00826ABC">
            <w:pPr>
              <w:pStyle w:val="Box"/>
              <w:rPr>
                <w:color w:val="00B050"/>
              </w:rPr>
            </w:pPr>
          </w:p>
        </w:tc>
      </w:tr>
      <w:tr w:rsidR="00037871" w:rsidRPr="00037871" w14:paraId="04721F31" w14:textId="77777777" w:rsidTr="00E929ED">
        <w:trPr>
          <w:cantSplit/>
        </w:trPr>
        <w:tc>
          <w:tcPr>
            <w:tcW w:w="8789" w:type="dxa"/>
            <w:tcBorders>
              <w:top w:val="nil"/>
              <w:left w:val="nil"/>
              <w:bottom w:val="single" w:sz="6" w:space="0" w:color="78A22F"/>
              <w:right w:val="nil"/>
            </w:tcBorders>
            <w:shd w:val="clear" w:color="auto" w:fill="auto"/>
          </w:tcPr>
          <w:p w14:paraId="7B4440AD" w14:textId="77777777" w:rsidR="00826ABC" w:rsidRPr="00037871" w:rsidRDefault="00826ABC" w:rsidP="00826ABC">
            <w:pPr>
              <w:pStyle w:val="Box"/>
              <w:spacing w:before="0" w:line="120" w:lineRule="exact"/>
              <w:rPr>
                <w:color w:val="00B050"/>
              </w:rPr>
            </w:pPr>
          </w:p>
        </w:tc>
      </w:tr>
      <w:tr w:rsidR="00037871" w:rsidRPr="00037871" w14:paraId="4B92BF0D" w14:textId="77777777" w:rsidTr="00E929ED">
        <w:tc>
          <w:tcPr>
            <w:tcW w:w="8789" w:type="dxa"/>
            <w:tcBorders>
              <w:top w:val="single" w:sz="6" w:space="0" w:color="78A22F"/>
              <w:left w:val="nil"/>
              <w:bottom w:val="nil"/>
              <w:right w:val="nil"/>
            </w:tcBorders>
          </w:tcPr>
          <w:p w14:paraId="29235579" w14:textId="77777777" w:rsidR="00826ABC" w:rsidRPr="00037871" w:rsidRDefault="00826ABC" w:rsidP="00E929ED">
            <w:pPr>
              <w:pStyle w:val="BoxSpaceBelow"/>
              <w:spacing w:after="0"/>
              <w:rPr>
                <w:color w:val="00B050"/>
              </w:rPr>
            </w:pPr>
          </w:p>
        </w:tc>
      </w:tr>
    </w:tbl>
    <w:p w14:paraId="57B8231F" w14:textId="77777777" w:rsidR="00826ABC" w:rsidRPr="007268E9" w:rsidRDefault="00826ABC" w:rsidP="00E929ED">
      <w:pPr>
        <w:pStyle w:val="BodyText"/>
      </w:pPr>
    </w:p>
    <w:sectPr w:rsidR="00826ABC" w:rsidRPr="007268E9" w:rsidSect="00E5742D">
      <w:headerReference w:type="even" r:id="rId32"/>
      <w:headerReference w:type="default" r:id="rId33"/>
      <w:footerReference w:type="even" r:id="rId34"/>
      <w:footerReference w:type="default" r:id="rId35"/>
      <w:pgSz w:w="11907" w:h="16840" w:code="9"/>
      <w:pgMar w:top="1984" w:right="1304" w:bottom="1247" w:left="1814" w:header="1701" w:footer="397" w:gutter="0"/>
      <w:pgNumType w:start="1" w:chapStyle="1" w:chapSep="period"/>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621357" w14:textId="77777777" w:rsidR="009E3E9E" w:rsidRDefault="009E3E9E">
      <w:r>
        <w:separator/>
      </w:r>
    </w:p>
  </w:endnote>
  <w:endnote w:type="continuationSeparator" w:id="0">
    <w:p w14:paraId="5795B0B7" w14:textId="77777777" w:rsidR="009E3E9E" w:rsidRDefault="009E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old">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E3E9E" w14:paraId="1E73B143" w14:textId="77777777" w:rsidTr="005F48ED">
      <w:trPr>
        <w:trHeight w:hRule="exact" w:val="567"/>
      </w:trPr>
      <w:tc>
        <w:tcPr>
          <w:tcW w:w="510" w:type="dxa"/>
        </w:tcPr>
        <w:p w14:paraId="743E4878" w14:textId="77777777" w:rsidR="009E3E9E" w:rsidRPr="00A24443" w:rsidRDefault="009E3E9E" w:rsidP="0019293B">
          <w:pPr>
            <w:pStyle w:val="Footer"/>
            <w:tabs>
              <w:tab w:val="left" w:pos="0"/>
            </w:tabs>
            <w:ind w:right="0"/>
            <w:rPr>
              <w:rStyle w:val="PageNumbe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B4C21">
            <w:rPr>
              <w:rStyle w:val="PageNumber"/>
              <w:caps w:val="0"/>
              <w:noProof/>
            </w:rPr>
            <w:t>4</w:t>
          </w:r>
          <w:r w:rsidRPr="00A24443">
            <w:rPr>
              <w:rStyle w:val="PageNumber"/>
              <w:caps w:val="0"/>
            </w:rPr>
            <w:fldChar w:fldCharType="end"/>
          </w:r>
        </w:p>
      </w:tc>
      <w:tc>
        <w:tcPr>
          <w:tcW w:w="7767" w:type="dxa"/>
        </w:tcPr>
        <w:p w14:paraId="146F08C0" w14:textId="74CFBEB7" w:rsidR="009E3E9E" w:rsidRPr="0013739A" w:rsidRDefault="009E3E9E" w:rsidP="001C42D5">
          <w:pPr>
            <w:pStyle w:val="Footer"/>
            <w:rPr>
              <w:rFonts w:cs="Arial"/>
            </w:rPr>
          </w:pPr>
          <w:r>
            <w:rPr>
              <w:rFonts w:cs="Arial"/>
            </w:rPr>
            <w:t>Overcoming Indigenous Disadvantage 20</w:t>
          </w:r>
          <w:bookmarkStart w:id="2" w:name="DraftReportEven"/>
          <w:bookmarkEnd w:id="2"/>
          <w:r>
            <w:rPr>
              <w:rFonts w:cs="Arial"/>
            </w:rPr>
            <w:t>20</w:t>
          </w:r>
        </w:p>
      </w:tc>
      <w:tc>
        <w:tcPr>
          <w:tcW w:w="510" w:type="dxa"/>
        </w:tcPr>
        <w:p w14:paraId="02AF699F" w14:textId="77777777" w:rsidR="009E3E9E" w:rsidRDefault="009E3E9E" w:rsidP="0019293B">
          <w:pPr>
            <w:pStyle w:val="Footer"/>
          </w:pPr>
        </w:p>
      </w:tc>
    </w:tr>
  </w:tbl>
  <w:p w14:paraId="5764092B" w14:textId="77777777" w:rsidR="009E3E9E" w:rsidRDefault="009E3E9E" w:rsidP="0019293B">
    <w:pPr>
      <w:pStyle w:val="FooterE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510"/>
      <w:gridCol w:w="7767"/>
      <w:gridCol w:w="510"/>
    </w:tblGrid>
    <w:tr w:rsidR="009E3E9E" w14:paraId="6214DAB4" w14:textId="77777777" w:rsidTr="005F48ED">
      <w:trPr>
        <w:trHeight w:hRule="exact" w:val="567"/>
      </w:trPr>
      <w:tc>
        <w:tcPr>
          <w:tcW w:w="510" w:type="dxa"/>
        </w:tcPr>
        <w:p w14:paraId="7FB1B6AC" w14:textId="516D1DD6" w:rsidR="009E3E9E" w:rsidRDefault="009E3E9E">
          <w:pPr>
            <w:pStyle w:val="Footer"/>
            <w:ind w:right="360" w:firstLine="360"/>
          </w:pPr>
        </w:p>
      </w:tc>
      <w:tc>
        <w:tcPr>
          <w:tcW w:w="7767" w:type="dxa"/>
        </w:tcPr>
        <w:p w14:paraId="5FB9D1A7" w14:textId="77777777" w:rsidR="009E3E9E" w:rsidRPr="00BA5B14" w:rsidRDefault="009E3E9E" w:rsidP="0013739A">
          <w:pPr>
            <w:pStyle w:val="Footer"/>
            <w:jc w:val="right"/>
            <w:rPr>
              <w:rFonts w:cs="Arial"/>
            </w:rPr>
          </w:pPr>
          <w:r>
            <w:rPr>
              <w:rFonts w:cs="Arial"/>
            </w:rPr>
            <w:t>Overview</w:t>
          </w:r>
          <w:bookmarkStart w:id="3" w:name="DraftReportOdd"/>
          <w:bookmarkEnd w:id="3"/>
        </w:p>
      </w:tc>
      <w:tc>
        <w:tcPr>
          <w:tcW w:w="510" w:type="dxa"/>
        </w:tcPr>
        <w:p w14:paraId="76ACE688" w14:textId="77777777" w:rsidR="009E3E9E" w:rsidRPr="00A24443" w:rsidRDefault="009E3E9E">
          <w:pPr>
            <w:pStyle w:val="Footer"/>
            <w:jc w:val="right"/>
            <w:rPr>
              <w:caps w:val="0"/>
            </w:rPr>
          </w:pPr>
          <w:r w:rsidRPr="00A24443">
            <w:rPr>
              <w:rStyle w:val="PageNumber"/>
              <w:caps w:val="0"/>
            </w:rPr>
            <w:fldChar w:fldCharType="begin"/>
          </w:r>
          <w:r w:rsidRPr="00A24443">
            <w:rPr>
              <w:rStyle w:val="PageNumber"/>
              <w:caps w:val="0"/>
            </w:rPr>
            <w:instrText xml:space="preserve">PAGE  </w:instrText>
          </w:r>
          <w:r w:rsidRPr="00A24443">
            <w:rPr>
              <w:rStyle w:val="PageNumber"/>
              <w:caps w:val="0"/>
            </w:rPr>
            <w:fldChar w:fldCharType="separate"/>
          </w:r>
          <w:r w:rsidR="00BB4C21">
            <w:rPr>
              <w:rStyle w:val="PageNumber"/>
              <w:caps w:val="0"/>
              <w:noProof/>
            </w:rPr>
            <w:t>3</w:t>
          </w:r>
          <w:r w:rsidRPr="00A24443">
            <w:rPr>
              <w:rStyle w:val="PageNumber"/>
              <w:caps w:val="0"/>
            </w:rPr>
            <w:fldChar w:fldCharType="end"/>
          </w:r>
        </w:p>
      </w:tc>
    </w:tr>
  </w:tbl>
  <w:p w14:paraId="31730B17" w14:textId="257D4281" w:rsidR="009E3E9E" w:rsidRDefault="009E3E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06585E" w14:textId="77777777" w:rsidR="009E3E9E" w:rsidRDefault="009E3E9E">
      <w:r>
        <w:separator/>
      </w:r>
    </w:p>
  </w:footnote>
  <w:footnote w:type="continuationSeparator" w:id="0">
    <w:p w14:paraId="1E454E96" w14:textId="77777777" w:rsidR="009E3E9E" w:rsidRDefault="009E3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CellMar>
        <w:left w:w="0" w:type="dxa"/>
        <w:right w:w="0" w:type="dxa"/>
      </w:tblCellMar>
      <w:tblLook w:val="0000" w:firstRow="0" w:lastRow="0" w:firstColumn="0" w:lastColumn="0" w:noHBand="0" w:noVBand="0"/>
    </w:tblPr>
    <w:tblGrid>
      <w:gridCol w:w="2155"/>
      <w:gridCol w:w="6634"/>
    </w:tblGrid>
    <w:tr w:rsidR="009E3E9E" w14:paraId="48389A5E" w14:textId="77777777">
      <w:tc>
        <w:tcPr>
          <w:tcW w:w="2155" w:type="dxa"/>
          <w:tcBorders>
            <w:top w:val="single" w:sz="24" w:space="0" w:color="auto"/>
          </w:tcBorders>
        </w:tcPr>
        <w:p w14:paraId="3A13914C" w14:textId="77777777" w:rsidR="009E3E9E" w:rsidRDefault="009E3E9E" w:rsidP="0019293B">
          <w:pPr>
            <w:pStyle w:val="HeaderEven"/>
          </w:pPr>
        </w:p>
      </w:tc>
      <w:tc>
        <w:tcPr>
          <w:tcW w:w="6634" w:type="dxa"/>
          <w:tcBorders>
            <w:top w:val="single" w:sz="6" w:space="0" w:color="auto"/>
          </w:tcBorders>
        </w:tcPr>
        <w:p w14:paraId="1BB9F6AA" w14:textId="2709DD45" w:rsidR="009E3E9E" w:rsidRDefault="009E3E9E" w:rsidP="00D17CE9">
          <w:pPr>
            <w:pStyle w:val="HeaderEven"/>
          </w:pPr>
        </w:p>
      </w:tc>
    </w:tr>
  </w:tbl>
  <w:p w14:paraId="3E86F458" w14:textId="77777777" w:rsidR="009E3E9E" w:rsidRDefault="009E3E9E" w:rsidP="0019293B">
    <w:pPr>
      <w:pStyle w:val="HeaderEn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9E3E9E" w14:paraId="3F6DB6A7" w14:textId="77777777">
      <w:tc>
        <w:tcPr>
          <w:tcW w:w="6634" w:type="dxa"/>
          <w:tcBorders>
            <w:top w:val="single" w:sz="6" w:space="0" w:color="auto"/>
          </w:tcBorders>
        </w:tcPr>
        <w:p w14:paraId="18BA1CBC" w14:textId="2F516B6E" w:rsidR="009E3E9E" w:rsidRDefault="009E3E9E" w:rsidP="00D17CE9">
          <w:pPr>
            <w:pStyle w:val="HeaderOdd"/>
          </w:pPr>
        </w:p>
      </w:tc>
      <w:tc>
        <w:tcPr>
          <w:tcW w:w="2155" w:type="dxa"/>
          <w:tcBorders>
            <w:top w:val="single" w:sz="24" w:space="0" w:color="auto"/>
          </w:tcBorders>
        </w:tcPr>
        <w:p w14:paraId="36ED0F38" w14:textId="77777777" w:rsidR="009E3E9E" w:rsidRDefault="009E3E9E" w:rsidP="00E669E2">
          <w:pPr>
            <w:pStyle w:val="HeaderOdd"/>
          </w:pPr>
        </w:p>
      </w:tc>
    </w:tr>
  </w:tbl>
  <w:p w14:paraId="1538F926" w14:textId="45BAEE36" w:rsidR="009E3E9E" w:rsidRDefault="009E3E9E" w:rsidP="00C305A0">
    <w:pPr>
      <w:pStyle w:val="HeaderEn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4" w15:restartNumberingAfterBreak="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5" w15:restartNumberingAfterBreak="0">
    <w:nsid w:val="0D6512A1"/>
    <w:multiLevelType w:val="hybridMultilevel"/>
    <w:tmpl w:val="BCF6D1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9" w15:restartNumberingAfterBreak="0">
    <w:nsid w:val="1452415F"/>
    <w:multiLevelType w:val="hybridMultilevel"/>
    <w:tmpl w:val="11042038"/>
    <w:lvl w:ilvl="0" w:tplc="CC683DAA">
      <w:start w:val="1"/>
      <w:numFmt w:val="bullet"/>
      <w:pStyle w:val="KeyPointsListBullet2"/>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1" w15:restartNumberingAfterBreak="0">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15:restartNumberingAfterBreak="0">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13" w15:restartNumberingAfterBreak="0">
    <w:nsid w:val="3DD54F1F"/>
    <w:multiLevelType w:val="hybridMultilevel"/>
    <w:tmpl w:val="683099F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4" w15:restartNumberingAfterBreak="0">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16" w15:restartNumberingAfterBreak="0">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17" w15:restartNumberingAfterBreak="0">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18" w15:restartNumberingAfterBreak="0">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5BAA5EE7"/>
    <w:multiLevelType w:val="hybridMultilevel"/>
    <w:tmpl w:val="FF3EA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0A27097"/>
    <w:multiLevelType w:val="hybridMultilevel"/>
    <w:tmpl w:val="39D64E4A"/>
    <w:lvl w:ilvl="0" w:tplc="FEF6E6BE">
      <w:start w:val="1"/>
      <w:numFmt w:val="bullet"/>
      <w:pStyle w:val="KeyPointsList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22" w15:restartNumberingAfterBreak="0">
    <w:nsid w:val="79952DDA"/>
    <w:multiLevelType w:val="hybridMultilevel"/>
    <w:tmpl w:val="7F741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24" w15:restartNumberingAfterBreak="0">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num w:numId="1">
    <w:abstractNumId w:val="12"/>
  </w:num>
  <w:num w:numId="2">
    <w:abstractNumId w:val="2"/>
  </w:num>
  <w:num w:numId="3">
    <w:abstractNumId w:val="15"/>
  </w:num>
  <w:num w:numId="4">
    <w:abstractNumId w:val="3"/>
  </w:num>
  <w:num w:numId="5">
    <w:abstractNumId w:val="21"/>
  </w:num>
  <w:num w:numId="6">
    <w:abstractNumId w:val="17"/>
  </w:num>
  <w:num w:numId="7">
    <w:abstractNumId w:val="8"/>
  </w:num>
  <w:num w:numId="8">
    <w:abstractNumId w:val="16"/>
  </w:num>
  <w:num w:numId="9">
    <w:abstractNumId w:val="7"/>
  </w:num>
  <w:num w:numId="10">
    <w:abstractNumId w:val="6"/>
  </w:num>
  <w:num w:numId="11">
    <w:abstractNumId w:val="10"/>
  </w:num>
  <w:num w:numId="12">
    <w:abstractNumId w:val="11"/>
  </w:num>
  <w:num w:numId="13">
    <w:abstractNumId w:val="4"/>
  </w:num>
  <w:num w:numId="14">
    <w:abstractNumId w:val="18"/>
  </w:num>
  <w:num w:numId="15">
    <w:abstractNumId w:val="23"/>
  </w:num>
  <w:num w:numId="16">
    <w:abstractNumId w:val="14"/>
  </w:num>
  <w:num w:numId="17">
    <w:abstractNumId w:val="24"/>
  </w:num>
  <w:num w:numId="18">
    <w:abstractNumId w:val="0"/>
  </w:num>
  <w:num w:numId="19">
    <w:abstractNumId w:val="1"/>
    <w:lvlOverride w:ilvl="0">
      <w:lvl w:ilvl="0">
        <w:start w:val="1"/>
        <w:numFmt w:val="bullet"/>
        <w:lvlText w:val=""/>
        <w:legacy w:legacy="1" w:legacySpace="0" w:legacyIndent="284"/>
        <w:lvlJc w:val="left"/>
        <w:pPr>
          <w:ind w:left="284" w:hanging="284"/>
        </w:pPr>
        <w:rPr>
          <w:rFonts w:ascii="Symbol" w:hAnsi="Symbol" w:hint="default"/>
          <w:sz w:val="18"/>
        </w:rPr>
      </w:lvl>
    </w:lvlOverride>
  </w:num>
  <w:num w:numId="20">
    <w:abstractNumId w:val="20"/>
  </w:num>
  <w:num w:numId="21">
    <w:abstractNumId w:val="9"/>
  </w:num>
  <w:num w:numId="22">
    <w:abstractNumId w:val="22"/>
  </w:num>
  <w:num w:numId="23">
    <w:abstractNumId w:val="19"/>
  </w:num>
  <w:num w:numId="24">
    <w:abstractNumId w:val="12"/>
  </w:num>
  <w:num w:numId="25">
    <w:abstractNumId w:val="4"/>
  </w:num>
  <w:num w:numId="26">
    <w:abstractNumId w:val="21"/>
  </w:num>
  <w:num w:numId="27">
    <w:abstractNumId w:val="18"/>
  </w:num>
  <w:num w:numId="28">
    <w:abstractNumId w:val="6"/>
  </w:num>
  <w:num w:numId="29">
    <w:abstractNumId w:val="6"/>
  </w:num>
  <w:num w:numId="30">
    <w:abstractNumId w:val="11"/>
  </w:num>
  <w:num w:numId="31">
    <w:abstractNumId w:val="23"/>
  </w:num>
  <w:num w:numId="32">
    <w:abstractNumId w:val="15"/>
  </w:num>
  <w:num w:numId="33">
    <w:abstractNumId w:val="14"/>
  </w:num>
  <w:num w:numId="34">
    <w:abstractNumId w:val="2"/>
  </w:num>
  <w:num w:numId="35">
    <w:abstractNumId w:val="20"/>
  </w:num>
  <w:num w:numId="36">
    <w:abstractNumId w:val="9"/>
  </w:num>
  <w:num w:numId="37">
    <w:abstractNumId w:val="3"/>
  </w:num>
  <w:num w:numId="38">
    <w:abstractNumId w:val="7"/>
  </w:num>
  <w:num w:numId="39">
    <w:abstractNumId w:val="7"/>
  </w:num>
  <w:num w:numId="40">
    <w:abstractNumId w:val="7"/>
  </w:num>
  <w:num w:numId="41">
    <w:abstractNumId w:val="17"/>
  </w:num>
  <w:num w:numId="42">
    <w:abstractNumId w:val="24"/>
  </w:num>
  <w:num w:numId="43">
    <w:abstractNumId w:val="10"/>
  </w:num>
  <w:num w:numId="44">
    <w:abstractNumId w:val="8"/>
  </w:num>
  <w:num w:numId="45">
    <w:abstractNumId w:val="16"/>
  </w:num>
  <w:num w:numId="46">
    <w:abstractNumId w:val="5"/>
  </w:num>
  <w:num w:numId="47">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3"/>
  <w:mirrorMargins/>
  <w:proofState w:spelling="clean"/>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1075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FindingOptions" w:val="1"/>
    <w:docVar w:name="RecOptions" w:val="111"/>
    <w:docVar w:name="ShortChapterTitle" w:val="Overview"/>
    <w:docVar w:name="ShortReportTitle" w:val="Overcoming Indigenous Disadvantage 2014"/>
  </w:docVars>
  <w:rsids>
    <w:rsidRoot w:val="00C05E94"/>
    <w:rsid w:val="000017FD"/>
    <w:rsid w:val="00003878"/>
    <w:rsid w:val="00006B8E"/>
    <w:rsid w:val="00011D0F"/>
    <w:rsid w:val="00012BDE"/>
    <w:rsid w:val="00013D89"/>
    <w:rsid w:val="00016570"/>
    <w:rsid w:val="0001760D"/>
    <w:rsid w:val="000227D5"/>
    <w:rsid w:val="00022839"/>
    <w:rsid w:val="0002365A"/>
    <w:rsid w:val="000245AA"/>
    <w:rsid w:val="000274E1"/>
    <w:rsid w:val="0003150E"/>
    <w:rsid w:val="0003290F"/>
    <w:rsid w:val="000338B9"/>
    <w:rsid w:val="0003664B"/>
    <w:rsid w:val="00037871"/>
    <w:rsid w:val="00037AB9"/>
    <w:rsid w:val="0004111F"/>
    <w:rsid w:val="0004364C"/>
    <w:rsid w:val="00045FA2"/>
    <w:rsid w:val="00047B12"/>
    <w:rsid w:val="00054A66"/>
    <w:rsid w:val="00055077"/>
    <w:rsid w:val="000565B3"/>
    <w:rsid w:val="00060320"/>
    <w:rsid w:val="0006170B"/>
    <w:rsid w:val="00064340"/>
    <w:rsid w:val="0007150B"/>
    <w:rsid w:val="00073A38"/>
    <w:rsid w:val="000752A8"/>
    <w:rsid w:val="0007674F"/>
    <w:rsid w:val="0007792C"/>
    <w:rsid w:val="00077B7D"/>
    <w:rsid w:val="00077C9E"/>
    <w:rsid w:val="00077E48"/>
    <w:rsid w:val="000808F0"/>
    <w:rsid w:val="000859C7"/>
    <w:rsid w:val="00087F81"/>
    <w:rsid w:val="00091A02"/>
    <w:rsid w:val="000938F5"/>
    <w:rsid w:val="00094646"/>
    <w:rsid w:val="00095663"/>
    <w:rsid w:val="0009587E"/>
    <w:rsid w:val="00096D98"/>
    <w:rsid w:val="00096E55"/>
    <w:rsid w:val="000972D2"/>
    <w:rsid w:val="0009783E"/>
    <w:rsid w:val="00097AD8"/>
    <w:rsid w:val="000A022C"/>
    <w:rsid w:val="000A3571"/>
    <w:rsid w:val="000B1022"/>
    <w:rsid w:val="000B18DD"/>
    <w:rsid w:val="000B3112"/>
    <w:rsid w:val="000B5125"/>
    <w:rsid w:val="000B601B"/>
    <w:rsid w:val="000C0335"/>
    <w:rsid w:val="000C0473"/>
    <w:rsid w:val="000C207E"/>
    <w:rsid w:val="000D21D9"/>
    <w:rsid w:val="000D41E9"/>
    <w:rsid w:val="000D4B13"/>
    <w:rsid w:val="000D56B7"/>
    <w:rsid w:val="000D7EAE"/>
    <w:rsid w:val="000E1049"/>
    <w:rsid w:val="000E2C4D"/>
    <w:rsid w:val="000F0035"/>
    <w:rsid w:val="000F04E7"/>
    <w:rsid w:val="000F060A"/>
    <w:rsid w:val="000F0BC8"/>
    <w:rsid w:val="000F0F09"/>
    <w:rsid w:val="000F2DEC"/>
    <w:rsid w:val="000F420B"/>
    <w:rsid w:val="001032A4"/>
    <w:rsid w:val="00105F87"/>
    <w:rsid w:val="001064FB"/>
    <w:rsid w:val="001068CE"/>
    <w:rsid w:val="00110116"/>
    <w:rsid w:val="00111839"/>
    <w:rsid w:val="001137EF"/>
    <w:rsid w:val="001139FA"/>
    <w:rsid w:val="00120072"/>
    <w:rsid w:val="00122D3D"/>
    <w:rsid w:val="00124A61"/>
    <w:rsid w:val="00126149"/>
    <w:rsid w:val="00126EB8"/>
    <w:rsid w:val="001274D4"/>
    <w:rsid w:val="00127FB7"/>
    <w:rsid w:val="00133ED0"/>
    <w:rsid w:val="00134DA7"/>
    <w:rsid w:val="001363AA"/>
    <w:rsid w:val="001365B1"/>
    <w:rsid w:val="0013692D"/>
    <w:rsid w:val="001372F8"/>
    <w:rsid w:val="0013739A"/>
    <w:rsid w:val="0014070A"/>
    <w:rsid w:val="00142165"/>
    <w:rsid w:val="0014268C"/>
    <w:rsid w:val="00142ACE"/>
    <w:rsid w:val="00142B01"/>
    <w:rsid w:val="00143FA8"/>
    <w:rsid w:val="001509DC"/>
    <w:rsid w:val="00153678"/>
    <w:rsid w:val="0015485D"/>
    <w:rsid w:val="001578F4"/>
    <w:rsid w:val="001601B9"/>
    <w:rsid w:val="00162434"/>
    <w:rsid w:val="00170743"/>
    <w:rsid w:val="00172778"/>
    <w:rsid w:val="00172ACB"/>
    <w:rsid w:val="0018003B"/>
    <w:rsid w:val="00183DBF"/>
    <w:rsid w:val="00183E82"/>
    <w:rsid w:val="001878BB"/>
    <w:rsid w:val="00187DD9"/>
    <w:rsid w:val="00191AE0"/>
    <w:rsid w:val="00192732"/>
    <w:rsid w:val="0019293B"/>
    <w:rsid w:val="00192A01"/>
    <w:rsid w:val="00193821"/>
    <w:rsid w:val="0019426B"/>
    <w:rsid w:val="001A15D4"/>
    <w:rsid w:val="001A1FFA"/>
    <w:rsid w:val="001A3E52"/>
    <w:rsid w:val="001A6A4B"/>
    <w:rsid w:val="001A7B6F"/>
    <w:rsid w:val="001B1313"/>
    <w:rsid w:val="001B165E"/>
    <w:rsid w:val="001B3D33"/>
    <w:rsid w:val="001C0865"/>
    <w:rsid w:val="001C0AED"/>
    <w:rsid w:val="001C14EC"/>
    <w:rsid w:val="001C309B"/>
    <w:rsid w:val="001C34D9"/>
    <w:rsid w:val="001C3ABA"/>
    <w:rsid w:val="001C42D5"/>
    <w:rsid w:val="001C4E13"/>
    <w:rsid w:val="001C5111"/>
    <w:rsid w:val="001C57D0"/>
    <w:rsid w:val="001D0CAC"/>
    <w:rsid w:val="001D2E4C"/>
    <w:rsid w:val="001D3089"/>
    <w:rsid w:val="001D480C"/>
    <w:rsid w:val="001D5DD7"/>
    <w:rsid w:val="001D6CD7"/>
    <w:rsid w:val="001D733F"/>
    <w:rsid w:val="001E0609"/>
    <w:rsid w:val="001E0C0D"/>
    <w:rsid w:val="001E7BE8"/>
    <w:rsid w:val="001F0248"/>
    <w:rsid w:val="001F102F"/>
    <w:rsid w:val="001F1E62"/>
    <w:rsid w:val="001F3040"/>
    <w:rsid w:val="001F386B"/>
    <w:rsid w:val="001F3EB3"/>
    <w:rsid w:val="001F4C29"/>
    <w:rsid w:val="001F4F86"/>
    <w:rsid w:val="001F5982"/>
    <w:rsid w:val="00200950"/>
    <w:rsid w:val="00202C2C"/>
    <w:rsid w:val="00202EF4"/>
    <w:rsid w:val="00203050"/>
    <w:rsid w:val="0020338A"/>
    <w:rsid w:val="0020351C"/>
    <w:rsid w:val="0020546F"/>
    <w:rsid w:val="00205BFA"/>
    <w:rsid w:val="002102BD"/>
    <w:rsid w:val="0021060A"/>
    <w:rsid w:val="0021286F"/>
    <w:rsid w:val="002135AB"/>
    <w:rsid w:val="002144BE"/>
    <w:rsid w:val="00215DAA"/>
    <w:rsid w:val="002177F8"/>
    <w:rsid w:val="002205C8"/>
    <w:rsid w:val="00223EBD"/>
    <w:rsid w:val="002262AA"/>
    <w:rsid w:val="00227D38"/>
    <w:rsid w:val="00227E25"/>
    <w:rsid w:val="002331D0"/>
    <w:rsid w:val="00234BDB"/>
    <w:rsid w:val="00237AD4"/>
    <w:rsid w:val="00241CA7"/>
    <w:rsid w:val="00242279"/>
    <w:rsid w:val="00243997"/>
    <w:rsid w:val="0024516C"/>
    <w:rsid w:val="00245C82"/>
    <w:rsid w:val="002460B8"/>
    <w:rsid w:val="00246612"/>
    <w:rsid w:val="002472A9"/>
    <w:rsid w:val="002477BB"/>
    <w:rsid w:val="0025104C"/>
    <w:rsid w:val="00251259"/>
    <w:rsid w:val="002519F7"/>
    <w:rsid w:val="002526E3"/>
    <w:rsid w:val="00261B76"/>
    <w:rsid w:val="00263848"/>
    <w:rsid w:val="00270586"/>
    <w:rsid w:val="002724BA"/>
    <w:rsid w:val="002729D8"/>
    <w:rsid w:val="00275CDD"/>
    <w:rsid w:val="0027651D"/>
    <w:rsid w:val="00276592"/>
    <w:rsid w:val="00277914"/>
    <w:rsid w:val="002807F3"/>
    <w:rsid w:val="00281E39"/>
    <w:rsid w:val="00282F67"/>
    <w:rsid w:val="002903BD"/>
    <w:rsid w:val="00290AB1"/>
    <w:rsid w:val="0029168C"/>
    <w:rsid w:val="00291B40"/>
    <w:rsid w:val="00292783"/>
    <w:rsid w:val="002929EE"/>
    <w:rsid w:val="00293B83"/>
    <w:rsid w:val="00293CCF"/>
    <w:rsid w:val="00295426"/>
    <w:rsid w:val="002A0EC7"/>
    <w:rsid w:val="002A336B"/>
    <w:rsid w:val="002A70A3"/>
    <w:rsid w:val="002A7728"/>
    <w:rsid w:val="002B0889"/>
    <w:rsid w:val="002B2CAD"/>
    <w:rsid w:val="002B4008"/>
    <w:rsid w:val="002B6DF1"/>
    <w:rsid w:val="002B790C"/>
    <w:rsid w:val="002C2F3E"/>
    <w:rsid w:val="002C439F"/>
    <w:rsid w:val="002C5A4B"/>
    <w:rsid w:val="002D0B2A"/>
    <w:rsid w:val="002D0C42"/>
    <w:rsid w:val="002D0E8E"/>
    <w:rsid w:val="002D57A1"/>
    <w:rsid w:val="002D5A2D"/>
    <w:rsid w:val="002D7349"/>
    <w:rsid w:val="002D76C7"/>
    <w:rsid w:val="002E2D1A"/>
    <w:rsid w:val="002E42EC"/>
    <w:rsid w:val="002E52F1"/>
    <w:rsid w:val="002E596A"/>
    <w:rsid w:val="002F4FDF"/>
    <w:rsid w:val="002F55D7"/>
    <w:rsid w:val="002F796D"/>
    <w:rsid w:val="002F7C99"/>
    <w:rsid w:val="00300A02"/>
    <w:rsid w:val="00301189"/>
    <w:rsid w:val="0030126B"/>
    <w:rsid w:val="00301E4A"/>
    <w:rsid w:val="00302AB3"/>
    <w:rsid w:val="00304C13"/>
    <w:rsid w:val="00305BB7"/>
    <w:rsid w:val="003145A4"/>
    <w:rsid w:val="00315B62"/>
    <w:rsid w:val="003168B8"/>
    <w:rsid w:val="00320D2D"/>
    <w:rsid w:val="00322D64"/>
    <w:rsid w:val="00323E09"/>
    <w:rsid w:val="00324C35"/>
    <w:rsid w:val="00330028"/>
    <w:rsid w:val="00331572"/>
    <w:rsid w:val="00333932"/>
    <w:rsid w:val="003353C4"/>
    <w:rsid w:val="00344B1E"/>
    <w:rsid w:val="00345B01"/>
    <w:rsid w:val="0034662D"/>
    <w:rsid w:val="003518AA"/>
    <w:rsid w:val="00352165"/>
    <w:rsid w:val="00353182"/>
    <w:rsid w:val="00355172"/>
    <w:rsid w:val="003565D9"/>
    <w:rsid w:val="00356D8A"/>
    <w:rsid w:val="003602E1"/>
    <w:rsid w:val="00363E10"/>
    <w:rsid w:val="003665D9"/>
    <w:rsid w:val="0037026F"/>
    <w:rsid w:val="0037114D"/>
    <w:rsid w:val="00371240"/>
    <w:rsid w:val="00374731"/>
    <w:rsid w:val="00374986"/>
    <w:rsid w:val="00374F89"/>
    <w:rsid w:val="00376E59"/>
    <w:rsid w:val="003779C8"/>
    <w:rsid w:val="00377EC1"/>
    <w:rsid w:val="00380340"/>
    <w:rsid w:val="00381DE4"/>
    <w:rsid w:val="00384266"/>
    <w:rsid w:val="0039111B"/>
    <w:rsid w:val="003919F9"/>
    <w:rsid w:val="003920CF"/>
    <w:rsid w:val="003927C6"/>
    <w:rsid w:val="003929A7"/>
    <w:rsid w:val="003953C6"/>
    <w:rsid w:val="003966D3"/>
    <w:rsid w:val="003A290A"/>
    <w:rsid w:val="003A4D10"/>
    <w:rsid w:val="003B1511"/>
    <w:rsid w:val="003B23C2"/>
    <w:rsid w:val="003B5F03"/>
    <w:rsid w:val="003B7568"/>
    <w:rsid w:val="003C0091"/>
    <w:rsid w:val="003C0CD8"/>
    <w:rsid w:val="003C38B5"/>
    <w:rsid w:val="003C571D"/>
    <w:rsid w:val="003C5D99"/>
    <w:rsid w:val="003D092B"/>
    <w:rsid w:val="003D1087"/>
    <w:rsid w:val="003D1F00"/>
    <w:rsid w:val="003D42FA"/>
    <w:rsid w:val="003D56C7"/>
    <w:rsid w:val="003D56F7"/>
    <w:rsid w:val="003D78B3"/>
    <w:rsid w:val="003D7A8A"/>
    <w:rsid w:val="003E2F59"/>
    <w:rsid w:val="003E3A2A"/>
    <w:rsid w:val="003E493D"/>
    <w:rsid w:val="003E746B"/>
    <w:rsid w:val="003F0789"/>
    <w:rsid w:val="003F232F"/>
    <w:rsid w:val="003F2738"/>
    <w:rsid w:val="003F36AE"/>
    <w:rsid w:val="003F3CB2"/>
    <w:rsid w:val="003F48BA"/>
    <w:rsid w:val="003F49E7"/>
    <w:rsid w:val="003F50C5"/>
    <w:rsid w:val="00400E30"/>
    <w:rsid w:val="00401882"/>
    <w:rsid w:val="00402E43"/>
    <w:rsid w:val="00405517"/>
    <w:rsid w:val="00406AC7"/>
    <w:rsid w:val="004100C8"/>
    <w:rsid w:val="00410854"/>
    <w:rsid w:val="00411DBD"/>
    <w:rsid w:val="00412ACE"/>
    <w:rsid w:val="00412B01"/>
    <w:rsid w:val="00413682"/>
    <w:rsid w:val="004145D2"/>
    <w:rsid w:val="00414B0A"/>
    <w:rsid w:val="00423330"/>
    <w:rsid w:val="0042569A"/>
    <w:rsid w:val="00426CB4"/>
    <w:rsid w:val="00431249"/>
    <w:rsid w:val="00431EDE"/>
    <w:rsid w:val="00434B97"/>
    <w:rsid w:val="00434C19"/>
    <w:rsid w:val="00441131"/>
    <w:rsid w:val="004411EA"/>
    <w:rsid w:val="00441CD0"/>
    <w:rsid w:val="00444B6F"/>
    <w:rsid w:val="004503A2"/>
    <w:rsid w:val="00450810"/>
    <w:rsid w:val="0045082A"/>
    <w:rsid w:val="00451F43"/>
    <w:rsid w:val="00455C82"/>
    <w:rsid w:val="00456BFD"/>
    <w:rsid w:val="0046089E"/>
    <w:rsid w:val="00462C59"/>
    <w:rsid w:val="00464B99"/>
    <w:rsid w:val="00466C91"/>
    <w:rsid w:val="00470737"/>
    <w:rsid w:val="004733CC"/>
    <w:rsid w:val="004741DF"/>
    <w:rsid w:val="00474D55"/>
    <w:rsid w:val="00475EAC"/>
    <w:rsid w:val="00477144"/>
    <w:rsid w:val="004804C7"/>
    <w:rsid w:val="00490C79"/>
    <w:rsid w:val="00491380"/>
    <w:rsid w:val="00493316"/>
    <w:rsid w:val="00494373"/>
    <w:rsid w:val="0049459F"/>
    <w:rsid w:val="00494726"/>
    <w:rsid w:val="00497B38"/>
    <w:rsid w:val="004A38DD"/>
    <w:rsid w:val="004B011F"/>
    <w:rsid w:val="004B02B5"/>
    <w:rsid w:val="004B11F2"/>
    <w:rsid w:val="004B21C5"/>
    <w:rsid w:val="004B43AE"/>
    <w:rsid w:val="004B486E"/>
    <w:rsid w:val="004B7B30"/>
    <w:rsid w:val="004C30ED"/>
    <w:rsid w:val="004C65E3"/>
    <w:rsid w:val="004C69E8"/>
    <w:rsid w:val="004D2588"/>
    <w:rsid w:val="004D5675"/>
    <w:rsid w:val="004D58DD"/>
    <w:rsid w:val="004D61CE"/>
    <w:rsid w:val="004E1C84"/>
    <w:rsid w:val="004E25FB"/>
    <w:rsid w:val="004E3AC1"/>
    <w:rsid w:val="004E5512"/>
    <w:rsid w:val="004E69B2"/>
    <w:rsid w:val="004F06D2"/>
    <w:rsid w:val="004F13A2"/>
    <w:rsid w:val="004F266E"/>
    <w:rsid w:val="004F2B40"/>
    <w:rsid w:val="004F3501"/>
    <w:rsid w:val="004F69E8"/>
    <w:rsid w:val="005000A8"/>
    <w:rsid w:val="00501CE9"/>
    <w:rsid w:val="00511F0E"/>
    <w:rsid w:val="00512AE6"/>
    <w:rsid w:val="00513512"/>
    <w:rsid w:val="00517795"/>
    <w:rsid w:val="005204C1"/>
    <w:rsid w:val="00523639"/>
    <w:rsid w:val="00523CD9"/>
    <w:rsid w:val="00524C50"/>
    <w:rsid w:val="005254A0"/>
    <w:rsid w:val="00525A23"/>
    <w:rsid w:val="00530A3E"/>
    <w:rsid w:val="00531FE5"/>
    <w:rsid w:val="005357E3"/>
    <w:rsid w:val="005402FA"/>
    <w:rsid w:val="00540CA8"/>
    <w:rsid w:val="0054238C"/>
    <w:rsid w:val="00542F1B"/>
    <w:rsid w:val="0054404F"/>
    <w:rsid w:val="0054551C"/>
    <w:rsid w:val="0054740B"/>
    <w:rsid w:val="00554197"/>
    <w:rsid w:val="0055487B"/>
    <w:rsid w:val="00554A46"/>
    <w:rsid w:val="00556C69"/>
    <w:rsid w:val="00562347"/>
    <w:rsid w:val="00566EE0"/>
    <w:rsid w:val="00570FB9"/>
    <w:rsid w:val="00571BEE"/>
    <w:rsid w:val="00572651"/>
    <w:rsid w:val="005729BD"/>
    <w:rsid w:val="00572A74"/>
    <w:rsid w:val="00573656"/>
    <w:rsid w:val="005750E8"/>
    <w:rsid w:val="0057529E"/>
    <w:rsid w:val="005766FA"/>
    <w:rsid w:val="00580154"/>
    <w:rsid w:val="00582660"/>
    <w:rsid w:val="00582944"/>
    <w:rsid w:val="00583C39"/>
    <w:rsid w:val="005840B6"/>
    <w:rsid w:val="00584E75"/>
    <w:rsid w:val="00585A55"/>
    <w:rsid w:val="00586A90"/>
    <w:rsid w:val="00587F28"/>
    <w:rsid w:val="005909CF"/>
    <w:rsid w:val="00591307"/>
    <w:rsid w:val="00591E71"/>
    <w:rsid w:val="005924E0"/>
    <w:rsid w:val="0059440A"/>
    <w:rsid w:val="005A0D41"/>
    <w:rsid w:val="005A18D5"/>
    <w:rsid w:val="005A37DC"/>
    <w:rsid w:val="005A3BBB"/>
    <w:rsid w:val="005A6592"/>
    <w:rsid w:val="005B077E"/>
    <w:rsid w:val="005B25B5"/>
    <w:rsid w:val="005B2FEF"/>
    <w:rsid w:val="005B520A"/>
    <w:rsid w:val="005B591C"/>
    <w:rsid w:val="005C0FCA"/>
    <w:rsid w:val="005C5786"/>
    <w:rsid w:val="005D098C"/>
    <w:rsid w:val="005D21FE"/>
    <w:rsid w:val="005D329F"/>
    <w:rsid w:val="005D4975"/>
    <w:rsid w:val="005D5BB8"/>
    <w:rsid w:val="005D6C71"/>
    <w:rsid w:val="005E0ABD"/>
    <w:rsid w:val="005E0C12"/>
    <w:rsid w:val="005E24B0"/>
    <w:rsid w:val="005E3770"/>
    <w:rsid w:val="005F164A"/>
    <w:rsid w:val="005F48ED"/>
    <w:rsid w:val="005F6820"/>
    <w:rsid w:val="00603367"/>
    <w:rsid w:val="00604EBA"/>
    <w:rsid w:val="00606E78"/>
    <w:rsid w:val="00607BF1"/>
    <w:rsid w:val="00614897"/>
    <w:rsid w:val="00615471"/>
    <w:rsid w:val="00621D59"/>
    <w:rsid w:val="00622C23"/>
    <w:rsid w:val="006263E3"/>
    <w:rsid w:val="00630D4D"/>
    <w:rsid w:val="00632A74"/>
    <w:rsid w:val="00635E1F"/>
    <w:rsid w:val="006406E1"/>
    <w:rsid w:val="006431FE"/>
    <w:rsid w:val="00643557"/>
    <w:rsid w:val="00646112"/>
    <w:rsid w:val="006466C6"/>
    <w:rsid w:val="00647C3E"/>
    <w:rsid w:val="00653422"/>
    <w:rsid w:val="00654D42"/>
    <w:rsid w:val="00655B32"/>
    <w:rsid w:val="00655D2E"/>
    <w:rsid w:val="00657146"/>
    <w:rsid w:val="00662EA0"/>
    <w:rsid w:val="006633B7"/>
    <w:rsid w:val="00666E02"/>
    <w:rsid w:val="00673E0C"/>
    <w:rsid w:val="0067680D"/>
    <w:rsid w:val="00684830"/>
    <w:rsid w:val="00685E59"/>
    <w:rsid w:val="00686989"/>
    <w:rsid w:val="00686FD4"/>
    <w:rsid w:val="00691A0C"/>
    <w:rsid w:val="00691ECE"/>
    <w:rsid w:val="00692D7D"/>
    <w:rsid w:val="00695CDF"/>
    <w:rsid w:val="00696244"/>
    <w:rsid w:val="006A390C"/>
    <w:rsid w:val="006A4655"/>
    <w:rsid w:val="006A747E"/>
    <w:rsid w:val="006B2B3C"/>
    <w:rsid w:val="006B2EB8"/>
    <w:rsid w:val="006B3199"/>
    <w:rsid w:val="006C07D0"/>
    <w:rsid w:val="006C1699"/>
    <w:rsid w:val="006C1A1A"/>
    <w:rsid w:val="006C1D81"/>
    <w:rsid w:val="006C4E61"/>
    <w:rsid w:val="006C7038"/>
    <w:rsid w:val="006C7407"/>
    <w:rsid w:val="006D021A"/>
    <w:rsid w:val="006D16E3"/>
    <w:rsid w:val="006D40DE"/>
    <w:rsid w:val="006D56CD"/>
    <w:rsid w:val="006D59F2"/>
    <w:rsid w:val="006D5AC6"/>
    <w:rsid w:val="006D6A9B"/>
    <w:rsid w:val="006D7435"/>
    <w:rsid w:val="006E2D88"/>
    <w:rsid w:val="006E73EF"/>
    <w:rsid w:val="006F1C9E"/>
    <w:rsid w:val="006F2441"/>
    <w:rsid w:val="006F5754"/>
    <w:rsid w:val="00701500"/>
    <w:rsid w:val="007015AD"/>
    <w:rsid w:val="007034D6"/>
    <w:rsid w:val="00704EE3"/>
    <w:rsid w:val="007064EC"/>
    <w:rsid w:val="007079C9"/>
    <w:rsid w:val="0071099C"/>
    <w:rsid w:val="007116ED"/>
    <w:rsid w:val="00714D4D"/>
    <w:rsid w:val="00717033"/>
    <w:rsid w:val="007240DD"/>
    <w:rsid w:val="00726094"/>
    <w:rsid w:val="007266D3"/>
    <w:rsid w:val="007268E9"/>
    <w:rsid w:val="00730850"/>
    <w:rsid w:val="00732029"/>
    <w:rsid w:val="007331C6"/>
    <w:rsid w:val="007429C8"/>
    <w:rsid w:val="00743220"/>
    <w:rsid w:val="00744FC6"/>
    <w:rsid w:val="00745BA5"/>
    <w:rsid w:val="0074663B"/>
    <w:rsid w:val="00751E0A"/>
    <w:rsid w:val="00752B7C"/>
    <w:rsid w:val="00753095"/>
    <w:rsid w:val="007531A8"/>
    <w:rsid w:val="00753349"/>
    <w:rsid w:val="00753517"/>
    <w:rsid w:val="0075480C"/>
    <w:rsid w:val="007559F7"/>
    <w:rsid w:val="00757A30"/>
    <w:rsid w:val="007604BB"/>
    <w:rsid w:val="007616A8"/>
    <w:rsid w:val="00770C41"/>
    <w:rsid w:val="00772909"/>
    <w:rsid w:val="007740CE"/>
    <w:rsid w:val="00776518"/>
    <w:rsid w:val="007778BA"/>
    <w:rsid w:val="00782819"/>
    <w:rsid w:val="00782B29"/>
    <w:rsid w:val="00785232"/>
    <w:rsid w:val="007935C2"/>
    <w:rsid w:val="00794C79"/>
    <w:rsid w:val="0079651D"/>
    <w:rsid w:val="0079701E"/>
    <w:rsid w:val="00797E60"/>
    <w:rsid w:val="007A21EB"/>
    <w:rsid w:val="007A391C"/>
    <w:rsid w:val="007A5144"/>
    <w:rsid w:val="007A78CE"/>
    <w:rsid w:val="007B05C6"/>
    <w:rsid w:val="007B1A93"/>
    <w:rsid w:val="007B2DF1"/>
    <w:rsid w:val="007B37B7"/>
    <w:rsid w:val="007B3C3A"/>
    <w:rsid w:val="007B6206"/>
    <w:rsid w:val="007B64D4"/>
    <w:rsid w:val="007B693D"/>
    <w:rsid w:val="007C03D1"/>
    <w:rsid w:val="007C0ABE"/>
    <w:rsid w:val="007C1D9B"/>
    <w:rsid w:val="007C34DC"/>
    <w:rsid w:val="007C36C9"/>
    <w:rsid w:val="007D048B"/>
    <w:rsid w:val="007D0576"/>
    <w:rsid w:val="007D3FA6"/>
    <w:rsid w:val="007D5535"/>
    <w:rsid w:val="007D5856"/>
    <w:rsid w:val="007D6401"/>
    <w:rsid w:val="007D7033"/>
    <w:rsid w:val="007D716F"/>
    <w:rsid w:val="007D7733"/>
    <w:rsid w:val="007D79B2"/>
    <w:rsid w:val="007D7A50"/>
    <w:rsid w:val="007E01E4"/>
    <w:rsid w:val="007E1CB2"/>
    <w:rsid w:val="007E4896"/>
    <w:rsid w:val="007E5B35"/>
    <w:rsid w:val="007E7A12"/>
    <w:rsid w:val="007F201A"/>
    <w:rsid w:val="007F2D28"/>
    <w:rsid w:val="007F357B"/>
    <w:rsid w:val="007F3759"/>
    <w:rsid w:val="007F486F"/>
    <w:rsid w:val="007F5DB2"/>
    <w:rsid w:val="007F5DE6"/>
    <w:rsid w:val="007F7107"/>
    <w:rsid w:val="00800D4C"/>
    <w:rsid w:val="00802A34"/>
    <w:rsid w:val="00806859"/>
    <w:rsid w:val="0081030F"/>
    <w:rsid w:val="0081102D"/>
    <w:rsid w:val="00811F5A"/>
    <w:rsid w:val="008128BF"/>
    <w:rsid w:val="00812F4A"/>
    <w:rsid w:val="0082087D"/>
    <w:rsid w:val="00821B1F"/>
    <w:rsid w:val="00821DBD"/>
    <w:rsid w:val="00825474"/>
    <w:rsid w:val="0082585B"/>
    <w:rsid w:val="00826ABC"/>
    <w:rsid w:val="00831664"/>
    <w:rsid w:val="00833507"/>
    <w:rsid w:val="008335F8"/>
    <w:rsid w:val="00834478"/>
    <w:rsid w:val="00835771"/>
    <w:rsid w:val="00842933"/>
    <w:rsid w:val="00844884"/>
    <w:rsid w:val="008462CE"/>
    <w:rsid w:val="008528B1"/>
    <w:rsid w:val="00854EAB"/>
    <w:rsid w:val="00856F95"/>
    <w:rsid w:val="0086082C"/>
    <w:rsid w:val="008612AA"/>
    <w:rsid w:val="00861C2B"/>
    <w:rsid w:val="0086388D"/>
    <w:rsid w:val="00864095"/>
    <w:rsid w:val="00864ADC"/>
    <w:rsid w:val="00874469"/>
    <w:rsid w:val="008763D0"/>
    <w:rsid w:val="00880153"/>
    <w:rsid w:val="00880F97"/>
    <w:rsid w:val="0088133A"/>
    <w:rsid w:val="00881BCC"/>
    <w:rsid w:val="00891904"/>
    <w:rsid w:val="0089285E"/>
    <w:rsid w:val="00893BC4"/>
    <w:rsid w:val="0089436C"/>
    <w:rsid w:val="00896290"/>
    <w:rsid w:val="0089750B"/>
    <w:rsid w:val="008A1173"/>
    <w:rsid w:val="008B4277"/>
    <w:rsid w:val="008B7665"/>
    <w:rsid w:val="008C255C"/>
    <w:rsid w:val="008C3855"/>
    <w:rsid w:val="008C5EB6"/>
    <w:rsid w:val="008C7EC2"/>
    <w:rsid w:val="008D237D"/>
    <w:rsid w:val="008D2544"/>
    <w:rsid w:val="008D2B74"/>
    <w:rsid w:val="008D365C"/>
    <w:rsid w:val="008D3CDB"/>
    <w:rsid w:val="008D6ECF"/>
    <w:rsid w:val="008D7622"/>
    <w:rsid w:val="008E1D84"/>
    <w:rsid w:val="008E2662"/>
    <w:rsid w:val="008E3159"/>
    <w:rsid w:val="008E4321"/>
    <w:rsid w:val="008E6324"/>
    <w:rsid w:val="008E6FE6"/>
    <w:rsid w:val="008F233E"/>
    <w:rsid w:val="008F6CB1"/>
    <w:rsid w:val="009021A6"/>
    <w:rsid w:val="00902379"/>
    <w:rsid w:val="009030BF"/>
    <w:rsid w:val="00903B52"/>
    <w:rsid w:val="0091032F"/>
    <w:rsid w:val="009109F4"/>
    <w:rsid w:val="00914368"/>
    <w:rsid w:val="00920433"/>
    <w:rsid w:val="00922476"/>
    <w:rsid w:val="00922C7A"/>
    <w:rsid w:val="00923019"/>
    <w:rsid w:val="0092337A"/>
    <w:rsid w:val="009256D3"/>
    <w:rsid w:val="00927AD5"/>
    <w:rsid w:val="009306AB"/>
    <w:rsid w:val="00931076"/>
    <w:rsid w:val="00931493"/>
    <w:rsid w:val="009342D8"/>
    <w:rsid w:val="009345D9"/>
    <w:rsid w:val="00934B15"/>
    <w:rsid w:val="00934F0E"/>
    <w:rsid w:val="00935048"/>
    <w:rsid w:val="00935DD2"/>
    <w:rsid w:val="0093605E"/>
    <w:rsid w:val="00940C87"/>
    <w:rsid w:val="00942A14"/>
    <w:rsid w:val="00942B62"/>
    <w:rsid w:val="0095231B"/>
    <w:rsid w:val="0095323B"/>
    <w:rsid w:val="00953373"/>
    <w:rsid w:val="0095581D"/>
    <w:rsid w:val="00956A0C"/>
    <w:rsid w:val="00956BD9"/>
    <w:rsid w:val="00957665"/>
    <w:rsid w:val="00960D21"/>
    <w:rsid w:val="00962489"/>
    <w:rsid w:val="009624D0"/>
    <w:rsid w:val="00967CD3"/>
    <w:rsid w:val="00967F72"/>
    <w:rsid w:val="0097127D"/>
    <w:rsid w:val="00972832"/>
    <w:rsid w:val="009737B6"/>
    <w:rsid w:val="00975310"/>
    <w:rsid w:val="00976072"/>
    <w:rsid w:val="00976114"/>
    <w:rsid w:val="00983131"/>
    <w:rsid w:val="00987341"/>
    <w:rsid w:val="009909B8"/>
    <w:rsid w:val="00990C2C"/>
    <w:rsid w:val="00994B19"/>
    <w:rsid w:val="009973B1"/>
    <w:rsid w:val="009A5171"/>
    <w:rsid w:val="009A7835"/>
    <w:rsid w:val="009B365F"/>
    <w:rsid w:val="009C1978"/>
    <w:rsid w:val="009C64E7"/>
    <w:rsid w:val="009C7707"/>
    <w:rsid w:val="009D085C"/>
    <w:rsid w:val="009D6E79"/>
    <w:rsid w:val="009D7294"/>
    <w:rsid w:val="009D72CF"/>
    <w:rsid w:val="009E1844"/>
    <w:rsid w:val="009E1A4A"/>
    <w:rsid w:val="009E3E9E"/>
    <w:rsid w:val="009E7498"/>
    <w:rsid w:val="009F0D1B"/>
    <w:rsid w:val="009F24D6"/>
    <w:rsid w:val="009F50AD"/>
    <w:rsid w:val="009F5BBD"/>
    <w:rsid w:val="009F5CBF"/>
    <w:rsid w:val="009F696D"/>
    <w:rsid w:val="009F6BC6"/>
    <w:rsid w:val="009F74DD"/>
    <w:rsid w:val="009F74EF"/>
    <w:rsid w:val="009F7E6B"/>
    <w:rsid w:val="00A01E91"/>
    <w:rsid w:val="00A02826"/>
    <w:rsid w:val="00A02E23"/>
    <w:rsid w:val="00A068AF"/>
    <w:rsid w:val="00A1258F"/>
    <w:rsid w:val="00A135D3"/>
    <w:rsid w:val="00A15D5A"/>
    <w:rsid w:val="00A17328"/>
    <w:rsid w:val="00A21376"/>
    <w:rsid w:val="00A22A1E"/>
    <w:rsid w:val="00A23A20"/>
    <w:rsid w:val="00A24443"/>
    <w:rsid w:val="00A2523E"/>
    <w:rsid w:val="00A268B9"/>
    <w:rsid w:val="00A2703A"/>
    <w:rsid w:val="00A27498"/>
    <w:rsid w:val="00A308A2"/>
    <w:rsid w:val="00A30F3B"/>
    <w:rsid w:val="00A32FD3"/>
    <w:rsid w:val="00A33DBA"/>
    <w:rsid w:val="00A33DFF"/>
    <w:rsid w:val="00A35115"/>
    <w:rsid w:val="00A35C4C"/>
    <w:rsid w:val="00A36D9A"/>
    <w:rsid w:val="00A37843"/>
    <w:rsid w:val="00A40519"/>
    <w:rsid w:val="00A40893"/>
    <w:rsid w:val="00A427A4"/>
    <w:rsid w:val="00A44B54"/>
    <w:rsid w:val="00A451DC"/>
    <w:rsid w:val="00A47FB6"/>
    <w:rsid w:val="00A512B5"/>
    <w:rsid w:val="00A52A40"/>
    <w:rsid w:val="00A554AB"/>
    <w:rsid w:val="00A561D3"/>
    <w:rsid w:val="00A57062"/>
    <w:rsid w:val="00A637A9"/>
    <w:rsid w:val="00A67781"/>
    <w:rsid w:val="00A72621"/>
    <w:rsid w:val="00A72C96"/>
    <w:rsid w:val="00A761F9"/>
    <w:rsid w:val="00A81CE0"/>
    <w:rsid w:val="00A82426"/>
    <w:rsid w:val="00A908B5"/>
    <w:rsid w:val="00A91361"/>
    <w:rsid w:val="00A91CB3"/>
    <w:rsid w:val="00A92B53"/>
    <w:rsid w:val="00A9316D"/>
    <w:rsid w:val="00A93303"/>
    <w:rsid w:val="00A935D0"/>
    <w:rsid w:val="00A94FA6"/>
    <w:rsid w:val="00A97218"/>
    <w:rsid w:val="00AA3068"/>
    <w:rsid w:val="00AA3EA5"/>
    <w:rsid w:val="00AA3FC3"/>
    <w:rsid w:val="00AA41C7"/>
    <w:rsid w:val="00AA49A0"/>
    <w:rsid w:val="00AA6710"/>
    <w:rsid w:val="00AB0681"/>
    <w:rsid w:val="00AB6124"/>
    <w:rsid w:val="00AC2FA9"/>
    <w:rsid w:val="00AC3A15"/>
    <w:rsid w:val="00AC5BC0"/>
    <w:rsid w:val="00AD0D0E"/>
    <w:rsid w:val="00AD520B"/>
    <w:rsid w:val="00AE096D"/>
    <w:rsid w:val="00AE3BCC"/>
    <w:rsid w:val="00AF4313"/>
    <w:rsid w:val="00AF4F2F"/>
    <w:rsid w:val="00AF5213"/>
    <w:rsid w:val="00B02A19"/>
    <w:rsid w:val="00B04347"/>
    <w:rsid w:val="00B06492"/>
    <w:rsid w:val="00B14EB0"/>
    <w:rsid w:val="00B161A7"/>
    <w:rsid w:val="00B17CFF"/>
    <w:rsid w:val="00B2177B"/>
    <w:rsid w:val="00B2459F"/>
    <w:rsid w:val="00B3048D"/>
    <w:rsid w:val="00B30E3C"/>
    <w:rsid w:val="00B32236"/>
    <w:rsid w:val="00B355F6"/>
    <w:rsid w:val="00B35D2E"/>
    <w:rsid w:val="00B36976"/>
    <w:rsid w:val="00B41301"/>
    <w:rsid w:val="00B425C3"/>
    <w:rsid w:val="00B42D63"/>
    <w:rsid w:val="00B43F9F"/>
    <w:rsid w:val="00B440AD"/>
    <w:rsid w:val="00B479BB"/>
    <w:rsid w:val="00B5384F"/>
    <w:rsid w:val="00B539E9"/>
    <w:rsid w:val="00B53E7E"/>
    <w:rsid w:val="00B541C7"/>
    <w:rsid w:val="00B544F1"/>
    <w:rsid w:val="00B54BAA"/>
    <w:rsid w:val="00B568B0"/>
    <w:rsid w:val="00B6342E"/>
    <w:rsid w:val="00B63DC9"/>
    <w:rsid w:val="00B6469C"/>
    <w:rsid w:val="00B66EB8"/>
    <w:rsid w:val="00B70CFE"/>
    <w:rsid w:val="00B7113F"/>
    <w:rsid w:val="00B800D7"/>
    <w:rsid w:val="00B87906"/>
    <w:rsid w:val="00B87E93"/>
    <w:rsid w:val="00B92E1D"/>
    <w:rsid w:val="00B959ED"/>
    <w:rsid w:val="00B962F2"/>
    <w:rsid w:val="00B97C7F"/>
    <w:rsid w:val="00BA0316"/>
    <w:rsid w:val="00BA27A9"/>
    <w:rsid w:val="00BA2BCF"/>
    <w:rsid w:val="00BA5B14"/>
    <w:rsid w:val="00BA73B6"/>
    <w:rsid w:val="00BA7E27"/>
    <w:rsid w:val="00BB2603"/>
    <w:rsid w:val="00BB4C21"/>
    <w:rsid w:val="00BB4FCD"/>
    <w:rsid w:val="00BB504E"/>
    <w:rsid w:val="00BB5C5A"/>
    <w:rsid w:val="00BB68CE"/>
    <w:rsid w:val="00BB7E3A"/>
    <w:rsid w:val="00BC04E9"/>
    <w:rsid w:val="00BC08AC"/>
    <w:rsid w:val="00BC17E0"/>
    <w:rsid w:val="00BC33A4"/>
    <w:rsid w:val="00BC33FF"/>
    <w:rsid w:val="00BC7EFA"/>
    <w:rsid w:val="00BD13EA"/>
    <w:rsid w:val="00BD2424"/>
    <w:rsid w:val="00BD2A6E"/>
    <w:rsid w:val="00BD31B2"/>
    <w:rsid w:val="00BD66D6"/>
    <w:rsid w:val="00BE3808"/>
    <w:rsid w:val="00BE4426"/>
    <w:rsid w:val="00BE50E9"/>
    <w:rsid w:val="00BE5284"/>
    <w:rsid w:val="00BF6B77"/>
    <w:rsid w:val="00C0106A"/>
    <w:rsid w:val="00C02B79"/>
    <w:rsid w:val="00C03B88"/>
    <w:rsid w:val="00C03D55"/>
    <w:rsid w:val="00C05945"/>
    <w:rsid w:val="00C05E94"/>
    <w:rsid w:val="00C062E9"/>
    <w:rsid w:val="00C07B64"/>
    <w:rsid w:val="00C12A89"/>
    <w:rsid w:val="00C13721"/>
    <w:rsid w:val="00C13B8C"/>
    <w:rsid w:val="00C14FE4"/>
    <w:rsid w:val="00C210D1"/>
    <w:rsid w:val="00C23D02"/>
    <w:rsid w:val="00C26F43"/>
    <w:rsid w:val="00C305A0"/>
    <w:rsid w:val="00C3066D"/>
    <w:rsid w:val="00C3198B"/>
    <w:rsid w:val="00C31AA0"/>
    <w:rsid w:val="00C32E7D"/>
    <w:rsid w:val="00C33496"/>
    <w:rsid w:val="00C36026"/>
    <w:rsid w:val="00C420BD"/>
    <w:rsid w:val="00C47A6C"/>
    <w:rsid w:val="00C52416"/>
    <w:rsid w:val="00C543F4"/>
    <w:rsid w:val="00C545AB"/>
    <w:rsid w:val="00C54BFF"/>
    <w:rsid w:val="00C55D3B"/>
    <w:rsid w:val="00C607A4"/>
    <w:rsid w:val="00C6291C"/>
    <w:rsid w:val="00C633CB"/>
    <w:rsid w:val="00C63773"/>
    <w:rsid w:val="00C64280"/>
    <w:rsid w:val="00C664CD"/>
    <w:rsid w:val="00C674CE"/>
    <w:rsid w:val="00C72792"/>
    <w:rsid w:val="00C736B7"/>
    <w:rsid w:val="00C738E6"/>
    <w:rsid w:val="00C744E3"/>
    <w:rsid w:val="00C76332"/>
    <w:rsid w:val="00C77FEA"/>
    <w:rsid w:val="00C80EFB"/>
    <w:rsid w:val="00C81D4A"/>
    <w:rsid w:val="00C820D2"/>
    <w:rsid w:val="00C84F61"/>
    <w:rsid w:val="00C8762C"/>
    <w:rsid w:val="00C87F68"/>
    <w:rsid w:val="00C92816"/>
    <w:rsid w:val="00C94B41"/>
    <w:rsid w:val="00C9760B"/>
    <w:rsid w:val="00CA00F9"/>
    <w:rsid w:val="00CA07F3"/>
    <w:rsid w:val="00CA2961"/>
    <w:rsid w:val="00CA4C20"/>
    <w:rsid w:val="00CA4E24"/>
    <w:rsid w:val="00CA5250"/>
    <w:rsid w:val="00CB0AE8"/>
    <w:rsid w:val="00CB0B7D"/>
    <w:rsid w:val="00CB48EB"/>
    <w:rsid w:val="00CB50D7"/>
    <w:rsid w:val="00CB61FF"/>
    <w:rsid w:val="00CB66BE"/>
    <w:rsid w:val="00CB7177"/>
    <w:rsid w:val="00CB7CED"/>
    <w:rsid w:val="00CC070F"/>
    <w:rsid w:val="00CC1998"/>
    <w:rsid w:val="00CC1AAB"/>
    <w:rsid w:val="00CC1AED"/>
    <w:rsid w:val="00CC3A36"/>
    <w:rsid w:val="00CC4946"/>
    <w:rsid w:val="00CC58DD"/>
    <w:rsid w:val="00CC5EA5"/>
    <w:rsid w:val="00CC64A1"/>
    <w:rsid w:val="00CC78D4"/>
    <w:rsid w:val="00CC794C"/>
    <w:rsid w:val="00CD17FE"/>
    <w:rsid w:val="00CD2D97"/>
    <w:rsid w:val="00CD5D13"/>
    <w:rsid w:val="00CD72CF"/>
    <w:rsid w:val="00CE26DA"/>
    <w:rsid w:val="00CE3D53"/>
    <w:rsid w:val="00CE4EAF"/>
    <w:rsid w:val="00CE6373"/>
    <w:rsid w:val="00CF00C8"/>
    <w:rsid w:val="00CF3B11"/>
    <w:rsid w:val="00CF5D2B"/>
    <w:rsid w:val="00D016DE"/>
    <w:rsid w:val="00D02710"/>
    <w:rsid w:val="00D1080E"/>
    <w:rsid w:val="00D11B56"/>
    <w:rsid w:val="00D12305"/>
    <w:rsid w:val="00D13F81"/>
    <w:rsid w:val="00D14CD9"/>
    <w:rsid w:val="00D15136"/>
    <w:rsid w:val="00D17CE9"/>
    <w:rsid w:val="00D2090D"/>
    <w:rsid w:val="00D25C92"/>
    <w:rsid w:val="00D270A4"/>
    <w:rsid w:val="00D31FE9"/>
    <w:rsid w:val="00D32D23"/>
    <w:rsid w:val="00D349AA"/>
    <w:rsid w:val="00D34E1B"/>
    <w:rsid w:val="00D376BA"/>
    <w:rsid w:val="00D42A93"/>
    <w:rsid w:val="00D433D2"/>
    <w:rsid w:val="00D434A0"/>
    <w:rsid w:val="00D44B60"/>
    <w:rsid w:val="00D45634"/>
    <w:rsid w:val="00D46639"/>
    <w:rsid w:val="00D47FF8"/>
    <w:rsid w:val="00D54DF6"/>
    <w:rsid w:val="00D5568A"/>
    <w:rsid w:val="00D6019C"/>
    <w:rsid w:val="00D63D73"/>
    <w:rsid w:val="00D64452"/>
    <w:rsid w:val="00D644CE"/>
    <w:rsid w:val="00D65307"/>
    <w:rsid w:val="00D66E1E"/>
    <w:rsid w:val="00D70696"/>
    <w:rsid w:val="00D70A4E"/>
    <w:rsid w:val="00D7113D"/>
    <w:rsid w:val="00D7120B"/>
    <w:rsid w:val="00D75722"/>
    <w:rsid w:val="00D80695"/>
    <w:rsid w:val="00D80CF5"/>
    <w:rsid w:val="00D82150"/>
    <w:rsid w:val="00D82758"/>
    <w:rsid w:val="00D82DD4"/>
    <w:rsid w:val="00D85608"/>
    <w:rsid w:val="00D86683"/>
    <w:rsid w:val="00D91A87"/>
    <w:rsid w:val="00D92979"/>
    <w:rsid w:val="00D95470"/>
    <w:rsid w:val="00D970F3"/>
    <w:rsid w:val="00DA1CDC"/>
    <w:rsid w:val="00DA28BA"/>
    <w:rsid w:val="00DA5BBA"/>
    <w:rsid w:val="00DA607A"/>
    <w:rsid w:val="00DB014B"/>
    <w:rsid w:val="00DB0A82"/>
    <w:rsid w:val="00DB1437"/>
    <w:rsid w:val="00DB26D2"/>
    <w:rsid w:val="00DB45DB"/>
    <w:rsid w:val="00DB67C9"/>
    <w:rsid w:val="00DC0C95"/>
    <w:rsid w:val="00DC3167"/>
    <w:rsid w:val="00DC4F0B"/>
    <w:rsid w:val="00DC58AA"/>
    <w:rsid w:val="00DC6538"/>
    <w:rsid w:val="00DD2358"/>
    <w:rsid w:val="00DD2B1E"/>
    <w:rsid w:val="00DD2ED6"/>
    <w:rsid w:val="00DD348B"/>
    <w:rsid w:val="00DD350C"/>
    <w:rsid w:val="00DD57C6"/>
    <w:rsid w:val="00DD5A7D"/>
    <w:rsid w:val="00DD6580"/>
    <w:rsid w:val="00DD75ED"/>
    <w:rsid w:val="00DE1AA1"/>
    <w:rsid w:val="00DE236E"/>
    <w:rsid w:val="00DE26C2"/>
    <w:rsid w:val="00DE3105"/>
    <w:rsid w:val="00DE4453"/>
    <w:rsid w:val="00DE4CF1"/>
    <w:rsid w:val="00DE4DD0"/>
    <w:rsid w:val="00DE52CE"/>
    <w:rsid w:val="00DE6094"/>
    <w:rsid w:val="00DF2BD7"/>
    <w:rsid w:val="00DF3F47"/>
    <w:rsid w:val="00DF5276"/>
    <w:rsid w:val="00E0129B"/>
    <w:rsid w:val="00E01D7F"/>
    <w:rsid w:val="00E03FAB"/>
    <w:rsid w:val="00E054B2"/>
    <w:rsid w:val="00E05C03"/>
    <w:rsid w:val="00E06CC0"/>
    <w:rsid w:val="00E07E8D"/>
    <w:rsid w:val="00E13A15"/>
    <w:rsid w:val="00E152FA"/>
    <w:rsid w:val="00E16762"/>
    <w:rsid w:val="00E17C72"/>
    <w:rsid w:val="00E21FC6"/>
    <w:rsid w:val="00E24E6B"/>
    <w:rsid w:val="00E31590"/>
    <w:rsid w:val="00E321A9"/>
    <w:rsid w:val="00E32D75"/>
    <w:rsid w:val="00E337FF"/>
    <w:rsid w:val="00E34A99"/>
    <w:rsid w:val="00E36147"/>
    <w:rsid w:val="00E36A5A"/>
    <w:rsid w:val="00E37779"/>
    <w:rsid w:val="00E418BF"/>
    <w:rsid w:val="00E431A9"/>
    <w:rsid w:val="00E4557C"/>
    <w:rsid w:val="00E46BE7"/>
    <w:rsid w:val="00E5082B"/>
    <w:rsid w:val="00E51721"/>
    <w:rsid w:val="00E54AC1"/>
    <w:rsid w:val="00E55428"/>
    <w:rsid w:val="00E55AB2"/>
    <w:rsid w:val="00E5663A"/>
    <w:rsid w:val="00E5742D"/>
    <w:rsid w:val="00E60A6D"/>
    <w:rsid w:val="00E63DCA"/>
    <w:rsid w:val="00E669E2"/>
    <w:rsid w:val="00E66B20"/>
    <w:rsid w:val="00E6702C"/>
    <w:rsid w:val="00E70902"/>
    <w:rsid w:val="00E737C1"/>
    <w:rsid w:val="00E73C2F"/>
    <w:rsid w:val="00E75300"/>
    <w:rsid w:val="00E76135"/>
    <w:rsid w:val="00E77546"/>
    <w:rsid w:val="00E8132B"/>
    <w:rsid w:val="00E82D12"/>
    <w:rsid w:val="00E82D5B"/>
    <w:rsid w:val="00E82F4F"/>
    <w:rsid w:val="00E8328D"/>
    <w:rsid w:val="00E864DF"/>
    <w:rsid w:val="00E876D2"/>
    <w:rsid w:val="00E8777E"/>
    <w:rsid w:val="00E9056C"/>
    <w:rsid w:val="00E909B1"/>
    <w:rsid w:val="00E91245"/>
    <w:rsid w:val="00E92224"/>
    <w:rsid w:val="00E929ED"/>
    <w:rsid w:val="00E93877"/>
    <w:rsid w:val="00E93C52"/>
    <w:rsid w:val="00E95CCA"/>
    <w:rsid w:val="00E95F70"/>
    <w:rsid w:val="00E966F1"/>
    <w:rsid w:val="00EA1A67"/>
    <w:rsid w:val="00EA2ADD"/>
    <w:rsid w:val="00EA2EC7"/>
    <w:rsid w:val="00EA4AFB"/>
    <w:rsid w:val="00EA71DD"/>
    <w:rsid w:val="00EA7621"/>
    <w:rsid w:val="00EB22A7"/>
    <w:rsid w:val="00EB2CC3"/>
    <w:rsid w:val="00EC0AA0"/>
    <w:rsid w:val="00EC0C6E"/>
    <w:rsid w:val="00EC2844"/>
    <w:rsid w:val="00EC5500"/>
    <w:rsid w:val="00EC67AB"/>
    <w:rsid w:val="00ED1112"/>
    <w:rsid w:val="00ED18F8"/>
    <w:rsid w:val="00ED66C9"/>
    <w:rsid w:val="00ED7376"/>
    <w:rsid w:val="00EE2D01"/>
    <w:rsid w:val="00EE387E"/>
    <w:rsid w:val="00EE4B55"/>
    <w:rsid w:val="00EE50FB"/>
    <w:rsid w:val="00EE6EDA"/>
    <w:rsid w:val="00EE778E"/>
    <w:rsid w:val="00EE7901"/>
    <w:rsid w:val="00EF270A"/>
    <w:rsid w:val="00EF2BCD"/>
    <w:rsid w:val="00EF5E6A"/>
    <w:rsid w:val="00EF6719"/>
    <w:rsid w:val="00EF6B4B"/>
    <w:rsid w:val="00EF6C6C"/>
    <w:rsid w:val="00F014CD"/>
    <w:rsid w:val="00F056FC"/>
    <w:rsid w:val="00F0632F"/>
    <w:rsid w:val="00F069AE"/>
    <w:rsid w:val="00F072ED"/>
    <w:rsid w:val="00F10476"/>
    <w:rsid w:val="00F135D8"/>
    <w:rsid w:val="00F16067"/>
    <w:rsid w:val="00F174BD"/>
    <w:rsid w:val="00F20249"/>
    <w:rsid w:val="00F211BD"/>
    <w:rsid w:val="00F2444E"/>
    <w:rsid w:val="00F25E3C"/>
    <w:rsid w:val="00F26BF0"/>
    <w:rsid w:val="00F27458"/>
    <w:rsid w:val="00F2748F"/>
    <w:rsid w:val="00F2770B"/>
    <w:rsid w:val="00F27CAE"/>
    <w:rsid w:val="00F31299"/>
    <w:rsid w:val="00F322D0"/>
    <w:rsid w:val="00F32303"/>
    <w:rsid w:val="00F3534A"/>
    <w:rsid w:val="00F35BFB"/>
    <w:rsid w:val="00F36ACC"/>
    <w:rsid w:val="00F4012A"/>
    <w:rsid w:val="00F409A2"/>
    <w:rsid w:val="00F41B38"/>
    <w:rsid w:val="00F448C1"/>
    <w:rsid w:val="00F468A3"/>
    <w:rsid w:val="00F50EBA"/>
    <w:rsid w:val="00F51609"/>
    <w:rsid w:val="00F547A8"/>
    <w:rsid w:val="00F55C25"/>
    <w:rsid w:val="00F6583E"/>
    <w:rsid w:val="00F66E0B"/>
    <w:rsid w:val="00F70E53"/>
    <w:rsid w:val="00F73727"/>
    <w:rsid w:val="00F7561F"/>
    <w:rsid w:val="00F759AF"/>
    <w:rsid w:val="00F76206"/>
    <w:rsid w:val="00F766A7"/>
    <w:rsid w:val="00F802D0"/>
    <w:rsid w:val="00F81006"/>
    <w:rsid w:val="00F85325"/>
    <w:rsid w:val="00F864EB"/>
    <w:rsid w:val="00F876D3"/>
    <w:rsid w:val="00F87E58"/>
    <w:rsid w:val="00F91B97"/>
    <w:rsid w:val="00FA3978"/>
    <w:rsid w:val="00FB0C7A"/>
    <w:rsid w:val="00FB13A2"/>
    <w:rsid w:val="00FB3243"/>
    <w:rsid w:val="00FB446C"/>
    <w:rsid w:val="00FB47D2"/>
    <w:rsid w:val="00FB4A32"/>
    <w:rsid w:val="00FB7513"/>
    <w:rsid w:val="00FC15F9"/>
    <w:rsid w:val="00FC1F93"/>
    <w:rsid w:val="00FC321D"/>
    <w:rsid w:val="00FC51CA"/>
    <w:rsid w:val="00FC7FF0"/>
    <w:rsid w:val="00FD03D1"/>
    <w:rsid w:val="00FD1843"/>
    <w:rsid w:val="00FD22B1"/>
    <w:rsid w:val="00FD242C"/>
    <w:rsid w:val="00FD33F1"/>
    <w:rsid w:val="00FD3566"/>
    <w:rsid w:val="00FD3F04"/>
    <w:rsid w:val="00FD5540"/>
    <w:rsid w:val="00FD58C1"/>
    <w:rsid w:val="00FD6A49"/>
    <w:rsid w:val="00FE1E8D"/>
    <w:rsid w:val="00FE2FD4"/>
    <w:rsid w:val="00FE5397"/>
    <w:rsid w:val="00FE5D53"/>
    <w:rsid w:val="00FE6F42"/>
    <w:rsid w:val="00FF035B"/>
    <w:rsid w:val="00FF2B76"/>
    <w:rsid w:val="00FF2BBD"/>
    <w:rsid w:val="00FF7E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521"/>
    <o:shapelayout v:ext="edit">
      <o:idmap v:ext="edit" data="1"/>
    </o:shapelayout>
  </w:shapeDefaults>
  <w:decimalSymbol w:val="."/>
  <w:listSeparator w:val=","/>
  <w14:docId w14:val="64070170"/>
  <w15:docId w15:val="{D59BA13D-07DB-4407-9D08-2A517728E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81CE0"/>
    <w:rPr>
      <w:sz w:val="24"/>
      <w:szCs w:val="24"/>
    </w:rPr>
  </w:style>
  <w:style w:type="paragraph" w:styleId="Heading1">
    <w:name w:val="heading 1"/>
    <w:basedOn w:val="BodyText"/>
    <w:next w:val="BodyText"/>
    <w:link w:val="Heading1Char"/>
    <w:rsid w:val="00A81CE0"/>
    <w:pPr>
      <w:keepNext/>
      <w:spacing w:before="160" w:after="1360" w:line="600" w:lineRule="exact"/>
      <w:ind w:left="907" w:hanging="907"/>
      <w:jc w:val="left"/>
      <w:outlineLvl w:val="0"/>
    </w:pPr>
    <w:rPr>
      <w:sz w:val="52"/>
    </w:rPr>
  </w:style>
  <w:style w:type="paragraph" w:styleId="Heading2">
    <w:name w:val="heading 2"/>
    <w:basedOn w:val="Chapter"/>
    <w:next w:val="BodyText"/>
    <w:link w:val="Heading2Char"/>
    <w:qFormat/>
    <w:rsid w:val="00A81CE0"/>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81CE0"/>
    <w:pPr>
      <w:spacing w:before="560" w:line="320" w:lineRule="exact"/>
      <w:ind w:left="0" w:firstLine="0"/>
      <w:outlineLvl w:val="2"/>
    </w:pPr>
    <w:rPr>
      <w:sz w:val="26"/>
    </w:rPr>
  </w:style>
  <w:style w:type="paragraph" w:styleId="Heading4">
    <w:name w:val="heading 4"/>
    <w:basedOn w:val="Heading3"/>
    <w:next w:val="BodyText"/>
    <w:link w:val="Heading4Char"/>
    <w:qFormat/>
    <w:rsid w:val="00A81CE0"/>
    <w:pPr>
      <w:spacing w:before="480"/>
      <w:outlineLvl w:val="3"/>
    </w:pPr>
    <w:rPr>
      <w:b w:val="0"/>
      <w:sz w:val="24"/>
    </w:rPr>
  </w:style>
  <w:style w:type="paragraph" w:styleId="Heading5">
    <w:name w:val="heading 5"/>
    <w:basedOn w:val="Heading4"/>
    <w:next w:val="BodyText"/>
    <w:link w:val="Heading5Char"/>
    <w:qFormat/>
    <w:rsid w:val="00A81CE0"/>
    <w:pPr>
      <w:outlineLvl w:val="4"/>
    </w:pPr>
    <w:rPr>
      <w:i/>
      <w:sz w:val="22"/>
    </w:rPr>
  </w:style>
  <w:style w:type="paragraph" w:styleId="Heading6">
    <w:name w:val="heading 6"/>
    <w:basedOn w:val="BodyText"/>
    <w:next w:val="BodyText"/>
    <w:link w:val="Heading6Char"/>
    <w:rsid w:val="00A81CE0"/>
    <w:pPr>
      <w:spacing w:after="60"/>
      <w:jc w:val="left"/>
      <w:outlineLvl w:val="5"/>
    </w:pPr>
    <w:rPr>
      <w:i/>
      <w:sz w:val="22"/>
    </w:rPr>
  </w:style>
  <w:style w:type="paragraph" w:styleId="Heading7">
    <w:name w:val="heading 7"/>
    <w:basedOn w:val="BodyText"/>
    <w:next w:val="BodyText"/>
    <w:link w:val="Heading7Char"/>
    <w:rsid w:val="00A81CE0"/>
    <w:pPr>
      <w:spacing w:after="60" w:line="240" w:lineRule="auto"/>
      <w:jc w:val="left"/>
      <w:outlineLvl w:val="6"/>
    </w:pPr>
    <w:rPr>
      <w:rFonts w:ascii="Arial" w:hAnsi="Arial"/>
      <w:sz w:val="20"/>
    </w:rPr>
  </w:style>
  <w:style w:type="paragraph" w:styleId="Heading8">
    <w:name w:val="heading 8"/>
    <w:basedOn w:val="BodyText"/>
    <w:next w:val="BodyText"/>
    <w:link w:val="Heading8Char"/>
    <w:rsid w:val="00A81CE0"/>
    <w:pPr>
      <w:spacing w:after="60" w:line="240" w:lineRule="auto"/>
      <w:jc w:val="left"/>
      <w:outlineLvl w:val="7"/>
    </w:pPr>
    <w:rPr>
      <w:rFonts w:ascii="Arial" w:hAnsi="Arial"/>
      <w:i/>
      <w:sz w:val="20"/>
    </w:rPr>
  </w:style>
  <w:style w:type="paragraph" w:styleId="Heading9">
    <w:name w:val="heading 9"/>
    <w:basedOn w:val="BodyText"/>
    <w:next w:val="BodyText"/>
    <w:link w:val="Heading9Char"/>
    <w:rsid w:val="00A81CE0"/>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A81CE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81CE0"/>
  </w:style>
  <w:style w:type="paragraph" w:styleId="BodyText">
    <w:name w:val="Body Text"/>
    <w:link w:val="BodyTextChar"/>
    <w:qFormat/>
    <w:rsid w:val="00A81CE0"/>
    <w:pPr>
      <w:spacing w:before="240" w:line="300" w:lineRule="atLeast"/>
      <w:jc w:val="both"/>
    </w:pPr>
    <w:rPr>
      <w:sz w:val="24"/>
    </w:rPr>
  </w:style>
  <w:style w:type="paragraph" w:styleId="Footer">
    <w:name w:val="footer"/>
    <w:basedOn w:val="BodyText"/>
    <w:link w:val="FooterChar"/>
    <w:rsid w:val="00A81CE0"/>
    <w:pPr>
      <w:spacing w:before="80" w:line="200" w:lineRule="exact"/>
      <w:ind w:right="6"/>
      <w:jc w:val="left"/>
    </w:pPr>
    <w:rPr>
      <w:rFonts w:ascii="Arial" w:hAnsi="Arial"/>
      <w:caps/>
      <w:spacing w:val="-4"/>
      <w:sz w:val="16"/>
    </w:rPr>
  </w:style>
  <w:style w:type="paragraph" w:customStyle="1" w:styleId="FooterEnd">
    <w:name w:val="Footer End"/>
    <w:basedOn w:val="Footer"/>
    <w:rsid w:val="00A81CE0"/>
    <w:pPr>
      <w:spacing w:before="0" w:line="20" w:lineRule="exact"/>
    </w:pPr>
  </w:style>
  <w:style w:type="paragraph" w:styleId="Header">
    <w:name w:val="header"/>
    <w:basedOn w:val="BodyText"/>
    <w:link w:val="HeaderChar"/>
    <w:rsid w:val="00A81CE0"/>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A81CE0"/>
    <w:pPr>
      <w:spacing w:line="20" w:lineRule="exact"/>
    </w:pPr>
    <w:rPr>
      <w:sz w:val="16"/>
    </w:rPr>
  </w:style>
  <w:style w:type="paragraph" w:customStyle="1" w:styleId="HeaderEven">
    <w:name w:val="Header Even"/>
    <w:basedOn w:val="Header"/>
    <w:semiHidden/>
    <w:rsid w:val="00A81CE0"/>
  </w:style>
  <w:style w:type="paragraph" w:customStyle="1" w:styleId="HeaderOdd">
    <w:name w:val="Header Odd"/>
    <w:basedOn w:val="Header"/>
    <w:semiHidden/>
    <w:rsid w:val="00A81CE0"/>
  </w:style>
  <w:style w:type="character" w:styleId="PageNumber">
    <w:name w:val="page number"/>
    <w:basedOn w:val="DefaultParagraphFont"/>
    <w:rsid w:val="00A81CE0"/>
    <w:rPr>
      <w:rFonts w:ascii="Arial" w:hAnsi="Arial"/>
      <w:b/>
      <w:sz w:val="16"/>
    </w:rPr>
  </w:style>
  <w:style w:type="paragraph" w:customStyle="1" w:styleId="Abbreviation">
    <w:name w:val="Abbreviation"/>
    <w:basedOn w:val="BodyText"/>
    <w:rsid w:val="00A81CE0"/>
    <w:pPr>
      <w:spacing w:before="120"/>
      <w:ind w:left="2381" w:hanging="2381"/>
      <w:jc w:val="left"/>
    </w:pPr>
  </w:style>
  <w:style w:type="paragraph" w:customStyle="1" w:styleId="Box">
    <w:name w:val="Box"/>
    <w:basedOn w:val="BodyText"/>
    <w:link w:val="BoxChar"/>
    <w:qFormat/>
    <w:rsid w:val="00A81CE0"/>
    <w:pPr>
      <w:keepNext/>
      <w:spacing w:before="120" w:line="260" w:lineRule="atLeast"/>
    </w:pPr>
    <w:rPr>
      <w:rFonts w:ascii="Arial" w:hAnsi="Arial"/>
      <w:sz w:val="20"/>
    </w:rPr>
  </w:style>
  <w:style w:type="paragraph" w:customStyle="1" w:styleId="BoxContinued">
    <w:name w:val="Box Continued"/>
    <w:basedOn w:val="BodyText"/>
    <w:next w:val="BodyText"/>
    <w:semiHidden/>
    <w:rsid w:val="00A81CE0"/>
    <w:pPr>
      <w:spacing w:before="180" w:line="220" w:lineRule="exact"/>
      <w:jc w:val="right"/>
    </w:pPr>
    <w:rPr>
      <w:rFonts w:ascii="Arial" w:hAnsi="Arial"/>
      <w:sz w:val="18"/>
    </w:rPr>
  </w:style>
  <w:style w:type="paragraph" w:customStyle="1" w:styleId="BoxHeading1">
    <w:name w:val="Box Heading 1"/>
    <w:basedOn w:val="BodyText"/>
    <w:next w:val="Box"/>
    <w:rsid w:val="00A81CE0"/>
    <w:pPr>
      <w:keepNext/>
      <w:spacing w:before="200" w:line="280" w:lineRule="atLeast"/>
    </w:pPr>
    <w:rPr>
      <w:rFonts w:ascii="Arial" w:hAnsi="Arial"/>
      <w:b/>
      <w:sz w:val="22"/>
    </w:rPr>
  </w:style>
  <w:style w:type="paragraph" w:customStyle="1" w:styleId="BoxHeading2">
    <w:name w:val="Box Heading 2"/>
    <w:basedOn w:val="BoxHeading1"/>
    <w:next w:val="Box"/>
    <w:rsid w:val="00A81CE0"/>
    <w:rPr>
      <w:b w:val="0"/>
      <w:i/>
    </w:rPr>
  </w:style>
  <w:style w:type="paragraph" w:customStyle="1" w:styleId="BoxListBullet">
    <w:name w:val="Box List Bullet"/>
    <w:basedOn w:val="BodyText"/>
    <w:link w:val="BoxListBulletChar"/>
    <w:rsid w:val="00A81CE0"/>
    <w:pPr>
      <w:keepNext/>
      <w:numPr>
        <w:numId w:val="1"/>
      </w:numPr>
      <w:spacing w:before="100" w:line="260" w:lineRule="atLeast"/>
    </w:pPr>
    <w:rPr>
      <w:rFonts w:ascii="Arial" w:hAnsi="Arial"/>
      <w:sz w:val="20"/>
    </w:rPr>
  </w:style>
  <w:style w:type="paragraph" w:customStyle="1" w:styleId="BoxListBullet2">
    <w:name w:val="Box List Bullet 2"/>
    <w:basedOn w:val="BoxListBullet"/>
    <w:link w:val="BoxListBullet2Char"/>
    <w:rsid w:val="00A81CE0"/>
    <w:pPr>
      <w:numPr>
        <w:numId w:val="13"/>
      </w:numPr>
      <w:ind w:left="568" w:hanging="284"/>
    </w:pPr>
  </w:style>
  <w:style w:type="paragraph" w:customStyle="1" w:styleId="BoxListNumber">
    <w:name w:val="Box List Number"/>
    <w:basedOn w:val="BodyText"/>
    <w:rsid w:val="00A81CE0"/>
    <w:pPr>
      <w:keepNext/>
      <w:numPr>
        <w:numId w:val="10"/>
      </w:numPr>
      <w:spacing w:before="100" w:line="260" w:lineRule="atLeast"/>
    </w:pPr>
    <w:rPr>
      <w:rFonts w:ascii="Arial" w:hAnsi="Arial"/>
      <w:sz w:val="20"/>
    </w:rPr>
  </w:style>
  <w:style w:type="paragraph" w:customStyle="1" w:styleId="BoxListNumber2">
    <w:name w:val="Box List Number 2"/>
    <w:basedOn w:val="BoxListNumber"/>
    <w:rsid w:val="00A81CE0"/>
    <w:pPr>
      <w:numPr>
        <w:ilvl w:val="1"/>
      </w:numPr>
      <w:ind w:left="681" w:hanging="397"/>
    </w:pPr>
  </w:style>
  <w:style w:type="paragraph" w:customStyle="1" w:styleId="BoxQuote">
    <w:name w:val="Box Quote"/>
    <w:basedOn w:val="BodyText"/>
    <w:next w:val="Box"/>
    <w:qFormat/>
    <w:rsid w:val="00A81CE0"/>
    <w:pPr>
      <w:keepNext/>
      <w:spacing w:before="60" w:line="240" w:lineRule="exact"/>
      <w:ind w:left="284"/>
    </w:pPr>
    <w:rPr>
      <w:rFonts w:ascii="Arial" w:hAnsi="Arial"/>
      <w:sz w:val="18"/>
    </w:rPr>
  </w:style>
  <w:style w:type="paragraph" w:customStyle="1" w:styleId="Note">
    <w:name w:val="Note"/>
    <w:basedOn w:val="BodyText"/>
    <w:next w:val="BodyText"/>
    <w:link w:val="NoteChar"/>
    <w:rsid w:val="00A81CE0"/>
    <w:pPr>
      <w:keepLines/>
      <w:spacing w:before="80" w:line="220" w:lineRule="exact"/>
    </w:pPr>
    <w:rPr>
      <w:rFonts w:ascii="Arial" w:hAnsi="Arial"/>
      <w:sz w:val="18"/>
    </w:rPr>
  </w:style>
  <w:style w:type="paragraph" w:customStyle="1" w:styleId="Source">
    <w:name w:val="Source"/>
    <w:basedOn w:val="Normal"/>
    <w:next w:val="BodyText"/>
    <w:rsid w:val="00A81CE0"/>
    <w:pPr>
      <w:keepLines/>
      <w:spacing w:before="80" w:line="220" w:lineRule="exact"/>
      <w:jc w:val="both"/>
    </w:pPr>
    <w:rPr>
      <w:rFonts w:ascii="Arial" w:hAnsi="Arial"/>
      <w:sz w:val="18"/>
      <w:szCs w:val="20"/>
    </w:rPr>
  </w:style>
  <w:style w:type="paragraph" w:customStyle="1" w:styleId="BoxSource">
    <w:name w:val="Box Source"/>
    <w:basedOn w:val="Source"/>
    <w:next w:val="BodyText"/>
    <w:rsid w:val="00A81CE0"/>
    <w:pPr>
      <w:spacing w:before="120"/>
    </w:pPr>
  </w:style>
  <w:style w:type="paragraph" w:customStyle="1" w:styleId="BoxSpaceAbove">
    <w:name w:val="Box Space Above"/>
    <w:basedOn w:val="BodyText"/>
    <w:rsid w:val="00A81CE0"/>
    <w:pPr>
      <w:keepNext/>
      <w:spacing w:before="360" w:line="80" w:lineRule="exact"/>
      <w:jc w:val="left"/>
    </w:pPr>
  </w:style>
  <w:style w:type="paragraph" w:styleId="Caption">
    <w:name w:val="caption"/>
    <w:basedOn w:val="Normal"/>
    <w:next w:val="BodyText"/>
    <w:rsid w:val="00A81CE0"/>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link w:val="BoxTitleChar"/>
    <w:rsid w:val="00A81CE0"/>
    <w:pPr>
      <w:spacing w:before="120" w:after="0"/>
    </w:pPr>
  </w:style>
  <w:style w:type="paragraph" w:customStyle="1" w:styleId="BoxSubtitle">
    <w:name w:val="Box Subtitle"/>
    <w:basedOn w:val="BoxTitle"/>
    <w:next w:val="Normal"/>
    <w:rsid w:val="00A81CE0"/>
    <w:pPr>
      <w:spacing w:after="80" w:line="200" w:lineRule="exact"/>
      <w:ind w:firstLine="0"/>
    </w:pPr>
    <w:rPr>
      <w:b w:val="0"/>
      <w:sz w:val="20"/>
    </w:rPr>
  </w:style>
  <w:style w:type="paragraph" w:customStyle="1" w:styleId="Chapter">
    <w:name w:val="Chapter"/>
    <w:basedOn w:val="Heading1"/>
    <w:next w:val="BodyText"/>
    <w:semiHidden/>
    <w:rsid w:val="00A81CE0"/>
    <w:pPr>
      <w:ind w:left="0" w:firstLine="0"/>
      <w:outlineLvl w:val="9"/>
    </w:pPr>
  </w:style>
  <w:style w:type="paragraph" w:customStyle="1" w:styleId="ChapterSummary">
    <w:name w:val="Chapter Summary"/>
    <w:basedOn w:val="BodyText"/>
    <w:rsid w:val="00A81CE0"/>
    <w:pPr>
      <w:spacing w:line="280" w:lineRule="atLeast"/>
      <w:ind w:left="907"/>
    </w:pPr>
    <w:rPr>
      <w:rFonts w:ascii="Arial" w:hAnsi="Arial"/>
      <w:b/>
      <w:sz w:val="20"/>
    </w:rPr>
  </w:style>
  <w:style w:type="character" w:styleId="CommentReference">
    <w:name w:val="annotation reference"/>
    <w:basedOn w:val="DefaultParagraphFont"/>
    <w:semiHidden/>
    <w:rsid w:val="00A81CE0"/>
    <w:rPr>
      <w:b/>
      <w:vanish/>
      <w:color w:val="FF00FF"/>
      <w:sz w:val="20"/>
    </w:rPr>
  </w:style>
  <w:style w:type="paragraph" w:styleId="CommentText">
    <w:name w:val="annotation text"/>
    <w:basedOn w:val="Normal"/>
    <w:link w:val="CommentTextChar"/>
    <w:semiHidden/>
    <w:rsid w:val="00A81CE0"/>
    <w:pPr>
      <w:spacing w:before="120" w:line="240" w:lineRule="atLeast"/>
      <w:ind w:left="567" w:hanging="567"/>
    </w:pPr>
    <w:rPr>
      <w:sz w:val="20"/>
    </w:rPr>
  </w:style>
  <w:style w:type="paragraph" w:customStyle="1" w:styleId="Continued">
    <w:name w:val="Continued"/>
    <w:basedOn w:val="BoxContinued"/>
    <w:next w:val="BodyText"/>
    <w:rsid w:val="00A81CE0"/>
  </w:style>
  <w:style w:type="character" w:customStyle="1" w:styleId="DocumentInfo">
    <w:name w:val="Document Info"/>
    <w:basedOn w:val="DefaultParagraphFont"/>
    <w:semiHidden/>
    <w:rsid w:val="00A81CE0"/>
    <w:rPr>
      <w:rFonts w:ascii="Arial" w:hAnsi="Arial"/>
      <w:sz w:val="14"/>
    </w:rPr>
  </w:style>
  <w:style w:type="character" w:customStyle="1" w:styleId="DraftingNote">
    <w:name w:val="Drafting Note"/>
    <w:basedOn w:val="DefaultParagraphFont"/>
    <w:rsid w:val="00A81CE0"/>
    <w:rPr>
      <w:b/>
      <w:color w:val="FF0000"/>
      <w:sz w:val="24"/>
      <w:u w:val="dotted"/>
    </w:rPr>
  </w:style>
  <w:style w:type="paragraph" w:customStyle="1" w:styleId="Figure">
    <w:name w:val="Figure"/>
    <w:basedOn w:val="BodyText"/>
    <w:link w:val="FigureChar"/>
    <w:rsid w:val="00A81CE0"/>
    <w:pPr>
      <w:keepNext/>
      <w:spacing w:before="120" w:after="120" w:line="240" w:lineRule="atLeast"/>
      <w:jc w:val="center"/>
    </w:pPr>
  </w:style>
  <w:style w:type="paragraph" w:customStyle="1" w:styleId="FigureTitle">
    <w:name w:val="Figure Title"/>
    <w:basedOn w:val="Caption"/>
    <w:next w:val="Subtitle"/>
    <w:rsid w:val="00A81CE0"/>
    <w:pPr>
      <w:spacing w:before="120"/>
    </w:pPr>
  </w:style>
  <w:style w:type="paragraph" w:styleId="Subtitle">
    <w:name w:val="Subtitle"/>
    <w:basedOn w:val="Caption"/>
    <w:link w:val="SubtitleChar"/>
    <w:qFormat/>
    <w:rsid w:val="00A81CE0"/>
    <w:pPr>
      <w:spacing w:before="0" w:line="200" w:lineRule="exact"/>
      <w:ind w:firstLine="0"/>
    </w:pPr>
    <w:rPr>
      <w:b w:val="0"/>
      <w:sz w:val="20"/>
    </w:rPr>
  </w:style>
  <w:style w:type="paragraph" w:customStyle="1" w:styleId="Finding">
    <w:name w:val="Finding"/>
    <w:basedOn w:val="BodyText"/>
    <w:rsid w:val="00A81CE0"/>
    <w:pPr>
      <w:keepLines/>
      <w:spacing w:before="120" w:line="280" w:lineRule="atLeast"/>
    </w:pPr>
    <w:rPr>
      <w:rFonts w:ascii="Arial" w:hAnsi="Arial"/>
      <w:sz w:val="22"/>
    </w:rPr>
  </w:style>
  <w:style w:type="paragraph" w:customStyle="1" w:styleId="FindingBullet">
    <w:name w:val="Finding Bullet"/>
    <w:basedOn w:val="Finding"/>
    <w:rsid w:val="00A81CE0"/>
    <w:pPr>
      <w:numPr>
        <w:numId w:val="15"/>
      </w:numPr>
      <w:spacing w:before="80"/>
    </w:pPr>
  </w:style>
  <w:style w:type="paragraph" w:customStyle="1" w:styleId="FindingNoTitle">
    <w:name w:val="Finding NoTitle"/>
    <w:basedOn w:val="Finding"/>
    <w:semiHidden/>
    <w:rsid w:val="00A81CE0"/>
    <w:pPr>
      <w:spacing w:before="240"/>
    </w:pPr>
  </w:style>
  <w:style w:type="paragraph" w:customStyle="1" w:styleId="RecTitle">
    <w:name w:val="Rec Title"/>
    <w:basedOn w:val="BodyText"/>
    <w:next w:val="Rec"/>
    <w:qFormat/>
    <w:rsid w:val="00A81CE0"/>
    <w:pPr>
      <w:keepNext/>
      <w:keepLines/>
      <w:spacing w:line="280" w:lineRule="atLeast"/>
    </w:pPr>
    <w:rPr>
      <w:rFonts w:ascii="Arial" w:hAnsi="Arial"/>
      <w:caps/>
      <w:sz w:val="18"/>
    </w:rPr>
  </w:style>
  <w:style w:type="paragraph" w:customStyle="1" w:styleId="FindingTitle">
    <w:name w:val="Finding Title"/>
    <w:basedOn w:val="RecTitle"/>
    <w:next w:val="Finding"/>
    <w:rsid w:val="00A81CE0"/>
  </w:style>
  <w:style w:type="character" w:styleId="FootnoteReference">
    <w:name w:val="footnote reference"/>
    <w:basedOn w:val="DefaultParagraphFont"/>
    <w:semiHidden/>
    <w:rsid w:val="00A81CE0"/>
    <w:rPr>
      <w:rFonts w:ascii="Times New Roman" w:hAnsi="Times New Roman"/>
      <w:position w:val="6"/>
      <w:sz w:val="20"/>
      <w:vertAlign w:val="baseline"/>
    </w:rPr>
  </w:style>
  <w:style w:type="paragraph" w:styleId="FootnoteText">
    <w:name w:val="footnote text"/>
    <w:basedOn w:val="BodyText"/>
    <w:link w:val="FootnoteTextChar"/>
    <w:rsid w:val="00A81CE0"/>
    <w:pPr>
      <w:tabs>
        <w:tab w:val="left" w:pos="284"/>
      </w:tabs>
      <w:spacing w:before="80" w:line="240" w:lineRule="exact"/>
      <w:ind w:left="284" w:hanging="284"/>
    </w:pPr>
    <w:rPr>
      <w:sz w:val="20"/>
    </w:rPr>
  </w:style>
  <w:style w:type="paragraph" w:customStyle="1" w:styleId="InformationRequest">
    <w:name w:val="Information Request"/>
    <w:basedOn w:val="Finding"/>
    <w:next w:val="BodyText"/>
    <w:rsid w:val="00A81CE0"/>
    <w:rPr>
      <w:i/>
    </w:rPr>
  </w:style>
  <w:style w:type="paragraph" w:customStyle="1" w:styleId="Jurisdictioncommentsbodytext">
    <w:name w:val="Jurisdiction comments body text"/>
    <w:rsid w:val="00A81CE0"/>
    <w:pPr>
      <w:spacing w:after="140"/>
      <w:jc w:val="both"/>
    </w:pPr>
    <w:rPr>
      <w:rFonts w:ascii="Arial" w:hAnsi="Arial"/>
      <w:sz w:val="24"/>
      <w:lang w:eastAsia="en-US"/>
    </w:rPr>
  </w:style>
  <w:style w:type="paragraph" w:customStyle="1" w:styleId="Jurisdictioncommentsheading">
    <w:name w:val="Jurisdiction comments heading"/>
    <w:rsid w:val="00A81CE0"/>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81CE0"/>
    <w:pPr>
      <w:numPr>
        <w:numId w:val="2"/>
      </w:numPr>
      <w:spacing w:after="140"/>
      <w:jc w:val="both"/>
    </w:pPr>
    <w:rPr>
      <w:rFonts w:ascii="Arial" w:hAnsi="Arial"/>
      <w:sz w:val="24"/>
      <w:lang w:eastAsia="en-US"/>
    </w:rPr>
  </w:style>
  <w:style w:type="paragraph" w:styleId="ListBullet">
    <w:name w:val="List Bullet"/>
    <w:basedOn w:val="BodyText"/>
    <w:link w:val="ListBulletChar"/>
    <w:rsid w:val="00A81CE0"/>
    <w:pPr>
      <w:numPr>
        <w:numId w:val="3"/>
      </w:numPr>
      <w:spacing w:before="120"/>
    </w:pPr>
  </w:style>
  <w:style w:type="paragraph" w:styleId="ListBullet2">
    <w:name w:val="List Bullet 2"/>
    <w:basedOn w:val="BodyText"/>
    <w:rsid w:val="00A81CE0"/>
    <w:pPr>
      <w:numPr>
        <w:numId w:val="4"/>
      </w:numPr>
      <w:spacing w:before="120"/>
    </w:pPr>
  </w:style>
  <w:style w:type="paragraph" w:styleId="ListBullet3">
    <w:name w:val="List Bullet 3"/>
    <w:basedOn w:val="BodyText"/>
    <w:rsid w:val="00A81CE0"/>
    <w:pPr>
      <w:numPr>
        <w:numId w:val="5"/>
      </w:numPr>
      <w:spacing w:before="120"/>
      <w:ind w:left="1020" w:hanging="340"/>
    </w:pPr>
  </w:style>
  <w:style w:type="paragraph" w:styleId="ListNumber">
    <w:name w:val="List Number"/>
    <w:basedOn w:val="BodyText"/>
    <w:rsid w:val="00A81CE0"/>
    <w:pPr>
      <w:numPr>
        <w:numId w:val="9"/>
      </w:numPr>
      <w:spacing w:before="120"/>
    </w:pPr>
  </w:style>
  <w:style w:type="paragraph" w:styleId="ListNumber2">
    <w:name w:val="List Number 2"/>
    <w:basedOn w:val="ListNumber"/>
    <w:rsid w:val="00A81CE0"/>
    <w:pPr>
      <w:numPr>
        <w:ilvl w:val="1"/>
      </w:numPr>
    </w:pPr>
  </w:style>
  <w:style w:type="paragraph" w:styleId="ListNumber3">
    <w:name w:val="List Number 3"/>
    <w:basedOn w:val="ListNumber2"/>
    <w:rsid w:val="00A81CE0"/>
    <w:pPr>
      <w:numPr>
        <w:ilvl w:val="2"/>
      </w:numPr>
    </w:pPr>
  </w:style>
  <w:style w:type="character" w:customStyle="1" w:styleId="NoteLabel">
    <w:name w:val="Note Label"/>
    <w:basedOn w:val="DefaultParagraphFont"/>
    <w:rsid w:val="00A81CE0"/>
    <w:rPr>
      <w:rFonts w:ascii="Arial" w:hAnsi="Arial"/>
      <w:b/>
      <w:position w:val="6"/>
      <w:sz w:val="18"/>
    </w:rPr>
  </w:style>
  <w:style w:type="paragraph" w:customStyle="1" w:styleId="PartDivider">
    <w:name w:val="Part Divider"/>
    <w:basedOn w:val="BodyText"/>
    <w:next w:val="BodyText"/>
    <w:rsid w:val="00A81CE0"/>
    <w:pPr>
      <w:spacing w:before="0" w:line="40" w:lineRule="exact"/>
      <w:jc w:val="right"/>
    </w:pPr>
    <w:rPr>
      <w:smallCaps/>
      <w:sz w:val="16"/>
    </w:rPr>
  </w:style>
  <w:style w:type="paragraph" w:customStyle="1" w:styleId="PartNumber">
    <w:name w:val="Part Number"/>
    <w:basedOn w:val="BodyText"/>
    <w:next w:val="BodyText"/>
    <w:rsid w:val="00A81CE0"/>
    <w:pPr>
      <w:spacing w:before="4000" w:line="320" w:lineRule="exact"/>
      <w:ind w:left="6634"/>
      <w:jc w:val="right"/>
    </w:pPr>
    <w:rPr>
      <w:smallCaps/>
      <w:spacing w:val="60"/>
      <w:sz w:val="32"/>
    </w:rPr>
  </w:style>
  <w:style w:type="paragraph" w:customStyle="1" w:styleId="PartTitle">
    <w:name w:val="Part Title"/>
    <w:basedOn w:val="BodyText"/>
    <w:rsid w:val="00A81CE0"/>
    <w:pPr>
      <w:spacing w:before="160" w:after="1360" w:line="520" w:lineRule="exact"/>
      <w:ind w:right="2381"/>
      <w:jc w:val="right"/>
    </w:pPr>
    <w:rPr>
      <w:smallCaps/>
      <w:sz w:val="52"/>
    </w:rPr>
  </w:style>
  <w:style w:type="paragraph" w:styleId="Quote">
    <w:name w:val="Quote"/>
    <w:basedOn w:val="BodyText"/>
    <w:next w:val="BodyText"/>
    <w:link w:val="QuoteChar"/>
    <w:qFormat/>
    <w:rsid w:val="00A81CE0"/>
    <w:pPr>
      <w:spacing w:before="120" w:line="280" w:lineRule="exact"/>
      <w:ind w:left="340"/>
    </w:pPr>
    <w:rPr>
      <w:sz w:val="22"/>
    </w:rPr>
  </w:style>
  <w:style w:type="paragraph" w:customStyle="1" w:styleId="QuoteBullet">
    <w:name w:val="Quote Bullet"/>
    <w:basedOn w:val="Quote"/>
    <w:rsid w:val="00A81CE0"/>
    <w:pPr>
      <w:numPr>
        <w:numId w:val="6"/>
      </w:numPr>
    </w:pPr>
  </w:style>
  <w:style w:type="paragraph" w:customStyle="1" w:styleId="Rec">
    <w:name w:val="Rec"/>
    <w:basedOn w:val="BodyText"/>
    <w:qFormat/>
    <w:rsid w:val="00A81CE0"/>
    <w:pPr>
      <w:keepLines/>
      <w:spacing w:before="120" w:line="280" w:lineRule="atLeast"/>
    </w:pPr>
    <w:rPr>
      <w:rFonts w:ascii="Arial" w:hAnsi="Arial"/>
      <w:sz w:val="22"/>
    </w:rPr>
  </w:style>
  <w:style w:type="paragraph" w:customStyle="1" w:styleId="RecBullet">
    <w:name w:val="Rec Bullet"/>
    <w:basedOn w:val="Rec"/>
    <w:rsid w:val="00A81CE0"/>
    <w:pPr>
      <w:numPr>
        <w:numId w:val="17"/>
      </w:numPr>
      <w:spacing w:before="80"/>
    </w:pPr>
  </w:style>
  <w:style w:type="paragraph" w:customStyle="1" w:styleId="RecB">
    <w:name w:val="RecB"/>
    <w:basedOn w:val="Normal"/>
    <w:semiHidden/>
    <w:rsid w:val="00A81CE0"/>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A81CE0"/>
    <w:pPr>
      <w:numPr>
        <w:numId w:val="11"/>
      </w:numPr>
      <w:spacing w:before="80"/>
    </w:pPr>
  </w:style>
  <w:style w:type="paragraph" w:customStyle="1" w:styleId="RecBNoTitle">
    <w:name w:val="RecB NoTitle"/>
    <w:basedOn w:val="RecB"/>
    <w:semiHidden/>
    <w:rsid w:val="00A81CE0"/>
    <w:pPr>
      <w:spacing w:before="240"/>
    </w:pPr>
  </w:style>
  <w:style w:type="paragraph" w:customStyle="1" w:styleId="Reference">
    <w:name w:val="Reference"/>
    <w:basedOn w:val="BodyText"/>
    <w:rsid w:val="00A81CE0"/>
    <w:pPr>
      <w:spacing w:before="120"/>
      <w:ind w:left="340" w:hanging="340"/>
    </w:pPr>
  </w:style>
  <w:style w:type="paragraph" w:customStyle="1" w:styleId="SequenceInfo">
    <w:name w:val="Sequence Info"/>
    <w:basedOn w:val="BodyText"/>
    <w:semiHidden/>
    <w:rsid w:val="00A81CE0"/>
    <w:rPr>
      <w:vanish/>
      <w:sz w:val="16"/>
    </w:rPr>
  </w:style>
  <w:style w:type="paragraph" w:customStyle="1" w:styleId="SideNote">
    <w:name w:val="Side Note"/>
    <w:basedOn w:val="BodyText"/>
    <w:next w:val="BodyText"/>
    <w:semiHidden/>
    <w:rsid w:val="00A81CE0"/>
    <w:pPr>
      <w:keepNext/>
      <w:keepLines/>
      <w:framePr w:w="2155" w:hSpace="227" w:vSpace="181" w:wrap="around" w:vAnchor="text" w:hAnchor="page" w:xAlign="outside" w:y="1"/>
      <w:jc w:val="left"/>
    </w:pPr>
    <w:rPr>
      <w:i/>
    </w:rPr>
  </w:style>
  <w:style w:type="paragraph" w:customStyle="1" w:styleId="SideNoteBullet">
    <w:name w:val="Side Note Bullet"/>
    <w:basedOn w:val="SideNote"/>
    <w:next w:val="BodyText"/>
    <w:semiHidden/>
    <w:rsid w:val="00A81CE0"/>
    <w:pPr>
      <w:framePr w:wrap="around"/>
      <w:numPr>
        <w:numId w:val="7"/>
      </w:numPr>
      <w:tabs>
        <w:tab w:val="left" w:pos="227"/>
      </w:tabs>
    </w:pPr>
  </w:style>
  <w:style w:type="paragraph" w:customStyle="1" w:styleId="SideNoteGraphic">
    <w:name w:val="Side Note Graphic"/>
    <w:basedOn w:val="SideNote"/>
    <w:next w:val="BodyText"/>
    <w:semiHidden/>
    <w:rsid w:val="00A81CE0"/>
    <w:pPr>
      <w:framePr w:wrap="around"/>
    </w:pPr>
  </w:style>
  <w:style w:type="paragraph" w:customStyle="1" w:styleId="TableBodyText">
    <w:name w:val="Table Body Text"/>
    <w:basedOn w:val="BodyText"/>
    <w:rsid w:val="00A81CE0"/>
    <w:pPr>
      <w:keepNext/>
      <w:keepLines/>
      <w:spacing w:before="0" w:after="40" w:line="200" w:lineRule="atLeast"/>
      <w:ind w:left="6" w:right="113"/>
      <w:jc w:val="right"/>
    </w:pPr>
    <w:rPr>
      <w:rFonts w:ascii="Arial" w:hAnsi="Arial"/>
      <w:sz w:val="18"/>
    </w:rPr>
  </w:style>
  <w:style w:type="paragraph" w:customStyle="1" w:styleId="TableBullet">
    <w:name w:val="Table Bullet"/>
    <w:basedOn w:val="TableBodyText"/>
    <w:rsid w:val="00A81CE0"/>
    <w:pPr>
      <w:numPr>
        <w:numId w:val="8"/>
      </w:numPr>
      <w:jc w:val="left"/>
    </w:pPr>
  </w:style>
  <w:style w:type="paragraph" w:customStyle="1" w:styleId="TableColumnHeading">
    <w:name w:val="Table Column Heading"/>
    <w:basedOn w:val="TableBodyText"/>
    <w:rsid w:val="00A81CE0"/>
    <w:pPr>
      <w:spacing w:before="80" w:after="80"/>
    </w:pPr>
    <w:rPr>
      <w:i/>
    </w:rPr>
  </w:style>
  <w:style w:type="paragraph" w:styleId="TOC2">
    <w:name w:val="toc 2"/>
    <w:basedOn w:val="TOC1"/>
    <w:rsid w:val="00A81CE0"/>
    <w:pPr>
      <w:ind w:left="1134" w:hanging="624"/>
    </w:pPr>
    <w:rPr>
      <w:b w:val="0"/>
    </w:rPr>
  </w:style>
  <w:style w:type="paragraph" w:styleId="TOC3">
    <w:name w:val="toc 3"/>
    <w:basedOn w:val="TOC2"/>
    <w:rsid w:val="00A81CE0"/>
    <w:pPr>
      <w:spacing w:before="60"/>
      <w:ind w:left="1190" w:hanging="680"/>
    </w:pPr>
  </w:style>
  <w:style w:type="paragraph" w:styleId="TableofFigures">
    <w:name w:val="table of figures"/>
    <w:basedOn w:val="TOC3"/>
    <w:next w:val="BodyText"/>
    <w:semiHidden/>
    <w:rsid w:val="00A81CE0"/>
    <w:pPr>
      <w:ind w:left="737" w:hanging="737"/>
    </w:pPr>
  </w:style>
  <w:style w:type="paragraph" w:customStyle="1" w:styleId="TableTitle">
    <w:name w:val="Table Title"/>
    <w:basedOn w:val="Caption"/>
    <w:next w:val="Subtitle"/>
    <w:qFormat/>
    <w:rsid w:val="00A81CE0"/>
    <w:pPr>
      <w:spacing w:before="120"/>
    </w:pPr>
  </w:style>
  <w:style w:type="paragraph" w:customStyle="1" w:styleId="TableUnitsRow">
    <w:name w:val="Table Units Row"/>
    <w:basedOn w:val="TableBodyText"/>
    <w:rsid w:val="00A81CE0"/>
    <w:pPr>
      <w:spacing w:before="40"/>
    </w:pPr>
  </w:style>
  <w:style w:type="paragraph" w:styleId="TOC1">
    <w:name w:val="toc 1"/>
    <w:basedOn w:val="Normal"/>
    <w:next w:val="TOC2"/>
    <w:link w:val="TOC1Char"/>
    <w:rsid w:val="00A81CE0"/>
    <w:pPr>
      <w:tabs>
        <w:tab w:val="right" w:pos="8789"/>
      </w:tabs>
      <w:spacing w:before="120" w:line="320" w:lineRule="exact"/>
      <w:ind w:left="510" w:right="851" w:hanging="510"/>
    </w:pPr>
    <w:rPr>
      <w:rFonts w:ascii="Arial" w:hAnsi="Arial"/>
      <w:b/>
      <w:sz w:val="26"/>
      <w:szCs w:val="26"/>
      <w:lang w:eastAsia="en-US"/>
    </w:rPr>
  </w:style>
  <w:style w:type="paragraph" w:styleId="TOC4">
    <w:name w:val="toc 4"/>
    <w:basedOn w:val="TOC3"/>
    <w:semiHidden/>
    <w:rsid w:val="00A81CE0"/>
    <w:pPr>
      <w:ind w:left="1191" w:firstLine="0"/>
    </w:pPr>
  </w:style>
  <w:style w:type="paragraph" w:customStyle="1" w:styleId="RecBBullet2">
    <w:name w:val="RecB Bullet 2"/>
    <w:basedOn w:val="ListBullet2"/>
    <w:semiHidden/>
    <w:rsid w:val="00A81CE0"/>
    <w:pPr>
      <w:pBdr>
        <w:left w:val="single" w:sz="24" w:space="29" w:color="C0C0C0"/>
      </w:pBdr>
    </w:pPr>
    <w:rPr>
      <w:b/>
      <w:i/>
    </w:rPr>
  </w:style>
  <w:style w:type="paragraph" w:styleId="BalloonText">
    <w:name w:val="Balloon Text"/>
    <w:basedOn w:val="Normal"/>
    <w:link w:val="BalloonTextChar"/>
    <w:rsid w:val="00A81CE0"/>
    <w:rPr>
      <w:rFonts w:ascii="Tahoma" w:hAnsi="Tahoma" w:cs="Tahoma"/>
      <w:sz w:val="16"/>
      <w:szCs w:val="16"/>
    </w:rPr>
  </w:style>
  <w:style w:type="character" w:customStyle="1" w:styleId="BalloonTextChar">
    <w:name w:val="Balloon Text Char"/>
    <w:basedOn w:val="DefaultParagraphFont"/>
    <w:link w:val="BalloonText"/>
    <w:rsid w:val="00A81CE0"/>
    <w:rPr>
      <w:rFonts w:ascii="Tahoma" w:hAnsi="Tahoma" w:cs="Tahoma"/>
      <w:sz w:val="16"/>
      <w:szCs w:val="16"/>
    </w:rPr>
  </w:style>
  <w:style w:type="character" w:customStyle="1" w:styleId="SubtitleChar">
    <w:name w:val="Subtitle Char"/>
    <w:basedOn w:val="DefaultParagraphFont"/>
    <w:link w:val="Subtitle"/>
    <w:rsid w:val="00A81CE0"/>
    <w:rPr>
      <w:rFonts w:ascii="Arial" w:hAnsi="Arial"/>
      <w:szCs w:val="24"/>
    </w:rPr>
  </w:style>
  <w:style w:type="paragraph" w:customStyle="1" w:styleId="BoxListBullet3">
    <w:name w:val="Box List Bullet 3"/>
    <w:basedOn w:val="ListBullet3"/>
    <w:rsid w:val="00A81CE0"/>
    <w:pPr>
      <w:numPr>
        <w:numId w:val="14"/>
      </w:numPr>
      <w:tabs>
        <w:tab w:val="left" w:pos="907"/>
      </w:tabs>
      <w:spacing w:before="60" w:line="260" w:lineRule="atLeast"/>
      <w:ind w:left="907" w:hanging="340"/>
    </w:pPr>
    <w:rPr>
      <w:rFonts w:ascii="Arial" w:hAnsi="Arial"/>
      <w:sz w:val="20"/>
    </w:rPr>
  </w:style>
  <w:style w:type="character" w:styleId="Emphasis">
    <w:name w:val="Emphasis"/>
    <w:basedOn w:val="DefaultParagraphFont"/>
    <w:rsid w:val="00A81CE0"/>
    <w:rPr>
      <w:i/>
      <w:iCs/>
    </w:rPr>
  </w:style>
  <w:style w:type="paragraph" w:customStyle="1" w:styleId="BoxQuoteBullet">
    <w:name w:val="Box Quote Bullet"/>
    <w:basedOn w:val="BoxQuote"/>
    <w:next w:val="Box"/>
    <w:rsid w:val="00A81CE0"/>
    <w:pPr>
      <w:numPr>
        <w:numId w:val="12"/>
      </w:numPr>
      <w:ind w:left="568" w:hanging="284"/>
    </w:pPr>
  </w:style>
  <w:style w:type="paragraph" w:customStyle="1" w:styleId="InformationRequestBullet">
    <w:name w:val="Information Request Bullet"/>
    <w:basedOn w:val="ListBullet"/>
    <w:next w:val="BodyText"/>
    <w:rsid w:val="00A81CE0"/>
    <w:pPr>
      <w:numPr>
        <w:numId w:val="16"/>
      </w:numPr>
      <w:spacing w:before="80" w:line="280" w:lineRule="atLeast"/>
      <w:ind w:left="357" w:hanging="357"/>
    </w:pPr>
    <w:rPr>
      <w:rFonts w:ascii="Arial" w:hAnsi="Arial"/>
      <w:i/>
      <w:sz w:val="22"/>
    </w:rPr>
  </w:style>
  <w:style w:type="paragraph" w:customStyle="1" w:styleId="BoxSpaceBelow">
    <w:name w:val="Box Space Below"/>
    <w:basedOn w:val="Box"/>
    <w:rsid w:val="00A81CE0"/>
    <w:pPr>
      <w:keepNext w:val="0"/>
      <w:spacing w:before="60" w:after="60" w:line="80" w:lineRule="exact"/>
    </w:pPr>
    <w:rPr>
      <w:sz w:val="14"/>
    </w:rPr>
  </w:style>
  <w:style w:type="paragraph" w:customStyle="1" w:styleId="KeyPointsListBullet">
    <w:name w:val="Key Points List Bullet"/>
    <w:basedOn w:val="Normal"/>
    <w:qFormat/>
    <w:rsid w:val="00A81CE0"/>
    <w:pPr>
      <w:keepNext/>
      <w:numPr>
        <w:numId w:val="20"/>
      </w:numPr>
      <w:spacing w:before="100" w:line="260" w:lineRule="atLeast"/>
      <w:ind w:left="357" w:hanging="357"/>
      <w:jc w:val="both"/>
    </w:pPr>
    <w:rPr>
      <w:rFonts w:ascii="Arial" w:hAnsi="Arial"/>
      <w:sz w:val="20"/>
      <w:szCs w:val="20"/>
      <w:lang w:eastAsia="en-US"/>
    </w:rPr>
  </w:style>
  <w:style w:type="paragraph" w:customStyle="1" w:styleId="KeyPointsListBullet2">
    <w:name w:val="Key Points List Bullet 2"/>
    <w:basedOn w:val="BoxListBullet2"/>
    <w:rsid w:val="00A81CE0"/>
    <w:pPr>
      <w:numPr>
        <w:numId w:val="21"/>
      </w:numPr>
      <w:ind w:left="568" w:hanging="284"/>
    </w:pPr>
  </w:style>
  <w:style w:type="paragraph" w:customStyle="1" w:styleId="InformationRequestTitle">
    <w:name w:val="Information Request Title"/>
    <w:basedOn w:val="FindingTitle"/>
    <w:next w:val="InformationRequest"/>
    <w:rsid w:val="00A81CE0"/>
    <w:rPr>
      <w:i/>
    </w:rPr>
  </w:style>
  <w:style w:type="paragraph" w:customStyle="1" w:styleId="Space">
    <w:name w:val="Space"/>
    <w:basedOn w:val="Normal"/>
    <w:rsid w:val="00A81CE0"/>
    <w:pPr>
      <w:keepNext/>
      <w:spacing w:line="120" w:lineRule="exact"/>
      <w:jc w:val="both"/>
    </w:pPr>
    <w:rPr>
      <w:rFonts w:ascii="Arial" w:hAnsi="Arial"/>
      <w:sz w:val="20"/>
      <w:szCs w:val="20"/>
    </w:rPr>
  </w:style>
  <w:style w:type="paragraph" w:customStyle="1" w:styleId="Heading1nochapterno">
    <w:name w:val="Heading 1 (no chapter no.)"/>
    <w:basedOn w:val="Heading1"/>
    <w:rsid w:val="00A81CE0"/>
    <w:pPr>
      <w:spacing w:before="0"/>
      <w:ind w:left="0" w:firstLine="0"/>
    </w:pPr>
  </w:style>
  <w:style w:type="paragraph" w:customStyle="1" w:styleId="Heading2nosectionno">
    <w:name w:val="Heading 2 (no section no.)"/>
    <w:basedOn w:val="Heading2"/>
    <w:rsid w:val="00A81CE0"/>
    <w:pPr>
      <w:ind w:left="0" w:firstLine="0"/>
    </w:pPr>
  </w:style>
  <w:style w:type="character" w:customStyle="1" w:styleId="Heading5Char">
    <w:name w:val="Heading 5 Char"/>
    <w:basedOn w:val="DefaultParagraphFont"/>
    <w:link w:val="Heading5"/>
    <w:rsid w:val="00A81CE0"/>
    <w:rPr>
      <w:rFonts w:ascii="Arial" w:hAnsi="Arial"/>
      <w:i/>
      <w:sz w:val="22"/>
    </w:rPr>
  </w:style>
  <w:style w:type="paragraph" w:customStyle="1" w:styleId="Figurespace">
    <w:name w:val="Figure space"/>
    <w:basedOn w:val="Box"/>
    <w:rsid w:val="00A81CE0"/>
    <w:pPr>
      <w:spacing w:before="0" w:line="120" w:lineRule="exact"/>
    </w:pPr>
  </w:style>
  <w:style w:type="paragraph" w:customStyle="1" w:styleId="FooterDraftReport">
    <w:name w:val="FooterDraftReport"/>
    <w:basedOn w:val="Footer"/>
    <w:link w:val="FooterDraftReportChar"/>
    <w:rsid w:val="00A81CE0"/>
    <w:pPr>
      <w:spacing w:before="40"/>
    </w:pPr>
    <w:rPr>
      <w:rFonts w:cs="Arial"/>
      <w:color w:val="808080"/>
      <w14:textFill>
        <w14:solidFill>
          <w14:srgbClr w14:val="808080">
            <w14:lumMod w14:val="50000"/>
            <w14:lumOff w14:val="50000"/>
            <w14:lumMod w14:val="50000"/>
            <w14:lumOff w14:val="50000"/>
            <w14:lumMod w14:val="50000"/>
          </w14:srgbClr>
        </w14:solidFill>
      </w14:textFill>
    </w:rPr>
  </w:style>
  <w:style w:type="character" w:customStyle="1" w:styleId="BodyTextChar">
    <w:name w:val="Body Text Char"/>
    <w:basedOn w:val="DefaultParagraphFont"/>
    <w:link w:val="BodyText"/>
    <w:rsid w:val="00A81CE0"/>
    <w:rPr>
      <w:sz w:val="24"/>
    </w:rPr>
  </w:style>
  <w:style w:type="character" w:customStyle="1" w:styleId="FooterChar">
    <w:name w:val="Footer Char"/>
    <w:basedOn w:val="BodyTextChar"/>
    <w:link w:val="Footer"/>
    <w:rsid w:val="00A81CE0"/>
    <w:rPr>
      <w:rFonts w:ascii="Arial" w:hAnsi="Arial"/>
      <w:caps/>
      <w:spacing w:val="-4"/>
      <w:sz w:val="16"/>
    </w:rPr>
  </w:style>
  <w:style w:type="character" w:customStyle="1" w:styleId="FooterDraftReportChar">
    <w:name w:val="FooterDraftReport Char"/>
    <w:basedOn w:val="FooterChar"/>
    <w:link w:val="FooterDraftReport"/>
    <w:rsid w:val="00A81CE0"/>
    <w:rPr>
      <w:rFonts w:ascii="Arial" w:hAnsi="Arial" w:cs="Arial"/>
      <w:caps/>
      <w:color w:val="808080"/>
      <w:spacing w:val="-4"/>
      <w:sz w:val="16"/>
      <w14:textFill>
        <w14:solidFill>
          <w14:srgbClr w14:val="808080">
            <w14:lumMod w14:val="50000"/>
            <w14:lumOff w14:val="50000"/>
            <w14:lumMod w14:val="50000"/>
            <w14:lumOff w14:val="50000"/>
            <w14:lumMod w14:val="50000"/>
          </w14:srgbClr>
        </w14:solidFill>
      </w14:textFill>
    </w:rPr>
  </w:style>
  <w:style w:type="table" w:styleId="TableGrid">
    <w:name w:val="Table Grid"/>
    <w:basedOn w:val="TableNormal"/>
    <w:rsid w:val="00A81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OC1Char">
    <w:name w:val="TOC 1 Char"/>
    <w:basedOn w:val="DefaultParagraphFont"/>
    <w:link w:val="TOC1"/>
    <w:rsid w:val="00A81CE0"/>
    <w:rPr>
      <w:rFonts w:ascii="Arial" w:hAnsi="Arial"/>
      <w:b/>
      <w:sz w:val="26"/>
      <w:szCs w:val="26"/>
      <w:lang w:eastAsia="en-US"/>
    </w:rPr>
  </w:style>
  <w:style w:type="character" w:customStyle="1" w:styleId="BoxListBulletChar">
    <w:name w:val="Box List Bullet Char"/>
    <w:basedOn w:val="DefaultParagraphFont"/>
    <w:link w:val="BoxListBullet"/>
    <w:rsid w:val="00C05E94"/>
    <w:rPr>
      <w:rFonts w:ascii="Arial" w:hAnsi="Arial"/>
    </w:rPr>
  </w:style>
  <w:style w:type="character" w:customStyle="1" w:styleId="BoxListBullet2Char">
    <w:name w:val="Box List Bullet 2 Char"/>
    <w:link w:val="BoxListBullet2"/>
    <w:rsid w:val="00C05E94"/>
    <w:rPr>
      <w:rFonts w:ascii="Arial" w:hAnsi="Arial"/>
    </w:rPr>
  </w:style>
  <w:style w:type="character" w:customStyle="1" w:styleId="ListBulletChar">
    <w:name w:val="List Bullet Char"/>
    <w:link w:val="ListBullet"/>
    <w:rsid w:val="001137EF"/>
    <w:rPr>
      <w:sz w:val="24"/>
    </w:rPr>
  </w:style>
  <w:style w:type="character" w:customStyle="1" w:styleId="BoxChar">
    <w:name w:val="Box Char"/>
    <w:link w:val="Box"/>
    <w:rsid w:val="00263848"/>
    <w:rPr>
      <w:rFonts w:ascii="Arial" w:hAnsi="Arial"/>
    </w:rPr>
  </w:style>
  <w:style w:type="character" w:customStyle="1" w:styleId="NoteChar">
    <w:name w:val="Note Char"/>
    <w:link w:val="Note"/>
    <w:rsid w:val="0074663B"/>
    <w:rPr>
      <w:rFonts w:ascii="Arial" w:hAnsi="Arial"/>
      <w:sz w:val="18"/>
    </w:rPr>
  </w:style>
  <w:style w:type="character" w:customStyle="1" w:styleId="Heading2Char">
    <w:name w:val="Heading 2 Char"/>
    <w:basedOn w:val="DefaultParagraphFont"/>
    <w:link w:val="Heading2"/>
    <w:rsid w:val="001C14EC"/>
    <w:rPr>
      <w:rFonts w:ascii="Arial" w:hAnsi="Arial"/>
      <w:b/>
      <w:sz w:val="32"/>
    </w:rPr>
  </w:style>
  <w:style w:type="paragraph" w:styleId="CommentSubject">
    <w:name w:val="annotation subject"/>
    <w:basedOn w:val="CommentText"/>
    <w:next w:val="CommentText"/>
    <w:link w:val="CommentSubjectChar"/>
    <w:rsid w:val="00C32E7D"/>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1C14EC"/>
    <w:rPr>
      <w:szCs w:val="24"/>
    </w:rPr>
  </w:style>
  <w:style w:type="character" w:customStyle="1" w:styleId="CommentSubjectChar">
    <w:name w:val="Comment Subject Char"/>
    <w:basedOn w:val="CommentTextChar"/>
    <w:link w:val="CommentSubject"/>
    <w:rsid w:val="00C32E7D"/>
    <w:rPr>
      <w:b/>
      <w:bCs/>
      <w:szCs w:val="24"/>
    </w:rPr>
  </w:style>
  <w:style w:type="character" w:customStyle="1" w:styleId="BoxTitleChar">
    <w:name w:val="Box Title Char"/>
    <w:link w:val="BoxTitle"/>
    <w:rsid w:val="004E69B2"/>
    <w:rPr>
      <w:rFonts w:ascii="Arial" w:hAnsi="Arial"/>
      <w:b/>
      <w:sz w:val="24"/>
      <w:szCs w:val="24"/>
    </w:rPr>
  </w:style>
  <w:style w:type="character" w:customStyle="1" w:styleId="Heading1Char">
    <w:name w:val="Heading 1 Char"/>
    <w:basedOn w:val="DefaultParagraphFont"/>
    <w:link w:val="Heading1"/>
    <w:rsid w:val="001C14EC"/>
    <w:rPr>
      <w:sz w:val="52"/>
    </w:rPr>
  </w:style>
  <w:style w:type="character" w:customStyle="1" w:styleId="FootnoteTextChar">
    <w:name w:val="Footnote Text Char"/>
    <w:basedOn w:val="DefaultParagraphFont"/>
    <w:link w:val="FootnoteText"/>
    <w:rsid w:val="001C14EC"/>
  </w:style>
  <w:style w:type="character" w:customStyle="1" w:styleId="HeaderChar">
    <w:name w:val="Header Char"/>
    <w:basedOn w:val="DefaultParagraphFont"/>
    <w:link w:val="Header"/>
    <w:rsid w:val="001C14EC"/>
    <w:rPr>
      <w:rFonts w:ascii="Arial" w:hAnsi="Arial"/>
      <w:caps/>
      <w:sz w:val="24"/>
    </w:rPr>
  </w:style>
  <w:style w:type="character" w:customStyle="1" w:styleId="Heading3Char">
    <w:name w:val="Heading 3 Char"/>
    <w:basedOn w:val="DefaultParagraphFont"/>
    <w:link w:val="Heading3"/>
    <w:rsid w:val="001C14EC"/>
    <w:rPr>
      <w:rFonts w:ascii="Arial" w:hAnsi="Arial"/>
      <w:b/>
      <w:sz w:val="26"/>
    </w:rPr>
  </w:style>
  <w:style w:type="character" w:customStyle="1" w:styleId="Heading4Char">
    <w:name w:val="Heading 4 Char"/>
    <w:basedOn w:val="DefaultParagraphFont"/>
    <w:link w:val="Heading4"/>
    <w:rsid w:val="001C14EC"/>
    <w:rPr>
      <w:rFonts w:ascii="Arial" w:hAnsi="Arial"/>
      <w:sz w:val="24"/>
    </w:rPr>
  </w:style>
  <w:style w:type="character" w:customStyle="1" w:styleId="Heading6Char">
    <w:name w:val="Heading 6 Char"/>
    <w:basedOn w:val="DefaultParagraphFont"/>
    <w:link w:val="Heading6"/>
    <w:rsid w:val="001C14EC"/>
    <w:rPr>
      <w:i/>
      <w:sz w:val="22"/>
    </w:rPr>
  </w:style>
  <w:style w:type="character" w:customStyle="1" w:styleId="Heading7Char">
    <w:name w:val="Heading 7 Char"/>
    <w:basedOn w:val="DefaultParagraphFont"/>
    <w:link w:val="Heading7"/>
    <w:rsid w:val="001C14EC"/>
    <w:rPr>
      <w:rFonts w:ascii="Arial" w:hAnsi="Arial"/>
    </w:rPr>
  </w:style>
  <w:style w:type="character" w:customStyle="1" w:styleId="Heading8Char">
    <w:name w:val="Heading 8 Char"/>
    <w:basedOn w:val="DefaultParagraphFont"/>
    <w:link w:val="Heading8"/>
    <w:rsid w:val="001C14EC"/>
    <w:rPr>
      <w:rFonts w:ascii="Arial" w:hAnsi="Arial"/>
      <w:i/>
    </w:rPr>
  </w:style>
  <w:style w:type="character" w:customStyle="1" w:styleId="Heading9Char">
    <w:name w:val="Heading 9 Char"/>
    <w:basedOn w:val="DefaultParagraphFont"/>
    <w:link w:val="Heading9"/>
    <w:rsid w:val="001C14EC"/>
    <w:rPr>
      <w:rFonts w:ascii="Arial" w:hAnsi="Arial"/>
      <w:b/>
      <w:i/>
      <w:sz w:val="18"/>
    </w:rPr>
  </w:style>
  <w:style w:type="character" w:customStyle="1" w:styleId="QuoteChar">
    <w:name w:val="Quote Char"/>
    <w:basedOn w:val="DefaultParagraphFont"/>
    <w:link w:val="Quote"/>
    <w:rsid w:val="001C14EC"/>
    <w:rPr>
      <w:sz w:val="22"/>
    </w:rPr>
  </w:style>
  <w:style w:type="paragraph" w:styleId="Revision">
    <w:name w:val="Revision"/>
    <w:hidden/>
    <w:uiPriority w:val="99"/>
    <w:semiHidden/>
    <w:rsid w:val="00E60A6D"/>
    <w:rPr>
      <w:sz w:val="24"/>
      <w:szCs w:val="24"/>
    </w:rPr>
  </w:style>
  <w:style w:type="character" w:customStyle="1" w:styleId="FigureChar">
    <w:name w:val="Figure Char"/>
    <w:basedOn w:val="DefaultParagraphFont"/>
    <w:link w:val="Figure"/>
    <w:rsid w:val="00831664"/>
    <w:rPr>
      <w:sz w:val="24"/>
    </w:rPr>
  </w:style>
  <w:style w:type="character" w:customStyle="1" w:styleId="Continuedintitle">
    <w:name w:val="Continued (in title)"/>
    <w:basedOn w:val="DefaultParagraphFont"/>
    <w:rsid w:val="00A81CE0"/>
    <w:rPr>
      <w:rFonts w:ascii="Arial" w:hAnsi="Arial"/>
      <w:b/>
      <w:sz w:val="18"/>
    </w:rPr>
  </w:style>
  <w:style w:type="character" w:customStyle="1" w:styleId="ListBulletChar2">
    <w:name w:val="List Bullet Char2"/>
    <w:aliases w:val="List Bullet Char1 Char,List Bullet Char Char Char,List Bullet Char1 Char Char Char,List Bullet Char Char1,List Bullet1 Char"/>
    <w:basedOn w:val="DefaultParagraphFont"/>
    <w:rsid w:val="00122D3D"/>
    <w:rPr>
      <w:sz w:val="24"/>
    </w:rPr>
  </w:style>
  <w:style w:type="paragraph" w:styleId="ListParagraph">
    <w:name w:val="List Paragraph"/>
    <w:basedOn w:val="Normal"/>
    <w:uiPriority w:val="34"/>
    <w:qFormat/>
    <w:rsid w:val="00F2770B"/>
    <w:pPr>
      <w:ind w:left="720"/>
    </w:pPr>
    <w:rPr>
      <w:rFonts w:ascii="Calibri" w:eastAsiaTheme="minorHAnsi" w:hAnsi="Calibri" w:cs="Calibri"/>
      <w:sz w:val="22"/>
      <w:szCs w:val="22"/>
      <w:lang w:eastAsia="en-US"/>
    </w:rPr>
  </w:style>
  <w:style w:type="paragraph" w:styleId="NormalWeb">
    <w:name w:val="Normal (Web)"/>
    <w:basedOn w:val="Normal"/>
    <w:uiPriority w:val="99"/>
    <w:semiHidden/>
    <w:unhideWhenUsed/>
    <w:rsid w:val="00F41B38"/>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796606">
      <w:bodyDiv w:val="1"/>
      <w:marLeft w:val="0"/>
      <w:marRight w:val="0"/>
      <w:marTop w:val="0"/>
      <w:marBottom w:val="0"/>
      <w:divBdr>
        <w:top w:val="none" w:sz="0" w:space="0" w:color="auto"/>
        <w:left w:val="none" w:sz="0" w:space="0" w:color="auto"/>
        <w:bottom w:val="none" w:sz="0" w:space="0" w:color="auto"/>
        <w:right w:val="none" w:sz="0" w:space="0" w:color="auto"/>
      </w:divBdr>
    </w:div>
    <w:div w:id="1582521715">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212036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emf"/><Relationship Id="rId26" Type="http://schemas.openxmlformats.org/officeDocument/2006/relationships/image" Target="media/image19.emf"/><Relationship Id="rId21" Type="http://schemas.openxmlformats.org/officeDocument/2006/relationships/image" Target="media/image14.emf"/><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image" Target="media/image2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footer" Target="footer2.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3\chapter.dotm" TargetMode="External"/></Relationships>
</file>

<file path=word/theme/theme1.xml><?xml version="1.0" encoding="utf-8"?>
<a:theme xmlns:a="http://schemas.openxmlformats.org/drawingml/2006/main" name="ProdCommTheme">
  <a:themeElements>
    <a:clrScheme name="PC colour scheme">
      <a:dk1>
        <a:sysClr val="windowText" lastClr="000000"/>
      </a:dk1>
      <a:lt1>
        <a:sysClr val="window" lastClr="FFFFFF"/>
      </a:lt1>
      <a:dk2>
        <a:srgbClr val="000000"/>
      </a:dk2>
      <a:lt2>
        <a:srgbClr val="BFBFBF"/>
      </a:lt2>
      <a:accent1>
        <a:srgbClr val="78A22F"/>
      </a:accent1>
      <a:accent2>
        <a:srgbClr val="265A9A"/>
      </a:accent2>
      <a:accent3>
        <a:srgbClr val="B2D673"/>
      </a:accent3>
      <a:accent4>
        <a:srgbClr val="F2F2F2"/>
      </a:accent4>
      <a:accent5>
        <a:srgbClr val="387DD2"/>
      </a:accent5>
      <a:accent6>
        <a:srgbClr val="C00000"/>
      </a:accent6>
      <a:hlink>
        <a:srgbClr val="78A22F"/>
      </a:hlink>
      <a:folHlink>
        <a:srgbClr val="387DD2"/>
      </a:folHlink>
    </a:clrScheme>
    <a:fontScheme name="PC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A3660-7FEB-443E-8FA0-6F1A73160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Template>
  <TotalTime>790</TotalTime>
  <Pages>49</Pages>
  <Words>10287</Words>
  <Characters>58070</Characters>
  <Application>Microsoft Office Word</Application>
  <DocSecurity>0</DocSecurity>
  <Lines>483</Lines>
  <Paragraphs>136</Paragraphs>
  <ScaleCrop>false</ScaleCrop>
  <HeadingPairs>
    <vt:vector size="2" baseType="variant">
      <vt:variant>
        <vt:lpstr>Title</vt:lpstr>
      </vt:variant>
      <vt:variant>
        <vt:i4>1</vt:i4>
      </vt:variant>
    </vt:vector>
  </HeadingPairs>
  <TitlesOfParts>
    <vt:vector size="1" baseType="lpstr">
      <vt:lpstr>Overcoming Indigenous Disadvantage Report 2020 - Overview</vt:lpstr>
    </vt:vector>
  </TitlesOfParts>
  <Company>Productivity Commission</Company>
  <LinksUpToDate>false</LinksUpToDate>
  <CharactersWithSpaces>68221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Overcoming Indigenous Disadvantage Report 2020 - Overview</dc:title>
  <dc:subject/>
  <dc:creator>Steering Committee for the Review of Government Service Provision</dc:creator>
  <cp:keywords/>
  <dc:description/>
  <cp:lastModifiedBy>Frech, Tanya</cp:lastModifiedBy>
  <cp:revision>58</cp:revision>
  <cp:lastPrinted>2020-11-16T05:40:00Z</cp:lastPrinted>
  <dcterms:created xsi:type="dcterms:W3CDTF">2020-10-28T03:53:00Z</dcterms:created>
  <dcterms:modified xsi:type="dcterms:W3CDTF">2020-11-16T05:41:00Z</dcterms:modified>
</cp:coreProperties>
</file>