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438BA" w14:textId="04D5072D" w:rsidR="005B50B5" w:rsidRPr="005B50B5" w:rsidRDefault="00B43C5E" w:rsidP="005B50B5">
      <w:pPr>
        <w:pStyle w:val="Heading1"/>
        <w:rPr>
          <w:color w:val="FFFFFF" w:themeColor="background1"/>
          <w:sz w:val="16"/>
          <w:szCs w:val="16"/>
        </w:rPr>
      </w:pPr>
      <w:bookmarkStart w:id="0" w:name="ChapterTitle"/>
      <w:bookmarkStart w:id="1" w:name="_GoBack"/>
      <w:r>
        <w:rPr>
          <w:noProof/>
        </w:rPr>
        <w:drawing>
          <wp:anchor distT="0" distB="0" distL="114300" distR="114300" simplePos="0" relativeHeight="251659264" behindDoc="0" locked="0" layoutInCell="1" allowOverlap="1" wp14:anchorId="2CEF5607" wp14:editId="1CA6F0E4">
            <wp:simplePos x="929640" y="960120"/>
            <wp:positionH relativeFrom="page">
              <wp:align>center</wp:align>
            </wp:positionH>
            <wp:positionV relativeFrom="page">
              <wp:align>center</wp:align>
            </wp:positionV>
            <wp:extent cx="7558405" cy="1069149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 insights cover 2020.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bookmarkEnd w:id="1"/>
      <w:r w:rsidR="005B50B5" w:rsidRPr="005B50B5">
        <w:rPr>
          <w:color w:val="FFFFFF" w:themeColor="background1"/>
          <w:sz w:val="16"/>
          <w:szCs w:val="16"/>
        </w:rPr>
        <w:t>PC Productivity Insights 2020: Can Australia be a productivity leader?</w:t>
      </w:r>
    </w:p>
    <w:p w14:paraId="253D460A" w14:textId="1439B4AD" w:rsidR="00391282" w:rsidRDefault="00391282" w:rsidP="00391282">
      <w:pPr>
        <w:pStyle w:val="BodyText"/>
        <w:rPr>
          <w:b/>
          <w:szCs w:val="26"/>
        </w:rPr>
      </w:pPr>
      <w:r>
        <w:br w:type="page"/>
      </w:r>
    </w:p>
    <w:p w14:paraId="3AB4A89A" w14:textId="77777777" w:rsidR="00391282" w:rsidRDefault="00391282" w:rsidP="0039128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1BFE14ED" w14:textId="77777777" w:rsidR="00391282" w:rsidRDefault="00391282" w:rsidP="00391282">
      <w:pPr>
        <w:pStyle w:val="BodyText"/>
        <w:spacing w:after="120"/>
      </w:pPr>
      <w:bookmarkStart w:id="2" w:name="ISSN"/>
      <w:bookmarkEnd w:id="2"/>
      <w:r w:rsidRPr="00862D8F">
        <w:rPr>
          <w:noProof/>
          <w:sz w:val="22"/>
          <w:szCs w:val="22"/>
        </w:rPr>
        <w:drawing>
          <wp:inline distT="0" distB="0" distL="0" distR="0" wp14:anchorId="136615D0" wp14:editId="4E5F9B29">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D75956C" w14:textId="77777777" w:rsidR="00391282" w:rsidRPr="00256A29" w:rsidRDefault="00391282" w:rsidP="00391282">
      <w:pPr>
        <w:pStyle w:val="Copyrightbodytext"/>
        <w:rPr>
          <w:sz w:val="20"/>
        </w:rPr>
      </w:pPr>
      <w:r w:rsidRPr="00256A29">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256A29">
            <w:rPr>
              <w:sz w:val="20"/>
            </w:rPr>
            <w:t>http://creativecommons.org/licenses/by/3.0/au</w:t>
          </w:r>
        </w:hyperlink>
      </w:hyperlink>
      <w:r w:rsidRPr="00256A29">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22F23B75" w14:textId="77777777" w:rsidR="00391282" w:rsidRPr="008A3857" w:rsidRDefault="00391282" w:rsidP="00391282">
      <w:pPr>
        <w:pStyle w:val="Copyrightsubtitle"/>
      </w:pPr>
      <w:r w:rsidRPr="008A3857">
        <w:t>Use of the Commonwealth Coat of Arms</w:t>
      </w:r>
    </w:p>
    <w:p w14:paraId="41DFCEA5" w14:textId="77777777" w:rsidR="00391282" w:rsidRPr="00462AE0" w:rsidRDefault="00391282" w:rsidP="00391282">
      <w:pPr>
        <w:pStyle w:val="Copyrightbodytext"/>
        <w:rPr>
          <w:spacing w:val="-2"/>
          <w:sz w:val="20"/>
        </w:rPr>
      </w:pPr>
      <w:r w:rsidRPr="00256A29">
        <w:rPr>
          <w:spacing w:val="-2"/>
          <w:sz w:val="20"/>
        </w:rPr>
        <w:t xml:space="preserve">Terms of use for the Coat of Arms are available from the Department of the Prime Minister and Cabinet’s website: </w:t>
      </w:r>
      <w:hyperlink r:id="rId12" w:history="1">
        <w:r w:rsidRPr="00462AE0">
          <w:rPr>
            <w:rStyle w:val="Hyperlink"/>
            <w:spacing w:val="-2"/>
            <w:sz w:val="20"/>
            <w:u w:val="none"/>
          </w:rPr>
          <w:t>https://www.pmc.gov.au/government/commonwealth-coat-arms</w:t>
        </w:r>
      </w:hyperlink>
    </w:p>
    <w:p w14:paraId="4207734C" w14:textId="77777777" w:rsidR="00391282" w:rsidRPr="008A3857" w:rsidRDefault="00391282" w:rsidP="00391282">
      <w:pPr>
        <w:pStyle w:val="Copyrightsubtitle"/>
      </w:pPr>
      <w:r w:rsidRPr="008A3857">
        <w:t>Third party copyright</w:t>
      </w:r>
    </w:p>
    <w:p w14:paraId="32DEFEE8" w14:textId="77777777" w:rsidR="00391282" w:rsidRPr="00256A29" w:rsidRDefault="00391282" w:rsidP="00391282">
      <w:pPr>
        <w:pStyle w:val="Copyrightbodytext"/>
        <w:rPr>
          <w:sz w:val="20"/>
        </w:rPr>
      </w:pPr>
      <w:r w:rsidRPr="00256A29">
        <w:rPr>
          <w:sz w:val="20"/>
        </w:rPr>
        <w:t>Wherever a third party holds copyright in this material, the copyright remains with that party. Their permission may be required to use the material, please contact them directly.</w:t>
      </w:r>
    </w:p>
    <w:p w14:paraId="2FE5CB05" w14:textId="77777777" w:rsidR="00391282" w:rsidRPr="008A3857" w:rsidRDefault="00391282" w:rsidP="00391282">
      <w:pPr>
        <w:pStyle w:val="Copyrightsubtitle"/>
      </w:pPr>
      <w:r w:rsidRPr="008A3857">
        <w:t>Attribution</w:t>
      </w:r>
    </w:p>
    <w:p w14:paraId="655D076D" w14:textId="10678D22" w:rsidR="00256A29" w:rsidRPr="00256A29" w:rsidRDefault="00391282" w:rsidP="00256A29">
      <w:pPr>
        <w:pStyle w:val="Copyrightbodytext"/>
        <w:rPr>
          <w:sz w:val="20"/>
          <w:szCs w:val="24"/>
        </w:rPr>
      </w:pPr>
      <w:r w:rsidRPr="00256A29">
        <w:rPr>
          <w:sz w:val="20"/>
        </w:rPr>
        <w:t xml:space="preserve">This work should be attributed as follows, </w:t>
      </w:r>
      <w:r w:rsidR="00256A29" w:rsidRPr="00256A29">
        <w:rPr>
          <w:i/>
          <w:sz w:val="20"/>
          <w:szCs w:val="24"/>
        </w:rPr>
        <w:t>Source: Productivity Commission, PC Productivity Insights</w:t>
      </w:r>
      <w:r w:rsidR="00256A29">
        <w:rPr>
          <w:i/>
          <w:sz w:val="20"/>
          <w:szCs w:val="24"/>
        </w:rPr>
        <w:t xml:space="preserve"> 2020</w:t>
      </w:r>
      <w:r w:rsidR="00256A29" w:rsidRPr="00256A29">
        <w:rPr>
          <w:i/>
          <w:sz w:val="20"/>
          <w:szCs w:val="24"/>
        </w:rPr>
        <w:t xml:space="preserve">: </w:t>
      </w:r>
      <w:r w:rsidR="00256A29">
        <w:rPr>
          <w:i/>
          <w:sz w:val="20"/>
        </w:rPr>
        <w:t>Can Australia be a productivity leader?</w:t>
      </w:r>
    </w:p>
    <w:p w14:paraId="3CF2C946" w14:textId="6F9E14C9" w:rsidR="00256A29" w:rsidRPr="00256A29" w:rsidRDefault="00256A29" w:rsidP="00256A29">
      <w:pPr>
        <w:spacing w:before="120" w:line="300" w:lineRule="atLeast"/>
        <w:jc w:val="both"/>
        <w:rPr>
          <w:sz w:val="20"/>
        </w:rPr>
      </w:pPr>
      <w:r w:rsidRPr="00256A29">
        <w:rPr>
          <w:sz w:val="20"/>
        </w:rPr>
        <w:t xml:space="preserve">If you have adapted, modified or transformed this work in anyway, please use the following, </w:t>
      </w:r>
      <w:r w:rsidRPr="00256A29">
        <w:rPr>
          <w:i/>
          <w:sz w:val="20"/>
        </w:rPr>
        <w:t>Source: based on Productivity Commission data, PC Productivity Insights</w:t>
      </w:r>
      <w:r>
        <w:rPr>
          <w:i/>
          <w:sz w:val="20"/>
        </w:rPr>
        <w:t xml:space="preserve"> 2020</w:t>
      </w:r>
      <w:r w:rsidRPr="00256A29">
        <w:rPr>
          <w:i/>
          <w:sz w:val="20"/>
        </w:rPr>
        <w:t xml:space="preserve">: </w:t>
      </w:r>
      <w:r>
        <w:rPr>
          <w:i/>
          <w:sz w:val="20"/>
        </w:rPr>
        <w:t>Can Australia be a productivity leader?</w:t>
      </w:r>
    </w:p>
    <w:p w14:paraId="492052C1" w14:textId="77777777" w:rsidR="00256A29" w:rsidRPr="00256A29" w:rsidRDefault="00256A29" w:rsidP="00256A29">
      <w:pPr>
        <w:spacing w:before="240" w:line="300" w:lineRule="atLeast"/>
        <w:jc w:val="both"/>
        <w:rPr>
          <w:rFonts w:ascii="Arial" w:hAnsi="Arial"/>
          <w:b/>
          <w:sz w:val="22"/>
          <w:szCs w:val="25"/>
        </w:rPr>
      </w:pPr>
      <w:r w:rsidRPr="00256A29">
        <w:rPr>
          <w:rFonts w:ascii="Arial" w:hAnsi="Arial"/>
          <w:b/>
          <w:sz w:val="22"/>
          <w:szCs w:val="25"/>
        </w:rPr>
        <w:t>An appropriate reference for this publication is:</w:t>
      </w:r>
    </w:p>
    <w:p w14:paraId="78138529" w14:textId="7A4CD549" w:rsidR="00256A29" w:rsidRPr="00256A29" w:rsidRDefault="00256A29" w:rsidP="00256A29">
      <w:pPr>
        <w:spacing w:before="60" w:line="300" w:lineRule="atLeast"/>
        <w:jc w:val="both"/>
        <w:rPr>
          <w:sz w:val="20"/>
        </w:rPr>
      </w:pPr>
      <w:r w:rsidRPr="00256A29">
        <w:rPr>
          <w:sz w:val="20"/>
        </w:rPr>
        <w:t xml:space="preserve">Productivity Commission 2020, </w:t>
      </w:r>
      <w:r w:rsidRPr="00256A29">
        <w:rPr>
          <w:i/>
          <w:sz w:val="20"/>
        </w:rPr>
        <w:t xml:space="preserve">PC Productivity Insights: </w:t>
      </w:r>
      <w:r>
        <w:rPr>
          <w:i/>
          <w:sz w:val="20"/>
        </w:rPr>
        <w:t>Can Australia be a productivity leader?</w:t>
      </w:r>
      <w:r w:rsidRPr="00256A29">
        <w:rPr>
          <w:sz w:val="20"/>
        </w:rPr>
        <w:t xml:space="preserve">, Canberra, </w:t>
      </w:r>
      <w:r>
        <w:rPr>
          <w:sz w:val="20"/>
        </w:rPr>
        <w:t>March</w:t>
      </w:r>
      <w:r w:rsidRPr="00256A29">
        <w:rPr>
          <w:sz w:val="20"/>
        </w:rPr>
        <w:t>.</w:t>
      </w:r>
    </w:p>
    <w:p w14:paraId="4A930B88" w14:textId="77777777" w:rsidR="00391282" w:rsidRPr="008A3857" w:rsidRDefault="00391282" w:rsidP="00391282">
      <w:pPr>
        <w:pStyle w:val="Copyrightsubtitle"/>
      </w:pPr>
      <w:r w:rsidRPr="008A3857">
        <w:t>Publications enquiries</w:t>
      </w:r>
    </w:p>
    <w:p w14:paraId="062E2BB7" w14:textId="77777777" w:rsidR="00391282" w:rsidRPr="00256A29" w:rsidRDefault="00391282" w:rsidP="00391282">
      <w:pPr>
        <w:pStyle w:val="Copyrightbodytext"/>
        <w:rPr>
          <w:sz w:val="20"/>
        </w:rPr>
      </w:pPr>
      <w:r w:rsidRPr="00256A29">
        <w:rPr>
          <w:sz w:val="20"/>
        </w:rPr>
        <w:t>Media, Publications and Web, phone: (03) 9653 2244 or email: mpw@pc.gov.au</w:t>
      </w:r>
    </w:p>
    <w:p w14:paraId="344FADA6" w14:textId="77777777" w:rsidR="00391282" w:rsidRDefault="00391282" w:rsidP="003912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91282" w14:paraId="08ADCF7F" w14:textId="77777777" w:rsidTr="00391282">
        <w:trPr>
          <w:tblHeader/>
        </w:trPr>
        <w:tc>
          <w:tcPr>
            <w:tcW w:w="5000" w:type="pct"/>
            <w:tcBorders>
              <w:top w:val="single" w:sz="6" w:space="0" w:color="78A22F"/>
              <w:left w:val="nil"/>
              <w:bottom w:val="nil"/>
              <w:right w:val="nil"/>
            </w:tcBorders>
            <w:shd w:val="clear" w:color="auto" w:fill="F2F2F2" w:themeFill="background1" w:themeFillShade="F2"/>
          </w:tcPr>
          <w:p w14:paraId="6FC58C8C" w14:textId="77777777" w:rsidR="00391282" w:rsidRPr="008A3857" w:rsidRDefault="00391282" w:rsidP="00391282">
            <w:pPr>
              <w:pStyle w:val="BoxTitle"/>
              <w:rPr>
                <w:sz w:val="22"/>
                <w:szCs w:val="22"/>
              </w:rPr>
            </w:pPr>
            <w:r w:rsidRPr="008A3857">
              <w:rPr>
                <w:sz w:val="22"/>
                <w:szCs w:val="22"/>
              </w:rPr>
              <w:t>The Productivity Commission</w:t>
            </w:r>
          </w:p>
        </w:tc>
      </w:tr>
      <w:tr w:rsidR="00391282" w14:paraId="7AEBFAE5" w14:textId="77777777" w:rsidTr="00391282">
        <w:tc>
          <w:tcPr>
            <w:tcW w:w="5000" w:type="pct"/>
            <w:tcBorders>
              <w:top w:val="nil"/>
              <w:left w:val="nil"/>
              <w:bottom w:val="nil"/>
              <w:right w:val="nil"/>
            </w:tcBorders>
            <w:shd w:val="clear" w:color="auto" w:fill="F2F2F2" w:themeFill="background1" w:themeFillShade="F2"/>
          </w:tcPr>
          <w:p w14:paraId="0EFDFFB3" w14:textId="77777777" w:rsidR="00391282" w:rsidRDefault="00391282" w:rsidP="0039128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1473139" w14:textId="77777777" w:rsidR="00391282" w:rsidRDefault="00391282" w:rsidP="00391282">
            <w:pPr>
              <w:pStyle w:val="Box"/>
            </w:pPr>
            <w:r w:rsidRPr="00BB5DCF">
              <w:t>The Commission’s independence is underpinned by an Act of Parliament. Its processes and outputs are open to public scrutiny and are driven by concern for the wellbeing of the community as a whole.</w:t>
            </w:r>
          </w:p>
          <w:p w14:paraId="63381E36" w14:textId="77777777" w:rsidR="00391282" w:rsidRDefault="00391282" w:rsidP="00391282">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391282" w14:paraId="4076BF19" w14:textId="77777777" w:rsidTr="00391282">
        <w:tc>
          <w:tcPr>
            <w:tcW w:w="5000" w:type="pct"/>
            <w:tcBorders>
              <w:top w:val="nil"/>
              <w:left w:val="nil"/>
              <w:bottom w:val="single" w:sz="6" w:space="0" w:color="78A22F"/>
              <w:right w:val="nil"/>
            </w:tcBorders>
            <w:shd w:val="clear" w:color="auto" w:fill="F2F2F2" w:themeFill="background1" w:themeFillShade="F2"/>
          </w:tcPr>
          <w:p w14:paraId="4A051801" w14:textId="77777777" w:rsidR="00391282" w:rsidRDefault="00391282" w:rsidP="00391282">
            <w:pPr>
              <w:pStyle w:val="Box"/>
              <w:spacing w:before="0" w:line="120" w:lineRule="exact"/>
            </w:pPr>
          </w:p>
        </w:tc>
      </w:tr>
    </w:tbl>
    <w:p w14:paraId="268DE8AB" w14:textId="77777777" w:rsidR="00391282" w:rsidRDefault="00391282" w:rsidP="00391282">
      <w:pPr>
        <w:pStyle w:val="BodyText"/>
        <w:sectPr w:rsidR="00391282" w:rsidSect="00391282">
          <w:pgSz w:w="11907" w:h="16840" w:code="9"/>
          <w:pgMar w:top="1304" w:right="1304" w:bottom="567" w:left="1814" w:header="1701" w:footer="397" w:gutter="0"/>
          <w:pgNumType w:fmt="lowerRoman" w:start="1"/>
          <w:cols w:space="720"/>
          <w:titlePg/>
        </w:sectPr>
      </w:pPr>
      <w:bookmarkStart w:id="3" w:name="cov"/>
      <w:bookmarkEnd w:id="3"/>
    </w:p>
    <w:p w14:paraId="2D239FA5" w14:textId="77777777" w:rsidR="00391282" w:rsidRDefault="00391282" w:rsidP="00391282">
      <w:pPr>
        <w:pStyle w:val="Heading1"/>
      </w:pPr>
      <w:bookmarkStart w:id="4" w:name="_Toc34138707"/>
      <w:r>
        <w:lastRenderedPageBreak/>
        <w:t>Foreword</w:t>
      </w:r>
      <w:bookmarkEnd w:id="4"/>
    </w:p>
    <w:p w14:paraId="4AB04745" w14:textId="77777777" w:rsidR="00391282" w:rsidRDefault="00391282" w:rsidP="00391282">
      <w:pPr>
        <w:pStyle w:val="BodyText"/>
      </w:pPr>
      <w:r>
        <w:t xml:space="preserve">Welcome to the second </w:t>
      </w:r>
      <w:r w:rsidRPr="005365E5">
        <w:t xml:space="preserve">PC </w:t>
      </w:r>
      <w:r w:rsidRPr="00216FEE">
        <w:rPr>
          <w:i/>
        </w:rPr>
        <w:t>Productivity Insights</w:t>
      </w:r>
      <w:r>
        <w:t xml:space="preserve"> of 2020. </w:t>
      </w:r>
    </w:p>
    <w:p w14:paraId="67AB0319" w14:textId="77777777" w:rsidR="00391282" w:rsidRDefault="00391282" w:rsidP="00391282">
      <w:pPr>
        <w:pStyle w:val="BodyText"/>
      </w:pPr>
      <w:r>
        <w:t xml:space="preserve">Whereas our first edition, published in February, summarised Australia’s recent patterns of </w:t>
      </w:r>
      <w:r w:rsidRPr="002B4C1B">
        <w:rPr>
          <w:i/>
        </w:rPr>
        <w:t>growth</w:t>
      </w:r>
      <w:r>
        <w:t xml:space="preserve"> in productivity, wages and incomes, this paper presents Australia’s relative </w:t>
      </w:r>
      <w:r w:rsidRPr="002B4C1B">
        <w:rPr>
          <w:i/>
        </w:rPr>
        <w:t>levels</w:t>
      </w:r>
      <w:r>
        <w:t xml:space="preserve"> of productivity and income compared with other advanced economies.</w:t>
      </w:r>
    </w:p>
    <w:p w14:paraId="26A2B88A" w14:textId="77777777" w:rsidR="00391282" w:rsidRDefault="00391282" w:rsidP="00391282">
      <w:pPr>
        <w:pStyle w:val="BodyText"/>
      </w:pPr>
      <w:r>
        <w:t>Australians enjoy a high standard of living. This has been achieved through robust labour markets and decent productivity performance. That said, there is more to be done. In the international league tables — that measure performance narrowly on the basis of average incomes — Australia’s labour market participation may warrant a gold medal, but our productivity performance is at best a silver standard. The typical Australian worker can produce in five days what takes their United States counterpart only four days.</w:t>
      </w:r>
    </w:p>
    <w:p w14:paraId="4B8E5389" w14:textId="77777777" w:rsidR="00391282" w:rsidRDefault="00391282" w:rsidP="00391282">
      <w:pPr>
        <w:pStyle w:val="BodyText"/>
      </w:pPr>
      <w:r>
        <w:t>Australia will likely retain certain disadvantages relative to the United States. Australia will never have the dense customer base of the United States that makes manufacturing and goods distribution so efficient there. This should not discourage efforts to lift Australia’s performance. Australia’s economy is predominantly service</w:t>
      </w:r>
      <w:r>
        <w:noBreakHyphen/>
        <w:t>based, and here the opportunities are clearer for improvement in our international standings: businesses investing in management capability and organisational capital, regulations supporting flexibility and the adoption of new technologies and work practices, well</w:t>
      </w:r>
      <w:r>
        <w:noBreakHyphen/>
        <w:t>functioning cities harnessing the benefits of agglomeration of skills, to name but a few.</w:t>
      </w:r>
    </w:p>
    <w:p w14:paraId="2E277A99" w14:textId="77777777" w:rsidR="00391282" w:rsidRDefault="00391282" w:rsidP="00391282">
      <w:pPr>
        <w:pStyle w:val="BodyText"/>
      </w:pPr>
      <w:r>
        <w:t xml:space="preserve">In short, while Australia’s economic performance is the envy of many other advanced economies, more can be done to sustain high and growing living standards into the future. </w:t>
      </w:r>
    </w:p>
    <w:p w14:paraId="1F8230BB" w14:textId="50AA1A2B" w:rsidR="00391282" w:rsidRDefault="00391282" w:rsidP="00391282">
      <w:pPr>
        <w:pStyle w:val="BodyText"/>
        <w:spacing w:before="480"/>
        <w:jc w:val="left"/>
      </w:pPr>
      <w:r>
        <w:t>Michael Brennan</w:t>
      </w:r>
      <w:r>
        <w:br/>
        <w:t>Chair</w:t>
      </w:r>
    </w:p>
    <w:p w14:paraId="2D91C299" w14:textId="77777777" w:rsidR="00391282" w:rsidRPr="00634771" w:rsidRDefault="00391282" w:rsidP="00391282">
      <w:pPr>
        <w:pStyle w:val="BodyText"/>
        <w:rPr>
          <w:lang w:eastAsia="en-US"/>
        </w:rPr>
      </w:pPr>
    </w:p>
    <w:p w14:paraId="4BE33595" w14:textId="77777777" w:rsidR="00391282" w:rsidRDefault="00391282" w:rsidP="00391282">
      <w:pPr>
        <w:pStyle w:val="BodyText"/>
        <w:sectPr w:rsidR="00391282" w:rsidSect="00391282">
          <w:headerReference w:type="even" r:id="rId14"/>
          <w:headerReference w:type="default" r:id="rId15"/>
          <w:footerReference w:type="even" r:id="rId16"/>
          <w:footerReference w:type="default" r:id="rId17"/>
          <w:pgSz w:w="11906" w:h="16838" w:code="9"/>
          <w:pgMar w:top="1985" w:right="1304" w:bottom="1247" w:left="1814" w:header="1701" w:footer="397" w:gutter="0"/>
          <w:pgNumType w:fmt="lowerRoman"/>
          <w:cols w:space="708"/>
          <w:docGrid w:linePitch="360"/>
        </w:sectPr>
      </w:pPr>
    </w:p>
    <w:p w14:paraId="668B7256" w14:textId="77777777" w:rsidR="00391282" w:rsidRDefault="00391282" w:rsidP="00391282">
      <w:pPr>
        <w:pStyle w:val="Heading1NotTOC"/>
      </w:pPr>
      <w:bookmarkStart w:id="5" w:name="Contents"/>
      <w:bookmarkEnd w:id="5"/>
      <w:r w:rsidRPr="00B153C3">
        <w:lastRenderedPageBreak/>
        <w:t>Contents</w:t>
      </w:r>
      <w:bookmarkStart w:id="6" w:name="InsertContents"/>
      <w:bookmarkEnd w:id="6"/>
    </w:p>
    <w:p w14:paraId="0EAE4BF3" w14:textId="7743F263" w:rsidR="00391282" w:rsidRPr="0032134E" w:rsidRDefault="00391282" w:rsidP="00391282">
      <w:pPr>
        <w:pStyle w:val="TOC1"/>
        <w:rPr>
          <w:rFonts w:asciiTheme="minorHAnsi" w:eastAsiaTheme="minorEastAsia" w:hAnsiTheme="minorHAnsi" w:cstheme="minorBidi"/>
          <w:b w:val="0"/>
          <w:noProof/>
          <w:sz w:val="22"/>
          <w:szCs w:val="22"/>
          <w:lang w:eastAsia="en-AU"/>
        </w:rPr>
      </w:pPr>
      <w:r w:rsidRPr="0032134E">
        <w:rPr>
          <w:b w:val="0"/>
          <w:noProof/>
        </w:rPr>
        <w:t>Foreword</w:t>
      </w:r>
      <w:r w:rsidRPr="0032134E">
        <w:rPr>
          <w:b w:val="0"/>
          <w:noProof/>
        </w:rPr>
        <w:tab/>
        <w:t>iii</w:t>
      </w:r>
    </w:p>
    <w:p w14:paraId="4FA462AC" w14:textId="20FA32E9" w:rsidR="00391282" w:rsidRPr="0032134E" w:rsidRDefault="00391282" w:rsidP="00391282">
      <w:pPr>
        <w:pStyle w:val="TOC1"/>
        <w:rPr>
          <w:rFonts w:asciiTheme="minorHAnsi" w:eastAsiaTheme="minorEastAsia" w:hAnsiTheme="minorHAnsi" w:cstheme="minorBidi"/>
          <w:b w:val="0"/>
          <w:noProof/>
          <w:sz w:val="22"/>
          <w:szCs w:val="22"/>
          <w:lang w:eastAsia="en-AU"/>
        </w:rPr>
      </w:pPr>
      <w:r w:rsidRPr="0032134E">
        <w:rPr>
          <w:b w:val="0"/>
          <w:noProof/>
        </w:rPr>
        <w:t>Abbreviations and explanations</w:t>
      </w:r>
      <w:r w:rsidRPr="0032134E">
        <w:rPr>
          <w:b w:val="0"/>
          <w:noProof/>
        </w:rPr>
        <w:tab/>
        <w:t>vi</w:t>
      </w:r>
    </w:p>
    <w:p w14:paraId="706A3F91" w14:textId="60294D99" w:rsidR="00391282" w:rsidRDefault="00391282" w:rsidP="00391282">
      <w:pPr>
        <w:pStyle w:val="TOC1"/>
        <w:spacing w:before="360"/>
        <w:rPr>
          <w:rFonts w:asciiTheme="minorHAnsi" w:eastAsiaTheme="minorEastAsia" w:hAnsiTheme="minorHAnsi" w:cstheme="minorBidi"/>
          <w:b w:val="0"/>
          <w:noProof/>
          <w:sz w:val="22"/>
          <w:szCs w:val="22"/>
          <w:lang w:eastAsia="en-AU"/>
        </w:rPr>
      </w:pPr>
      <w:r>
        <w:rPr>
          <w:noProof/>
        </w:rPr>
        <w:t>Can Australia become a productivity leader?</w:t>
      </w:r>
      <w:r>
        <w:rPr>
          <w:noProof/>
        </w:rPr>
        <w:tab/>
      </w:r>
    </w:p>
    <w:p w14:paraId="37158AC6" w14:textId="6F7BC005" w:rsidR="00391282" w:rsidRDefault="00391282" w:rsidP="00391282">
      <w:pPr>
        <w:pStyle w:val="TOC2"/>
        <w:tabs>
          <w:tab w:val="left" w:pos="1020"/>
        </w:tabs>
        <w:rPr>
          <w:noProof/>
        </w:rPr>
      </w:pPr>
      <w:r>
        <w:rPr>
          <w:noProof/>
        </w:rPr>
        <w:t>Key points</w:t>
      </w:r>
      <w:r>
        <w:rPr>
          <w:noProof/>
        </w:rPr>
        <w:tab/>
        <w:t>1</w:t>
      </w:r>
    </w:p>
    <w:p w14:paraId="50799363" w14:textId="77777777" w:rsidR="00391282" w:rsidRDefault="00391282" w:rsidP="00F216B0">
      <w:pPr>
        <w:pStyle w:val="TOC2"/>
        <w:tabs>
          <w:tab w:val="left" w:pos="1020"/>
        </w:tabs>
        <w:ind w:left="1020" w:hanging="510"/>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Australia’s living standards compare well, partly due to high labour utilisation</w:t>
      </w:r>
      <w:r>
        <w:rPr>
          <w:noProof/>
        </w:rPr>
        <w:tab/>
        <w:t>3</w:t>
      </w:r>
    </w:p>
    <w:p w14:paraId="6318256A" w14:textId="43B318A7" w:rsidR="00391282" w:rsidRDefault="00391282" w:rsidP="00391282">
      <w:pPr>
        <w:pStyle w:val="TOC2"/>
        <w:tabs>
          <w:tab w:val="left" w:pos="1020"/>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Can Australia catch up to the US?</w:t>
      </w:r>
      <w:r>
        <w:rPr>
          <w:noProof/>
        </w:rPr>
        <w:tab/>
        <w:t>8</w:t>
      </w:r>
    </w:p>
    <w:p w14:paraId="3060354A" w14:textId="5EA400CA" w:rsidR="00391282" w:rsidRPr="00C42DA4" w:rsidRDefault="00391282" w:rsidP="00391282">
      <w:pPr>
        <w:pStyle w:val="TOC2"/>
        <w:tabs>
          <w:tab w:val="left" w:pos="1020"/>
        </w:tabs>
        <w:rPr>
          <w:noProof/>
        </w:rPr>
      </w:pPr>
      <w:r>
        <w:rPr>
          <w:noProof/>
        </w:rPr>
        <w:t>3</w:t>
      </w:r>
      <w:r w:rsidRPr="0032134E">
        <w:rPr>
          <w:noProof/>
        </w:rPr>
        <w:tab/>
      </w:r>
      <w:r>
        <w:rPr>
          <w:noProof/>
        </w:rPr>
        <w:t>Summing up</w:t>
      </w:r>
      <w:r>
        <w:rPr>
          <w:noProof/>
        </w:rPr>
        <w:tab/>
        <w:t>22</w:t>
      </w:r>
    </w:p>
    <w:p w14:paraId="75E9334B" w14:textId="4D2CE435" w:rsidR="00391282" w:rsidRDefault="00391282" w:rsidP="00391282">
      <w:pPr>
        <w:pStyle w:val="TOC2"/>
        <w:tabs>
          <w:tab w:val="left" w:pos="1020"/>
        </w:tabs>
        <w:rPr>
          <w:noProof/>
        </w:rPr>
      </w:pPr>
      <w:r>
        <w:rPr>
          <w:noProof/>
        </w:rPr>
        <w:t>References</w:t>
      </w:r>
      <w:r>
        <w:rPr>
          <w:noProof/>
        </w:rPr>
        <w:tab/>
        <w:t>23</w:t>
      </w:r>
    </w:p>
    <w:p w14:paraId="0E61B52B" w14:textId="77777777" w:rsidR="00391282" w:rsidRDefault="00391282" w:rsidP="00391282">
      <w:pPr>
        <w:pStyle w:val="BodyText"/>
      </w:pPr>
    </w:p>
    <w:p w14:paraId="556FDBE8" w14:textId="77777777" w:rsidR="00391282" w:rsidRDefault="00391282" w:rsidP="00391282">
      <w:pPr>
        <w:pStyle w:val="BodyText"/>
        <w:sectPr w:rsidR="00391282" w:rsidSect="00391282">
          <w:headerReference w:type="even" r:id="rId18"/>
          <w:headerReference w:type="default" r:id="rId19"/>
          <w:footerReference w:type="even" r:id="rId20"/>
          <w:footerReference w:type="default" r:id="rId21"/>
          <w:type w:val="oddPage"/>
          <w:pgSz w:w="11907" w:h="16840" w:code="9"/>
          <w:pgMar w:top="1985" w:right="1304" w:bottom="1247" w:left="1814" w:header="1701" w:footer="397" w:gutter="0"/>
          <w:pgNumType w:fmt="lowerRoman"/>
          <w:cols w:space="720"/>
        </w:sectPr>
      </w:pPr>
    </w:p>
    <w:p w14:paraId="3F543058" w14:textId="77777777" w:rsidR="00391282" w:rsidRDefault="00391282" w:rsidP="00391282">
      <w:pPr>
        <w:pStyle w:val="Heading1"/>
      </w:pPr>
      <w:bookmarkStart w:id="7" w:name="Abbreviations"/>
      <w:bookmarkStart w:id="8" w:name="EndContents"/>
      <w:bookmarkStart w:id="9" w:name="RDnote"/>
      <w:bookmarkStart w:id="10" w:name="_Toc34138708"/>
      <w:bookmarkEnd w:id="7"/>
      <w:bookmarkEnd w:id="8"/>
      <w:bookmarkEnd w:id="9"/>
      <w:r>
        <w:lastRenderedPageBreak/>
        <w:t>Abbreviations and explanations</w:t>
      </w:r>
      <w:bookmarkEnd w:id="10"/>
    </w:p>
    <w:p w14:paraId="1BCF6A60" w14:textId="77777777" w:rsidR="00391282" w:rsidRDefault="00391282" w:rsidP="00391282">
      <w:pPr>
        <w:pStyle w:val="Heading2NotTOC"/>
      </w:pPr>
      <w:r>
        <w:t>Abbrevia</w:t>
      </w:r>
      <w:r w:rsidRPr="00F85393">
        <w:t>t</w:t>
      </w:r>
      <w:r>
        <w: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391282" w14:paraId="6A98CAF2" w14:textId="77777777" w:rsidTr="00391282">
        <w:tc>
          <w:tcPr>
            <w:tcW w:w="2410" w:type="dxa"/>
          </w:tcPr>
          <w:p w14:paraId="7F30A682" w14:textId="77777777" w:rsidR="00391282" w:rsidRDefault="00391282" w:rsidP="00391282">
            <w:pPr>
              <w:pStyle w:val="BodyText"/>
              <w:spacing w:before="120"/>
              <w:ind w:right="6"/>
            </w:pPr>
            <w:r>
              <w:t>ABS</w:t>
            </w:r>
          </w:p>
        </w:tc>
        <w:tc>
          <w:tcPr>
            <w:tcW w:w="6379" w:type="dxa"/>
          </w:tcPr>
          <w:p w14:paraId="0870CDEE" w14:textId="77777777" w:rsidR="00391282" w:rsidRDefault="00391282" w:rsidP="00391282">
            <w:pPr>
              <w:pStyle w:val="BodyText"/>
              <w:spacing w:before="120"/>
              <w:ind w:left="227" w:right="6"/>
            </w:pPr>
            <w:r>
              <w:t>Australian Bureau of Statistics</w:t>
            </w:r>
          </w:p>
        </w:tc>
      </w:tr>
      <w:tr w:rsidR="00391282" w14:paraId="2B32CDD9" w14:textId="77777777" w:rsidTr="00391282">
        <w:tc>
          <w:tcPr>
            <w:tcW w:w="2410" w:type="dxa"/>
          </w:tcPr>
          <w:p w14:paraId="02AE9B8E" w14:textId="77777777" w:rsidR="00391282" w:rsidRDefault="00391282" w:rsidP="00391282">
            <w:pPr>
              <w:pStyle w:val="BodyText"/>
              <w:spacing w:before="120"/>
              <w:ind w:right="6"/>
            </w:pPr>
            <w:r>
              <w:t>CPI</w:t>
            </w:r>
          </w:p>
        </w:tc>
        <w:tc>
          <w:tcPr>
            <w:tcW w:w="6379" w:type="dxa"/>
          </w:tcPr>
          <w:p w14:paraId="7F9250CD" w14:textId="77777777" w:rsidR="00391282" w:rsidRDefault="00391282" w:rsidP="00391282">
            <w:pPr>
              <w:pStyle w:val="BodyText"/>
              <w:spacing w:before="120"/>
              <w:ind w:left="227" w:right="6"/>
            </w:pPr>
            <w:r>
              <w:t>Consumer Price Index</w:t>
            </w:r>
          </w:p>
        </w:tc>
      </w:tr>
      <w:tr w:rsidR="00391282" w14:paraId="6DD2534B" w14:textId="77777777" w:rsidTr="00391282">
        <w:tc>
          <w:tcPr>
            <w:tcW w:w="2410" w:type="dxa"/>
          </w:tcPr>
          <w:p w14:paraId="570FD4AC" w14:textId="77777777" w:rsidR="00391282" w:rsidRDefault="00391282" w:rsidP="00391282">
            <w:pPr>
              <w:pStyle w:val="BodyText"/>
              <w:spacing w:before="120"/>
              <w:ind w:right="6"/>
            </w:pPr>
            <w:r>
              <w:t>GDP</w:t>
            </w:r>
          </w:p>
        </w:tc>
        <w:tc>
          <w:tcPr>
            <w:tcW w:w="6379" w:type="dxa"/>
          </w:tcPr>
          <w:p w14:paraId="155EB855" w14:textId="77777777" w:rsidR="00391282" w:rsidRDefault="00391282" w:rsidP="00391282">
            <w:pPr>
              <w:pStyle w:val="BodyText"/>
              <w:spacing w:before="120"/>
              <w:ind w:left="227" w:right="6"/>
            </w:pPr>
            <w:r>
              <w:t>Gross Domestic Product</w:t>
            </w:r>
          </w:p>
        </w:tc>
      </w:tr>
      <w:tr w:rsidR="00391282" w14:paraId="0C567AFC" w14:textId="77777777" w:rsidTr="00391282">
        <w:tc>
          <w:tcPr>
            <w:tcW w:w="2410" w:type="dxa"/>
          </w:tcPr>
          <w:p w14:paraId="38D249DA" w14:textId="77777777" w:rsidR="00391282" w:rsidRDefault="00391282" w:rsidP="00391282">
            <w:pPr>
              <w:pStyle w:val="BodyText"/>
              <w:spacing w:before="120"/>
              <w:ind w:right="6"/>
            </w:pPr>
            <w:r>
              <w:t>GVA</w:t>
            </w:r>
          </w:p>
        </w:tc>
        <w:tc>
          <w:tcPr>
            <w:tcW w:w="6379" w:type="dxa"/>
          </w:tcPr>
          <w:p w14:paraId="7667EF5B" w14:textId="77777777" w:rsidR="00391282" w:rsidRDefault="00391282" w:rsidP="00391282">
            <w:pPr>
              <w:pStyle w:val="BodyText"/>
              <w:spacing w:before="120"/>
              <w:ind w:left="227" w:right="6"/>
            </w:pPr>
            <w:r>
              <w:t>Gross Value Added</w:t>
            </w:r>
          </w:p>
        </w:tc>
      </w:tr>
      <w:tr w:rsidR="00391282" w14:paraId="69CF739D" w14:textId="77777777" w:rsidTr="00391282">
        <w:tc>
          <w:tcPr>
            <w:tcW w:w="2410" w:type="dxa"/>
          </w:tcPr>
          <w:p w14:paraId="6CB8D203" w14:textId="77777777" w:rsidR="00391282" w:rsidRDefault="00391282" w:rsidP="00391282">
            <w:pPr>
              <w:pStyle w:val="BodyText"/>
              <w:spacing w:before="120"/>
              <w:ind w:right="6"/>
            </w:pPr>
            <w:r>
              <w:t>MFP</w:t>
            </w:r>
          </w:p>
        </w:tc>
        <w:tc>
          <w:tcPr>
            <w:tcW w:w="6379" w:type="dxa"/>
          </w:tcPr>
          <w:p w14:paraId="095DAD56" w14:textId="77777777" w:rsidR="00391282" w:rsidRDefault="00391282" w:rsidP="00391282">
            <w:pPr>
              <w:pStyle w:val="BodyText"/>
              <w:spacing w:before="120"/>
              <w:ind w:left="227" w:right="6"/>
            </w:pPr>
            <w:r>
              <w:t>Multifactor Productivity</w:t>
            </w:r>
          </w:p>
        </w:tc>
      </w:tr>
      <w:tr w:rsidR="00391282" w14:paraId="56AA74BD" w14:textId="77777777" w:rsidTr="00391282">
        <w:tc>
          <w:tcPr>
            <w:tcW w:w="2410" w:type="dxa"/>
          </w:tcPr>
          <w:p w14:paraId="569330CA" w14:textId="77777777" w:rsidR="00391282" w:rsidRDefault="00391282" w:rsidP="00391282">
            <w:pPr>
              <w:pStyle w:val="BodyText"/>
              <w:spacing w:before="120"/>
              <w:ind w:right="6"/>
            </w:pPr>
            <w:r>
              <w:t>OECD</w:t>
            </w:r>
          </w:p>
        </w:tc>
        <w:tc>
          <w:tcPr>
            <w:tcW w:w="6379" w:type="dxa"/>
          </w:tcPr>
          <w:p w14:paraId="67C39EA8" w14:textId="77777777" w:rsidR="00391282" w:rsidRDefault="00391282" w:rsidP="00391282">
            <w:pPr>
              <w:pStyle w:val="BodyText"/>
              <w:spacing w:before="120"/>
              <w:ind w:left="227" w:right="6"/>
            </w:pPr>
            <w:r>
              <w:t>Organisation for Economic Co-operation and Development</w:t>
            </w:r>
          </w:p>
        </w:tc>
      </w:tr>
      <w:tr w:rsidR="00391282" w14:paraId="36A9793F" w14:textId="77777777" w:rsidTr="00391282">
        <w:tc>
          <w:tcPr>
            <w:tcW w:w="2410" w:type="dxa"/>
          </w:tcPr>
          <w:p w14:paraId="644D4B1A" w14:textId="77777777" w:rsidR="00391282" w:rsidRDefault="00391282" w:rsidP="00391282">
            <w:pPr>
              <w:pStyle w:val="BodyText"/>
              <w:spacing w:before="120"/>
              <w:ind w:right="6"/>
            </w:pPr>
            <w:r>
              <w:t>PC</w:t>
            </w:r>
          </w:p>
        </w:tc>
        <w:tc>
          <w:tcPr>
            <w:tcW w:w="6379" w:type="dxa"/>
          </w:tcPr>
          <w:p w14:paraId="0447197D" w14:textId="77777777" w:rsidR="00391282" w:rsidRDefault="00391282" w:rsidP="00391282">
            <w:pPr>
              <w:pStyle w:val="BodyText"/>
              <w:spacing w:before="120"/>
              <w:ind w:left="227" w:right="6"/>
            </w:pPr>
            <w:r>
              <w:t>Productivity Commission</w:t>
            </w:r>
          </w:p>
        </w:tc>
      </w:tr>
      <w:tr w:rsidR="00391282" w14:paraId="5A4AAA3D" w14:textId="77777777" w:rsidTr="00391282">
        <w:tc>
          <w:tcPr>
            <w:tcW w:w="2410" w:type="dxa"/>
          </w:tcPr>
          <w:p w14:paraId="1E9D3F81" w14:textId="77777777" w:rsidR="00391282" w:rsidRDefault="00391282" w:rsidP="00391282">
            <w:pPr>
              <w:pStyle w:val="BodyText"/>
              <w:spacing w:before="120"/>
              <w:ind w:right="6"/>
            </w:pPr>
            <w:r>
              <w:t>PPP</w:t>
            </w:r>
          </w:p>
        </w:tc>
        <w:tc>
          <w:tcPr>
            <w:tcW w:w="6379" w:type="dxa"/>
          </w:tcPr>
          <w:p w14:paraId="1199F4A2" w14:textId="77777777" w:rsidR="00391282" w:rsidRDefault="00391282" w:rsidP="00391282">
            <w:pPr>
              <w:pStyle w:val="BodyText"/>
              <w:spacing w:before="120"/>
              <w:ind w:left="227" w:right="6"/>
            </w:pPr>
            <w:r>
              <w:t>Purchasing power parity</w:t>
            </w:r>
          </w:p>
        </w:tc>
      </w:tr>
      <w:tr w:rsidR="00391282" w14:paraId="60F5C37B" w14:textId="77777777" w:rsidTr="00391282">
        <w:tc>
          <w:tcPr>
            <w:tcW w:w="2410" w:type="dxa"/>
          </w:tcPr>
          <w:p w14:paraId="7D71D99F" w14:textId="77777777" w:rsidR="00391282" w:rsidRDefault="00391282" w:rsidP="00391282">
            <w:pPr>
              <w:pStyle w:val="BodyText"/>
              <w:spacing w:before="120"/>
              <w:ind w:right="6"/>
            </w:pPr>
            <w:r>
              <w:t>R&amp;D</w:t>
            </w:r>
          </w:p>
        </w:tc>
        <w:tc>
          <w:tcPr>
            <w:tcW w:w="6379" w:type="dxa"/>
          </w:tcPr>
          <w:p w14:paraId="13B6A572" w14:textId="77777777" w:rsidR="00391282" w:rsidRDefault="00391282" w:rsidP="00391282">
            <w:pPr>
              <w:pStyle w:val="BodyText"/>
              <w:spacing w:before="120"/>
              <w:ind w:left="227" w:right="6"/>
            </w:pPr>
            <w:r>
              <w:t>Research and development</w:t>
            </w:r>
          </w:p>
        </w:tc>
      </w:tr>
      <w:tr w:rsidR="00391282" w14:paraId="41481702" w14:textId="77777777" w:rsidTr="00391282">
        <w:tc>
          <w:tcPr>
            <w:tcW w:w="2410" w:type="dxa"/>
          </w:tcPr>
          <w:p w14:paraId="4F5920F2" w14:textId="77777777" w:rsidR="00391282" w:rsidRDefault="00391282" w:rsidP="00391282">
            <w:pPr>
              <w:pStyle w:val="BodyText"/>
              <w:spacing w:before="120"/>
              <w:ind w:right="6"/>
            </w:pPr>
            <w:r>
              <w:t>TED</w:t>
            </w:r>
          </w:p>
        </w:tc>
        <w:tc>
          <w:tcPr>
            <w:tcW w:w="6379" w:type="dxa"/>
          </w:tcPr>
          <w:p w14:paraId="2951C6E5" w14:textId="77777777" w:rsidR="00391282" w:rsidRDefault="00391282" w:rsidP="00391282">
            <w:pPr>
              <w:pStyle w:val="BodyText"/>
              <w:spacing w:before="120"/>
              <w:ind w:left="227" w:right="6"/>
            </w:pPr>
            <w:r>
              <w:t>Total Economy Database</w:t>
            </w:r>
          </w:p>
        </w:tc>
      </w:tr>
      <w:tr w:rsidR="00391282" w14:paraId="18AF8349" w14:textId="77777777" w:rsidTr="00391282">
        <w:tc>
          <w:tcPr>
            <w:tcW w:w="2410" w:type="dxa"/>
          </w:tcPr>
          <w:p w14:paraId="05A77D13" w14:textId="77777777" w:rsidR="00391282" w:rsidRDefault="00391282" w:rsidP="00391282">
            <w:pPr>
              <w:pStyle w:val="BodyText"/>
              <w:spacing w:before="120"/>
              <w:ind w:right="6"/>
            </w:pPr>
            <w:r>
              <w:t>UK</w:t>
            </w:r>
          </w:p>
        </w:tc>
        <w:tc>
          <w:tcPr>
            <w:tcW w:w="6379" w:type="dxa"/>
          </w:tcPr>
          <w:p w14:paraId="0575F11C" w14:textId="77777777" w:rsidR="00391282" w:rsidRDefault="00391282" w:rsidP="00391282">
            <w:pPr>
              <w:pStyle w:val="BodyText"/>
              <w:spacing w:before="120"/>
              <w:ind w:left="227" w:right="6"/>
            </w:pPr>
            <w:r>
              <w:t>United Kingdom</w:t>
            </w:r>
          </w:p>
        </w:tc>
      </w:tr>
      <w:tr w:rsidR="00391282" w14:paraId="062BB5DC" w14:textId="77777777" w:rsidTr="00391282">
        <w:tc>
          <w:tcPr>
            <w:tcW w:w="2410" w:type="dxa"/>
          </w:tcPr>
          <w:p w14:paraId="204C3F45" w14:textId="77777777" w:rsidR="00391282" w:rsidRDefault="00391282" w:rsidP="00391282">
            <w:pPr>
              <w:pStyle w:val="BodyText"/>
              <w:spacing w:before="120"/>
              <w:ind w:right="6"/>
            </w:pPr>
            <w:r>
              <w:t>US</w:t>
            </w:r>
          </w:p>
        </w:tc>
        <w:tc>
          <w:tcPr>
            <w:tcW w:w="6379" w:type="dxa"/>
          </w:tcPr>
          <w:p w14:paraId="2823F2F0" w14:textId="77777777" w:rsidR="00391282" w:rsidRDefault="00391282" w:rsidP="00391282">
            <w:pPr>
              <w:pStyle w:val="BodyText"/>
              <w:spacing w:before="120"/>
              <w:ind w:left="227" w:right="6"/>
            </w:pPr>
            <w:r>
              <w:t>United States of America</w:t>
            </w:r>
          </w:p>
        </w:tc>
      </w:tr>
    </w:tbl>
    <w:p w14:paraId="55EC7623" w14:textId="77777777" w:rsidR="00391282" w:rsidRDefault="00391282" w:rsidP="00391282">
      <w:pPr>
        <w:pStyle w:val="Heading2NotTOC"/>
      </w:pPr>
      <w:r>
        <w:t>Explanations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391282" w14:paraId="054DC408" w14:textId="77777777" w:rsidTr="00391282">
        <w:tc>
          <w:tcPr>
            <w:tcW w:w="2410" w:type="dxa"/>
          </w:tcPr>
          <w:p w14:paraId="6B7D05E9" w14:textId="77777777" w:rsidR="00391282" w:rsidRDefault="00391282" w:rsidP="00391282">
            <w:pPr>
              <w:pStyle w:val="BodyText"/>
              <w:spacing w:before="120"/>
              <w:ind w:right="6"/>
            </w:pPr>
            <w:r>
              <w:t>Billion</w:t>
            </w:r>
          </w:p>
        </w:tc>
        <w:tc>
          <w:tcPr>
            <w:tcW w:w="6379" w:type="dxa"/>
          </w:tcPr>
          <w:p w14:paraId="3658BCBF" w14:textId="77777777" w:rsidR="00391282" w:rsidRDefault="00391282" w:rsidP="00391282">
            <w:pPr>
              <w:pStyle w:val="BodyText"/>
              <w:spacing w:before="120"/>
              <w:ind w:left="227" w:right="6"/>
            </w:pPr>
            <w:r>
              <w:t>The convention used for a billion is a thousand million (10</w:t>
            </w:r>
            <w:r>
              <w:rPr>
                <w:position w:val="6"/>
                <w:sz w:val="22"/>
              </w:rPr>
              <w:t>9</w:t>
            </w:r>
            <w:r>
              <w:t>).</w:t>
            </w:r>
          </w:p>
        </w:tc>
      </w:tr>
    </w:tbl>
    <w:p w14:paraId="224B88D7" w14:textId="77777777" w:rsidR="00391282" w:rsidRDefault="00391282" w:rsidP="00E1519F">
      <w:pPr>
        <w:pStyle w:val="Heading1nochapterno"/>
        <w:sectPr w:rsidR="00391282" w:rsidSect="009A7D5D">
          <w:headerReference w:type="even" r:id="rId22"/>
          <w:headerReference w:type="default" r:id="rId23"/>
          <w:footerReference w:type="even" r:id="rId24"/>
          <w:footerReference w:type="default" r:id="rId25"/>
          <w:pgSz w:w="11907" w:h="16840" w:code="9"/>
          <w:pgMar w:top="1985" w:right="1304" w:bottom="1247" w:left="1814" w:header="1701" w:footer="397" w:gutter="0"/>
          <w:pgNumType w:fmt="lowerRoman" w:chapSep="period"/>
          <w:cols w:space="720"/>
        </w:sectPr>
      </w:pPr>
    </w:p>
    <w:p w14:paraId="11E8F891" w14:textId="3D9B1521" w:rsidR="00A33DFF" w:rsidRDefault="00683D23" w:rsidP="00E1519F">
      <w:pPr>
        <w:pStyle w:val="Heading1nochapterno"/>
      </w:pPr>
      <w:r>
        <w:lastRenderedPageBreak/>
        <w:t>Can Australia become a productivity leader?</w:t>
      </w:r>
      <w:bookmarkEnd w:id="0"/>
    </w:p>
    <w:p w14:paraId="3194992F" w14:textId="6AF898CF" w:rsidR="004A2738" w:rsidRDefault="004A2738" w:rsidP="004A2738">
      <w:pPr>
        <w:pStyle w:val="BoxSpaceAbove"/>
      </w:pPr>
      <w:bookmarkStart w:id="13" w:name="begin"/>
      <w:bookmarkEnd w:id="1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2738" w14:paraId="2E72BCBA" w14:textId="77777777" w:rsidTr="003662FC">
        <w:trPr>
          <w:tblHeader/>
        </w:trPr>
        <w:tc>
          <w:tcPr>
            <w:tcW w:w="5000" w:type="pct"/>
            <w:tcBorders>
              <w:top w:val="single" w:sz="6" w:space="0" w:color="78A22F"/>
              <w:left w:val="nil"/>
              <w:bottom w:val="nil"/>
              <w:right w:val="nil"/>
            </w:tcBorders>
            <w:shd w:val="clear" w:color="auto" w:fill="F2F2F2"/>
          </w:tcPr>
          <w:p w14:paraId="2CC576FE" w14:textId="77777777" w:rsidR="004A2738" w:rsidRDefault="004A2738" w:rsidP="003662FC">
            <w:pPr>
              <w:pStyle w:val="BoxTitle"/>
            </w:pPr>
            <w:r>
              <w:t>Key points</w:t>
            </w:r>
          </w:p>
        </w:tc>
      </w:tr>
      <w:tr w:rsidR="004A2738" w14:paraId="385D3C5F" w14:textId="77777777" w:rsidTr="003662FC">
        <w:tc>
          <w:tcPr>
            <w:tcW w:w="5000" w:type="pct"/>
            <w:tcBorders>
              <w:top w:val="nil"/>
              <w:left w:val="nil"/>
              <w:bottom w:val="nil"/>
              <w:right w:val="nil"/>
            </w:tcBorders>
            <w:shd w:val="clear" w:color="auto" w:fill="F2F2F2"/>
          </w:tcPr>
          <w:p w14:paraId="02BEE5DE" w14:textId="0AC0FF9E" w:rsidR="004A2738" w:rsidRDefault="004A2738" w:rsidP="003662FC">
            <w:pPr>
              <w:pStyle w:val="KeyPointsListBullet"/>
            </w:pPr>
            <w:r>
              <w:t xml:space="preserve">Australia </w:t>
            </w:r>
            <w:r w:rsidR="00C654BC">
              <w:t>is a</w:t>
            </w:r>
            <w:r>
              <w:t xml:space="preserve"> high income </w:t>
            </w:r>
            <w:r w:rsidR="00C654BC">
              <w:t>country</w:t>
            </w:r>
            <w:r>
              <w:t xml:space="preserve">, </w:t>
            </w:r>
            <w:r w:rsidR="00C654BC">
              <w:t xml:space="preserve">with </w:t>
            </w:r>
            <w:r>
              <w:t xml:space="preserve">the </w:t>
            </w:r>
            <w:r w:rsidR="00B95AA1">
              <w:t>12</w:t>
            </w:r>
            <w:r w:rsidR="00B95AA1" w:rsidRPr="00F126E8">
              <w:rPr>
                <w:vertAlign w:val="superscript"/>
              </w:rPr>
              <w:t>th</w:t>
            </w:r>
            <w:r w:rsidR="00B95AA1">
              <w:rPr>
                <w:vertAlign w:val="superscript"/>
              </w:rPr>
              <w:t> </w:t>
            </w:r>
            <w:r>
              <w:t>highest</w:t>
            </w:r>
            <w:r w:rsidR="00C654BC">
              <w:t xml:space="preserve"> average income</w:t>
            </w:r>
            <w:r>
              <w:t xml:space="preserve"> in the </w:t>
            </w:r>
            <w:r w:rsidR="00E25DC2" w:rsidRPr="001C2DAB">
              <w:t>Organisation for Economic Co</w:t>
            </w:r>
            <w:r w:rsidR="00E25DC2">
              <w:noBreakHyphen/>
            </w:r>
            <w:r w:rsidR="00E25DC2" w:rsidRPr="001C2DAB">
              <w:t>operation and Development</w:t>
            </w:r>
            <w:r w:rsidR="00E25DC2">
              <w:t xml:space="preserve"> (OECD)</w:t>
            </w:r>
            <w:r>
              <w:t xml:space="preserve">. </w:t>
            </w:r>
          </w:p>
          <w:p w14:paraId="70853543" w14:textId="7110CA4D" w:rsidR="004A2738" w:rsidRDefault="004A2738" w:rsidP="004A556D">
            <w:pPr>
              <w:pStyle w:val="KeyPointsListBullet2"/>
              <w:ind w:left="641"/>
            </w:pPr>
            <w:r>
              <w:t xml:space="preserve">This </w:t>
            </w:r>
            <w:r w:rsidR="00C654BC">
              <w:t xml:space="preserve">is partly due to Australians working </w:t>
            </w:r>
            <w:r w:rsidR="00C654BC" w:rsidRPr="0049120D">
              <w:rPr>
                <w:i/>
              </w:rPr>
              <w:t>harder</w:t>
            </w:r>
            <w:r w:rsidR="006373D9">
              <w:t>,</w:t>
            </w:r>
            <w:r w:rsidR="00C654BC">
              <w:t xml:space="preserve"> with</w:t>
            </w:r>
            <w:r w:rsidR="008A524F">
              <w:t xml:space="preserve"> the</w:t>
            </w:r>
            <w:r w:rsidR="00E25DC2">
              <w:t xml:space="preserve"> </w:t>
            </w:r>
            <w:r w:rsidR="008A524F">
              <w:t>5</w:t>
            </w:r>
            <w:r w:rsidR="008A524F" w:rsidRPr="006373D9">
              <w:rPr>
                <w:vertAlign w:val="superscript"/>
              </w:rPr>
              <w:t>th</w:t>
            </w:r>
            <w:r w:rsidR="008A524F">
              <w:t xml:space="preserve"> highest </w:t>
            </w:r>
            <w:r w:rsidR="006373D9">
              <w:t>h</w:t>
            </w:r>
            <w:r w:rsidR="00E25DC2">
              <w:t>our</w:t>
            </w:r>
            <w:r w:rsidR="006373D9">
              <w:t>s</w:t>
            </w:r>
            <w:r w:rsidR="00E25DC2">
              <w:t xml:space="preserve"> worked per </w:t>
            </w:r>
            <w:r w:rsidR="006373D9">
              <w:t>capita</w:t>
            </w:r>
            <w:r w:rsidR="00E25DC2">
              <w:t xml:space="preserve"> in the OECD. This is driven by high</w:t>
            </w:r>
            <w:r w:rsidR="00C654BC">
              <w:t xml:space="preserve"> labour force participa</w:t>
            </w:r>
            <w:r w:rsidR="00FB4690">
              <w:t>tion rates and hours worked per </w:t>
            </w:r>
            <w:r w:rsidR="00C654BC">
              <w:t>employee relative to</w:t>
            </w:r>
            <w:r w:rsidR="001C2DAB">
              <w:t xml:space="preserve"> our</w:t>
            </w:r>
            <w:r w:rsidR="00E25DC2">
              <w:t xml:space="preserve"> OECD</w:t>
            </w:r>
            <w:r w:rsidR="001C2DAB">
              <w:t xml:space="preserve"> </w:t>
            </w:r>
            <w:r w:rsidR="00C654BC">
              <w:t>peers</w:t>
            </w:r>
            <w:r w:rsidR="00874AE9">
              <w:t>, which</w:t>
            </w:r>
            <w:r w:rsidR="00B85DFB">
              <w:t xml:space="preserve"> </w:t>
            </w:r>
            <w:r w:rsidR="00874AE9">
              <w:t>i</w:t>
            </w:r>
            <w:r w:rsidR="00B85DFB">
              <w:t xml:space="preserve">n part </w:t>
            </w:r>
            <w:r w:rsidR="00C654BC">
              <w:t xml:space="preserve">reflects </w:t>
            </w:r>
            <w:r w:rsidR="00B85DFB">
              <w:t>an absence of recession for 28</w:t>
            </w:r>
            <w:r w:rsidR="00E25DC2">
              <w:t xml:space="preserve"> consecutive</w:t>
            </w:r>
            <w:r w:rsidR="00B85DFB">
              <w:t xml:space="preserve"> years</w:t>
            </w:r>
            <w:r>
              <w:t>.</w:t>
            </w:r>
          </w:p>
          <w:p w14:paraId="41592D59" w14:textId="40BD84C4" w:rsidR="004A2738" w:rsidRDefault="00C654BC" w:rsidP="004A556D">
            <w:pPr>
              <w:pStyle w:val="KeyPointsListBullet2"/>
              <w:ind w:left="641"/>
            </w:pPr>
            <w:r>
              <w:t xml:space="preserve">When it comes to working </w:t>
            </w:r>
            <w:r w:rsidRPr="0049120D">
              <w:rPr>
                <w:i/>
              </w:rPr>
              <w:t>smarter</w:t>
            </w:r>
            <w:r>
              <w:t xml:space="preserve"> — measured by</w:t>
            </w:r>
            <w:r w:rsidR="001C2DAB">
              <w:t xml:space="preserve"> our</w:t>
            </w:r>
            <w:r>
              <w:t xml:space="preserve"> </w:t>
            </w:r>
            <w:r w:rsidR="006373D9">
              <w:t xml:space="preserve">labour </w:t>
            </w:r>
            <w:r>
              <w:t xml:space="preserve">productivity level </w:t>
            </w:r>
            <w:r w:rsidR="006373D9">
              <w:t xml:space="preserve">or </w:t>
            </w:r>
            <w:r>
              <w:t>GDP per hour worked</w:t>
            </w:r>
            <w:r w:rsidR="006373D9">
              <w:t xml:space="preserve"> —</w:t>
            </w:r>
            <w:r>
              <w:t xml:space="preserve"> </w:t>
            </w:r>
            <w:r w:rsidR="004A2738">
              <w:t xml:space="preserve">Australia’s productivity is middling, sitting at </w:t>
            </w:r>
            <w:r w:rsidR="00B95AA1">
              <w:t>16</w:t>
            </w:r>
            <w:r w:rsidR="00B95AA1" w:rsidRPr="006B69FC">
              <w:rPr>
                <w:vertAlign w:val="superscript"/>
              </w:rPr>
              <w:t>th</w:t>
            </w:r>
            <w:r w:rsidR="00B95AA1">
              <w:t xml:space="preserve"> </w:t>
            </w:r>
            <w:r w:rsidR="004A2738">
              <w:t>among the OECD.</w:t>
            </w:r>
          </w:p>
          <w:p w14:paraId="152D905E" w14:textId="1D1E45E3" w:rsidR="00C654BC" w:rsidRDefault="00C654BC" w:rsidP="003662FC">
            <w:pPr>
              <w:pStyle w:val="KeyPointsListBullet"/>
            </w:pPr>
            <w:r>
              <w:t xml:space="preserve">The United States effectively represents the productivity frontier </w:t>
            </w:r>
            <w:r w:rsidR="006373D9">
              <w:t>—</w:t>
            </w:r>
            <w:r>
              <w:t xml:space="preserve"> a large diversified economy with high underlying productivity. It currently takes a typical Australian worker </w:t>
            </w:r>
            <w:r w:rsidR="002D7409">
              <w:t>five</w:t>
            </w:r>
            <w:r>
              <w:t xml:space="preserve"> days to produce what would take their American counterpart </w:t>
            </w:r>
            <w:r w:rsidR="002D7409">
              <w:t>four</w:t>
            </w:r>
            <w:r>
              <w:t xml:space="preserve"> days.</w:t>
            </w:r>
          </w:p>
          <w:p w14:paraId="1008223F" w14:textId="77777777" w:rsidR="004A2738" w:rsidRDefault="004A2738" w:rsidP="003662FC">
            <w:pPr>
              <w:pStyle w:val="KeyPointsListBullet"/>
            </w:pPr>
            <w:r>
              <w:t>Catch</w:t>
            </w:r>
            <w:r>
              <w:noBreakHyphen/>
              <w:t xml:space="preserve">up to the productivity </w:t>
            </w:r>
            <w:r w:rsidR="001C2DAB">
              <w:t>level</w:t>
            </w:r>
            <w:r w:rsidR="00C654BC">
              <w:t xml:space="preserve"> of the United States</w:t>
            </w:r>
            <w:r>
              <w:t xml:space="preserve"> has </w:t>
            </w:r>
            <w:r w:rsidR="00C654BC">
              <w:t xml:space="preserve">proven </w:t>
            </w:r>
            <w:r>
              <w:t xml:space="preserve">elusive over the </w:t>
            </w:r>
            <w:r w:rsidR="00B85DFB">
              <w:t>p</w:t>
            </w:r>
            <w:r>
              <w:t>ast five decades</w:t>
            </w:r>
            <w:r w:rsidR="00C654BC">
              <w:t>, partly because our relative remoteness and low population density have been a barrier to achieving efficient scale in manufacturing and goods distribution</w:t>
            </w:r>
            <w:r>
              <w:t>.</w:t>
            </w:r>
          </w:p>
          <w:p w14:paraId="231671ED" w14:textId="77777777" w:rsidR="004A2738" w:rsidRDefault="00CA1ACD" w:rsidP="009832D2">
            <w:pPr>
              <w:pStyle w:val="KeyPointsListBullet"/>
            </w:pPr>
            <w:r>
              <w:t>Australia’s remoteness and low population density will continue to limit convergence in manufacturing and goods distribution, but there are substantial opportunities to improve performance in Australia’s service industries.</w:t>
            </w:r>
            <w:r w:rsidR="004A2738">
              <w:t xml:space="preserve"> </w:t>
            </w:r>
          </w:p>
          <w:p w14:paraId="2F1D5CED" w14:textId="63995726" w:rsidR="00571A05" w:rsidRDefault="00071979" w:rsidP="004A556D">
            <w:pPr>
              <w:pStyle w:val="KeyPointsListBullet2"/>
              <w:ind w:left="641"/>
            </w:pPr>
            <w:r>
              <w:t>E</w:t>
            </w:r>
            <w:r w:rsidR="00571A05">
              <w:t xml:space="preserve">stimates suggest the Australian service </w:t>
            </w:r>
            <w:r w:rsidR="00BB5733">
              <w:t>industries</w:t>
            </w:r>
            <w:r w:rsidR="00571A05">
              <w:t xml:space="preserve"> </w:t>
            </w:r>
            <w:r w:rsidR="009B18E6">
              <w:t>are</w:t>
            </w:r>
            <w:r w:rsidR="00571A05">
              <w:t xml:space="preserve"> between 20 per cent and 60 per cent less productive than the same industries in the United States.</w:t>
            </w:r>
          </w:p>
          <w:p w14:paraId="1482C30C" w14:textId="77777777" w:rsidR="00071979" w:rsidRDefault="004A2738">
            <w:pPr>
              <w:pStyle w:val="KeyPointsListBullet"/>
            </w:pPr>
            <w:r>
              <w:t>Australian</w:t>
            </w:r>
            <w:r w:rsidR="00071979">
              <w:t xml:space="preserve"> formal</w:t>
            </w:r>
            <w:r>
              <w:t xml:space="preserve"> educational attainment is rapidly approaching United States levels</w:t>
            </w:r>
            <w:r w:rsidR="00CA1ACD">
              <w:t>. And while the Australian</w:t>
            </w:r>
            <w:r w:rsidR="00483FF1">
              <w:t xml:space="preserve"> </w:t>
            </w:r>
            <w:r w:rsidR="00CA1ACD">
              <w:t xml:space="preserve">economy is less </w:t>
            </w:r>
            <w:r w:rsidR="00071979">
              <w:t>research and development (R&amp;D)</w:t>
            </w:r>
            <w:r w:rsidR="00483FF1">
              <w:t xml:space="preserve"> </w:t>
            </w:r>
            <w:r w:rsidR="00CA1ACD">
              <w:t>intensive, this largely reflects the different industries in which Australia’s comparative advantage lies — more in mining and agriculture,</w:t>
            </w:r>
            <w:r w:rsidR="00571A05">
              <w:t xml:space="preserve"> and less in manufacturing.</w:t>
            </w:r>
            <w:r w:rsidR="00071979">
              <w:t xml:space="preserve"> </w:t>
            </w:r>
          </w:p>
          <w:p w14:paraId="778159C1" w14:textId="4B0BB371" w:rsidR="004A2738" w:rsidRDefault="00071979" w:rsidP="00216FEE">
            <w:pPr>
              <w:pStyle w:val="KeyPointsListBullet"/>
            </w:pPr>
            <w:r>
              <w:t xml:space="preserve">Management capability is critical in facilitating innovation but </w:t>
            </w:r>
            <w:r w:rsidR="00FC4560">
              <w:t>Australian businesses</w:t>
            </w:r>
            <w:r>
              <w:t xml:space="preserve"> tend to</w:t>
            </w:r>
            <w:r w:rsidR="00FC4560">
              <w:t xml:space="preserve"> </w:t>
            </w:r>
            <w:r>
              <w:t>perform</w:t>
            </w:r>
            <w:r w:rsidR="00FC4560">
              <w:t xml:space="preserve"> poorly in </w:t>
            </w:r>
            <w:r>
              <w:t>this area</w:t>
            </w:r>
            <w:r w:rsidR="00CA1ACD">
              <w:t>, particular</w:t>
            </w:r>
            <w:r w:rsidR="00571A05">
              <w:t>l</w:t>
            </w:r>
            <w:r w:rsidR="00CA1ACD">
              <w:t>y</w:t>
            </w:r>
            <w:r w:rsidR="00571A05">
              <w:t xml:space="preserve"> in harnessing the benefits of digital technologies.</w:t>
            </w:r>
          </w:p>
        </w:tc>
      </w:tr>
      <w:tr w:rsidR="004A2738" w14:paraId="5290358F" w14:textId="77777777" w:rsidTr="003662FC">
        <w:tc>
          <w:tcPr>
            <w:tcW w:w="5000" w:type="pct"/>
            <w:tcBorders>
              <w:top w:val="nil"/>
              <w:left w:val="nil"/>
              <w:bottom w:val="single" w:sz="6" w:space="0" w:color="78A22F"/>
              <w:right w:val="nil"/>
            </w:tcBorders>
            <w:shd w:val="clear" w:color="auto" w:fill="F2F2F2"/>
          </w:tcPr>
          <w:p w14:paraId="6BE1DAB5" w14:textId="77777777" w:rsidR="004A2738" w:rsidRDefault="004A2738" w:rsidP="003662FC">
            <w:pPr>
              <w:pStyle w:val="Box"/>
              <w:spacing w:before="0" w:line="120" w:lineRule="exact"/>
            </w:pPr>
          </w:p>
        </w:tc>
      </w:tr>
      <w:tr w:rsidR="004A2738" w:rsidRPr="000863A5" w14:paraId="623302AD" w14:textId="77777777" w:rsidTr="003662FC">
        <w:tc>
          <w:tcPr>
            <w:tcW w:w="5000" w:type="pct"/>
            <w:tcBorders>
              <w:top w:val="single" w:sz="6" w:space="0" w:color="78A22F"/>
              <w:left w:val="nil"/>
              <w:bottom w:val="nil"/>
              <w:right w:val="nil"/>
            </w:tcBorders>
          </w:tcPr>
          <w:p w14:paraId="016386B2" w14:textId="5E0B2E1D" w:rsidR="004A2738" w:rsidRPr="00626D32" w:rsidRDefault="004A2738" w:rsidP="003662FC">
            <w:pPr>
              <w:pStyle w:val="BoxSpaceBelow"/>
            </w:pPr>
          </w:p>
        </w:tc>
      </w:tr>
    </w:tbl>
    <w:p w14:paraId="442D5280" w14:textId="77777777" w:rsidR="004A556D" w:rsidRDefault="004A556D" w:rsidP="00FC4560">
      <w:pPr>
        <w:pStyle w:val="BodyText"/>
      </w:pPr>
      <w:r>
        <w:br w:type="page"/>
      </w:r>
    </w:p>
    <w:p w14:paraId="2DBA89BD" w14:textId="1B23B6ED" w:rsidR="00FC4560" w:rsidRDefault="00FC4560" w:rsidP="00FC4560">
      <w:pPr>
        <w:pStyle w:val="BodyText"/>
      </w:pPr>
      <w:r>
        <w:lastRenderedPageBreak/>
        <w:t xml:space="preserve">As noted in the previous </w:t>
      </w:r>
      <w:r w:rsidRPr="00CF69BC">
        <w:t>PC</w:t>
      </w:r>
      <w:r w:rsidRPr="00216FEE">
        <w:rPr>
          <w:i/>
        </w:rPr>
        <w:t xml:space="preserve"> Productivity Insights</w:t>
      </w:r>
      <w:r>
        <w:t xml:space="preserve">, Australia’s productivity growth has slowed in recent years, consistent with a global trend. If anything, the fall in Australia’s productivity growth rate has been milder than for many other developed economies. </w:t>
      </w:r>
    </w:p>
    <w:p w14:paraId="6842D58C" w14:textId="30CD5327" w:rsidR="00FC4560" w:rsidRDefault="00FC4560" w:rsidP="00FC4560">
      <w:pPr>
        <w:pStyle w:val="BodyText"/>
      </w:pPr>
      <w:r>
        <w:t xml:space="preserve">But how does Australia’s </w:t>
      </w:r>
      <w:r w:rsidRPr="00D816F5">
        <w:rPr>
          <w:i/>
        </w:rPr>
        <w:t>level</w:t>
      </w:r>
      <w:r>
        <w:t xml:space="preserve"> of productivity compare with that of our </w:t>
      </w:r>
      <w:r w:rsidR="00071979" w:rsidRPr="00071979">
        <w:t>Organisation for Economic Co</w:t>
      </w:r>
      <w:r w:rsidR="00E23CE2">
        <w:noBreakHyphen/>
      </w:r>
      <w:r w:rsidR="00071979" w:rsidRPr="00071979">
        <w:t>operation and Development</w:t>
      </w:r>
      <w:r w:rsidR="00F41C4C">
        <w:t xml:space="preserve"> (OECD)</w:t>
      </w:r>
      <w:r w:rsidR="00071979">
        <w:t xml:space="preserve"> — a collection of other advanced economies —</w:t>
      </w:r>
      <w:r w:rsidR="00F41C4C">
        <w:t xml:space="preserve"> </w:t>
      </w:r>
      <w:r>
        <w:t>peers, given that productivity is a key determinant of relative living standards?</w:t>
      </w:r>
    </w:p>
    <w:p w14:paraId="67075D69" w14:textId="266BF21A" w:rsidR="00FC4560" w:rsidRDefault="0049120D" w:rsidP="00E1519F">
      <w:pPr>
        <w:pStyle w:val="BodyText"/>
      </w:pPr>
      <w:r>
        <w:t xml:space="preserve">International </w:t>
      </w:r>
      <w:r w:rsidR="00E1519F">
        <w:t xml:space="preserve">comparisons of productivity levels are </w:t>
      </w:r>
      <w:r w:rsidR="00FC4560">
        <w:t>notoriously difficult and</w:t>
      </w:r>
      <w:r w:rsidR="00E1519F">
        <w:t xml:space="preserve"> should be treated with care</w:t>
      </w:r>
      <w:r w:rsidR="009676C9">
        <w:t xml:space="preserve"> for a number of reasons</w:t>
      </w:r>
      <w:r w:rsidR="00E1519F">
        <w:t xml:space="preserve">. </w:t>
      </w:r>
      <w:r w:rsidR="00FC4560">
        <w:t>First, there are differences in the prices of goods and services across both the whole economy and for particular industries that need to be appropriately adjusted for (box 1). Second, differences in productivity at a whole</w:t>
      </w:r>
      <w:r w:rsidR="00F41C4C">
        <w:noBreakHyphen/>
      </w:r>
      <w:r w:rsidR="00FC4560">
        <w:t>of</w:t>
      </w:r>
      <w:r w:rsidR="00F41C4C">
        <w:noBreakHyphen/>
      </w:r>
      <w:r w:rsidR="00FC4560">
        <w:t>economy level can reflect</w:t>
      </w:r>
      <w:r w:rsidR="00FC4560" w:rsidRPr="00C76A5D">
        <w:t xml:space="preserve"> </w:t>
      </w:r>
      <w:r w:rsidR="00FC4560">
        <w:t>different industry structures, such as the contribution of oil extraction to the Norwegian economy, or the finance industry to the Luxembourg economy (or for that matter, mining to the Australian economy).</w:t>
      </w:r>
    </w:p>
    <w:p w14:paraId="20976129" w14:textId="6C670C74" w:rsidR="00E1519F" w:rsidRDefault="00FC4560" w:rsidP="00216FEE">
      <w:pPr>
        <w:pStyle w:val="BodyText"/>
      </w:pPr>
      <w:r>
        <w:t xml:space="preserve">Finally, the specific policy and institutional environment in particular countries can affect productivity measures, often in misleading ways. For example, </w:t>
      </w:r>
      <w:r w:rsidR="009676C9">
        <w:t xml:space="preserve">in France, </w:t>
      </w:r>
      <w:r>
        <w:t xml:space="preserve">restrictive labour market regulations lower the average number of hours worked </w:t>
      </w:r>
      <w:r w:rsidR="009676C9">
        <w:t xml:space="preserve">but </w:t>
      </w:r>
      <w:r>
        <w:t>result in high measured productivity</w:t>
      </w:r>
      <w:r w:rsidR="009676C9">
        <w:t xml:space="preserve">. Hence high productivity might come </w:t>
      </w:r>
      <w:r>
        <w:t xml:space="preserve">at the cost of low labour force participation and high unemployment, with an ambiguous result for overall wellbeing. Deep corporate tax concessions in Ireland have fuelled high levels of foreign investment and high measured value add (hence measured productivity) but with </w:t>
      </w:r>
      <w:r w:rsidR="006373D9">
        <w:t>smaller</w:t>
      </w:r>
      <w:r>
        <w:t xml:space="preserve"> implications for actual living standards</w:t>
      </w:r>
      <w:r w:rsidRPr="001938BB">
        <w:t xml:space="preserve"> </w:t>
      </w:r>
      <w:r w:rsidRPr="008458A3">
        <w:rPr>
          <w:szCs w:val="24"/>
        </w:rPr>
        <w:t>(Dolman, Parham and Zheng 2007)</w:t>
      </w:r>
      <w:r>
        <w:t>.</w:t>
      </w:r>
    </w:p>
    <w:p w14:paraId="6A771777" w14:textId="77777777" w:rsidR="00E1519F" w:rsidRDefault="00E1519F" w:rsidP="00E1519F">
      <w:pPr>
        <w:pStyle w:val="BodyText"/>
      </w:pPr>
      <w:r>
        <w:t xml:space="preserve">These features of other economies </w:t>
      </w:r>
      <w:r w:rsidR="00F46667">
        <w:t xml:space="preserve">may </w:t>
      </w:r>
      <w:r>
        <w:t xml:space="preserve">be unattainable or undesirable for Australia to pursue. For these reasons, the United States of America (US) is generally taken to be the </w:t>
      </w:r>
      <w:r w:rsidR="00F63661">
        <w:t>best benchmark for global productivity comparisons. It is a large, diversified high productivity economy (</w:t>
      </w:r>
      <w:r>
        <w:t>notwithstanding that a few European countries now have higher levels of productivity</w:t>
      </w:r>
      <w:r w:rsidR="00F63661">
        <w:t>) and so is regarded as the productivity ‘frontier’ for the purposes of international comparisons</w:t>
      </w:r>
      <w:r>
        <w:t xml:space="preserve">. </w:t>
      </w:r>
    </w:p>
    <w:p w14:paraId="75CC2B8F" w14:textId="77777777" w:rsidR="00E1519F" w:rsidRDefault="00E1519F" w:rsidP="00E1519F">
      <w:pPr>
        <w:pStyle w:val="BodyText"/>
      </w:pPr>
      <w:r>
        <w:t xml:space="preserve">This </w:t>
      </w:r>
      <w:r w:rsidR="00F25E60">
        <w:t>paper</w:t>
      </w:r>
      <w:r>
        <w:t xml:space="preserve"> puts recent Australian output and labour utilisation into an international context by drawing comparisons with the US and with the distribution of outcomes obtained by other advanced economies. It then presents a range of indicators of Australian productivity levels, subject to limitations of the available data.</w:t>
      </w:r>
      <w:r w:rsidR="00483FF1">
        <w:t xml:space="preserve"> Finally, it assesses the feasibility and likelihood of catch</w:t>
      </w:r>
      <w:r w:rsidR="00483FF1">
        <w:noBreakHyphen/>
        <w:t xml:space="preserve">up to the productivity ‘frontier’, represented by the US economy. </w:t>
      </w:r>
    </w:p>
    <w:p w14:paraId="34B00C67" w14:textId="522243A8" w:rsidR="00E1519F" w:rsidRDefault="00EB3222" w:rsidP="00E1519F">
      <w:pPr>
        <w:pStyle w:val="BodyText"/>
      </w:pPr>
      <w:r>
        <w:t xml:space="preserve">The earlier observation about France shows that it is important to look at hours worked per capita as well as productivity per se. </w:t>
      </w:r>
      <w:r w:rsidR="00E1519F">
        <w:t xml:space="preserve">Australia has relatively high aggregate </w:t>
      </w:r>
      <w:r w:rsidR="00483FF1">
        <w:t>labour utilisation</w:t>
      </w:r>
      <w:r w:rsidR="00E1519F">
        <w:t xml:space="preserve"> compared with several OECD economies that have higher output per hour (figure </w:t>
      </w:r>
      <w:r w:rsidR="00907669" w:rsidRPr="00907669">
        <w:t>1</w:t>
      </w:r>
      <w:r w:rsidR="00E1519F">
        <w:t xml:space="preserve">). Accordingly, Australia’s overall output per </w:t>
      </w:r>
      <w:r w:rsidR="00E1519F" w:rsidRPr="0049120D">
        <w:rPr>
          <w:i/>
        </w:rPr>
        <w:t>person</w:t>
      </w:r>
      <w:r w:rsidR="00E1519F">
        <w:t xml:space="preserve"> is better than might be suggested by focusing on </w:t>
      </w:r>
      <w:r>
        <w:t xml:space="preserve">output per </w:t>
      </w:r>
      <w:r w:rsidRPr="0049120D">
        <w:rPr>
          <w:i/>
        </w:rPr>
        <w:t>hour worked.</w:t>
      </w:r>
      <w:r w:rsidR="00E1519F">
        <w:t xml:space="preserve"> </w:t>
      </w:r>
    </w:p>
    <w:p w14:paraId="60D8A435" w14:textId="7C9AB80A" w:rsidR="00666E02" w:rsidRDefault="00E1519F" w:rsidP="00E1519F">
      <w:pPr>
        <w:pStyle w:val="BodyText"/>
      </w:pPr>
      <w:r>
        <w:t>On face value, the US performs well on all counts from this broader perspective, as it has high</w:t>
      </w:r>
      <w:r w:rsidR="00071979">
        <w:t>er</w:t>
      </w:r>
      <w:r>
        <w:t xml:space="preserve"> productivity per hour, higher participation rates and lower unemployment rates than </w:t>
      </w:r>
      <w:r>
        <w:lastRenderedPageBreak/>
        <w:t>most OECD countries. However, there is significantly more dispersion in wages across workers in the US than Australia</w:t>
      </w:r>
      <w:r w:rsidR="00071979">
        <w:t xml:space="preserve"> —</w:t>
      </w:r>
      <w:r>
        <w:t xml:space="preserve"> </w:t>
      </w:r>
      <w:r w:rsidR="00071979">
        <w:t>w</w:t>
      </w:r>
      <w:r>
        <w:t xml:space="preserve">ages for lower skilled workers in the US are generally lower than in Australia. Low paid workers, the unemployed and those unable to work in Australia </w:t>
      </w:r>
      <w:r w:rsidR="00EB3222">
        <w:t xml:space="preserve">also </w:t>
      </w:r>
      <w:r>
        <w:t xml:space="preserve">have the benefit of a relatively more generous income and social safety net than their counterparts in the US </w:t>
      </w:r>
      <w:r w:rsidRPr="005F09C8">
        <w:rPr>
          <w:szCs w:val="24"/>
        </w:rPr>
        <w:t>(Whiteford 2010)</w:t>
      </w:r>
      <w:r>
        <w:t>.</w:t>
      </w:r>
    </w:p>
    <w:p w14:paraId="72206875" w14:textId="6DF5048B" w:rsidR="00E1519F" w:rsidRDefault="00E1519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519F" w14:paraId="1ABDA321" w14:textId="77777777" w:rsidTr="000B486C">
        <w:trPr>
          <w:tblHeader/>
        </w:trPr>
        <w:tc>
          <w:tcPr>
            <w:tcW w:w="5000" w:type="pct"/>
            <w:tcBorders>
              <w:top w:val="single" w:sz="6" w:space="0" w:color="78A22F"/>
              <w:left w:val="nil"/>
              <w:bottom w:val="nil"/>
              <w:right w:val="nil"/>
            </w:tcBorders>
            <w:shd w:val="clear" w:color="auto" w:fill="F2F2F2"/>
          </w:tcPr>
          <w:p w14:paraId="60543D39" w14:textId="3D75FECF" w:rsidR="00E1519F" w:rsidRDefault="00E1519F" w:rsidP="007C4AB4">
            <w:pPr>
              <w:pStyle w:val="BoxTitle"/>
            </w:pPr>
            <w:r>
              <w:rPr>
                <w:b w:val="0"/>
              </w:rPr>
              <w:t xml:space="preserve">Box </w:t>
            </w:r>
            <w:r w:rsidR="007C4AB4">
              <w:rPr>
                <w:b w:val="0"/>
              </w:rPr>
              <w:t>1</w:t>
            </w:r>
            <w:r>
              <w:tab/>
            </w:r>
            <w:r w:rsidRPr="00E1519F">
              <w:t>The difficulty of making international comparisons</w:t>
            </w:r>
          </w:p>
        </w:tc>
      </w:tr>
      <w:tr w:rsidR="00E1519F" w14:paraId="75447E8F" w14:textId="77777777" w:rsidTr="000B486C">
        <w:tc>
          <w:tcPr>
            <w:tcW w:w="5000" w:type="pct"/>
            <w:tcBorders>
              <w:top w:val="nil"/>
              <w:left w:val="nil"/>
              <w:bottom w:val="nil"/>
              <w:right w:val="nil"/>
            </w:tcBorders>
            <w:shd w:val="clear" w:color="auto" w:fill="F2F2F2"/>
          </w:tcPr>
          <w:p w14:paraId="7827E048" w14:textId="77777777" w:rsidR="00E1519F" w:rsidRDefault="00E1519F" w:rsidP="00E1519F">
            <w:pPr>
              <w:pStyle w:val="Box"/>
            </w:pPr>
            <w:r>
              <w:t>To make valid comparisons of productivity across countries requires construction of comparable measures of output, labour input and capital services. Consistency across countries requires a large amount of difficult to obtain data.</w:t>
            </w:r>
          </w:p>
          <w:p w14:paraId="2CD42C4F" w14:textId="4D1B0408" w:rsidR="00E1519F" w:rsidRDefault="00E1519F" w:rsidP="00E1519F">
            <w:pPr>
              <w:pStyle w:val="Box"/>
            </w:pPr>
            <w:r>
              <w:t xml:space="preserve">Comparisons of output levels across country at an aggregate level need to be adjusted for differences in price levels across countries. These rely on estimates of the purchasing power parity (PPP) of local currencies — constructed by assessing the price levels of a common basket of goods — in every year. That is, comparisons based on market exchange rates are inappropriate as living costs vary across countries and, indeed, can fluctuate from year to year due to financial trading in the currency markets </w:t>
            </w:r>
            <w:r w:rsidRPr="006D1744">
              <w:rPr>
                <w:rFonts w:cs="Arial"/>
                <w:szCs w:val="24"/>
              </w:rPr>
              <w:t>(ONS 2012)</w:t>
            </w:r>
            <w:r>
              <w:t xml:space="preserve">. In principle, a similar PPP adjustment can be undertaken at an industry level based on comparisons of the prices of a common bundle of that industry’s output. In practice, this has rarely occurred and this </w:t>
            </w:r>
            <w:r w:rsidR="0035583B">
              <w:t>paper</w:t>
            </w:r>
            <w:r>
              <w:t xml:space="preserve"> reports only one set of estimates from 2005.</w:t>
            </w:r>
          </w:p>
          <w:p w14:paraId="62B499CE" w14:textId="277E018E" w:rsidR="00E1519F" w:rsidRDefault="00E1519F" w:rsidP="00E1519F">
            <w:pPr>
              <w:pStyle w:val="Box"/>
            </w:pPr>
            <w:r>
              <w:t>While there is reasonable standardisation of the surveying of hours worked across advanced economies, estimates for capital services</w:t>
            </w:r>
            <w:r w:rsidR="00F63661">
              <w:t xml:space="preserve"> (which are required in order to make comparisons of multifactor productivity as distinct from labour productivity – see </w:t>
            </w:r>
            <w:r w:rsidR="000C0118">
              <w:t xml:space="preserve">the first </w:t>
            </w:r>
            <w:r w:rsidR="000C0118" w:rsidRPr="00216FEE">
              <w:rPr>
                <w:i/>
              </w:rPr>
              <w:t>Productivity Insights</w:t>
            </w:r>
            <w:r w:rsidR="000C0118" w:rsidRPr="000C0118">
              <w:t xml:space="preserve"> paper </w:t>
            </w:r>
            <w:r w:rsidR="00F41C4C" w:rsidRPr="00F41C4C">
              <w:rPr>
                <w:rFonts w:cs="Arial"/>
                <w:szCs w:val="24"/>
              </w:rPr>
              <w:t>(PC 2020)</w:t>
            </w:r>
            <w:r w:rsidR="00F41C4C">
              <w:t xml:space="preserve"> </w:t>
            </w:r>
            <w:r w:rsidR="00F63661">
              <w:t>for a description of the difference)</w:t>
            </w:r>
            <w:r>
              <w:t xml:space="preserve"> can vary substantially. In general, statistical offices do not survey capital stocks but rather accumulate them based on surveys of investment and assumptions </w:t>
            </w:r>
            <w:r w:rsidR="000C0118">
              <w:t xml:space="preserve">about </w:t>
            </w:r>
            <w:r>
              <w:t>depreciation rates. Capital services are estimated by weighting together capital stocks ba</w:t>
            </w:r>
            <w:r w:rsidR="00E221E9">
              <w:t>sed</w:t>
            </w:r>
            <w:r>
              <w:t xml:space="preserve"> on the ‘user cost of capital’, a measure that takes account of the risk of the investment, tax treatment of capital income, depreciation and capital gains. These calculations require a large number of assumptions that may differ across industries and countries and so multifactor productivity level estimates are rarely published.</w:t>
            </w:r>
          </w:p>
          <w:p w14:paraId="457D5C23" w14:textId="63B83B8F" w:rsidR="00E1519F" w:rsidRDefault="00E1519F" w:rsidP="0035583B">
            <w:pPr>
              <w:pStyle w:val="Box"/>
            </w:pPr>
            <w:r>
              <w:t xml:space="preserve">For these reasons, the focus in this </w:t>
            </w:r>
            <w:r w:rsidR="0035583B">
              <w:t>paper</w:t>
            </w:r>
            <w:r>
              <w:t xml:space="preserve"> is on measures of output, hours worked and labour productivity across countries, with most of the analysis undertaken at a whole</w:t>
            </w:r>
            <w:r w:rsidR="001A7DAF">
              <w:noBreakHyphen/>
            </w:r>
            <w:r>
              <w:t>of</w:t>
            </w:r>
            <w:r w:rsidR="001A7DAF">
              <w:noBreakHyphen/>
            </w:r>
            <w:r>
              <w:t>economy level.</w:t>
            </w:r>
          </w:p>
        </w:tc>
      </w:tr>
      <w:tr w:rsidR="00E1519F" w14:paraId="346E5F44" w14:textId="77777777" w:rsidTr="000B486C">
        <w:tc>
          <w:tcPr>
            <w:tcW w:w="5000" w:type="pct"/>
            <w:tcBorders>
              <w:top w:val="nil"/>
              <w:left w:val="nil"/>
              <w:bottom w:val="single" w:sz="6" w:space="0" w:color="78A22F"/>
              <w:right w:val="nil"/>
            </w:tcBorders>
            <w:shd w:val="clear" w:color="auto" w:fill="F2F2F2"/>
          </w:tcPr>
          <w:p w14:paraId="5FB8179A" w14:textId="77777777" w:rsidR="00E1519F" w:rsidRDefault="00E1519F">
            <w:pPr>
              <w:pStyle w:val="Box"/>
              <w:spacing w:before="0" w:line="120" w:lineRule="exact"/>
            </w:pPr>
          </w:p>
        </w:tc>
      </w:tr>
      <w:tr w:rsidR="00E1519F" w:rsidRPr="000863A5" w14:paraId="61A32EE3" w14:textId="77777777" w:rsidTr="000B486C">
        <w:tc>
          <w:tcPr>
            <w:tcW w:w="5000" w:type="pct"/>
            <w:tcBorders>
              <w:top w:val="single" w:sz="6" w:space="0" w:color="78A22F"/>
              <w:left w:val="nil"/>
              <w:bottom w:val="nil"/>
              <w:right w:val="nil"/>
            </w:tcBorders>
          </w:tcPr>
          <w:p w14:paraId="094971E6" w14:textId="6BBC4BEB" w:rsidR="00E1519F" w:rsidRPr="00626D32" w:rsidRDefault="00E1519F" w:rsidP="000B486C">
            <w:pPr>
              <w:pStyle w:val="BoxSpaceBelow"/>
            </w:pPr>
          </w:p>
        </w:tc>
      </w:tr>
    </w:tbl>
    <w:p w14:paraId="4C4AAC5B" w14:textId="53C66614" w:rsidR="00666E02" w:rsidRDefault="00D27267" w:rsidP="00E1519F">
      <w:pPr>
        <w:pStyle w:val="Heading2"/>
      </w:pPr>
      <w:r>
        <w:rPr>
          <w:noProof/>
        </w:rPr>
        <w:t>1</w:t>
      </w:r>
      <w:r w:rsidR="00E1519F">
        <w:tab/>
        <w:t>Australia’s living standards compare well, partly due to high labour utilisation</w:t>
      </w:r>
    </w:p>
    <w:p w14:paraId="67C2FC7E" w14:textId="774A437D" w:rsidR="00E1519F" w:rsidRDefault="00E1519F" w:rsidP="00E1519F">
      <w:pPr>
        <w:pStyle w:val="BodyText"/>
      </w:pPr>
      <w:r>
        <w:t>Compared to other developed nations, Australia’s standard of living — as measured by</w:t>
      </w:r>
      <w:r>
        <w:rPr>
          <w:szCs w:val="24"/>
        </w:rPr>
        <w:t xml:space="preserve"> </w:t>
      </w:r>
      <w:r w:rsidR="00F0141D">
        <w:rPr>
          <w:szCs w:val="24"/>
        </w:rPr>
        <w:t xml:space="preserve">total annual output per person, or </w:t>
      </w:r>
      <w:r w:rsidR="006373D9">
        <w:rPr>
          <w:szCs w:val="24"/>
        </w:rPr>
        <w:t>g</w:t>
      </w:r>
      <w:r w:rsidR="00F0141D">
        <w:rPr>
          <w:szCs w:val="24"/>
        </w:rPr>
        <w:t xml:space="preserve">ross </w:t>
      </w:r>
      <w:r w:rsidR="006373D9">
        <w:rPr>
          <w:szCs w:val="24"/>
        </w:rPr>
        <w:t>d</w:t>
      </w:r>
      <w:r w:rsidR="00F0141D">
        <w:rPr>
          <w:szCs w:val="24"/>
        </w:rPr>
        <w:t xml:space="preserve">omestic </w:t>
      </w:r>
      <w:r w:rsidR="006373D9">
        <w:rPr>
          <w:szCs w:val="24"/>
        </w:rPr>
        <w:t>p</w:t>
      </w:r>
      <w:r w:rsidR="00F0141D">
        <w:rPr>
          <w:szCs w:val="24"/>
        </w:rPr>
        <w:t>roduct (</w:t>
      </w:r>
      <w:r>
        <w:rPr>
          <w:szCs w:val="24"/>
        </w:rPr>
        <w:t>GDP</w:t>
      </w:r>
      <w:r w:rsidR="00F0141D">
        <w:rPr>
          <w:szCs w:val="24"/>
        </w:rPr>
        <w:t>)</w:t>
      </w:r>
      <w:r>
        <w:rPr>
          <w:szCs w:val="24"/>
        </w:rPr>
        <w:t xml:space="preserve"> per capita </w:t>
      </w:r>
      <w:r>
        <w:t>— is well above average (figure </w:t>
      </w:r>
      <w:r w:rsidR="002C1D1B" w:rsidRPr="002C1D1B">
        <w:t>1</w:t>
      </w:r>
      <w:r>
        <w:t xml:space="preserve">). For example, as at 2018, our GDP per capita is </w:t>
      </w:r>
      <w:r w:rsidR="00B95AA1">
        <w:t>12</w:t>
      </w:r>
      <w:r w:rsidR="00B95AA1" w:rsidRPr="007F6F60">
        <w:rPr>
          <w:vertAlign w:val="superscript"/>
        </w:rPr>
        <w:t>th</w:t>
      </w:r>
      <w:r w:rsidR="00B95AA1">
        <w:t xml:space="preserve"> </w:t>
      </w:r>
      <w:r>
        <w:t xml:space="preserve">among the 24 longest standing OECD member nations (the standard set of countries used throughout this </w:t>
      </w:r>
      <w:r w:rsidR="009B7BAF">
        <w:t>paper</w:t>
      </w:r>
      <w:r>
        <w:t>) at about 54 000 US dollars (adjusted for purchasing power parity). This places our GDP per capita</w:t>
      </w:r>
      <w:r w:rsidR="00C37A57">
        <w:t xml:space="preserve"> is</w:t>
      </w:r>
      <w:r>
        <w:t xml:space="preserve"> about </w:t>
      </w:r>
      <w:r w:rsidR="00B95AA1">
        <w:t>7 </w:t>
      </w:r>
      <w:r>
        <w:t xml:space="preserve">per cent higher than Canada, </w:t>
      </w:r>
      <w:r w:rsidR="00C06C1D">
        <w:t>14 </w:t>
      </w:r>
      <w:r>
        <w:t xml:space="preserve">per cent higher than the United Kingdom, and </w:t>
      </w:r>
      <w:r w:rsidR="00C06C1D">
        <w:t>29 </w:t>
      </w:r>
      <w:r>
        <w:t>per cent higher than our neighbour, New Zealand. That said, Australia’s GDP per capita is still 13 per cent below the US, and about half that of Luxembourg.</w:t>
      </w:r>
    </w:p>
    <w:p w14:paraId="3E5D5B05" w14:textId="31B9674A" w:rsidR="00E1519F" w:rsidRDefault="00E1519F" w:rsidP="000B48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519F" w14:paraId="268E6E2F" w14:textId="77777777" w:rsidTr="000B486C">
        <w:trPr>
          <w:tblHeader/>
        </w:trPr>
        <w:tc>
          <w:tcPr>
            <w:tcW w:w="5000" w:type="pct"/>
            <w:tcBorders>
              <w:top w:val="single" w:sz="6" w:space="0" w:color="78A22F"/>
              <w:left w:val="nil"/>
              <w:bottom w:val="nil"/>
              <w:right w:val="nil"/>
            </w:tcBorders>
            <w:shd w:val="clear" w:color="auto" w:fill="auto"/>
          </w:tcPr>
          <w:p w14:paraId="1E79A237" w14:textId="6B15C7A9" w:rsidR="00E1519F" w:rsidRDefault="00E1519F" w:rsidP="000B486C">
            <w:pPr>
              <w:pStyle w:val="FigureTitle"/>
            </w:pPr>
            <w:r w:rsidRPr="00784A05">
              <w:rPr>
                <w:b w:val="0"/>
              </w:rPr>
              <w:t xml:space="preserve">Figure </w:t>
            </w:r>
            <w:r w:rsidR="007C4AB4">
              <w:rPr>
                <w:b w:val="0"/>
              </w:rPr>
              <w:t>1</w:t>
            </w:r>
            <w:r>
              <w:tab/>
            </w:r>
            <w:r w:rsidRPr="00E1519F">
              <w:t xml:space="preserve">Australia’s living standards are </w:t>
            </w:r>
            <w:r w:rsidR="008A41B8">
              <w:t>better than many other countries</w:t>
            </w:r>
            <w:r w:rsidRPr="00E1519F">
              <w:t xml:space="preserve"> …</w:t>
            </w:r>
          </w:p>
          <w:p w14:paraId="3B50D1D3" w14:textId="77777777" w:rsidR="00E1519F" w:rsidRPr="00176D3F" w:rsidRDefault="00E1519F" w:rsidP="006A33B6">
            <w:pPr>
              <w:pStyle w:val="Subtitle"/>
            </w:pPr>
            <w:r>
              <w:t>GDP per capita in 2018 (USD)</w:t>
            </w:r>
            <w:r>
              <w:rPr>
                <w:rStyle w:val="NoteLabel"/>
              </w:rPr>
              <w:t>a</w:t>
            </w:r>
          </w:p>
        </w:tc>
      </w:tr>
      <w:tr w:rsidR="00E1519F" w14:paraId="250C735F" w14:textId="77777777" w:rsidTr="000B486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E1519F" w:rsidRPr="00B1465D" w14:paraId="637A3E1E" w14:textId="77777777" w:rsidTr="009B7BAF">
              <w:trPr>
                <w:tblHeader/>
                <w:jc w:val="center"/>
              </w:trPr>
              <w:tc>
                <w:tcPr>
                  <w:tcW w:w="8504" w:type="dxa"/>
                  <w:tcBorders>
                    <w:top w:val="nil"/>
                    <w:bottom w:val="nil"/>
                  </w:tcBorders>
                </w:tcPr>
                <w:p w14:paraId="4125D572" w14:textId="5581B833" w:rsidR="00E1519F" w:rsidRPr="00B1465D" w:rsidRDefault="00B8467C"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9E93F5" wp14:editId="51929B84">
                        <wp:extent cx="5053965" cy="3980815"/>
                        <wp:effectExtent l="0" t="0" r="0" b="635"/>
                        <wp:docPr id="70" name="Picture 70" descr="Figure 1: This chart displays the GDP per capita — purchasing power adjusted, current price USD — of the 24 longest standing OECD member nations in 2018. It can be seen that Australia has the 12th GDP per capita among these 24 nations. For reference, the United States is the 5th highest." title="Australia’s living standards are ahead of the p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3965" cy="3980815"/>
                                </a:xfrm>
                                <a:prstGeom prst="rect">
                                  <a:avLst/>
                                </a:prstGeom>
                                <a:noFill/>
                              </pic:spPr>
                            </pic:pic>
                          </a:graphicData>
                        </a:graphic>
                      </wp:inline>
                    </w:drawing>
                  </w:r>
                </w:p>
              </w:tc>
            </w:tr>
          </w:tbl>
          <w:p w14:paraId="63ADFE95" w14:textId="77777777" w:rsidR="00E1519F" w:rsidRDefault="00E1519F" w:rsidP="000B486C">
            <w:pPr>
              <w:pStyle w:val="Figure"/>
            </w:pPr>
          </w:p>
        </w:tc>
      </w:tr>
      <w:tr w:rsidR="00E1519F" w:rsidRPr="00176D3F" w14:paraId="0A0E6379" w14:textId="77777777" w:rsidTr="000B486C">
        <w:tc>
          <w:tcPr>
            <w:tcW w:w="5000" w:type="pct"/>
            <w:tcBorders>
              <w:top w:val="nil"/>
              <w:left w:val="nil"/>
              <w:bottom w:val="nil"/>
              <w:right w:val="nil"/>
            </w:tcBorders>
            <w:shd w:val="clear" w:color="auto" w:fill="auto"/>
          </w:tcPr>
          <w:p w14:paraId="69B2C3CC" w14:textId="77777777" w:rsidR="00E1519F" w:rsidRPr="00176D3F" w:rsidRDefault="00E1519F" w:rsidP="000B486C">
            <w:pPr>
              <w:pStyle w:val="Note"/>
            </w:pPr>
            <w:r>
              <w:rPr>
                <w:rStyle w:val="NoteLabel"/>
              </w:rPr>
              <w:t>a</w:t>
            </w:r>
            <w:r>
              <w:t xml:space="preserve"> Foreign currencies converted to US dollars using current PPPs. </w:t>
            </w:r>
            <w:r w:rsidRPr="00AF1F37">
              <w:rPr>
                <w:rStyle w:val="NoteLabel"/>
              </w:rPr>
              <w:t>b</w:t>
            </w:r>
            <w:r>
              <w:t> Only the 24 longest standing OECD countries were considered.</w:t>
            </w:r>
          </w:p>
        </w:tc>
      </w:tr>
      <w:tr w:rsidR="00E1519F" w:rsidRPr="00176D3F" w14:paraId="68210936" w14:textId="77777777" w:rsidTr="000B486C">
        <w:tc>
          <w:tcPr>
            <w:tcW w:w="5000" w:type="pct"/>
            <w:tcBorders>
              <w:top w:val="nil"/>
              <w:left w:val="nil"/>
              <w:bottom w:val="nil"/>
              <w:right w:val="nil"/>
            </w:tcBorders>
            <w:shd w:val="clear" w:color="auto" w:fill="auto"/>
          </w:tcPr>
          <w:p w14:paraId="650ABDD2" w14:textId="77777777" w:rsidR="00E1519F" w:rsidRPr="00176D3F" w:rsidRDefault="00E1519F" w:rsidP="000B486C">
            <w:pPr>
              <w:pStyle w:val="Source"/>
            </w:pPr>
            <w:r w:rsidRPr="0012694B">
              <w:rPr>
                <w:i/>
              </w:rPr>
              <w:t>Source</w:t>
            </w:r>
            <w:r w:rsidRPr="0012694B">
              <w:t>:</w:t>
            </w:r>
            <w:r w:rsidRPr="00176D3F">
              <w:t xml:space="preserve"> </w:t>
            </w:r>
            <w:r>
              <w:t>OECD Stat database.</w:t>
            </w:r>
          </w:p>
        </w:tc>
      </w:tr>
      <w:tr w:rsidR="00E1519F" w14:paraId="6F75DA3A" w14:textId="77777777" w:rsidTr="000B486C">
        <w:tc>
          <w:tcPr>
            <w:tcW w:w="5000" w:type="pct"/>
            <w:tcBorders>
              <w:top w:val="nil"/>
              <w:left w:val="nil"/>
              <w:bottom w:val="single" w:sz="6" w:space="0" w:color="78A22F"/>
              <w:right w:val="nil"/>
            </w:tcBorders>
            <w:shd w:val="clear" w:color="auto" w:fill="auto"/>
          </w:tcPr>
          <w:p w14:paraId="566B5A59" w14:textId="77777777" w:rsidR="00E1519F" w:rsidRDefault="00E1519F" w:rsidP="000B486C">
            <w:pPr>
              <w:pStyle w:val="Figurespace"/>
            </w:pPr>
          </w:p>
        </w:tc>
      </w:tr>
      <w:tr w:rsidR="00E1519F" w:rsidRPr="000863A5" w14:paraId="5309C502" w14:textId="77777777" w:rsidTr="000B486C">
        <w:tc>
          <w:tcPr>
            <w:tcW w:w="5000" w:type="pct"/>
            <w:tcBorders>
              <w:top w:val="single" w:sz="6" w:space="0" w:color="78A22F"/>
              <w:left w:val="nil"/>
              <w:bottom w:val="nil"/>
              <w:right w:val="nil"/>
            </w:tcBorders>
          </w:tcPr>
          <w:p w14:paraId="1741D15E" w14:textId="30BC5188" w:rsidR="00E1519F" w:rsidRPr="00626D32" w:rsidRDefault="00E1519F" w:rsidP="000B486C">
            <w:pPr>
              <w:pStyle w:val="BoxSpaceBelow"/>
            </w:pPr>
          </w:p>
        </w:tc>
      </w:tr>
    </w:tbl>
    <w:p w14:paraId="38D7D0F8" w14:textId="4FBFA860" w:rsidR="00E1519F" w:rsidRDefault="00E1519F" w:rsidP="00E1519F">
      <w:pPr>
        <w:pStyle w:val="BodyText"/>
      </w:pPr>
      <w:r>
        <w:t>Our economic success has two components — productivity and the total number of hours worked per person. On the one hand, Australia’s labour productivity is middle of the pack compared to our OECD peers (figure </w:t>
      </w:r>
      <w:r w:rsidR="002C1D1B" w:rsidRPr="002C1D1B">
        <w:t>2</w:t>
      </w:r>
      <w:r>
        <w:t>). For example,</w:t>
      </w:r>
      <w:r w:rsidR="001A7DAF">
        <w:t xml:space="preserve"> the typical Australian worker can only produce about </w:t>
      </w:r>
      <w:r w:rsidR="00902633">
        <w:t>84 </w:t>
      </w:r>
      <w:r w:rsidR="001A7DAF">
        <w:t xml:space="preserve">per cent of what the typical German worker can produce in one hour even though the typical German has a lower average income than the typical Australian. </w:t>
      </w:r>
      <w:r w:rsidR="00AB2E25">
        <w:t xml:space="preserve">Notably, while annual productivity growth rates adjust for the effect of any price changes </w:t>
      </w:r>
      <w:r w:rsidR="006373D9">
        <w:t>—</w:t>
      </w:r>
      <w:r w:rsidR="00AB2E25">
        <w:t xml:space="preserve"> including favourable movements in the terms of trade </w:t>
      </w:r>
      <w:r w:rsidR="006373D9">
        <w:t>—</w:t>
      </w:r>
      <w:r w:rsidR="00AB2E25">
        <w:t xml:space="preserve"> productivity </w:t>
      </w:r>
      <w:r w:rsidR="00AB2E25" w:rsidRPr="00D816F5">
        <w:rPr>
          <w:i/>
        </w:rPr>
        <w:t>levels</w:t>
      </w:r>
      <w:r w:rsidR="00AB2E25">
        <w:t xml:space="preserve"> can incorporate some impact from changes in a country’s terms of trade </w:t>
      </w:r>
      <w:r w:rsidR="006373D9">
        <w:t>—</w:t>
      </w:r>
      <w:r w:rsidR="00AB2E25">
        <w:t xml:space="preserve"> hence Australia’s GDP per hour worked (in US dollars at purchasing power parity) is boosted to the extent that we receive high prices for our mining and energy exports.</w:t>
      </w:r>
      <w:r w:rsidR="00EB3222">
        <w:t xml:space="preserve"> A sustained fall in global resource prices might not affect Australia’s productivity growth rate, but would likely lower our level of productivity and average income.</w:t>
      </w:r>
    </w:p>
    <w:p w14:paraId="4A787B81" w14:textId="4390AB78" w:rsidR="00E1519F" w:rsidRDefault="00E1519F" w:rsidP="000B48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519F" w14:paraId="6CE9B52A" w14:textId="77777777" w:rsidTr="000B486C">
        <w:trPr>
          <w:tblHeader/>
        </w:trPr>
        <w:tc>
          <w:tcPr>
            <w:tcW w:w="5000" w:type="pct"/>
            <w:tcBorders>
              <w:top w:val="single" w:sz="6" w:space="0" w:color="78A22F"/>
              <w:left w:val="nil"/>
              <w:bottom w:val="nil"/>
              <w:right w:val="nil"/>
            </w:tcBorders>
            <w:shd w:val="clear" w:color="auto" w:fill="auto"/>
          </w:tcPr>
          <w:p w14:paraId="0B26F3A9" w14:textId="24E54633" w:rsidR="00E1519F" w:rsidRDefault="00E1519F" w:rsidP="000B486C">
            <w:pPr>
              <w:pStyle w:val="FigureTitle"/>
            </w:pPr>
            <w:r w:rsidRPr="00784A05">
              <w:rPr>
                <w:b w:val="0"/>
              </w:rPr>
              <w:t xml:space="preserve">Figure </w:t>
            </w:r>
            <w:r w:rsidR="007C4AB4">
              <w:rPr>
                <w:b w:val="0"/>
              </w:rPr>
              <w:t>2</w:t>
            </w:r>
            <w:r>
              <w:tab/>
            </w:r>
            <w:r w:rsidRPr="002A7E40">
              <w:t>… while labour productivity is only mid</w:t>
            </w:r>
            <w:r>
              <w:noBreakHyphen/>
            </w:r>
            <w:r w:rsidRPr="002A7E40">
              <w:t>range</w:t>
            </w:r>
          </w:p>
          <w:p w14:paraId="705E4E2B" w14:textId="18459D8B" w:rsidR="00E1519F" w:rsidRPr="00176D3F" w:rsidRDefault="00E1519F" w:rsidP="00F0141D">
            <w:pPr>
              <w:pStyle w:val="Subtitle"/>
            </w:pPr>
            <w:r>
              <w:t>Labour productivity</w:t>
            </w:r>
            <w:r w:rsidR="00F0141D">
              <w:t xml:space="preserve"> in 2018</w:t>
            </w:r>
            <w:r>
              <w:rPr>
                <w:rStyle w:val="NoteLabel"/>
              </w:rPr>
              <w:t>a</w:t>
            </w:r>
          </w:p>
        </w:tc>
      </w:tr>
      <w:tr w:rsidR="00E1519F" w14:paraId="48E3E660" w14:textId="77777777" w:rsidTr="000B486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1519F" w:rsidRPr="00B1465D" w14:paraId="64DEF995" w14:textId="77777777" w:rsidTr="000B486C">
              <w:trPr>
                <w:tblHeader/>
                <w:jc w:val="center"/>
              </w:trPr>
              <w:tc>
                <w:tcPr>
                  <w:tcW w:w="5000" w:type="pct"/>
                  <w:tcBorders>
                    <w:top w:val="nil"/>
                    <w:bottom w:val="nil"/>
                  </w:tcBorders>
                </w:tcPr>
                <w:p w14:paraId="5CD7FBAD" w14:textId="15726D01" w:rsidR="00E1519F" w:rsidRPr="00B1465D" w:rsidRDefault="00B8467C" w:rsidP="00B00FF7">
                  <w:pPr>
                    <w:pStyle w:val="Figure"/>
                    <w:tabs>
                      <w:tab w:val="left" w:pos="3055"/>
                      <w:tab w:val="center" w:pos="4252"/>
                    </w:tabs>
                    <w:spacing w:before="60" w:after="60"/>
                    <w:jc w:val="left"/>
                    <w:rPr>
                      <w:rFonts w:ascii="Arial" w:hAnsi="Arial" w:cs="Arial"/>
                      <w:sz w:val="18"/>
                      <w:szCs w:val="18"/>
                    </w:rPr>
                  </w:pPr>
                  <w:r>
                    <w:rPr>
                      <w:rFonts w:ascii="Arial" w:hAnsi="Arial" w:cs="Arial"/>
                      <w:noProof/>
                      <w:sz w:val="18"/>
                      <w:szCs w:val="18"/>
                    </w:rPr>
                    <w:drawing>
                      <wp:inline distT="0" distB="0" distL="0" distR="0" wp14:anchorId="57C3CB3E" wp14:editId="2D27F919">
                        <wp:extent cx="5334635" cy="3895725"/>
                        <wp:effectExtent l="0" t="0" r="0" b="9525"/>
                        <wp:docPr id="73" name="Picture 73" descr="Figure 2: This chart displays the labour productivity —GDP per hour worked, purchasing power adjusted, current price USD — of the 24 longest standing OECD member nations in 2018. It can be seen that Australia has the 17th highest labour productivity among the 24 OECD countries while, for reference, the United States is the 7th highest. " title="… while labour productivity is only mid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635" cy="3895725"/>
                                </a:xfrm>
                                <a:prstGeom prst="rect">
                                  <a:avLst/>
                                </a:prstGeom>
                                <a:noFill/>
                              </pic:spPr>
                            </pic:pic>
                          </a:graphicData>
                        </a:graphic>
                      </wp:inline>
                    </w:drawing>
                  </w:r>
                </w:p>
              </w:tc>
            </w:tr>
          </w:tbl>
          <w:p w14:paraId="5919ABE2" w14:textId="77777777" w:rsidR="00E1519F" w:rsidRDefault="00E1519F" w:rsidP="000B486C">
            <w:pPr>
              <w:pStyle w:val="Figure"/>
            </w:pPr>
          </w:p>
        </w:tc>
      </w:tr>
      <w:tr w:rsidR="00E1519F" w:rsidRPr="00176D3F" w14:paraId="15E07293" w14:textId="77777777" w:rsidTr="000B486C">
        <w:tc>
          <w:tcPr>
            <w:tcW w:w="5000" w:type="pct"/>
            <w:tcBorders>
              <w:top w:val="nil"/>
              <w:left w:val="nil"/>
              <w:bottom w:val="nil"/>
              <w:right w:val="nil"/>
            </w:tcBorders>
            <w:shd w:val="clear" w:color="auto" w:fill="auto"/>
          </w:tcPr>
          <w:p w14:paraId="6A09D294" w14:textId="77777777" w:rsidR="00E1519F" w:rsidRPr="00176D3F" w:rsidRDefault="00E1519F" w:rsidP="000B486C">
            <w:pPr>
              <w:pStyle w:val="Note"/>
            </w:pPr>
            <w:r>
              <w:rPr>
                <w:rStyle w:val="NoteLabel"/>
              </w:rPr>
              <w:t>a</w:t>
            </w:r>
            <w:r>
              <w:t xml:space="preserve"> Foreign currencies converted to US dollars using current PPPs. </w:t>
            </w:r>
            <w:r w:rsidRPr="00AF1F37">
              <w:rPr>
                <w:rStyle w:val="NoteLabel"/>
              </w:rPr>
              <w:t>b</w:t>
            </w:r>
            <w:r>
              <w:t> Only the 24 longest standing OECD countries were considered. The figure for Turkey is for 2017 as the 2018 figure is not available.</w:t>
            </w:r>
          </w:p>
        </w:tc>
      </w:tr>
      <w:tr w:rsidR="00E1519F" w:rsidRPr="00176D3F" w14:paraId="11DF0E78" w14:textId="77777777" w:rsidTr="000B486C">
        <w:tc>
          <w:tcPr>
            <w:tcW w:w="5000" w:type="pct"/>
            <w:tcBorders>
              <w:top w:val="nil"/>
              <w:left w:val="nil"/>
              <w:bottom w:val="nil"/>
              <w:right w:val="nil"/>
            </w:tcBorders>
            <w:shd w:val="clear" w:color="auto" w:fill="auto"/>
          </w:tcPr>
          <w:p w14:paraId="5E984013" w14:textId="77777777" w:rsidR="00E1519F" w:rsidRPr="00176D3F" w:rsidRDefault="00E1519F" w:rsidP="000B486C">
            <w:pPr>
              <w:pStyle w:val="Source"/>
            </w:pPr>
            <w:r>
              <w:rPr>
                <w:i/>
              </w:rPr>
              <w:t>S</w:t>
            </w:r>
            <w:r w:rsidRPr="00784A05">
              <w:rPr>
                <w:i/>
              </w:rPr>
              <w:t>ource</w:t>
            </w:r>
            <w:r w:rsidRPr="00176D3F">
              <w:t xml:space="preserve">: </w:t>
            </w:r>
            <w:r>
              <w:t>OECD Stat database.</w:t>
            </w:r>
          </w:p>
        </w:tc>
      </w:tr>
      <w:tr w:rsidR="00E1519F" w14:paraId="2A9E759A" w14:textId="77777777" w:rsidTr="000B486C">
        <w:tc>
          <w:tcPr>
            <w:tcW w:w="5000" w:type="pct"/>
            <w:tcBorders>
              <w:top w:val="nil"/>
              <w:left w:val="nil"/>
              <w:bottom w:val="single" w:sz="6" w:space="0" w:color="78A22F"/>
              <w:right w:val="nil"/>
            </w:tcBorders>
            <w:shd w:val="clear" w:color="auto" w:fill="auto"/>
          </w:tcPr>
          <w:p w14:paraId="353AC4D8" w14:textId="77777777" w:rsidR="00E1519F" w:rsidRDefault="00E1519F" w:rsidP="000B486C">
            <w:pPr>
              <w:pStyle w:val="Figurespace"/>
            </w:pPr>
          </w:p>
        </w:tc>
      </w:tr>
      <w:tr w:rsidR="00E1519F" w:rsidRPr="000863A5" w14:paraId="063A3459" w14:textId="77777777" w:rsidTr="000B486C">
        <w:tc>
          <w:tcPr>
            <w:tcW w:w="5000" w:type="pct"/>
            <w:tcBorders>
              <w:top w:val="single" w:sz="6" w:space="0" w:color="78A22F"/>
              <w:left w:val="nil"/>
              <w:bottom w:val="nil"/>
              <w:right w:val="nil"/>
            </w:tcBorders>
          </w:tcPr>
          <w:p w14:paraId="1C125456" w14:textId="200EE500" w:rsidR="00E1519F" w:rsidRPr="00626D32" w:rsidRDefault="00E1519F" w:rsidP="000B486C">
            <w:pPr>
              <w:pStyle w:val="BoxSpaceBelow"/>
            </w:pPr>
          </w:p>
        </w:tc>
      </w:tr>
    </w:tbl>
    <w:p w14:paraId="01F6EA4A" w14:textId="06AB47CA" w:rsidR="00E1519F" w:rsidRPr="004A556D" w:rsidRDefault="00EB3222" w:rsidP="00E1519F">
      <w:pPr>
        <w:pStyle w:val="BodyText"/>
        <w:rPr>
          <w:spacing w:val="2"/>
        </w:rPr>
      </w:pPr>
      <w:r w:rsidRPr="004A556D">
        <w:rPr>
          <w:spacing w:val="2"/>
        </w:rPr>
        <w:t>Despite middling productivity levels</w:t>
      </w:r>
      <w:r w:rsidR="00E1519F" w:rsidRPr="004A556D">
        <w:rPr>
          <w:spacing w:val="2"/>
        </w:rPr>
        <w:t>, Australia has the fifth highest hours worked per person in the OECD (figure </w:t>
      </w:r>
      <w:r w:rsidR="00DE6C3E" w:rsidRPr="004A556D">
        <w:rPr>
          <w:spacing w:val="2"/>
        </w:rPr>
        <w:t>3</w:t>
      </w:r>
      <w:r w:rsidR="00E1519F" w:rsidRPr="004A556D">
        <w:rPr>
          <w:spacing w:val="2"/>
        </w:rPr>
        <w:t xml:space="preserve">). For example, on average, Australians work </w:t>
      </w:r>
      <w:r w:rsidR="00826587" w:rsidRPr="004A556D">
        <w:rPr>
          <w:spacing w:val="2"/>
        </w:rPr>
        <w:t>42 </w:t>
      </w:r>
      <w:r w:rsidR="00E1519F" w:rsidRPr="004A556D">
        <w:rPr>
          <w:spacing w:val="2"/>
        </w:rPr>
        <w:t xml:space="preserve">per cent more hours per capita than the French. Working greater hours </w:t>
      </w:r>
      <w:r w:rsidR="00F63661" w:rsidRPr="004A556D">
        <w:rPr>
          <w:spacing w:val="2"/>
        </w:rPr>
        <w:t>can have</w:t>
      </w:r>
      <w:r w:rsidR="00E1519F" w:rsidRPr="004A556D">
        <w:rPr>
          <w:spacing w:val="2"/>
        </w:rPr>
        <w:t xml:space="preserve"> positive and negative aspects. On the </w:t>
      </w:r>
      <w:r w:rsidR="00072902" w:rsidRPr="004A556D">
        <w:rPr>
          <w:spacing w:val="2"/>
        </w:rPr>
        <w:t>one hand</w:t>
      </w:r>
      <w:r w:rsidR="00E1519F" w:rsidRPr="004A556D">
        <w:rPr>
          <w:spacing w:val="2"/>
        </w:rPr>
        <w:t xml:space="preserve">, </w:t>
      </w:r>
      <w:r w:rsidR="00F63661" w:rsidRPr="004A556D">
        <w:rPr>
          <w:spacing w:val="2"/>
        </w:rPr>
        <w:t xml:space="preserve">more </w:t>
      </w:r>
      <w:r w:rsidR="00E1519F" w:rsidRPr="004A556D">
        <w:rPr>
          <w:spacing w:val="2"/>
        </w:rPr>
        <w:t xml:space="preserve">hours afford Australians a greater income than would otherwise be </w:t>
      </w:r>
      <w:r w:rsidR="00F63661" w:rsidRPr="004A556D">
        <w:rPr>
          <w:spacing w:val="2"/>
        </w:rPr>
        <w:t>the case.</w:t>
      </w:r>
      <w:r w:rsidR="00E1519F" w:rsidRPr="004A556D">
        <w:rPr>
          <w:spacing w:val="2"/>
        </w:rPr>
        <w:t xml:space="preserve"> </w:t>
      </w:r>
      <w:r w:rsidR="00F63661" w:rsidRPr="004A556D">
        <w:rPr>
          <w:spacing w:val="2"/>
        </w:rPr>
        <w:t>A</w:t>
      </w:r>
      <w:r w:rsidR="00E1519F" w:rsidRPr="004A556D">
        <w:rPr>
          <w:spacing w:val="2"/>
        </w:rPr>
        <w:t>nd where</w:t>
      </w:r>
      <w:r w:rsidR="00F63661" w:rsidRPr="004A556D">
        <w:rPr>
          <w:spacing w:val="2"/>
        </w:rPr>
        <w:t xml:space="preserve"> these</w:t>
      </w:r>
      <w:r w:rsidR="00E1519F" w:rsidRPr="004A556D">
        <w:rPr>
          <w:spacing w:val="2"/>
        </w:rPr>
        <w:t xml:space="preserve"> greater hours are due to lower unemployment and </w:t>
      </w:r>
      <w:r w:rsidR="00F63661" w:rsidRPr="004A556D">
        <w:rPr>
          <w:spacing w:val="2"/>
        </w:rPr>
        <w:t>higher</w:t>
      </w:r>
      <w:r w:rsidR="0038499F" w:rsidRPr="004A556D">
        <w:rPr>
          <w:spacing w:val="2"/>
        </w:rPr>
        <w:t xml:space="preserve"> </w:t>
      </w:r>
      <w:r w:rsidR="00E1519F" w:rsidRPr="004A556D">
        <w:rPr>
          <w:spacing w:val="2"/>
        </w:rPr>
        <w:t>labour force participation</w:t>
      </w:r>
      <w:r w:rsidR="00F63661" w:rsidRPr="004A556D">
        <w:rPr>
          <w:spacing w:val="2"/>
        </w:rPr>
        <w:t>, they could deliver greater equality of income</w:t>
      </w:r>
      <w:r w:rsidR="00E1519F" w:rsidRPr="004A556D">
        <w:rPr>
          <w:spacing w:val="2"/>
        </w:rPr>
        <w:t xml:space="preserve">. On the </w:t>
      </w:r>
      <w:r w:rsidR="00F63661" w:rsidRPr="004A556D">
        <w:rPr>
          <w:spacing w:val="2"/>
        </w:rPr>
        <w:t>other hand</w:t>
      </w:r>
      <w:r w:rsidR="00E1519F" w:rsidRPr="004A556D">
        <w:rPr>
          <w:spacing w:val="2"/>
        </w:rPr>
        <w:t xml:space="preserve">, </w:t>
      </w:r>
      <w:r w:rsidR="00F63661" w:rsidRPr="004A556D">
        <w:rPr>
          <w:spacing w:val="2"/>
        </w:rPr>
        <w:t>higher</w:t>
      </w:r>
      <w:r w:rsidR="00E1519F" w:rsidRPr="004A556D">
        <w:rPr>
          <w:spacing w:val="2"/>
        </w:rPr>
        <w:t xml:space="preserve"> hours worked per capita</w:t>
      </w:r>
      <w:r w:rsidR="00072902" w:rsidRPr="004A556D">
        <w:rPr>
          <w:spacing w:val="2"/>
        </w:rPr>
        <w:t xml:space="preserve"> can</w:t>
      </w:r>
      <w:r w:rsidR="00E1519F" w:rsidRPr="004A556D">
        <w:rPr>
          <w:spacing w:val="2"/>
        </w:rPr>
        <w:t xml:space="preserve"> reflect long</w:t>
      </w:r>
      <w:r w:rsidR="00072902" w:rsidRPr="004A556D">
        <w:rPr>
          <w:spacing w:val="2"/>
        </w:rPr>
        <w:t>er average</w:t>
      </w:r>
      <w:r w:rsidR="00E1519F" w:rsidRPr="004A556D">
        <w:rPr>
          <w:spacing w:val="2"/>
        </w:rPr>
        <w:t xml:space="preserve"> work weeks, </w:t>
      </w:r>
      <w:r w:rsidR="00072902" w:rsidRPr="004A556D">
        <w:rPr>
          <w:spacing w:val="2"/>
        </w:rPr>
        <w:t>which comes at a cost to workers</w:t>
      </w:r>
      <w:r w:rsidR="00E1519F" w:rsidRPr="004A556D">
        <w:rPr>
          <w:spacing w:val="2"/>
        </w:rPr>
        <w:t>.</w:t>
      </w:r>
    </w:p>
    <w:p w14:paraId="7886D5F2" w14:textId="7673F2A2" w:rsidR="00E1519F" w:rsidRDefault="00E1519F" w:rsidP="000B48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519F" w14:paraId="69E88B84" w14:textId="77777777" w:rsidTr="000B486C">
        <w:trPr>
          <w:tblHeader/>
        </w:trPr>
        <w:tc>
          <w:tcPr>
            <w:tcW w:w="5000" w:type="pct"/>
            <w:tcBorders>
              <w:top w:val="single" w:sz="6" w:space="0" w:color="78A22F"/>
              <w:left w:val="nil"/>
              <w:bottom w:val="nil"/>
              <w:right w:val="nil"/>
            </w:tcBorders>
            <w:shd w:val="clear" w:color="auto" w:fill="auto"/>
          </w:tcPr>
          <w:p w14:paraId="67CAA68A" w14:textId="1B26BFDC" w:rsidR="00E1519F" w:rsidRDefault="00E1519F" w:rsidP="000B486C">
            <w:pPr>
              <w:pStyle w:val="FigureTitle"/>
            </w:pPr>
            <w:r w:rsidRPr="00784A05">
              <w:rPr>
                <w:b w:val="0"/>
              </w:rPr>
              <w:t xml:space="preserve">Figure </w:t>
            </w:r>
            <w:r w:rsidR="007C4AB4">
              <w:rPr>
                <w:b w:val="0"/>
              </w:rPr>
              <w:t>3</w:t>
            </w:r>
            <w:r>
              <w:tab/>
            </w:r>
            <w:r w:rsidRPr="00EB6AC7">
              <w:t xml:space="preserve">Our </w:t>
            </w:r>
            <w:r>
              <w:t>high incomes (in part) reflect</w:t>
            </w:r>
            <w:r w:rsidRPr="00EB6AC7">
              <w:t xml:space="preserve"> longer working hours than many other countries</w:t>
            </w:r>
            <w:r w:rsidRPr="004A556D">
              <w:rPr>
                <w:rStyle w:val="NoteLabel"/>
                <w:b/>
                <w:position w:val="8"/>
              </w:rPr>
              <w:t>a</w:t>
            </w:r>
          </w:p>
          <w:p w14:paraId="6463F630" w14:textId="577EB1C5" w:rsidR="00E1519F" w:rsidRPr="00176D3F" w:rsidRDefault="00E1519F" w:rsidP="00C31E43">
            <w:pPr>
              <w:pStyle w:val="Subtitle"/>
            </w:pPr>
            <w:r>
              <w:t>Output per hour worked</w:t>
            </w:r>
            <w:r w:rsidR="00C31E43" w:rsidRPr="00C31E43">
              <w:rPr>
                <w:rStyle w:val="NoteLabel"/>
              </w:rPr>
              <w:t>b</w:t>
            </w:r>
            <w:r>
              <w:t xml:space="preserve"> and annual hours worked per capita in OECD</w:t>
            </w:r>
            <w:r w:rsidR="00C31E43">
              <w:rPr>
                <w:rStyle w:val="NoteLabel"/>
              </w:rPr>
              <w:t>c</w:t>
            </w:r>
            <w:r w:rsidR="00417CAA">
              <w:t xml:space="preserve"> countries in 2018</w:t>
            </w:r>
          </w:p>
        </w:tc>
      </w:tr>
      <w:tr w:rsidR="00E1519F" w14:paraId="62EE4A4B" w14:textId="77777777" w:rsidTr="000B486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1519F" w:rsidRPr="00B1465D" w14:paraId="5DB4A8A7" w14:textId="77777777" w:rsidTr="000B486C">
              <w:trPr>
                <w:tblHeader/>
                <w:jc w:val="center"/>
              </w:trPr>
              <w:tc>
                <w:tcPr>
                  <w:tcW w:w="5000" w:type="pct"/>
                  <w:tcBorders>
                    <w:top w:val="nil"/>
                    <w:bottom w:val="nil"/>
                  </w:tcBorders>
                </w:tcPr>
                <w:p w14:paraId="193D3F5E" w14:textId="6799F4F9" w:rsidR="00E1519F" w:rsidRPr="00B1465D" w:rsidRDefault="00037389"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1B1793F8" wp14:editId="32A7C24B">
                        <wp:extent cx="5401310" cy="2883535"/>
                        <wp:effectExtent l="0" t="0" r="8890" b="0"/>
                        <wp:docPr id="75" name="Picture 75" descr="Figure 3: This chart plots the productivity and hours worked of the 24 longest standing OECD nations in 2017. Generally speaking, incomes of nations increase diagonally as both productivity and hours worked increase. It can be seen that Australia’s high income consists more of having higher hours worked than it does labour productivity. It can also be seen that the United States, which has a higher income than Australia, has lower hours but significantly higher productivity. A few other countries are also notable. France, whose productivity is only slightly higher than Australia’s, has the lowest hours worked in the OECD and so has a relatively low income. On the other hand, Ireland has one of the highest productivities in the OECD along with middle-range levels of hours worked and so enjoys a very high income." title="Our high incomes (in part) reflect longer working hours than many other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bl>
          <w:p w14:paraId="76B6EEA6" w14:textId="77777777" w:rsidR="00E1519F" w:rsidRDefault="00E1519F" w:rsidP="000B486C">
            <w:pPr>
              <w:pStyle w:val="Figure"/>
            </w:pPr>
          </w:p>
        </w:tc>
      </w:tr>
      <w:tr w:rsidR="00E1519F" w:rsidRPr="00176D3F" w14:paraId="56FD06C4" w14:textId="77777777" w:rsidTr="000B486C">
        <w:tc>
          <w:tcPr>
            <w:tcW w:w="5000" w:type="pct"/>
            <w:tcBorders>
              <w:top w:val="nil"/>
              <w:left w:val="nil"/>
              <w:bottom w:val="nil"/>
              <w:right w:val="nil"/>
            </w:tcBorders>
            <w:shd w:val="clear" w:color="auto" w:fill="auto"/>
          </w:tcPr>
          <w:p w14:paraId="6AA4FFFA" w14:textId="5D0C49CB" w:rsidR="00E1519F" w:rsidRPr="00176D3F" w:rsidRDefault="00E1519F" w:rsidP="000B486C">
            <w:pPr>
              <w:pStyle w:val="Note"/>
            </w:pPr>
            <w:r>
              <w:rPr>
                <w:rStyle w:val="NoteLabel"/>
              </w:rPr>
              <w:t>a</w:t>
            </w:r>
            <w:r>
              <w:t xml:space="preserve"> This chart shows the combinations of productivity and hours worked (green line) that would result in Australia’s income per person (GDP per capita); countries that sit about this line have better standards of living while those below have lower. </w:t>
            </w:r>
            <w:r w:rsidRPr="00F74422">
              <w:rPr>
                <w:rStyle w:val="NoteLabel"/>
              </w:rPr>
              <w:t>b</w:t>
            </w:r>
            <w:r>
              <w:t> </w:t>
            </w:r>
            <w:r w:rsidR="00C31E43">
              <w:t xml:space="preserve">PPP adjusted at current USD. </w:t>
            </w:r>
            <w:r w:rsidR="00C31E43" w:rsidRPr="00C31E43">
              <w:rPr>
                <w:rStyle w:val="NoteLabel"/>
              </w:rPr>
              <w:t>c</w:t>
            </w:r>
            <w:r w:rsidR="00C31E43">
              <w:t> </w:t>
            </w:r>
            <w:r>
              <w:t>Analysis is restricted to the 24 longest standing OECD members (except for Luxembourg for which data was not available).</w:t>
            </w:r>
          </w:p>
        </w:tc>
      </w:tr>
      <w:tr w:rsidR="00E1519F" w:rsidRPr="00176D3F" w14:paraId="528E1BAF" w14:textId="77777777" w:rsidTr="000B486C">
        <w:tc>
          <w:tcPr>
            <w:tcW w:w="5000" w:type="pct"/>
            <w:tcBorders>
              <w:top w:val="nil"/>
              <w:left w:val="nil"/>
              <w:bottom w:val="nil"/>
              <w:right w:val="nil"/>
            </w:tcBorders>
            <w:shd w:val="clear" w:color="auto" w:fill="auto"/>
          </w:tcPr>
          <w:p w14:paraId="43F96B17" w14:textId="77777777" w:rsidR="00E1519F" w:rsidRPr="00176D3F" w:rsidRDefault="00E1519F" w:rsidP="000B486C">
            <w:pPr>
              <w:pStyle w:val="Source"/>
            </w:pPr>
            <w:r>
              <w:rPr>
                <w:i/>
              </w:rPr>
              <w:t>S</w:t>
            </w:r>
            <w:r w:rsidRPr="00784A05">
              <w:rPr>
                <w:i/>
              </w:rPr>
              <w:t>ource</w:t>
            </w:r>
            <w:r w:rsidRPr="00176D3F">
              <w:t xml:space="preserve">: </w:t>
            </w:r>
            <w:r>
              <w:t>OECD Stat database.</w:t>
            </w:r>
          </w:p>
        </w:tc>
      </w:tr>
      <w:tr w:rsidR="00E1519F" w14:paraId="26B6C1C4" w14:textId="77777777" w:rsidTr="000B486C">
        <w:tc>
          <w:tcPr>
            <w:tcW w:w="5000" w:type="pct"/>
            <w:tcBorders>
              <w:top w:val="nil"/>
              <w:left w:val="nil"/>
              <w:bottom w:val="single" w:sz="6" w:space="0" w:color="78A22F"/>
              <w:right w:val="nil"/>
            </w:tcBorders>
            <w:shd w:val="clear" w:color="auto" w:fill="auto"/>
          </w:tcPr>
          <w:p w14:paraId="30C8E99C" w14:textId="77777777" w:rsidR="00E1519F" w:rsidRDefault="00E1519F" w:rsidP="000B486C">
            <w:pPr>
              <w:pStyle w:val="Figurespace"/>
            </w:pPr>
          </w:p>
        </w:tc>
      </w:tr>
      <w:tr w:rsidR="00E1519F" w:rsidRPr="000863A5" w14:paraId="0CF88B24" w14:textId="77777777" w:rsidTr="000B486C">
        <w:tc>
          <w:tcPr>
            <w:tcW w:w="5000" w:type="pct"/>
            <w:tcBorders>
              <w:top w:val="single" w:sz="6" w:space="0" w:color="78A22F"/>
              <w:left w:val="nil"/>
              <w:bottom w:val="nil"/>
              <w:right w:val="nil"/>
            </w:tcBorders>
          </w:tcPr>
          <w:p w14:paraId="4C34499B" w14:textId="5930358C" w:rsidR="00E1519F" w:rsidRPr="00626D32" w:rsidRDefault="00E1519F" w:rsidP="000B486C">
            <w:pPr>
              <w:pStyle w:val="BoxSpaceBelow"/>
            </w:pPr>
          </w:p>
        </w:tc>
      </w:tr>
    </w:tbl>
    <w:p w14:paraId="35FE90A9" w14:textId="7C063BD8" w:rsidR="00B3421C" w:rsidRDefault="00B3421C" w:rsidP="00E1519F">
      <w:pPr>
        <w:pStyle w:val="BodyText"/>
      </w:pPr>
      <w:r>
        <w:t xml:space="preserve">Australia’s </w:t>
      </w:r>
      <w:r w:rsidR="00E1519F">
        <w:t>higher average working hours are driven by three factors: unemployment, participation and average hours worked per worker (figure </w:t>
      </w:r>
      <w:r w:rsidR="00607A0E" w:rsidRPr="00607A0E">
        <w:t>4</w:t>
      </w:r>
      <w:r w:rsidR="00E1519F">
        <w:t>). Australia has unemployment rates roughly equivalent to the OECD median, but has relatively high participation</w:t>
      </w:r>
      <w:r w:rsidR="00A352AA" w:rsidRPr="00A352AA">
        <w:t xml:space="preserve"> </w:t>
      </w:r>
      <w:r w:rsidR="00191B5A">
        <w:t>and hours </w:t>
      </w:r>
      <w:r w:rsidR="00A352AA">
        <w:t>per employee</w:t>
      </w:r>
      <w:r w:rsidR="00E1519F">
        <w:t xml:space="preserve">. Considered collectively, these explain Australia’s high overall labour input usage. </w:t>
      </w:r>
    </w:p>
    <w:p w14:paraId="02008029" w14:textId="184150ED" w:rsidR="00E1519F" w:rsidRDefault="00B3421C" w:rsidP="00E1519F">
      <w:pPr>
        <w:pStyle w:val="BodyText"/>
      </w:pPr>
      <w:r>
        <w:t>By way of contrast,</w:t>
      </w:r>
      <w:r w:rsidR="00E1519F">
        <w:t xml:space="preserve"> Germany has low unemployment (3</w:t>
      </w:r>
      <w:r w:rsidR="00E1519F">
        <w:rPr>
          <w:vertAlign w:val="superscript"/>
        </w:rPr>
        <w:t>r</w:t>
      </w:r>
      <w:r w:rsidR="00E1519F" w:rsidRPr="00D0007F">
        <w:rPr>
          <w:vertAlign w:val="superscript"/>
        </w:rPr>
        <w:t>d</w:t>
      </w:r>
      <w:r w:rsidR="00E1519F">
        <w:t xml:space="preserve"> lowest) and high participation (8</w:t>
      </w:r>
      <w:r w:rsidR="00E1519F" w:rsidRPr="00871448">
        <w:rPr>
          <w:vertAlign w:val="superscript"/>
        </w:rPr>
        <w:t>th</w:t>
      </w:r>
      <w:r w:rsidR="00AB2E25">
        <w:t> </w:t>
      </w:r>
      <w:r w:rsidR="00E1519F">
        <w:t>highest), but it has the lowest number of hours worked per employee in the OECD. Overall, because it only performs highly on two out of three of these labour market indicators, it has a low number of hours worked per capita (17</w:t>
      </w:r>
      <w:r w:rsidR="00E1519F" w:rsidRPr="00871448">
        <w:rPr>
          <w:vertAlign w:val="superscript"/>
        </w:rPr>
        <w:t>th</w:t>
      </w:r>
      <w:r w:rsidR="00E1519F">
        <w:t xml:space="preserve"> highest). In the US, </w:t>
      </w:r>
      <w:r w:rsidR="006373D9">
        <w:t>employees</w:t>
      </w:r>
      <w:r w:rsidR="00E1519F">
        <w:t xml:space="preserve"> work a high number of hours (2</w:t>
      </w:r>
      <w:r w:rsidR="00E1519F">
        <w:rPr>
          <w:vertAlign w:val="superscript"/>
        </w:rPr>
        <w:t>nd</w:t>
      </w:r>
      <w:r w:rsidR="00E1519F">
        <w:t> highest) and unemployment is low (6</w:t>
      </w:r>
      <w:r w:rsidR="00E1519F" w:rsidRPr="00871448">
        <w:rPr>
          <w:vertAlign w:val="superscript"/>
        </w:rPr>
        <w:t>th</w:t>
      </w:r>
      <w:r w:rsidR="00E1519F">
        <w:t xml:space="preserve"> lowest), but the participation rate is low (17</w:t>
      </w:r>
      <w:r w:rsidR="00E1519F" w:rsidRPr="00871448">
        <w:rPr>
          <w:vertAlign w:val="superscript"/>
        </w:rPr>
        <w:t>th</w:t>
      </w:r>
      <w:r w:rsidR="00E1519F">
        <w:t> highest). Like Germany, the US is only at or above the median OECD levels for two out of three labour force indicators, meaning that although it has higher than average hours per capita, it is still lower than in Australia.</w:t>
      </w:r>
    </w:p>
    <w:p w14:paraId="6841536C" w14:textId="29833013" w:rsidR="00906E64" w:rsidRDefault="00906E64" w:rsidP="000B48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6E64" w14:paraId="6090F85E" w14:textId="77777777" w:rsidTr="000B486C">
        <w:trPr>
          <w:tblHeader/>
        </w:trPr>
        <w:tc>
          <w:tcPr>
            <w:tcW w:w="5000" w:type="pct"/>
            <w:tcBorders>
              <w:top w:val="single" w:sz="6" w:space="0" w:color="78A22F"/>
              <w:left w:val="nil"/>
              <w:bottom w:val="nil"/>
              <w:right w:val="nil"/>
            </w:tcBorders>
            <w:shd w:val="clear" w:color="auto" w:fill="auto"/>
          </w:tcPr>
          <w:p w14:paraId="2D2A4EB9" w14:textId="64F5A193" w:rsidR="00906E64" w:rsidRDefault="00906E64" w:rsidP="000B486C">
            <w:pPr>
              <w:pStyle w:val="FigureTitle"/>
            </w:pPr>
            <w:r w:rsidRPr="00784A05">
              <w:rPr>
                <w:b w:val="0"/>
              </w:rPr>
              <w:t xml:space="preserve">Figure </w:t>
            </w:r>
            <w:r w:rsidR="007C4AB4">
              <w:rPr>
                <w:b w:val="0"/>
              </w:rPr>
              <w:t>4</w:t>
            </w:r>
            <w:r>
              <w:tab/>
            </w:r>
            <w:r w:rsidRPr="00906E64">
              <w:t>Australia’s labour market is an ‘all round’ performer</w:t>
            </w:r>
          </w:p>
          <w:p w14:paraId="4B1ADCAF" w14:textId="08C92BFB" w:rsidR="00906E64" w:rsidRPr="00176D3F" w:rsidRDefault="002B0865" w:rsidP="000B486C">
            <w:pPr>
              <w:pStyle w:val="Subtitle"/>
            </w:pPr>
            <w:r>
              <w:t xml:space="preserve">Participation </w:t>
            </w:r>
            <w:r w:rsidRPr="0083528D">
              <w:t>rates, hours per employee, unemployment rates and hours per capita in Australia, the US, Germany, and the Interquartile Range</w:t>
            </w:r>
            <w:r w:rsidRPr="0083528D">
              <w:rPr>
                <w:rStyle w:val="NoteLabel"/>
              </w:rPr>
              <w:t>a</w:t>
            </w:r>
            <w:r w:rsidRPr="0083528D">
              <w:t xml:space="preserve"> of OECD countries between 2005 and 2018</w:t>
            </w:r>
          </w:p>
        </w:tc>
      </w:tr>
      <w:tr w:rsidR="00906E64" w14:paraId="307A7518" w14:textId="77777777" w:rsidTr="000B486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906E64" w:rsidRPr="00B1465D" w14:paraId="46E5959C" w14:textId="77777777" w:rsidTr="000B486C">
              <w:trPr>
                <w:trHeight w:val="129"/>
                <w:tblHeader/>
                <w:jc w:val="center"/>
              </w:trPr>
              <w:tc>
                <w:tcPr>
                  <w:tcW w:w="2500" w:type="pct"/>
                  <w:tcBorders>
                    <w:top w:val="nil"/>
                    <w:bottom w:val="nil"/>
                  </w:tcBorders>
                </w:tcPr>
                <w:p w14:paraId="34952356" w14:textId="097880CD" w:rsidR="00906E64" w:rsidRPr="00B1465D" w:rsidRDefault="00CB446B"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42FE5F1" wp14:editId="042DAD29">
                        <wp:extent cx="2420620" cy="2493645"/>
                        <wp:effectExtent l="0" t="0" r="0" b="1905"/>
                        <wp:docPr id="18" name="Picture 18" descr="Figure 4 (Participation rate): These charts display a set of labour market indicators for Australia, the United States, Germany and the interquartile range of OECD nations. These indicators are hours per capita and its three main components: the participation rate, the unemployment rate and the hours worked per employee. The point of this graph is that in order to have high hours worked per capita, countries must perform well on all three of these indicators. For example, it can be seen that Australia has a relatively high participation rate (on part with Germany) and high hours worked per employee and an average rate of unemployment. This places Australia among the highest nations for hours worked per capita. By contrast, Germany has high participation and low unemployment but very low hours worked per employee, and so it has a low hours worked per capita overall." title="Australia’s labour market is an ‘all round’ per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0620" cy="2493645"/>
                                </a:xfrm>
                                <a:prstGeom prst="rect">
                                  <a:avLst/>
                                </a:prstGeom>
                                <a:noFill/>
                              </pic:spPr>
                            </pic:pic>
                          </a:graphicData>
                        </a:graphic>
                      </wp:inline>
                    </w:drawing>
                  </w:r>
                </w:p>
              </w:tc>
              <w:tc>
                <w:tcPr>
                  <w:tcW w:w="2500" w:type="pct"/>
                  <w:tcBorders>
                    <w:top w:val="nil"/>
                  </w:tcBorders>
                </w:tcPr>
                <w:p w14:paraId="58797760" w14:textId="0925136B" w:rsidR="00906E64" w:rsidRPr="00B1465D" w:rsidRDefault="00CB446B"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5BF1CF0" wp14:editId="11BFBFCC">
                        <wp:extent cx="2420620" cy="2487295"/>
                        <wp:effectExtent l="0" t="0" r="0" b="8255"/>
                        <wp:docPr id="19" name="Picture 19" descr="Figure 4 (Hours per employee): These charts display a set of labour market indicators for Australia, the United States, Germany and the interquartile range of OECD nations. These indicators are hours per capita and its three main components: the participation rate, the unemployment rate and the hours worked per employee. The point of this graph is that in order to have high hours worked per capita, countries must perform well on all three of these indicators. For example, it can be seen that Australia has a relatively high participation rate (on part with Germany) and high hours worked per employee and an average rate of unemployment. This places Australia among the highest nations for hours worked per capita. By contrast, Germany has high participation and low unemployment but very low hours worked per employee, and so it has a low hours worked per capita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0620" cy="2487295"/>
                                </a:xfrm>
                                <a:prstGeom prst="rect">
                                  <a:avLst/>
                                </a:prstGeom>
                                <a:noFill/>
                              </pic:spPr>
                            </pic:pic>
                          </a:graphicData>
                        </a:graphic>
                      </wp:inline>
                    </w:drawing>
                  </w:r>
                </w:p>
              </w:tc>
            </w:tr>
            <w:tr w:rsidR="00906E64" w:rsidRPr="00B1465D" w14:paraId="61F58B14" w14:textId="77777777" w:rsidTr="0083528D">
              <w:trPr>
                <w:trHeight w:val="128"/>
                <w:tblHeader/>
                <w:jc w:val="center"/>
              </w:trPr>
              <w:tc>
                <w:tcPr>
                  <w:tcW w:w="2500" w:type="pct"/>
                  <w:tcBorders>
                    <w:top w:val="nil"/>
                    <w:bottom w:val="nil"/>
                  </w:tcBorders>
                </w:tcPr>
                <w:p w14:paraId="70A9658C" w14:textId="5616BB76" w:rsidR="00906E64" w:rsidRPr="00B1465D" w:rsidRDefault="00CB446B"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78C2A61" wp14:editId="1B07B537">
                        <wp:extent cx="2414270" cy="2487295"/>
                        <wp:effectExtent l="0" t="0" r="5080" b="8255"/>
                        <wp:docPr id="20" name="Picture 20" descr="Figure 4 (Unemployment rate): These charts display a set of labour market indicators for Australia, the United States, Germany and the interquartile range of OECD nations. These indicators are hours per capita and its three main components: the participation rate, the unemployment rate and the hours worked per employee. The point of this graph is that in order to have high hours worked per capita, countries must perform well on all three of these indicators. For example, it can be seen that Australia has a relatively high participation rate (on part with Germany) and high hours worked per employee and an average rate of unemployment. This places Australia among the highest nations for hours worked per capita. By contrast, Germany has high participation and low unemployment but very low hours worked per employee, and so it has a low hours worked per capita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4270" cy="2487295"/>
                                </a:xfrm>
                                <a:prstGeom prst="rect">
                                  <a:avLst/>
                                </a:prstGeom>
                                <a:noFill/>
                              </pic:spPr>
                            </pic:pic>
                          </a:graphicData>
                        </a:graphic>
                      </wp:inline>
                    </w:drawing>
                  </w:r>
                </w:p>
              </w:tc>
              <w:tc>
                <w:tcPr>
                  <w:tcW w:w="2500" w:type="pct"/>
                </w:tcPr>
                <w:p w14:paraId="2DA9B0EF" w14:textId="1C118AEF" w:rsidR="00906E64" w:rsidRPr="00B1465D" w:rsidRDefault="00CB446B"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5FEF66" wp14:editId="0A985B73">
                        <wp:extent cx="2414270" cy="2493645"/>
                        <wp:effectExtent l="0" t="0" r="5080" b="1905"/>
                        <wp:docPr id="21" name="Picture 21" descr="Figure 4 (Hours per capita): These charts display a set of labour market indicators for Australia, the United States, Germany and the interquartile range of OECD nations. These indicators are hours per capita and its three main components: the participation rate, the unemployment rate and the hours worked per employee. The point of this graph is that in order to have high hours worked per capita, countries must perform well on all three of these indicators. For example, it can be seen that Australia has a relatively high participation rate (on part with Germany) and high hours worked per employee and an average rate of unemployment. This places Australia among the highest nations for hours worked per capita. By contrast, Germany has high participation and low unemployment but very low hours worked per employee, and so it has a low hours worked per capita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14270" cy="2493645"/>
                                </a:xfrm>
                                <a:prstGeom prst="rect">
                                  <a:avLst/>
                                </a:prstGeom>
                                <a:noFill/>
                              </pic:spPr>
                            </pic:pic>
                          </a:graphicData>
                        </a:graphic>
                      </wp:inline>
                    </w:drawing>
                  </w:r>
                </w:p>
              </w:tc>
            </w:tr>
            <w:tr w:rsidR="0083528D" w:rsidRPr="00B1465D" w14:paraId="785DA2F3" w14:textId="77777777" w:rsidTr="0083528D">
              <w:trPr>
                <w:trHeight w:val="128"/>
                <w:tblHeader/>
                <w:jc w:val="center"/>
              </w:trPr>
              <w:tc>
                <w:tcPr>
                  <w:tcW w:w="5000" w:type="pct"/>
                  <w:gridSpan w:val="2"/>
                  <w:tcBorders>
                    <w:top w:val="nil"/>
                    <w:bottom w:val="nil"/>
                  </w:tcBorders>
                </w:tcPr>
                <w:p w14:paraId="7A1E52DB" w14:textId="515E0327" w:rsidR="0083528D" w:rsidRDefault="002130E6" w:rsidP="000B486C">
                  <w:pPr>
                    <w:pStyle w:val="Figure"/>
                    <w:spacing w:before="60" w:after="60"/>
                    <w:rPr>
                      <w:rFonts w:ascii="Arial" w:hAnsi="Arial" w:cs="Arial"/>
                      <w:noProof/>
                      <w:sz w:val="18"/>
                      <w:szCs w:val="18"/>
                    </w:rPr>
                  </w:pPr>
                  <w:r w:rsidRPr="00967F7B">
                    <w:rPr>
                      <w:noProof/>
                    </w:rPr>
                    <w:drawing>
                      <wp:inline distT="0" distB="0" distL="0" distR="0" wp14:anchorId="11308587" wp14:editId="3AA7C5DA">
                        <wp:extent cx="4284000" cy="291149"/>
                        <wp:effectExtent l="0" t="0" r="2540" b="0"/>
                        <wp:docPr id="1" name="Picture 1"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6668" t="87351" r="17299" b="1959"/>
                                <a:stretch/>
                              </pic:blipFill>
                              <pic:spPr bwMode="auto">
                                <a:xfrm>
                                  <a:off x="0" y="0"/>
                                  <a:ext cx="4284000" cy="2911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E55855" w14:textId="77777777" w:rsidR="00906E64" w:rsidRDefault="00906E64" w:rsidP="000B486C">
            <w:pPr>
              <w:pStyle w:val="Figure"/>
            </w:pPr>
          </w:p>
        </w:tc>
      </w:tr>
      <w:tr w:rsidR="00906E64" w:rsidRPr="00176D3F" w14:paraId="22A2FCBD" w14:textId="77777777" w:rsidTr="000B486C">
        <w:tc>
          <w:tcPr>
            <w:tcW w:w="5000" w:type="pct"/>
            <w:tcBorders>
              <w:top w:val="nil"/>
              <w:left w:val="nil"/>
              <w:bottom w:val="nil"/>
              <w:right w:val="nil"/>
            </w:tcBorders>
            <w:shd w:val="clear" w:color="auto" w:fill="auto"/>
          </w:tcPr>
          <w:p w14:paraId="64EAE6BE" w14:textId="77777777" w:rsidR="00906E64" w:rsidRPr="00176D3F" w:rsidRDefault="00906E64" w:rsidP="000B486C">
            <w:pPr>
              <w:pStyle w:val="Note"/>
            </w:pPr>
            <w:r>
              <w:rPr>
                <w:rStyle w:val="NoteLabel"/>
              </w:rPr>
              <w:t>a</w:t>
            </w:r>
            <w:r>
              <w:t xml:space="preserve"> The interquartile range is the difference between the third quartile and first quartile of the 24 longest standing OECD countries for which these variables are available.</w:t>
            </w:r>
          </w:p>
        </w:tc>
      </w:tr>
      <w:tr w:rsidR="00906E64" w:rsidRPr="00176D3F" w14:paraId="1BEF22B9" w14:textId="77777777" w:rsidTr="000B486C">
        <w:tc>
          <w:tcPr>
            <w:tcW w:w="5000" w:type="pct"/>
            <w:tcBorders>
              <w:top w:val="nil"/>
              <w:left w:val="nil"/>
              <w:bottom w:val="nil"/>
              <w:right w:val="nil"/>
            </w:tcBorders>
            <w:shd w:val="clear" w:color="auto" w:fill="auto"/>
          </w:tcPr>
          <w:p w14:paraId="61C69FD9" w14:textId="77777777" w:rsidR="00906E64" w:rsidRPr="00176D3F" w:rsidRDefault="00906E64" w:rsidP="000B486C">
            <w:pPr>
              <w:pStyle w:val="Source"/>
            </w:pPr>
            <w:r>
              <w:rPr>
                <w:i/>
              </w:rPr>
              <w:t>S</w:t>
            </w:r>
            <w:r w:rsidRPr="00784A05">
              <w:rPr>
                <w:i/>
              </w:rPr>
              <w:t>ource</w:t>
            </w:r>
            <w:r w:rsidRPr="00176D3F">
              <w:t xml:space="preserve">: </w:t>
            </w:r>
            <w:r>
              <w:t>OECD Stat Database.</w:t>
            </w:r>
          </w:p>
        </w:tc>
      </w:tr>
      <w:tr w:rsidR="00906E64" w14:paraId="539FC364" w14:textId="77777777" w:rsidTr="000B486C">
        <w:tc>
          <w:tcPr>
            <w:tcW w:w="5000" w:type="pct"/>
            <w:tcBorders>
              <w:top w:val="nil"/>
              <w:left w:val="nil"/>
              <w:bottom w:val="single" w:sz="6" w:space="0" w:color="78A22F"/>
              <w:right w:val="nil"/>
            </w:tcBorders>
            <w:shd w:val="clear" w:color="auto" w:fill="auto"/>
          </w:tcPr>
          <w:p w14:paraId="4013D359" w14:textId="77777777" w:rsidR="00906E64" w:rsidRDefault="00906E64" w:rsidP="000B486C">
            <w:pPr>
              <w:pStyle w:val="Figurespace"/>
            </w:pPr>
          </w:p>
        </w:tc>
      </w:tr>
      <w:tr w:rsidR="00906E64" w:rsidRPr="000863A5" w14:paraId="2D66C749" w14:textId="77777777" w:rsidTr="000B486C">
        <w:tc>
          <w:tcPr>
            <w:tcW w:w="5000" w:type="pct"/>
            <w:tcBorders>
              <w:top w:val="single" w:sz="6" w:space="0" w:color="78A22F"/>
              <w:left w:val="nil"/>
              <w:bottom w:val="nil"/>
              <w:right w:val="nil"/>
            </w:tcBorders>
          </w:tcPr>
          <w:p w14:paraId="3317A6CD" w14:textId="28D8182E" w:rsidR="00906E64" w:rsidRPr="00626D32" w:rsidRDefault="00906E64" w:rsidP="000B486C">
            <w:pPr>
              <w:pStyle w:val="BoxSpaceBelow"/>
            </w:pPr>
          </w:p>
        </w:tc>
      </w:tr>
    </w:tbl>
    <w:p w14:paraId="5AF819EE" w14:textId="6827942F" w:rsidR="00E1519F" w:rsidRDefault="00D27267" w:rsidP="00906E64">
      <w:pPr>
        <w:pStyle w:val="Heading2"/>
      </w:pPr>
      <w:r>
        <w:rPr>
          <w:noProof/>
        </w:rPr>
        <w:lastRenderedPageBreak/>
        <w:t>2</w:t>
      </w:r>
      <w:r w:rsidR="00906E64">
        <w:tab/>
        <w:t>Can Australia catch up to the US?</w:t>
      </w:r>
    </w:p>
    <w:p w14:paraId="7B079434" w14:textId="77777777" w:rsidR="00B25DEA" w:rsidRDefault="00B25DEA" w:rsidP="00B25DEA">
      <w:pPr>
        <w:pStyle w:val="Heading3"/>
        <w:spacing w:before="280"/>
      </w:pPr>
      <w:r>
        <w:t>There is a persistent productivity gap between the US and Australia</w:t>
      </w:r>
      <w:r w:rsidR="00B85DFB">
        <w:t>n economies in aggregate</w:t>
      </w:r>
      <w:r>
        <w:t xml:space="preserve"> …</w:t>
      </w:r>
    </w:p>
    <w:p w14:paraId="6CCD7970" w14:textId="1DC19BAC" w:rsidR="00B25DEA" w:rsidRDefault="00906E64" w:rsidP="00B25DEA">
      <w:pPr>
        <w:pStyle w:val="BodyText"/>
      </w:pPr>
      <w:r>
        <w:t>There remains a sizeable gap between Australian and US productivity levels. As set out above, in 2018 Australian labour productivity was about 20 per cent lower than in the US. Put differently,</w:t>
      </w:r>
      <w:r w:rsidR="00B3421C">
        <w:t xml:space="preserve"> on average</w:t>
      </w:r>
      <w:r>
        <w:t xml:space="preserve"> it takes </w:t>
      </w:r>
      <w:r w:rsidR="00483FF1">
        <w:t xml:space="preserve">five </w:t>
      </w:r>
      <w:r>
        <w:t>days for an Austral</w:t>
      </w:r>
      <w:r w:rsidR="0055385D">
        <w:t>ian worker to produce what a US </w:t>
      </w:r>
      <w:r>
        <w:t>worker can produce in four.</w:t>
      </w:r>
      <w:r w:rsidR="00AB49DE">
        <w:t xml:space="preserve"> </w:t>
      </w:r>
      <w:r w:rsidR="00B25DEA">
        <w:t xml:space="preserve">This gap has been relatively stable over time — periods of strong relative productivity growth </w:t>
      </w:r>
      <w:r w:rsidR="006373D9">
        <w:t xml:space="preserve">have </w:t>
      </w:r>
      <w:r w:rsidR="00B25DEA">
        <w:t>tend</w:t>
      </w:r>
      <w:r w:rsidR="006373D9">
        <w:t>ed</w:t>
      </w:r>
      <w:r w:rsidR="00B25DEA">
        <w:t xml:space="preserve"> to be followed by periods of</w:t>
      </w:r>
      <w:r w:rsidR="00AB2E25">
        <w:t xml:space="preserve"> weak</w:t>
      </w:r>
      <w:r w:rsidR="00B25DEA">
        <w:t xml:space="preserve"> relative growth and vice versa (figure </w:t>
      </w:r>
      <w:r w:rsidR="00607A0E" w:rsidRPr="00607A0E">
        <w:t>5</w:t>
      </w:r>
      <w:r w:rsidR="006373D9">
        <w:t>).</w:t>
      </w:r>
    </w:p>
    <w:p w14:paraId="21B8A2EB" w14:textId="052456EF" w:rsidR="00B25DEA" w:rsidRDefault="00B25DEA" w:rsidP="00B25D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5DEA" w14:paraId="5104B1F3" w14:textId="77777777" w:rsidTr="006B69FC">
        <w:trPr>
          <w:tblHeader/>
        </w:trPr>
        <w:tc>
          <w:tcPr>
            <w:tcW w:w="5000" w:type="pct"/>
            <w:tcBorders>
              <w:top w:val="single" w:sz="6" w:space="0" w:color="78A22F"/>
              <w:left w:val="nil"/>
              <w:bottom w:val="nil"/>
              <w:right w:val="nil"/>
            </w:tcBorders>
            <w:shd w:val="clear" w:color="auto" w:fill="auto"/>
          </w:tcPr>
          <w:p w14:paraId="434ED422" w14:textId="2CB5B1FD" w:rsidR="00B25DEA" w:rsidRDefault="00B25DEA" w:rsidP="006B69FC">
            <w:pPr>
              <w:pStyle w:val="FigureTitle"/>
            </w:pPr>
            <w:r w:rsidRPr="00784A05">
              <w:rPr>
                <w:b w:val="0"/>
              </w:rPr>
              <w:t xml:space="preserve">Figure </w:t>
            </w:r>
            <w:r w:rsidR="007C4AB4">
              <w:rPr>
                <w:b w:val="0"/>
              </w:rPr>
              <w:t>5</w:t>
            </w:r>
            <w:r>
              <w:tab/>
              <w:t>Nearly fifty years of data show few signs of Australia catching up to US productivity</w:t>
            </w:r>
          </w:p>
          <w:p w14:paraId="422CF01F" w14:textId="585BD70B" w:rsidR="00B25DEA" w:rsidRPr="00176D3F" w:rsidRDefault="00B10837" w:rsidP="00B70216">
            <w:pPr>
              <w:pStyle w:val="Subtitle"/>
            </w:pPr>
            <w:r>
              <w:t>Three year moving average</w:t>
            </w:r>
            <w:r w:rsidRPr="00B10837">
              <w:rPr>
                <w:rStyle w:val="NoteLabel"/>
              </w:rPr>
              <w:t>a</w:t>
            </w:r>
            <w:r>
              <w:t xml:space="preserve"> of </w:t>
            </w:r>
            <w:r w:rsidR="00B25DEA">
              <w:t>Australian labour productivity as a proportion of US labour productivity</w:t>
            </w:r>
            <w:r w:rsidR="00E23CE2">
              <w:t xml:space="preserve"> </w:t>
            </w:r>
            <w:r w:rsidR="00B25DEA">
              <w:t>from 1970 to 2018</w:t>
            </w:r>
            <w:r w:rsidR="00B70216">
              <w:rPr>
                <w:rStyle w:val="NoteLabel"/>
              </w:rPr>
              <w:t>b</w:t>
            </w:r>
          </w:p>
        </w:tc>
      </w:tr>
      <w:tr w:rsidR="00B25DEA" w14:paraId="03BAB11A" w14:textId="77777777" w:rsidTr="006B69FC">
        <w:tc>
          <w:tcPr>
            <w:tcW w:w="5000" w:type="pct"/>
            <w:tcBorders>
              <w:top w:val="nil"/>
              <w:left w:val="nil"/>
              <w:bottom w:val="nil"/>
              <w:right w:val="nil"/>
            </w:tcBorders>
            <w:shd w:val="clear" w:color="auto" w:fill="auto"/>
            <w:tcMar>
              <w:top w:w="28" w:type="dxa"/>
              <w:bottom w:w="28" w:type="dxa"/>
            </w:tcMar>
          </w:tcPr>
          <w:tbl>
            <w:tblPr>
              <w:tblW w:w="838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25DEA" w:rsidRPr="00B1465D" w14:paraId="6CA1F221" w14:textId="77777777" w:rsidTr="00B00FF7">
              <w:trPr>
                <w:trHeight w:val="4579"/>
                <w:tblHeader/>
                <w:jc w:val="center"/>
              </w:trPr>
              <w:tc>
                <w:tcPr>
                  <w:tcW w:w="5000" w:type="pct"/>
                  <w:tcBorders>
                    <w:top w:val="nil"/>
                    <w:bottom w:val="nil"/>
                  </w:tcBorders>
                </w:tcPr>
                <w:p w14:paraId="3C2B8534" w14:textId="0444C473" w:rsidR="00B25DEA" w:rsidRPr="00B1465D" w:rsidRDefault="00AC7791"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307382A7" wp14:editId="11311830">
                        <wp:extent cx="5407660" cy="2889885"/>
                        <wp:effectExtent l="0" t="0" r="2540" b="5715"/>
                        <wp:docPr id="22" name="Picture 22" descr="Figure 5: This chart displays Australian a three year moving average of labour productivity as a proportion of US labour productivity (current price purchasing power parity comparisons) from 1970 to 2018. It can be seen that although it varies over time, the gap between the two countries is relatively stable. In general, a period of strong relative growth in Australia is followed by slow relative growth and vice-versa." title="Nearly fifty years of data show few signs of Australia catching up to US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7660" cy="2889885"/>
                                </a:xfrm>
                                <a:prstGeom prst="rect">
                                  <a:avLst/>
                                </a:prstGeom>
                                <a:noFill/>
                              </pic:spPr>
                            </pic:pic>
                          </a:graphicData>
                        </a:graphic>
                      </wp:inline>
                    </w:drawing>
                  </w:r>
                </w:p>
              </w:tc>
            </w:tr>
          </w:tbl>
          <w:p w14:paraId="1BD2DED1" w14:textId="77777777" w:rsidR="00B25DEA" w:rsidRDefault="00B25DEA" w:rsidP="006B69FC">
            <w:pPr>
              <w:pStyle w:val="Figure"/>
            </w:pPr>
          </w:p>
        </w:tc>
      </w:tr>
      <w:tr w:rsidR="00B25DEA" w:rsidRPr="00176D3F" w14:paraId="35B09B70" w14:textId="77777777" w:rsidTr="006B69FC">
        <w:tc>
          <w:tcPr>
            <w:tcW w:w="5000" w:type="pct"/>
            <w:tcBorders>
              <w:top w:val="nil"/>
              <w:left w:val="nil"/>
              <w:bottom w:val="nil"/>
              <w:right w:val="nil"/>
            </w:tcBorders>
            <w:shd w:val="clear" w:color="auto" w:fill="auto"/>
          </w:tcPr>
          <w:p w14:paraId="2C28D643" w14:textId="0054614F" w:rsidR="00B25DEA" w:rsidRPr="00176D3F" w:rsidRDefault="00B25DEA" w:rsidP="00B70216">
            <w:pPr>
              <w:pStyle w:val="Note"/>
            </w:pPr>
            <w:r>
              <w:rPr>
                <w:rStyle w:val="NoteLabel"/>
              </w:rPr>
              <w:t>a</w:t>
            </w:r>
            <w:r>
              <w:t xml:space="preserve"> </w:t>
            </w:r>
            <w:r w:rsidR="00B10837">
              <w:t>Centred</w:t>
            </w:r>
            <w:r w:rsidR="00B70216">
              <w:t xml:space="preserve"> three year</w:t>
            </w:r>
            <w:r w:rsidR="00B10837">
              <w:t xml:space="preserve"> moving average </w:t>
            </w:r>
            <w:r w:rsidR="00B70216">
              <w:t>of the ratio of Australian labour productivity to US labour productivity in current purchasing power parity adjusted USD</w:t>
            </w:r>
            <w:r w:rsidR="00B10837">
              <w:t>. </w:t>
            </w:r>
            <w:r w:rsidR="00B70216">
              <w:rPr>
                <w:rStyle w:val="NoteLabel"/>
              </w:rPr>
              <w:t>b</w:t>
            </w:r>
            <w:r w:rsidR="00B70216">
              <w:t> </w:t>
            </w:r>
            <w:r>
              <w:t>Australian data is in financial years while US data runs over calendar years.</w:t>
            </w:r>
          </w:p>
        </w:tc>
      </w:tr>
      <w:tr w:rsidR="00B25DEA" w:rsidRPr="00176D3F" w14:paraId="06D09ED6" w14:textId="77777777" w:rsidTr="006B69FC">
        <w:tc>
          <w:tcPr>
            <w:tcW w:w="5000" w:type="pct"/>
            <w:tcBorders>
              <w:top w:val="nil"/>
              <w:left w:val="nil"/>
              <w:bottom w:val="nil"/>
              <w:right w:val="nil"/>
            </w:tcBorders>
            <w:shd w:val="clear" w:color="auto" w:fill="auto"/>
          </w:tcPr>
          <w:p w14:paraId="5347DC05" w14:textId="77777777" w:rsidR="00B25DEA" w:rsidRPr="00176D3F" w:rsidRDefault="00B25DEA" w:rsidP="006B69FC">
            <w:pPr>
              <w:pStyle w:val="Source"/>
            </w:pPr>
            <w:r>
              <w:rPr>
                <w:i/>
              </w:rPr>
              <w:t>S</w:t>
            </w:r>
            <w:r w:rsidRPr="00784A05">
              <w:rPr>
                <w:i/>
              </w:rPr>
              <w:t>ource</w:t>
            </w:r>
            <w:r w:rsidRPr="00176D3F">
              <w:t xml:space="preserve">: </w:t>
            </w:r>
            <w:r>
              <w:t xml:space="preserve">OECD Stat database. </w:t>
            </w:r>
          </w:p>
        </w:tc>
      </w:tr>
      <w:tr w:rsidR="00B25DEA" w14:paraId="5EFD810B" w14:textId="77777777" w:rsidTr="006B69FC">
        <w:tc>
          <w:tcPr>
            <w:tcW w:w="5000" w:type="pct"/>
            <w:tcBorders>
              <w:top w:val="nil"/>
              <w:left w:val="nil"/>
              <w:bottom w:val="single" w:sz="6" w:space="0" w:color="78A22F"/>
              <w:right w:val="nil"/>
            </w:tcBorders>
            <w:shd w:val="clear" w:color="auto" w:fill="auto"/>
          </w:tcPr>
          <w:p w14:paraId="0C6A2441" w14:textId="77777777" w:rsidR="00B25DEA" w:rsidRDefault="00B25DEA" w:rsidP="006B69FC">
            <w:pPr>
              <w:pStyle w:val="Figurespace"/>
            </w:pPr>
          </w:p>
        </w:tc>
      </w:tr>
      <w:tr w:rsidR="00B25DEA" w:rsidRPr="000863A5" w14:paraId="1272B0D7" w14:textId="77777777" w:rsidTr="006B69FC">
        <w:tc>
          <w:tcPr>
            <w:tcW w:w="5000" w:type="pct"/>
            <w:tcBorders>
              <w:top w:val="single" w:sz="6" w:space="0" w:color="78A22F"/>
              <w:left w:val="nil"/>
              <w:bottom w:val="nil"/>
              <w:right w:val="nil"/>
            </w:tcBorders>
          </w:tcPr>
          <w:p w14:paraId="3E4C5C03" w14:textId="5E27C778" w:rsidR="00B25DEA" w:rsidRPr="00626D32" w:rsidRDefault="00B25DEA" w:rsidP="006B69FC">
            <w:pPr>
              <w:pStyle w:val="BoxSpaceBelow"/>
            </w:pPr>
          </w:p>
        </w:tc>
      </w:tr>
    </w:tbl>
    <w:p w14:paraId="54F6E219" w14:textId="77777777" w:rsidR="00B25DEA" w:rsidRPr="00906E64" w:rsidRDefault="00B25DEA" w:rsidP="00B25DEA">
      <w:pPr>
        <w:pStyle w:val="Heading3"/>
      </w:pPr>
      <w:r>
        <w:t xml:space="preserve">… and this is </w:t>
      </w:r>
      <w:r w:rsidR="00B85DFB">
        <w:t xml:space="preserve">also </w:t>
      </w:r>
      <w:r>
        <w:t>the case for most industries</w:t>
      </w:r>
    </w:p>
    <w:p w14:paraId="1E4CC98D" w14:textId="5B7D76B5" w:rsidR="00906E64" w:rsidRDefault="00906E64" w:rsidP="00E1519F">
      <w:pPr>
        <w:pStyle w:val="BodyText"/>
      </w:pPr>
      <w:r>
        <w:t xml:space="preserve">At an industry level, there </w:t>
      </w:r>
      <w:r w:rsidR="00483FF1">
        <w:t>were</w:t>
      </w:r>
      <w:r>
        <w:t xml:space="preserve"> </w:t>
      </w:r>
      <w:r w:rsidR="00483FF1">
        <w:t>numerous</w:t>
      </w:r>
      <w:r>
        <w:t xml:space="preserve"> sectors that wer</w:t>
      </w:r>
      <w:r w:rsidR="00191B5A">
        <w:t>e significantly behind their US </w:t>
      </w:r>
      <w:r>
        <w:t>peers in labour productivity in 2005, the latest year for which data are available (figure </w:t>
      </w:r>
      <w:r w:rsidR="00607A0E" w:rsidRPr="00607A0E">
        <w:t>6</w:t>
      </w:r>
      <w:r>
        <w:t xml:space="preserve">). </w:t>
      </w:r>
      <w:r w:rsidR="00B3421C">
        <w:t>T</w:t>
      </w:r>
      <w:r>
        <w:t xml:space="preserve">here </w:t>
      </w:r>
      <w:r w:rsidR="00483FF1">
        <w:t>were</w:t>
      </w:r>
      <w:r>
        <w:t xml:space="preserve"> large productivity gaps in</w:t>
      </w:r>
      <w:r w:rsidR="00191B5A">
        <w:t xml:space="preserve"> the</w:t>
      </w:r>
      <w:r>
        <w:t xml:space="preserve"> manufacturing and </w:t>
      </w:r>
      <w:r w:rsidR="00B3421C">
        <w:t>good</w:t>
      </w:r>
      <w:r w:rsidR="000403F5">
        <w:t>s</w:t>
      </w:r>
      <w:r w:rsidR="00B3421C">
        <w:t xml:space="preserve"> distribution sectors (including wholesale and retail trade) which have traditionally been characterised by </w:t>
      </w:r>
      <w:r w:rsidR="00B3421C">
        <w:lastRenderedPageBreak/>
        <w:t xml:space="preserve">significant economies of scale. Smaller, but still substantial, gaps </w:t>
      </w:r>
      <w:r w:rsidR="005F7A5C">
        <w:t>were</w:t>
      </w:r>
      <w:r w:rsidR="00B3421C">
        <w:t xml:space="preserve"> observed in personal and business services</w:t>
      </w:r>
      <w:r>
        <w:t xml:space="preserve">. </w:t>
      </w:r>
      <w:r w:rsidR="00B3421C">
        <w:t xml:space="preserve">Meanwhile, </w:t>
      </w:r>
      <w:r>
        <w:t xml:space="preserve">mining, construction and agriculture (jointly) </w:t>
      </w:r>
      <w:r w:rsidR="00483FF1">
        <w:t xml:space="preserve">were </w:t>
      </w:r>
      <w:r>
        <w:t xml:space="preserve">significantly more productive than their peers in the US. </w:t>
      </w:r>
      <w:r w:rsidR="00B3421C">
        <w:t>These observations could reflect the theory of comparative advantage — that nations specialise in areas where they have strong underlying relative advantages (Australia being an exporter of mining and agricultural goods) as well as the possibility that specialisation</w:t>
      </w:r>
      <w:r w:rsidR="000403F5">
        <w:t xml:space="preserve"> in and</w:t>
      </w:r>
      <w:r w:rsidR="00B3421C">
        <w:t xml:space="preserve"> of itself has contributed to improved productivity in relevant sectors over time.</w:t>
      </w:r>
      <w:r w:rsidR="00E23CE2">
        <w:t xml:space="preserve"> </w:t>
      </w:r>
    </w:p>
    <w:p w14:paraId="7B195382" w14:textId="371C2CB9" w:rsidR="003038E7" w:rsidRDefault="003038E7" w:rsidP="004A2B9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038E7" w14:paraId="644F9326" w14:textId="77777777" w:rsidTr="004A2B94">
        <w:trPr>
          <w:tblHeader/>
        </w:trPr>
        <w:tc>
          <w:tcPr>
            <w:tcW w:w="5000" w:type="pct"/>
            <w:tcBorders>
              <w:top w:val="single" w:sz="6" w:space="0" w:color="78A22F"/>
              <w:left w:val="nil"/>
              <w:bottom w:val="nil"/>
              <w:right w:val="nil"/>
            </w:tcBorders>
            <w:shd w:val="clear" w:color="auto" w:fill="auto"/>
          </w:tcPr>
          <w:p w14:paraId="15A59B77" w14:textId="1800984D" w:rsidR="003038E7" w:rsidRDefault="003038E7" w:rsidP="004A2B94">
            <w:pPr>
              <w:pStyle w:val="FigureTitle"/>
            </w:pPr>
            <w:r w:rsidRPr="00784A05">
              <w:rPr>
                <w:b w:val="0"/>
              </w:rPr>
              <w:t xml:space="preserve">Figure </w:t>
            </w:r>
            <w:r w:rsidR="007C4AB4">
              <w:rPr>
                <w:b w:val="0"/>
              </w:rPr>
              <w:t>6</w:t>
            </w:r>
            <w:r>
              <w:tab/>
            </w:r>
            <w:r w:rsidRPr="003038E7">
              <w:t>There are some enduring gaps in productivity</w:t>
            </w:r>
          </w:p>
          <w:p w14:paraId="0D49D3D0" w14:textId="312102E5" w:rsidR="003038E7" w:rsidRPr="00176D3F" w:rsidRDefault="003C59C0" w:rsidP="003C59C0">
            <w:pPr>
              <w:pStyle w:val="Subtitle"/>
            </w:pPr>
            <w:r>
              <w:t>Australian l</w:t>
            </w:r>
            <w:r w:rsidR="003038E7" w:rsidRPr="003038E7">
              <w:t xml:space="preserve">evels of labour productivity as a proportion of </w:t>
            </w:r>
            <w:r>
              <w:t>those in the</w:t>
            </w:r>
            <w:r w:rsidR="003038E7" w:rsidRPr="003038E7">
              <w:t xml:space="preserve"> United States of America</w:t>
            </w:r>
            <w:r w:rsidR="003038E7" w:rsidRPr="003038E7">
              <w:rPr>
                <w:rStyle w:val="NoteLabel"/>
              </w:rPr>
              <w:t>a</w:t>
            </w:r>
            <w:r w:rsidR="003038E7" w:rsidRPr="003038E7">
              <w:t xml:space="preserve"> by industry</w:t>
            </w:r>
            <w:r w:rsidR="00D652CC" w:rsidRPr="00D652CC">
              <w:rPr>
                <w:rStyle w:val="NoteLabel"/>
              </w:rPr>
              <w:t>b</w:t>
            </w:r>
            <w:r w:rsidR="003038E7" w:rsidRPr="003038E7">
              <w:t xml:space="preserve"> in 2005</w:t>
            </w:r>
          </w:p>
        </w:tc>
      </w:tr>
      <w:tr w:rsidR="003038E7" w14:paraId="4261FC70" w14:textId="77777777" w:rsidTr="004A2B9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3038E7" w:rsidRPr="00B1465D" w14:paraId="63D28F97" w14:textId="77777777" w:rsidTr="000530A1">
              <w:trPr>
                <w:tblHeader/>
                <w:jc w:val="center"/>
              </w:trPr>
              <w:tc>
                <w:tcPr>
                  <w:tcW w:w="8504" w:type="dxa"/>
                  <w:tcBorders>
                    <w:top w:val="nil"/>
                    <w:bottom w:val="nil"/>
                  </w:tcBorders>
                </w:tcPr>
                <w:p w14:paraId="5BCD08AC" w14:textId="33B23CEB" w:rsidR="003038E7" w:rsidRPr="00B1465D" w:rsidRDefault="0093704E" w:rsidP="004A2B94">
                  <w:pPr>
                    <w:pStyle w:val="Figure"/>
                    <w:spacing w:before="60" w:after="60"/>
                    <w:rPr>
                      <w:rFonts w:ascii="Arial" w:hAnsi="Arial" w:cs="Arial"/>
                      <w:sz w:val="18"/>
                      <w:szCs w:val="18"/>
                    </w:rPr>
                  </w:pPr>
                  <w:r w:rsidRPr="0093704E">
                    <w:rPr>
                      <w:rFonts w:ascii="Arial" w:hAnsi="Arial" w:cs="Arial"/>
                      <w:noProof/>
                      <w:sz w:val="18"/>
                      <w:szCs w:val="18"/>
                    </w:rPr>
                    <w:drawing>
                      <wp:inline distT="0" distB="0" distL="0" distR="0" wp14:anchorId="23C31BB4" wp14:editId="28513D3E">
                        <wp:extent cx="4860000" cy="4087441"/>
                        <wp:effectExtent l="0" t="0" r="0" b="8890"/>
                        <wp:docPr id="4" name="Picture 4" descr="Figure 6: There are some enduring gaps in productivity: This chart displays levels of labour productivity as a proportion of the United States of America across a selection of industries in 2005. it can be seen that for the selection of industries displayed, including service industries such as finance and personal service, as well as information and communications, Australia lags the United States by between 20 and 60 per cent. Only in the combined category of mining, utilities, construction and agriculture was Australian industry more productive than the United States (by about 4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60000" cy="4087441"/>
                                </a:xfrm>
                                <a:prstGeom prst="rect">
                                  <a:avLst/>
                                </a:prstGeom>
                                <a:noFill/>
                                <a:ln>
                                  <a:noFill/>
                                </a:ln>
                              </pic:spPr>
                            </pic:pic>
                          </a:graphicData>
                        </a:graphic>
                      </wp:inline>
                    </w:drawing>
                  </w:r>
                </w:p>
              </w:tc>
            </w:tr>
          </w:tbl>
          <w:p w14:paraId="1FDB7D48" w14:textId="77777777" w:rsidR="003038E7" w:rsidRDefault="003038E7" w:rsidP="004A2B94">
            <w:pPr>
              <w:pStyle w:val="Figure"/>
            </w:pPr>
          </w:p>
        </w:tc>
      </w:tr>
      <w:tr w:rsidR="003038E7" w:rsidRPr="00176D3F" w14:paraId="52E09A40" w14:textId="77777777" w:rsidTr="004A2B94">
        <w:tc>
          <w:tcPr>
            <w:tcW w:w="5000" w:type="pct"/>
            <w:tcBorders>
              <w:top w:val="nil"/>
              <w:left w:val="nil"/>
              <w:bottom w:val="nil"/>
              <w:right w:val="nil"/>
            </w:tcBorders>
            <w:shd w:val="clear" w:color="auto" w:fill="auto"/>
          </w:tcPr>
          <w:p w14:paraId="441E20E4" w14:textId="2D83E666" w:rsidR="003038E7" w:rsidRPr="00176D3F" w:rsidRDefault="003038E7" w:rsidP="004A2B94">
            <w:pPr>
              <w:pStyle w:val="Note"/>
            </w:pPr>
            <w:r>
              <w:rPr>
                <w:rStyle w:val="NoteLabel"/>
              </w:rPr>
              <w:t>a</w:t>
            </w:r>
            <w:r>
              <w:t xml:space="preserve"> Purchasing power parity adjustments are made by industry using 2005 prices. Information and communications also includes manufacturing of electrical machinery. </w:t>
            </w:r>
            <w:r w:rsidR="00D652CC" w:rsidRPr="00D652CC">
              <w:rPr>
                <w:rStyle w:val="NoteLabel"/>
              </w:rPr>
              <w:t>b</w:t>
            </w:r>
            <w:r w:rsidR="00D652CC">
              <w:t> </w:t>
            </w:r>
            <w:r w:rsidR="000530A1">
              <w:t>Primary production includes agriculture, construction and mining. Finance and business does not include real estate. Manufacturing does not include electrical machinery.</w:t>
            </w:r>
          </w:p>
        </w:tc>
      </w:tr>
      <w:tr w:rsidR="003038E7" w:rsidRPr="00176D3F" w14:paraId="14219756" w14:textId="77777777" w:rsidTr="004A2B94">
        <w:tc>
          <w:tcPr>
            <w:tcW w:w="5000" w:type="pct"/>
            <w:tcBorders>
              <w:top w:val="nil"/>
              <w:left w:val="nil"/>
              <w:bottom w:val="nil"/>
              <w:right w:val="nil"/>
            </w:tcBorders>
            <w:shd w:val="clear" w:color="auto" w:fill="auto"/>
          </w:tcPr>
          <w:p w14:paraId="0D8A77C6" w14:textId="722B5FB3" w:rsidR="003038E7" w:rsidRPr="00176D3F" w:rsidRDefault="003038E7" w:rsidP="004A2B94">
            <w:pPr>
              <w:pStyle w:val="Source"/>
            </w:pPr>
            <w:r>
              <w:rPr>
                <w:i/>
              </w:rPr>
              <w:t>S</w:t>
            </w:r>
            <w:r w:rsidRPr="00784A05">
              <w:rPr>
                <w:i/>
              </w:rPr>
              <w:t>ource</w:t>
            </w:r>
            <w:r w:rsidRPr="00176D3F">
              <w:t xml:space="preserve">: </w:t>
            </w:r>
            <w:r>
              <w:t xml:space="preserve">Inklaar and Timmer </w:t>
            </w:r>
            <w:r w:rsidRPr="00601579">
              <w:rPr>
                <w:rFonts w:cs="Arial"/>
              </w:rPr>
              <w:t>(2008)</w:t>
            </w:r>
            <w:r>
              <w:t>.</w:t>
            </w:r>
          </w:p>
        </w:tc>
      </w:tr>
      <w:tr w:rsidR="003038E7" w14:paraId="05869B04" w14:textId="77777777" w:rsidTr="004A2B94">
        <w:tc>
          <w:tcPr>
            <w:tcW w:w="5000" w:type="pct"/>
            <w:tcBorders>
              <w:top w:val="nil"/>
              <w:left w:val="nil"/>
              <w:bottom w:val="single" w:sz="6" w:space="0" w:color="78A22F"/>
              <w:right w:val="nil"/>
            </w:tcBorders>
            <w:shd w:val="clear" w:color="auto" w:fill="auto"/>
          </w:tcPr>
          <w:p w14:paraId="67B77EC1" w14:textId="77777777" w:rsidR="003038E7" w:rsidRDefault="003038E7" w:rsidP="004A2B94">
            <w:pPr>
              <w:pStyle w:val="Figurespace"/>
            </w:pPr>
          </w:p>
        </w:tc>
      </w:tr>
      <w:tr w:rsidR="003038E7" w:rsidRPr="000863A5" w14:paraId="4620B77A" w14:textId="77777777" w:rsidTr="004A2B94">
        <w:tc>
          <w:tcPr>
            <w:tcW w:w="5000" w:type="pct"/>
            <w:tcBorders>
              <w:top w:val="single" w:sz="6" w:space="0" w:color="78A22F"/>
              <w:left w:val="nil"/>
              <w:bottom w:val="nil"/>
              <w:right w:val="nil"/>
            </w:tcBorders>
          </w:tcPr>
          <w:p w14:paraId="17F5A752" w14:textId="4EEC7EC9" w:rsidR="003038E7" w:rsidRPr="00626D32" w:rsidRDefault="003038E7" w:rsidP="004A2B94">
            <w:pPr>
              <w:pStyle w:val="BoxSpaceBelow"/>
            </w:pPr>
          </w:p>
        </w:tc>
      </w:tr>
    </w:tbl>
    <w:p w14:paraId="67798582" w14:textId="41DF7010" w:rsidR="004D7CBD" w:rsidRDefault="00B3421C" w:rsidP="004D7CBD">
      <w:pPr>
        <w:pStyle w:val="BodyText"/>
      </w:pPr>
      <w:r>
        <w:t xml:space="preserve">As noted in the first </w:t>
      </w:r>
      <w:r w:rsidR="005365E5" w:rsidRPr="00216FEE">
        <w:rPr>
          <w:i/>
        </w:rPr>
        <w:t>Productivity I</w:t>
      </w:r>
      <w:r w:rsidRPr="00216FEE">
        <w:rPr>
          <w:i/>
        </w:rPr>
        <w:t xml:space="preserve">nsights </w:t>
      </w:r>
      <w:r>
        <w:t>paper</w:t>
      </w:r>
      <w:r w:rsidR="000702F1">
        <w:t xml:space="preserve"> </w:t>
      </w:r>
      <w:r w:rsidR="000702F1" w:rsidRPr="000702F1">
        <w:rPr>
          <w:szCs w:val="24"/>
        </w:rPr>
        <w:t>(PC 2020)</w:t>
      </w:r>
      <w:r>
        <w:t xml:space="preserve">, differences in labour productivity can be attributable to differing capital intensity or </w:t>
      </w:r>
      <w:r w:rsidR="00EB3222">
        <w:t xml:space="preserve">to differing </w:t>
      </w:r>
      <w:r>
        <w:t xml:space="preserve">multifactor productivity (better combining capital and labour inputs to generate higher output). </w:t>
      </w:r>
      <w:r w:rsidR="004D7CBD">
        <w:t>In Australia’s case, the overall gap in labour productivity appears to be due</w:t>
      </w:r>
      <w:r w:rsidR="00A818AE">
        <w:t xml:space="preserve"> mainly</w:t>
      </w:r>
      <w:r w:rsidR="004D7CBD">
        <w:t xml:space="preserve"> to multifactor productivity</w:t>
      </w:r>
      <w:r w:rsidR="00A818AE">
        <w:t xml:space="preserve"> rather than differences in capital intensity</w:t>
      </w:r>
      <w:r w:rsidR="004D7CBD">
        <w:t xml:space="preserve"> </w:t>
      </w:r>
      <w:r w:rsidR="004D7CBD" w:rsidRPr="008458A3">
        <w:rPr>
          <w:szCs w:val="24"/>
        </w:rPr>
        <w:t>(Schreyer 2009)</w:t>
      </w:r>
      <w:r w:rsidR="004D7CBD">
        <w:t xml:space="preserve">. This implies that Australia’s relative </w:t>
      </w:r>
      <w:r w:rsidR="004D7CBD">
        <w:lastRenderedPageBreak/>
        <w:t>underperformance on labour productivity reflects differences in efficiency, take up of new technologies and economies of scale.</w:t>
      </w:r>
    </w:p>
    <w:p w14:paraId="3C03AA90" w14:textId="77777777" w:rsidR="004D7CBD" w:rsidRDefault="004D7CBD" w:rsidP="004D7CBD">
      <w:pPr>
        <w:pStyle w:val="Heading3"/>
      </w:pPr>
      <w:r>
        <w:t>Where has Australia been catching up, or falling behind?</w:t>
      </w:r>
    </w:p>
    <w:p w14:paraId="73B32416" w14:textId="77777777" w:rsidR="004D7CBD" w:rsidRPr="004A556D" w:rsidRDefault="004D7CBD" w:rsidP="004D7CBD">
      <w:pPr>
        <w:pStyle w:val="BodyText"/>
        <w:rPr>
          <w:spacing w:val="-2"/>
        </w:rPr>
      </w:pPr>
      <w:r w:rsidRPr="004A556D">
        <w:rPr>
          <w:spacing w:val="-2"/>
        </w:rPr>
        <w:t xml:space="preserve">Contemporary data on labour productivity levels by industry in Australia and the US are not available. In this section, two alternative approaches are presented in order to understand how productivity has evolved since the most recent data on productivity levels in 2005. The first approach is to compare </w:t>
      </w:r>
      <w:r w:rsidR="00CD6237" w:rsidRPr="004A556D">
        <w:rPr>
          <w:spacing w:val="-2"/>
        </w:rPr>
        <w:t xml:space="preserve">productivity </w:t>
      </w:r>
      <w:r w:rsidRPr="004A556D">
        <w:rPr>
          <w:spacing w:val="-2"/>
        </w:rPr>
        <w:t xml:space="preserve">growth rates within industries and the second approach is to compare the distribution of industry labour productivity levels within each country. </w:t>
      </w:r>
    </w:p>
    <w:p w14:paraId="3A7C4EA9" w14:textId="6FFA3CAB" w:rsidR="00422110" w:rsidRPr="003B4889" w:rsidRDefault="00422110" w:rsidP="004D7CBD">
      <w:pPr>
        <w:pStyle w:val="BodyText"/>
      </w:pPr>
      <w:r w:rsidRPr="003B4889">
        <w:t>The</w:t>
      </w:r>
      <w:r w:rsidR="00CD6237" w:rsidRPr="003B4889">
        <w:t xml:space="preserve"> idea of the </w:t>
      </w:r>
      <w:r w:rsidRPr="003B4889">
        <w:t xml:space="preserve">first approach </w:t>
      </w:r>
      <w:r w:rsidR="00CD6237" w:rsidRPr="003B4889">
        <w:t xml:space="preserve">is that you can think about Australian and US productivity levels today as being the levels observed in 2005 plus the growth achieved since that time. This </w:t>
      </w:r>
      <w:r w:rsidRPr="003B4889">
        <w:t xml:space="preserve">will </w:t>
      </w:r>
      <w:r w:rsidR="00CD6237" w:rsidRPr="003B4889">
        <w:t xml:space="preserve">not </w:t>
      </w:r>
      <w:r w:rsidRPr="003B4889">
        <w:t xml:space="preserve">be </w:t>
      </w:r>
      <w:r w:rsidR="00CD6237" w:rsidRPr="003B4889">
        <w:t>accurate</w:t>
      </w:r>
      <w:r w:rsidRPr="003B4889">
        <w:t xml:space="preserve"> if relative prices </w:t>
      </w:r>
      <w:r w:rsidR="00CD6237" w:rsidRPr="003B4889">
        <w:t>in Australia and the US</w:t>
      </w:r>
      <w:r w:rsidRPr="003B4889">
        <w:t xml:space="preserve"> have </w:t>
      </w:r>
      <w:r w:rsidR="00CD6237" w:rsidRPr="003B4889">
        <w:t>changed significantly</w:t>
      </w:r>
      <w:r w:rsidRPr="003B4889">
        <w:t xml:space="preserve">. For example, real productivity </w:t>
      </w:r>
      <w:r w:rsidRPr="003B4889">
        <w:rPr>
          <w:i/>
        </w:rPr>
        <w:t>growth</w:t>
      </w:r>
      <w:r w:rsidRPr="003B4889">
        <w:t xml:space="preserve"> in </w:t>
      </w:r>
      <w:r w:rsidR="00CD6237" w:rsidRPr="003B4889">
        <w:t xml:space="preserve">mining </w:t>
      </w:r>
      <w:r w:rsidRPr="003B4889">
        <w:t xml:space="preserve">appears to have been </w:t>
      </w:r>
      <w:r w:rsidR="00CD6237" w:rsidRPr="003B4889">
        <w:t xml:space="preserve">slower </w:t>
      </w:r>
      <w:r w:rsidRPr="003B4889">
        <w:t>in Australia than the US (figure</w:t>
      </w:r>
      <w:r w:rsidR="007C4AB4">
        <w:t>s</w:t>
      </w:r>
      <w:r w:rsidRPr="003B4889">
        <w:t> 7</w:t>
      </w:r>
      <w:r w:rsidR="007C4AB4">
        <w:t xml:space="preserve"> and 8</w:t>
      </w:r>
      <w:r w:rsidRPr="003B4889">
        <w:t xml:space="preserve">). However, if the price of </w:t>
      </w:r>
      <w:r w:rsidR="00CD6237" w:rsidRPr="003B4889">
        <w:t>mining output</w:t>
      </w:r>
      <w:r w:rsidRPr="003B4889">
        <w:t xml:space="preserve"> in Australia has </w:t>
      </w:r>
      <w:r w:rsidR="00CD6237" w:rsidRPr="003B4889">
        <w:t>risen</w:t>
      </w:r>
      <w:r w:rsidRPr="003B4889">
        <w:t xml:space="preserve"> relative to th</w:t>
      </w:r>
      <w:r w:rsidR="00CD6237" w:rsidRPr="003B4889">
        <w:t>at of the</w:t>
      </w:r>
      <w:r w:rsidRPr="003B4889">
        <w:t xml:space="preserve"> US </w:t>
      </w:r>
      <w:r w:rsidR="00CD6237" w:rsidRPr="003B4889">
        <w:t xml:space="preserve">(because we mine a different mix of commodities) </w:t>
      </w:r>
      <w:r w:rsidRPr="003B4889">
        <w:t>th</w:t>
      </w:r>
      <w:r w:rsidR="00CD6237" w:rsidRPr="003B4889">
        <w:t>e</w:t>
      </w:r>
      <w:r w:rsidRPr="003B4889">
        <w:t xml:space="preserve">n this may not mean that the </w:t>
      </w:r>
      <w:r w:rsidRPr="003B4889">
        <w:rPr>
          <w:i/>
        </w:rPr>
        <w:t>level</w:t>
      </w:r>
      <w:r w:rsidRPr="003B4889">
        <w:t xml:space="preserve"> of productivity in </w:t>
      </w:r>
      <w:r w:rsidR="00CD6237" w:rsidRPr="003B4889">
        <w:t>mining</w:t>
      </w:r>
      <w:r w:rsidRPr="003B4889">
        <w:t xml:space="preserve"> in Australian is </w:t>
      </w:r>
      <w:r w:rsidR="00CD6237" w:rsidRPr="003B4889">
        <w:t>lower</w:t>
      </w:r>
      <w:r w:rsidRPr="003B4889">
        <w:t xml:space="preserve"> relative to the US than it was in 2005. </w:t>
      </w:r>
    </w:p>
    <w:p w14:paraId="4DE28E2C" w14:textId="773FF137" w:rsidR="0016033A" w:rsidRPr="003B4889" w:rsidRDefault="00CD6237" w:rsidP="004D7CBD">
      <w:pPr>
        <w:pStyle w:val="BodyText"/>
      </w:pPr>
      <w:r w:rsidRPr="003B4889">
        <w:t>T</w:t>
      </w:r>
      <w:r w:rsidR="0016033A" w:rsidRPr="003B4889">
        <w:t>his analysis indicates that</w:t>
      </w:r>
      <w:r w:rsidR="001B7385" w:rsidRPr="003B4889">
        <w:t xml:space="preserve"> </w:t>
      </w:r>
      <w:r w:rsidR="0016033A" w:rsidRPr="003B4889">
        <w:t xml:space="preserve">Australia has had faster productivity improvements than the US in </w:t>
      </w:r>
      <w:r w:rsidR="001B7385" w:rsidRPr="003B4889">
        <w:t xml:space="preserve">some </w:t>
      </w:r>
      <w:r w:rsidR="0016033A" w:rsidRPr="003B4889">
        <w:t xml:space="preserve">industries </w:t>
      </w:r>
      <w:r w:rsidR="001B7385" w:rsidRPr="003B4889">
        <w:t>and slower productivity in others. On the assumption that relative prices have been fairly steady, this suggest</w:t>
      </w:r>
      <w:r w:rsidR="00191B5A">
        <w:t>s</w:t>
      </w:r>
      <w:r w:rsidR="001B7385" w:rsidRPr="003B4889">
        <w:t xml:space="preserve"> for example that Australian productivity has closed some of the gap with the US productivity level </w:t>
      </w:r>
      <w:r w:rsidR="003E5A82" w:rsidRPr="003B4889">
        <w:t>in goods distribution (wholesale, retail and transport and storage) but fallen further behind in information and communications and manufacturing.</w:t>
      </w:r>
      <w:r w:rsidR="00B14E32" w:rsidRPr="003B4889">
        <w:t xml:space="preserve"> </w:t>
      </w:r>
      <w:r w:rsidR="00411639" w:rsidRPr="003B4889">
        <w:t>Australian productivity growth has also been faster in agriculture (note these data pre</w:t>
      </w:r>
      <w:r w:rsidR="00E23CE2">
        <w:noBreakHyphen/>
      </w:r>
      <w:r w:rsidR="00411639" w:rsidRPr="003B4889">
        <w:t>date the recent drought).</w:t>
      </w:r>
    </w:p>
    <w:p w14:paraId="07751397" w14:textId="05355D86" w:rsidR="00B14E32" w:rsidRPr="003B4889" w:rsidRDefault="00422110" w:rsidP="00B14E32">
      <w:pPr>
        <w:pStyle w:val="BodyText"/>
      </w:pPr>
      <w:r w:rsidRPr="003B4889">
        <w:t xml:space="preserve">The </w:t>
      </w:r>
      <w:r w:rsidR="003E5A82" w:rsidRPr="003B4889">
        <w:t xml:space="preserve">idea of the </w:t>
      </w:r>
      <w:r w:rsidRPr="003B4889">
        <w:t xml:space="preserve">second approach </w:t>
      </w:r>
      <w:r w:rsidR="003E5A82" w:rsidRPr="003B4889">
        <w:t>— looking at industry productivity levels within countries — is that it allows for changes in relative prices between industries within each country</w:t>
      </w:r>
      <w:r w:rsidR="005A75C8">
        <w:t xml:space="preserve"> (figure </w:t>
      </w:r>
      <w:r w:rsidR="007C4AB4">
        <w:t>9</w:t>
      </w:r>
      <w:r w:rsidR="005A75C8">
        <w:t>)</w:t>
      </w:r>
      <w:r w:rsidR="003E5A82" w:rsidRPr="003B4889">
        <w:t xml:space="preserve">. That is, changes in </w:t>
      </w:r>
      <w:r w:rsidR="00B14E32" w:rsidRPr="003B4889">
        <w:t xml:space="preserve">an industry’s productivity </w:t>
      </w:r>
      <w:r w:rsidR="00B14E32" w:rsidRPr="003B4889">
        <w:rPr>
          <w:i/>
        </w:rPr>
        <w:t>level</w:t>
      </w:r>
      <w:r w:rsidR="00B14E32" w:rsidRPr="003B4889">
        <w:t xml:space="preserve"> measure</w:t>
      </w:r>
      <w:r w:rsidR="004A2B94" w:rsidRPr="003B4889">
        <w:t>d in dollars of value added per </w:t>
      </w:r>
      <w:r w:rsidR="00B14E32" w:rsidRPr="003B4889">
        <w:t xml:space="preserve">hour worked can reflect changes in </w:t>
      </w:r>
      <w:r w:rsidR="003E5A82" w:rsidRPr="003B4889">
        <w:t>either physical productivity levels in an industry or the price of its output</w:t>
      </w:r>
      <w:r w:rsidR="00B14E32" w:rsidRPr="003B4889">
        <w:t>. An industry that lies on the diagonal line in figure </w:t>
      </w:r>
      <w:r w:rsidR="007C4AB4">
        <w:t>9</w:t>
      </w:r>
      <w:r w:rsidR="00B14E32" w:rsidRPr="003B4889">
        <w:t xml:space="preserve"> has productivity relative to the economy</w:t>
      </w:r>
      <w:r w:rsidR="00E23CE2">
        <w:noBreakHyphen/>
      </w:r>
      <w:r w:rsidR="00B14E32" w:rsidRPr="003B4889">
        <w:t>wide average that is the same in both countries</w:t>
      </w:r>
      <w:r w:rsidR="0016033A" w:rsidRPr="003B4889">
        <w:t xml:space="preserve">. </w:t>
      </w:r>
      <w:r w:rsidR="00B14E32" w:rsidRPr="003B4889">
        <w:t xml:space="preserve">An industry above the line is likely an area of particular strength for the US, while an industry below the line is likely an area of particular weakness. </w:t>
      </w:r>
    </w:p>
    <w:p w14:paraId="5D3E7830" w14:textId="781E6E80" w:rsidR="00F908C7" w:rsidRDefault="00B14E32" w:rsidP="004D7CBD">
      <w:pPr>
        <w:pStyle w:val="BodyText"/>
      </w:pPr>
      <w:r w:rsidRPr="003B4889">
        <w:t xml:space="preserve">The comparison between 2005 and 2017 suggests industries where Australia may be pulling ahead or falling behind. </w:t>
      </w:r>
      <w:r w:rsidR="00411639" w:rsidRPr="003B4889">
        <w:t>On the whole, the relative strengths of both the Australian and the US economies have remained fairly stable between 2005 and 2017. However, a</w:t>
      </w:r>
      <w:r w:rsidRPr="003B4889">
        <w:t xml:space="preserve">gain, the data suggest that </w:t>
      </w:r>
      <w:r w:rsidR="00411639" w:rsidRPr="003B4889">
        <w:t xml:space="preserve">Australia has fallen further behind since 2005 in manufacturing and information and communications (that is, these have moved further above the diagonal line). On the other hand, the analysis suggests that Australian mining productivity has pulled further ahead of the US (it has moved further below the diagonal line), because of the relative improvement </w:t>
      </w:r>
      <w:r w:rsidR="00411639" w:rsidRPr="003B4889">
        <w:lastRenderedPageBreak/>
        <w:t>in the price of Australian mineral exports. Again, agriculture also stands out as an area where Australian productivity has outperformed the United States since 2005.</w:t>
      </w:r>
      <w:r w:rsidR="007C4AB4">
        <w:t xml:space="preserve"> </w:t>
      </w:r>
    </w:p>
    <w:p w14:paraId="4D9D0548" w14:textId="592E0A61" w:rsidR="00B70216" w:rsidRPr="00DC7822" w:rsidRDefault="00B70216" w:rsidP="003912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70216" w14:paraId="5A6913B1" w14:textId="77777777" w:rsidTr="00391282">
        <w:trPr>
          <w:tblHeader/>
        </w:trPr>
        <w:tc>
          <w:tcPr>
            <w:tcW w:w="5000" w:type="pct"/>
            <w:tcBorders>
              <w:top w:val="single" w:sz="6" w:space="0" w:color="78A22F"/>
              <w:left w:val="nil"/>
              <w:bottom w:val="nil"/>
              <w:right w:val="nil"/>
            </w:tcBorders>
            <w:shd w:val="clear" w:color="auto" w:fill="auto"/>
          </w:tcPr>
          <w:p w14:paraId="1BE068EF" w14:textId="24C04F90" w:rsidR="00B70216" w:rsidRDefault="00B70216" w:rsidP="00391282">
            <w:pPr>
              <w:pStyle w:val="FigureTitle"/>
            </w:pPr>
            <w:r w:rsidRPr="00784A05">
              <w:rPr>
                <w:b w:val="0"/>
              </w:rPr>
              <w:t xml:space="preserve">Figure </w:t>
            </w:r>
            <w:r>
              <w:rPr>
                <w:b w:val="0"/>
              </w:rPr>
              <w:t>7</w:t>
            </w:r>
            <w:r>
              <w:tab/>
            </w:r>
            <w:r w:rsidRPr="00B70216">
              <w:t>Some Australian industries have improved their productivity more than their US peers</w:t>
            </w:r>
          </w:p>
          <w:p w14:paraId="0B266122" w14:textId="2A2FAFCF" w:rsidR="00B70216" w:rsidRPr="00176D3F" w:rsidRDefault="00B70216" w:rsidP="00391282">
            <w:pPr>
              <w:pStyle w:val="Subtitle"/>
            </w:pPr>
            <w:r w:rsidRPr="003B4889">
              <w:t>Difference in the average annual labour productivity growth between Australia and the United States of America</w:t>
            </w:r>
            <w:r>
              <w:t xml:space="preserve"> by industry</w:t>
            </w:r>
            <w:r w:rsidRPr="00B70216">
              <w:rPr>
                <w:rStyle w:val="NoteLabel"/>
              </w:rPr>
              <w:t>a</w:t>
            </w:r>
            <w:r w:rsidRPr="003B4889">
              <w:t xml:space="preserve"> between 2005 and 2017</w:t>
            </w:r>
          </w:p>
        </w:tc>
      </w:tr>
      <w:tr w:rsidR="00B70216" w14:paraId="583BCC47" w14:textId="77777777" w:rsidTr="0039128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70216" w:rsidRPr="00B1465D" w14:paraId="0DDEF97A" w14:textId="77777777" w:rsidTr="00391282">
              <w:trPr>
                <w:tblHeader/>
                <w:jc w:val="center"/>
              </w:trPr>
              <w:tc>
                <w:tcPr>
                  <w:tcW w:w="5000" w:type="pct"/>
                  <w:tcBorders>
                    <w:top w:val="nil"/>
                    <w:bottom w:val="nil"/>
                  </w:tcBorders>
                </w:tcPr>
                <w:p w14:paraId="0C254BF0" w14:textId="2E18086B" w:rsidR="00B70216" w:rsidRPr="00B1465D" w:rsidRDefault="00EA66D7" w:rsidP="003912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7AB0402A" wp14:editId="69F1324D">
                        <wp:extent cx="5126990" cy="4725035"/>
                        <wp:effectExtent l="0" t="0" r="0" b="0"/>
                        <wp:docPr id="35" name="Picture 35" descr="Figure 7: This chart shows the difference in the average annual labour productivity growth between Australia and the United States of America between 2005 and 2017. It can be seen that industries such as construction; transport and storage; and agriculture, forestry and fishing appear to have had significantly faster growth in Australia than in the United States. Whereas industries such as mining and quarrying; electricity, gas, water and sewerage; and information and communication had significantly slower relative growth. Note: this chart should not be interpreted as saying which industries now have higher or lower relative levels of productivity. Such a conclusion would require knowing the change in relative prices across the two countries in each industry between 2005 and 2017." title="Some Australian industries have improved their productivity more than their US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6990" cy="4725035"/>
                                </a:xfrm>
                                <a:prstGeom prst="rect">
                                  <a:avLst/>
                                </a:prstGeom>
                                <a:noFill/>
                              </pic:spPr>
                            </pic:pic>
                          </a:graphicData>
                        </a:graphic>
                      </wp:inline>
                    </w:drawing>
                  </w:r>
                </w:p>
              </w:tc>
            </w:tr>
          </w:tbl>
          <w:p w14:paraId="3E157524" w14:textId="77777777" w:rsidR="00B70216" w:rsidRDefault="00B70216" w:rsidP="00391282">
            <w:pPr>
              <w:pStyle w:val="Figure"/>
            </w:pPr>
          </w:p>
        </w:tc>
      </w:tr>
      <w:tr w:rsidR="00B70216" w:rsidRPr="00176D3F" w14:paraId="1425FB59" w14:textId="77777777" w:rsidTr="00391282">
        <w:tc>
          <w:tcPr>
            <w:tcW w:w="5000" w:type="pct"/>
            <w:tcBorders>
              <w:top w:val="nil"/>
              <w:left w:val="nil"/>
              <w:bottom w:val="nil"/>
              <w:right w:val="nil"/>
            </w:tcBorders>
            <w:shd w:val="clear" w:color="auto" w:fill="auto"/>
          </w:tcPr>
          <w:p w14:paraId="0918B6B5" w14:textId="0ED87C7D" w:rsidR="00B70216" w:rsidRPr="00176D3F" w:rsidRDefault="00B70216" w:rsidP="00547A2F">
            <w:pPr>
              <w:pStyle w:val="Note"/>
            </w:pPr>
            <w:r>
              <w:rPr>
                <w:rStyle w:val="NoteLabel"/>
              </w:rPr>
              <w:t>a</w:t>
            </w:r>
            <w:r>
              <w:t xml:space="preserve"> </w:t>
            </w:r>
            <w:r w:rsidR="00F40DF9">
              <w:t xml:space="preserve">Professional, </w:t>
            </w:r>
            <w:r w:rsidR="00547A2F">
              <w:t>and scientific</w:t>
            </w:r>
            <w:r w:rsidR="00F40DF9">
              <w:t xml:space="preserve"> services also includes</w:t>
            </w:r>
            <w:r w:rsidR="00EA66D7">
              <w:t xml:space="preserve"> technical,</w:t>
            </w:r>
            <w:r w:rsidR="00F40DF9">
              <w:t xml:space="preserve"> administrative and support services</w:t>
            </w:r>
            <w:r>
              <w:t xml:space="preserve">. </w:t>
            </w:r>
          </w:p>
        </w:tc>
      </w:tr>
      <w:tr w:rsidR="00B70216" w:rsidRPr="00176D3F" w14:paraId="73DE5A6F" w14:textId="77777777" w:rsidTr="00391282">
        <w:tc>
          <w:tcPr>
            <w:tcW w:w="5000" w:type="pct"/>
            <w:tcBorders>
              <w:top w:val="nil"/>
              <w:left w:val="nil"/>
              <w:bottom w:val="nil"/>
              <w:right w:val="nil"/>
            </w:tcBorders>
            <w:shd w:val="clear" w:color="auto" w:fill="auto"/>
          </w:tcPr>
          <w:p w14:paraId="102844A6" w14:textId="29782614" w:rsidR="00B70216" w:rsidRPr="00176D3F" w:rsidRDefault="00286D20" w:rsidP="00391282">
            <w:pPr>
              <w:pStyle w:val="Source"/>
            </w:pPr>
            <w:r w:rsidRPr="003B4889">
              <w:rPr>
                <w:i/>
              </w:rPr>
              <w:t>Sources</w:t>
            </w:r>
            <w:r w:rsidRPr="003B4889">
              <w:t>: Commission estimates based on ABS (</w:t>
            </w:r>
            <w:r w:rsidRPr="003B4889">
              <w:rPr>
                <w:i/>
              </w:rPr>
              <w:t>Estimates of Industry Multifactor Productivity, Australia, 201</w:t>
            </w:r>
            <w:r>
              <w:rPr>
                <w:i/>
              </w:rPr>
              <w:t>8</w:t>
            </w:r>
            <w:r w:rsidRPr="003B4889">
              <w:rPr>
                <w:i/>
              </w:rPr>
              <w:noBreakHyphen/>
              <w:t>1</w:t>
            </w:r>
            <w:r>
              <w:rPr>
                <w:i/>
              </w:rPr>
              <w:t>9</w:t>
            </w:r>
            <w:r w:rsidRPr="003B4889">
              <w:t>, Cat. no. 5260, tables 1 to 19) and the EU KLEMS database.</w:t>
            </w:r>
          </w:p>
        </w:tc>
      </w:tr>
      <w:tr w:rsidR="00B70216" w14:paraId="230E8FC2" w14:textId="77777777" w:rsidTr="00391282">
        <w:tc>
          <w:tcPr>
            <w:tcW w:w="5000" w:type="pct"/>
            <w:tcBorders>
              <w:top w:val="nil"/>
              <w:left w:val="nil"/>
              <w:bottom w:val="single" w:sz="6" w:space="0" w:color="78A22F"/>
              <w:right w:val="nil"/>
            </w:tcBorders>
            <w:shd w:val="clear" w:color="auto" w:fill="auto"/>
          </w:tcPr>
          <w:p w14:paraId="34405521" w14:textId="77777777" w:rsidR="00B70216" w:rsidRDefault="00B70216" w:rsidP="00391282">
            <w:pPr>
              <w:pStyle w:val="Figurespace"/>
            </w:pPr>
          </w:p>
        </w:tc>
      </w:tr>
      <w:tr w:rsidR="00B70216" w:rsidRPr="000863A5" w14:paraId="256645C0" w14:textId="77777777" w:rsidTr="00391282">
        <w:tc>
          <w:tcPr>
            <w:tcW w:w="5000" w:type="pct"/>
            <w:tcBorders>
              <w:top w:val="single" w:sz="6" w:space="0" w:color="78A22F"/>
              <w:left w:val="nil"/>
              <w:bottom w:val="nil"/>
              <w:right w:val="nil"/>
            </w:tcBorders>
          </w:tcPr>
          <w:p w14:paraId="00ADC4DF" w14:textId="56510CF2" w:rsidR="00B70216" w:rsidRPr="00DC7822" w:rsidRDefault="00B70216" w:rsidP="00391282">
            <w:pPr>
              <w:pStyle w:val="BoxSpaceBelow"/>
            </w:pPr>
          </w:p>
        </w:tc>
      </w:tr>
    </w:tbl>
    <w:p w14:paraId="45A83701" w14:textId="77777777" w:rsidR="00B70216" w:rsidRDefault="00B70216" w:rsidP="007C4AB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C4AB4" w14:paraId="6026719C" w14:textId="77777777" w:rsidTr="00391282">
        <w:trPr>
          <w:tblHeader/>
        </w:trPr>
        <w:tc>
          <w:tcPr>
            <w:tcW w:w="5000" w:type="pct"/>
            <w:tcBorders>
              <w:top w:val="single" w:sz="6" w:space="0" w:color="78A22F"/>
              <w:left w:val="nil"/>
              <w:bottom w:val="nil"/>
              <w:right w:val="nil"/>
            </w:tcBorders>
            <w:shd w:val="clear" w:color="auto" w:fill="auto"/>
          </w:tcPr>
          <w:p w14:paraId="10B797D3" w14:textId="62E9C61F" w:rsidR="007C4AB4" w:rsidRDefault="007C4AB4" w:rsidP="00391282">
            <w:pPr>
              <w:pStyle w:val="FigureTitle"/>
            </w:pPr>
            <w:r w:rsidRPr="00784A05">
              <w:rPr>
                <w:b w:val="0"/>
              </w:rPr>
              <w:t xml:space="preserve">Figure </w:t>
            </w:r>
            <w:r>
              <w:rPr>
                <w:b w:val="0"/>
              </w:rPr>
              <w:t>8</w:t>
            </w:r>
            <w:r>
              <w:tab/>
              <w:t>Finance and construction have performed well, but manufacturing and communications have not</w:t>
            </w:r>
          </w:p>
          <w:p w14:paraId="6E4820FD" w14:textId="77777777" w:rsidR="007C4AB4" w:rsidRPr="00176D3F" w:rsidRDefault="007C4AB4" w:rsidP="00391282">
            <w:pPr>
              <w:pStyle w:val="Subtitle"/>
            </w:pPr>
            <w:r>
              <w:t xml:space="preserve">Index of labour productivity </w:t>
            </w:r>
            <w:r w:rsidRPr="0072582E">
              <w:t>by industry in Australia, the US, the OECD</w:t>
            </w:r>
            <w:r w:rsidRPr="0072582E">
              <w:rPr>
                <w:rStyle w:val="NoteLabel"/>
              </w:rPr>
              <w:t>a</w:t>
            </w:r>
            <w:r w:rsidRPr="0072582E">
              <w:t xml:space="preserve"> median, and the OECD interquartile range, 2005 to </w:t>
            </w:r>
            <w:r>
              <w:t>2017</w:t>
            </w:r>
          </w:p>
        </w:tc>
      </w:tr>
      <w:tr w:rsidR="007C4AB4" w14:paraId="53415083" w14:textId="77777777" w:rsidTr="0039128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7C4AB4" w:rsidRPr="00B1465D" w14:paraId="4E4123DD" w14:textId="77777777" w:rsidTr="00391282">
              <w:trPr>
                <w:trHeight w:val="129"/>
                <w:tblHeader/>
                <w:jc w:val="center"/>
              </w:trPr>
              <w:tc>
                <w:tcPr>
                  <w:tcW w:w="2500" w:type="pct"/>
                  <w:tcBorders>
                    <w:top w:val="nil"/>
                    <w:bottom w:val="nil"/>
                  </w:tcBorders>
                </w:tcPr>
                <w:p w14:paraId="3DE1567F" w14:textId="30404AA3" w:rsidR="007C4AB4" w:rsidRPr="00B1465D" w:rsidRDefault="00852BEC" w:rsidP="003912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476A28CE" wp14:editId="4FA731F0">
                        <wp:extent cx="2670175" cy="2383790"/>
                        <wp:effectExtent l="0" t="0" r="0" b="0"/>
                        <wp:docPr id="36" name="Picture 36" descr="Figure 8 (Construction): These charts shows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 title="Labour productivity levels by industry within Australia and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0175" cy="2383790"/>
                                </a:xfrm>
                                <a:prstGeom prst="rect">
                                  <a:avLst/>
                                </a:prstGeom>
                                <a:noFill/>
                              </pic:spPr>
                            </pic:pic>
                          </a:graphicData>
                        </a:graphic>
                      </wp:inline>
                    </w:drawing>
                  </w:r>
                </w:p>
              </w:tc>
              <w:tc>
                <w:tcPr>
                  <w:tcW w:w="2500" w:type="pct"/>
                  <w:tcBorders>
                    <w:top w:val="nil"/>
                  </w:tcBorders>
                </w:tcPr>
                <w:p w14:paraId="08C02466" w14:textId="5BC0C066" w:rsidR="007C4AB4" w:rsidRPr="00B1465D" w:rsidRDefault="00852BEC" w:rsidP="003912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3FA20C34" wp14:editId="1036F993">
                        <wp:extent cx="2670175" cy="2383790"/>
                        <wp:effectExtent l="0" t="0" r="0" b="0"/>
                        <wp:docPr id="37" name="Picture 37" descr="Figure 8 (Financial and insurance services): These charts shows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0175" cy="2383790"/>
                                </a:xfrm>
                                <a:prstGeom prst="rect">
                                  <a:avLst/>
                                </a:prstGeom>
                                <a:noFill/>
                              </pic:spPr>
                            </pic:pic>
                          </a:graphicData>
                        </a:graphic>
                      </wp:inline>
                    </w:drawing>
                  </w:r>
                </w:p>
              </w:tc>
            </w:tr>
            <w:tr w:rsidR="007C4AB4" w:rsidRPr="00B1465D" w14:paraId="055DA293" w14:textId="77777777" w:rsidTr="0072582E">
              <w:trPr>
                <w:trHeight w:val="128"/>
                <w:tblHeader/>
                <w:jc w:val="center"/>
              </w:trPr>
              <w:tc>
                <w:tcPr>
                  <w:tcW w:w="2500" w:type="pct"/>
                  <w:tcBorders>
                    <w:top w:val="nil"/>
                    <w:bottom w:val="nil"/>
                  </w:tcBorders>
                </w:tcPr>
                <w:p w14:paraId="3409A1B7" w14:textId="01103181" w:rsidR="007C4AB4" w:rsidRPr="00B1465D" w:rsidRDefault="00852BEC" w:rsidP="003912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562774A3" wp14:editId="28113859">
                        <wp:extent cx="2670175" cy="2383790"/>
                        <wp:effectExtent l="0" t="0" r="0" b="0"/>
                        <wp:docPr id="46" name="Picture 46" descr="Figure 8 (Manufacturing): These charts shows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70175" cy="2383790"/>
                                </a:xfrm>
                                <a:prstGeom prst="rect">
                                  <a:avLst/>
                                </a:prstGeom>
                                <a:noFill/>
                              </pic:spPr>
                            </pic:pic>
                          </a:graphicData>
                        </a:graphic>
                      </wp:inline>
                    </w:drawing>
                  </w:r>
                </w:p>
              </w:tc>
              <w:tc>
                <w:tcPr>
                  <w:tcW w:w="2500" w:type="pct"/>
                </w:tcPr>
                <w:p w14:paraId="708DA772" w14:textId="56720B96" w:rsidR="007C4AB4" w:rsidRPr="00B1465D" w:rsidRDefault="00852BEC" w:rsidP="00391282">
                  <w:pPr>
                    <w:pStyle w:val="Figure"/>
                    <w:spacing w:before="60" w:after="60"/>
                    <w:rPr>
                      <w:rFonts w:ascii="Arial" w:hAnsi="Arial" w:cs="Arial"/>
                      <w:sz w:val="18"/>
                      <w:szCs w:val="18"/>
                    </w:rPr>
                  </w:pPr>
                  <w:r>
                    <w:rPr>
                      <w:rFonts w:ascii="Arial" w:hAnsi="Arial" w:cs="Arial"/>
                      <w:noProof/>
                      <w:sz w:val="18"/>
                      <w:szCs w:val="18"/>
                    </w:rPr>
                    <w:drawing>
                      <wp:inline distT="0" distB="0" distL="0" distR="0" wp14:anchorId="6B433A1F" wp14:editId="37AB794C">
                        <wp:extent cx="2670175" cy="2383790"/>
                        <wp:effectExtent l="0" t="0" r="0" b="0"/>
                        <wp:docPr id="47" name="Picture 47" descr="Figure 8 (Information and communication): These charts shows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0175" cy="2383790"/>
                                </a:xfrm>
                                <a:prstGeom prst="rect">
                                  <a:avLst/>
                                </a:prstGeom>
                                <a:noFill/>
                              </pic:spPr>
                            </pic:pic>
                          </a:graphicData>
                        </a:graphic>
                      </wp:inline>
                    </w:drawing>
                  </w:r>
                </w:p>
              </w:tc>
            </w:tr>
            <w:tr w:rsidR="0072582E" w:rsidRPr="00B1465D" w14:paraId="7D0351A1" w14:textId="77777777" w:rsidTr="0072582E">
              <w:trPr>
                <w:trHeight w:val="128"/>
                <w:tblHeader/>
                <w:jc w:val="center"/>
              </w:trPr>
              <w:tc>
                <w:tcPr>
                  <w:tcW w:w="5000" w:type="pct"/>
                  <w:gridSpan w:val="2"/>
                  <w:tcBorders>
                    <w:top w:val="nil"/>
                    <w:bottom w:val="nil"/>
                  </w:tcBorders>
                </w:tcPr>
                <w:p w14:paraId="504187CB" w14:textId="00AF0193" w:rsidR="0072582E" w:rsidRDefault="0072582E" w:rsidP="00391282">
                  <w:pPr>
                    <w:pStyle w:val="Figure"/>
                    <w:spacing w:before="60" w:after="60"/>
                    <w:rPr>
                      <w:rFonts w:ascii="Arial" w:hAnsi="Arial" w:cs="Arial"/>
                      <w:noProof/>
                      <w:sz w:val="18"/>
                      <w:szCs w:val="18"/>
                    </w:rPr>
                  </w:pPr>
                  <w:r w:rsidRPr="00C14F2A">
                    <w:rPr>
                      <w:noProof/>
                    </w:rPr>
                    <w:drawing>
                      <wp:inline distT="0" distB="0" distL="0" distR="0" wp14:anchorId="637482BB" wp14:editId="76D08612">
                        <wp:extent cx="4284000" cy="256579"/>
                        <wp:effectExtent l="0" t="0" r="2540" b="0"/>
                        <wp:docPr id="2" name="Picture 2"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5534" t="87856" r="17179" b="2542"/>
                                <a:stretch/>
                              </pic:blipFill>
                              <pic:spPr bwMode="auto">
                                <a:xfrm>
                                  <a:off x="0" y="0"/>
                                  <a:ext cx="4284000" cy="25657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329314" w14:textId="77777777" w:rsidR="007C4AB4" w:rsidRDefault="007C4AB4" w:rsidP="00391282">
            <w:pPr>
              <w:pStyle w:val="Figure"/>
            </w:pPr>
          </w:p>
        </w:tc>
      </w:tr>
      <w:tr w:rsidR="007C4AB4" w:rsidRPr="00176D3F" w14:paraId="11CB26DF" w14:textId="77777777" w:rsidTr="00391282">
        <w:tc>
          <w:tcPr>
            <w:tcW w:w="5000" w:type="pct"/>
            <w:tcBorders>
              <w:top w:val="nil"/>
              <w:left w:val="nil"/>
              <w:bottom w:val="nil"/>
              <w:right w:val="nil"/>
            </w:tcBorders>
            <w:shd w:val="clear" w:color="auto" w:fill="auto"/>
          </w:tcPr>
          <w:p w14:paraId="0BBAA150" w14:textId="7504819A" w:rsidR="007C4AB4" w:rsidRPr="00176D3F" w:rsidRDefault="007C4AB4" w:rsidP="00A818AE">
            <w:pPr>
              <w:pStyle w:val="Note"/>
            </w:pPr>
            <w:r>
              <w:rPr>
                <w:rStyle w:val="NoteLabel"/>
              </w:rPr>
              <w:t>a</w:t>
            </w:r>
            <w:r>
              <w:t xml:space="preserve"> </w:t>
            </w:r>
            <w:r w:rsidR="00A818AE">
              <w:t>Among t</w:t>
            </w:r>
            <w:r>
              <w:t xml:space="preserve">he </w:t>
            </w:r>
            <w:r w:rsidR="00A818AE">
              <w:t xml:space="preserve">24 </w:t>
            </w:r>
            <w:r>
              <w:t>longest standing OECD countries, where data was available.</w:t>
            </w:r>
          </w:p>
        </w:tc>
      </w:tr>
      <w:tr w:rsidR="007C4AB4" w:rsidRPr="00176D3F" w14:paraId="24755FF5" w14:textId="77777777" w:rsidTr="00391282">
        <w:tc>
          <w:tcPr>
            <w:tcW w:w="5000" w:type="pct"/>
            <w:tcBorders>
              <w:top w:val="nil"/>
              <w:left w:val="nil"/>
              <w:bottom w:val="nil"/>
              <w:right w:val="nil"/>
            </w:tcBorders>
            <w:shd w:val="clear" w:color="auto" w:fill="auto"/>
          </w:tcPr>
          <w:p w14:paraId="399F0451" w14:textId="77777777" w:rsidR="007C4AB4" w:rsidRPr="00176D3F" w:rsidRDefault="007C4AB4" w:rsidP="00391282">
            <w:pPr>
              <w:pStyle w:val="Source"/>
            </w:pPr>
            <w:r>
              <w:rPr>
                <w:i/>
              </w:rPr>
              <w:t>S</w:t>
            </w:r>
            <w:r w:rsidRPr="00784A05">
              <w:rPr>
                <w:i/>
              </w:rPr>
              <w:t>ource</w:t>
            </w:r>
            <w:r w:rsidRPr="00176D3F">
              <w:t xml:space="preserve">: </w:t>
            </w:r>
            <w:r>
              <w:t>OECD Stat Database and EU KLEMS database.</w:t>
            </w:r>
          </w:p>
        </w:tc>
      </w:tr>
      <w:tr w:rsidR="007C4AB4" w14:paraId="7EDC2285" w14:textId="77777777" w:rsidTr="00391282">
        <w:tc>
          <w:tcPr>
            <w:tcW w:w="5000" w:type="pct"/>
            <w:tcBorders>
              <w:top w:val="nil"/>
              <w:left w:val="nil"/>
              <w:bottom w:val="single" w:sz="6" w:space="0" w:color="78A22F"/>
              <w:right w:val="nil"/>
            </w:tcBorders>
            <w:shd w:val="clear" w:color="auto" w:fill="auto"/>
          </w:tcPr>
          <w:p w14:paraId="45EF0D40" w14:textId="77777777" w:rsidR="007C4AB4" w:rsidRDefault="007C4AB4" w:rsidP="00391282">
            <w:pPr>
              <w:pStyle w:val="Figurespace"/>
            </w:pPr>
          </w:p>
        </w:tc>
      </w:tr>
      <w:tr w:rsidR="007C4AB4" w:rsidRPr="000863A5" w14:paraId="5425CD0D" w14:textId="77777777" w:rsidTr="00391282">
        <w:tc>
          <w:tcPr>
            <w:tcW w:w="5000" w:type="pct"/>
            <w:tcBorders>
              <w:top w:val="single" w:sz="6" w:space="0" w:color="78A22F"/>
              <w:left w:val="nil"/>
              <w:bottom w:val="nil"/>
              <w:right w:val="nil"/>
            </w:tcBorders>
          </w:tcPr>
          <w:p w14:paraId="5E253316" w14:textId="77777777" w:rsidR="007C4AB4" w:rsidRPr="00626D32" w:rsidRDefault="007C4AB4" w:rsidP="00391282">
            <w:pPr>
              <w:pStyle w:val="BoxSpaceBelow"/>
            </w:pPr>
          </w:p>
        </w:tc>
      </w:tr>
    </w:tbl>
    <w:p w14:paraId="68AE04BF" w14:textId="77777777" w:rsidR="007C4AB4" w:rsidRDefault="007C4AB4" w:rsidP="000B48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7CBD" w14:paraId="05663F68" w14:textId="77777777" w:rsidTr="000B486C">
        <w:trPr>
          <w:tblHeader/>
        </w:trPr>
        <w:tc>
          <w:tcPr>
            <w:tcW w:w="5000" w:type="pct"/>
            <w:tcBorders>
              <w:top w:val="single" w:sz="6" w:space="0" w:color="78A22F"/>
              <w:left w:val="nil"/>
              <w:bottom w:val="nil"/>
              <w:right w:val="nil"/>
            </w:tcBorders>
            <w:shd w:val="clear" w:color="auto" w:fill="auto"/>
          </w:tcPr>
          <w:p w14:paraId="42DFE6BE" w14:textId="09FB93F3" w:rsidR="004D7CBD" w:rsidRDefault="004D7CBD" w:rsidP="000B486C">
            <w:pPr>
              <w:pStyle w:val="FigureTitle"/>
            </w:pPr>
            <w:r w:rsidRPr="00784A05">
              <w:rPr>
                <w:b w:val="0"/>
              </w:rPr>
              <w:t xml:space="preserve">Figure </w:t>
            </w:r>
            <w:r w:rsidR="007C4AB4">
              <w:rPr>
                <w:b w:val="0"/>
              </w:rPr>
              <w:t>9</w:t>
            </w:r>
            <w:r>
              <w:tab/>
              <w:t>Labour productivity levels by industry within Australia and the US</w:t>
            </w:r>
            <w:r w:rsidRPr="00D5508A">
              <w:rPr>
                <w:rStyle w:val="NoteLabel"/>
                <w:b/>
              </w:rPr>
              <w:t>a</w:t>
            </w:r>
          </w:p>
          <w:p w14:paraId="22A3EA75" w14:textId="77777777" w:rsidR="004D7CBD" w:rsidRPr="00176D3F" w:rsidRDefault="004D7CBD" w:rsidP="000B486C">
            <w:pPr>
              <w:pStyle w:val="Subtitle"/>
            </w:pPr>
            <w:r>
              <w:t>Log scale, economy wide average=100, 2005 (top) and 2017 (bottom)</w:t>
            </w:r>
          </w:p>
        </w:tc>
      </w:tr>
      <w:tr w:rsidR="004D7CBD" w14:paraId="1F1C48C5" w14:textId="77777777" w:rsidTr="000B486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D7CBD" w:rsidRPr="00B1465D" w14:paraId="635C61DE" w14:textId="77777777" w:rsidTr="004D7CBD">
              <w:trPr>
                <w:trHeight w:val="129"/>
                <w:tblHeader/>
                <w:jc w:val="center"/>
              </w:trPr>
              <w:tc>
                <w:tcPr>
                  <w:tcW w:w="5000" w:type="pct"/>
                  <w:tcBorders>
                    <w:top w:val="nil"/>
                    <w:bottom w:val="nil"/>
                  </w:tcBorders>
                </w:tcPr>
                <w:p w14:paraId="3E9B3566" w14:textId="41AC5A62" w:rsidR="004D7CBD" w:rsidRPr="00B1465D" w:rsidRDefault="007A12EF"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0ECFE5" wp14:editId="5AF8AEFA">
                        <wp:extent cx="3613282" cy="3168000"/>
                        <wp:effectExtent l="0" t="0" r="6350" b="0"/>
                        <wp:docPr id="76" name="Picture 76" descr="Figure 9 (top): These charts show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title="Labour productivity levels by industry within Australia and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3282" cy="3168000"/>
                                </a:xfrm>
                                <a:prstGeom prst="rect">
                                  <a:avLst/>
                                </a:prstGeom>
                                <a:noFill/>
                              </pic:spPr>
                            </pic:pic>
                          </a:graphicData>
                        </a:graphic>
                      </wp:inline>
                    </w:drawing>
                  </w:r>
                </w:p>
              </w:tc>
            </w:tr>
            <w:tr w:rsidR="004D7CBD" w:rsidRPr="00B1465D" w14:paraId="6E8CE1A0" w14:textId="77777777" w:rsidTr="000B486C">
              <w:trPr>
                <w:trHeight w:val="128"/>
                <w:tblHeader/>
                <w:jc w:val="center"/>
              </w:trPr>
              <w:tc>
                <w:tcPr>
                  <w:tcW w:w="5000" w:type="pct"/>
                  <w:tcBorders>
                    <w:top w:val="nil"/>
                    <w:bottom w:val="nil"/>
                  </w:tcBorders>
                </w:tcPr>
                <w:p w14:paraId="6A237D5A" w14:textId="100544B3" w:rsidR="004D7CBD" w:rsidRPr="00B1465D" w:rsidRDefault="007A12EF" w:rsidP="000B48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15DF319E" wp14:editId="796EEB13">
                        <wp:extent cx="3613283" cy="3168000"/>
                        <wp:effectExtent l="0" t="0" r="6350" b="0"/>
                        <wp:docPr id="77" name="Picture 77" descr="Figure 9 (bottom): These charts show the productivity (in current dollar, national currency terms) of Australian and the United States in both 2005 and 2017. The idea is that countries with higher ratios of a particular industries productivity to the national average will have a relative advantage in that particular industry. It can be seen that in both 2005 and 2017, Australia appears to have relative strength in mining, finance and agriculture while the United States has relative advantage in real estate, utilities, information and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3283" cy="3168000"/>
                                </a:xfrm>
                                <a:prstGeom prst="rect">
                                  <a:avLst/>
                                </a:prstGeom>
                                <a:noFill/>
                              </pic:spPr>
                            </pic:pic>
                          </a:graphicData>
                        </a:graphic>
                      </wp:inline>
                    </w:drawing>
                  </w:r>
                </w:p>
              </w:tc>
            </w:tr>
          </w:tbl>
          <w:p w14:paraId="2DB8A199" w14:textId="01037A92" w:rsidR="004D7CBD" w:rsidRDefault="004D7CBD" w:rsidP="009C2314">
            <w:pPr>
              <w:pStyle w:val="Figure"/>
              <w:tabs>
                <w:tab w:val="left" w:pos="3240"/>
                <w:tab w:val="center" w:pos="4252"/>
              </w:tabs>
              <w:jc w:val="left"/>
            </w:pPr>
          </w:p>
        </w:tc>
      </w:tr>
      <w:tr w:rsidR="004D7CBD" w:rsidRPr="00176D3F" w14:paraId="4611FF54" w14:textId="77777777" w:rsidTr="000B486C">
        <w:tc>
          <w:tcPr>
            <w:tcW w:w="5000" w:type="pct"/>
            <w:tcBorders>
              <w:top w:val="nil"/>
              <w:left w:val="nil"/>
              <w:bottom w:val="nil"/>
              <w:right w:val="nil"/>
            </w:tcBorders>
            <w:shd w:val="clear" w:color="auto" w:fill="auto"/>
          </w:tcPr>
          <w:p w14:paraId="1B206D68" w14:textId="77777777" w:rsidR="004D7CBD" w:rsidRPr="00176D3F" w:rsidRDefault="004D7CBD" w:rsidP="000B486C">
            <w:pPr>
              <w:pStyle w:val="Note"/>
            </w:pPr>
            <w:r>
              <w:rPr>
                <w:rStyle w:val="NoteLabel"/>
              </w:rPr>
              <w:t>a</w:t>
            </w:r>
            <w:r>
              <w:t xml:space="preserve"> Industries above the line are more productive in the United States (relative to the economy</w:t>
            </w:r>
            <w:r>
              <w:noBreakHyphen/>
              <w:t>wide average) than in Australia. Conversely, industries below the line are more productive in Australia.</w:t>
            </w:r>
          </w:p>
        </w:tc>
      </w:tr>
      <w:tr w:rsidR="004D7CBD" w:rsidRPr="00176D3F" w14:paraId="49E06A45" w14:textId="77777777" w:rsidTr="000B486C">
        <w:tc>
          <w:tcPr>
            <w:tcW w:w="5000" w:type="pct"/>
            <w:tcBorders>
              <w:top w:val="nil"/>
              <w:left w:val="nil"/>
              <w:bottom w:val="nil"/>
              <w:right w:val="nil"/>
            </w:tcBorders>
            <w:shd w:val="clear" w:color="auto" w:fill="auto"/>
          </w:tcPr>
          <w:p w14:paraId="3B7D1D78" w14:textId="076EA6EE" w:rsidR="004D7CBD" w:rsidRPr="00176D3F" w:rsidRDefault="004D7CBD" w:rsidP="000B719B">
            <w:pPr>
              <w:pStyle w:val="Source"/>
            </w:pPr>
            <w:r>
              <w:rPr>
                <w:i/>
              </w:rPr>
              <w:t>S</w:t>
            </w:r>
            <w:r w:rsidRPr="00784A05">
              <w:rPr>
                <w:i/>
              </w:rPr>
              <w:t>ource</w:t>
            </w:r>
            <w:r>
              <w:rPr>
                <w:i/>
              </w:rPr>
              <w:t>s</w:t>
            </w:r>
            <w:r w:rsidRPr="00176D3F">
              <w:t xml:space="preserve">: </w:t>
            </w:r>
            <w:r>
              <w:t>Commission estimates drawing on data from the EU KLEMS database and ABS (</w:t>
            </w:r>
            <w:r w:rsidRPr="00130C57">
              <w:rPr>
                <w:i/>
              </w:rPr>
              <w:t>Estimates of Industry Multifactor Productivity, Australia, 201</w:t>
            </w:r>
            <w:r w:rsidR="000B719B">
              <w:rPr>
                <w:i/>
              </w:rPr>
              <w:t>8</w:t>
            </w:r>
            <w:r w:rsidRPr="00130C57">
              <w:rPr>
                <w:i/>
              </w:rPr>
              <w:noBreakHyphen/>
              <w:t>1</w:t>
            </w:r>
            <w:r w:rsidR="000B719B">
              <w:rPr>
                <w:i/>
              </w:rPr>
              <w:t>9</w:t>
            </w:r>
            <w:r>
              <w:t>, Cat. no. 5260, tables 1 to 19).</w:t>
            </w:r>
          </w:p>
        </w:tc>
      </w:tr>
      <w:tr w:rsidR="004D7CBD" w14:paraId="2BFCFFC1" w14:textId="77777777" w:rsidTr="000B486C">
        <w:tc>
          <w:tcPr>
            <w:tcW w:w="5000" w:type="pct"/>
            <w:tcBorders>
              <w:top w:val="nil"/>
              <w:left w:val="nil"/>
              <w:bottom w:val="single" w:sz="6" w:space="0" w:color="78A22F"/>
              <w:right w:val="nil"/>
            </w:tcBorders>
            <w:shd w:val="clear" w:color="auto" w:fill="auto"/>
          </w:tcPr>
          <w:p w14:paraId="4159C590" w14:textId="77777777" w:rsidR="004D7CBD" w:rsidRDefault="004D7CBD" w:rsidP="000B486C">
            <w:pPr>
              <w:pStyle w:val="Figurespace"/>
            </w:pPr>
          </w:p>
        </w:tc>
      </w:tr>
      <w:tr w:rsidR="004D7CBD" w:rsidRPr="000863A5" w14:paraId="3B24FC9F" w14:textId="77777777" w:rsidTr="000B486C">
        <w:tc>
          <w:tcPr>
            <w:tcW w:w="5000" w:type="pct"/>
            <w:tcBorders>
              <w:top w:val="single" w:sz="6" w:space="0" w:color="78A22F"/>
              <w:left w:val="nil"/>
              <w:bottom w:val="nil"/>
              <w:right w:val="nil"/>
            </w:tcBorders>
          </w:tcPr>
          <w:p w14:paraId="23EC4BCF" w14:textId="262C5C80" w:rsidR="004D7CBD" w:rsidRPr="00626D32" w:rsidRDefault="004D7CBD" w:rsidP="000B486C">
            <w:pPr>
              <w:pStyle w:val="BoxSpaceBelow"/>
            </w:pPr>
          </w:p>
        </w:tc>
      </w:tr>
    </w:tbl>
    <w:p w14:paraId="6CEAF17D" w14:textId="2E0169B9" w:rsidR="00004D80" w:rsidRPr="002B0865" w:rsidRDefault="00004D80" w:rsidP="002B0865">
      <w:pPr>
        <w:pStyle w:val="BodyText"/>
      </w:pPr>
      <w:r>
        <w:lastRenderedPageBreak/>
        <w:t xml:space="preserve">Overall, this analysis suggests that Australia’s relative productivity performance has lagged that of the US in manufacturing and in utilities, </w:t>
      </w:r>
      <w:r w:rsidRPr="002B0865">
        <w:t xml:space="preserve">and also </w:t>
      </w:r>
      <w:r>
        <w:t xml:space="preserve">in ICT where the US has enjoyed very rapid productivity growth. On the other hand, in sectors like construction and finance, Australia’s relative performance appears to have improved. In mining, it is possible that a relative price effect has contributed to higher relative productivity in Australia. </w:t>
      </w:r>
    </w:p>
    <w:p w14:paraId="7DB0DD4C" w14:textId="77777777" w:rsidR="00407528" w:rsidRDefault="00407528" w:rsidP="00407528">
      <w:pPr>
        <w:pStyle w:val="Heading3"/>
      </w:pPr>
      <w:r>
        <w:t>Can Australia become a productivity leader?</w:t>
      </w:r>
    </w:p>
    <w:p w14:paraId="0526A7CC" w14:textId="405217E9" w:rsidR="00407528" w:rsidRDefault="00407528" w:rsidP="00407528">
      <w:pPr>
        <w:pStyle w:val="BodyText"/>
      </w:pPr>
      <w:r>
        <w:t xml:space="preserve">At an aggregate level, there are a range of </w:t>
      </w:r>
      <w:r w:rsidR="005F7A5C">
        <w:t>factors</w:t>
      </w:r>
      <w:r>
        <w:t xml:space="preserve"> that</w:t>
      </w:r>
      <w:r w:rsidR="005F7A5C">
        <w:t xml:space="preserve"> limit</w:t>
      </w:r>
      <w:r>
        <w:t xml:space="preserve"> Australia</w:t>
      </w:r>
      <w:r w:rsidR="005F7A5C">
        <w:t>’s</w:t>
      </w:r>
      <w:r>
        <w:t xml:space="preserve"> </w:t>
      </w:r>
      <w:r w:rsidR="005F7A5C">
        <w:t>ability</w:t>
      </w:r>
      <w:r>
        <w:t xml:space="preserve"> to catch up </w:t>
      </w:r>
      <w:r w:rsidR="006A33B6">
        <w:t>fully</w:t>
      </w:r>
      <w:r w:rsidR="004B7288">
        <w:t xml:space="preserve"> </w:t>
      </w:r>
      <w:r>
        <w:t>with productivity levels in the US. Geographically, Australia is far from the centres of world economic activity</w:t>
      </w:r>
      <w:r w:rsidRPr="0065069F">
        <w:rPr>
          <w:rStyle w:val="FootnoteReference"/>
        </w:rPr>
        <w:footnoteReference w:id="1"/>
      </w:r>
      <w:r>
        <w:t xml:space="preserve"> and our population density across the country is less than one</w:t>
      </w:r>
      <w:r>
        <w:noBreakHyphen/>
        <w:t>tenth that of the US.</w:t>
      </w:r>
      <w:r w:rsidRPr="0065069F">
        <w:rPr>
          <w:rStyle w:val="FootnoteReference"/>
        </w:rPr>
        <w:footnoteReference w:id="2"/>
      </w:r>
      <w:r>
        <w:t xml:space="preserve"> While Australia has a highly urbanised population, it lacks the megacities like New York and Los Angeles </w:t>
      </w:r>
      <w:r w:rsidRPr="008458A3">
        <w:rPr>
          <w:szCs w:val="24"/>
        </w:rPr>
        <w:t>(Dolman, Parham and Zheng 2007)</w:t>
      </w:r>
      <w:r>
        <w:t>, and Australian cities sprawl and so have relative low urban densities.</w:t>
      </w:r>
      <w:r w:rsidRPr="0065069F">
        <w:rPr>
          <w:rStyle w:val="FootnoteReference"/>
        </w:rPr>
        <w:footnoteReference w:id="3"/>
      </w:r>
      <w:r>
        <w:t xml:space="preserve"> Moreover, some of the advantages of primacy the US enjoys, as a destination of choice for many of the world’s best scientists and engineers for example, will not be easily replicated in Australia. Previous estimates suggest that between 40 and </w:t>
      </w:r>
      <w:r w:rsidRPr="00291421">
        <w:t>60</w:t>
      </w:r>
      <w:r>
        <w:t> </w:t>
      </w:r>
      <w:r w:rsidRPr="00291421">
        <w:t>per</w:t>
      </w:r>
      <w:r>
        <w:t xml:space="preserve"> cent of the gap between Australian and US labour productivity can be explained by geography </w:t>
      </w:r>
      <w:r w:rsidRPr="00D14A3B">
        <w:rPr>
          <w:szCs w:val="24"/>
        </w:rPr>
        <w:t>(Battersby 2006; Boulhol, de Serres and Molnar 2008)</w:t>
      </w:r>
      <w:r>
        <w:t>.</w:t>
      </w:r>
      <w:r w:rsidRPr="00FF57FA">
        <w:t xml:space="preserve"> </w:t>
      </w:r>
      <w:r>
        <w:t>Distance and the associated transport costs, limits to economies of scale and barriers to competition may be expected to impact on Australian manufacturing productivity.</w:t>
      </w:r>
      <w:r w:rsidR="007E0B9E">
        <w:t xml:space="preserve"> In addition, the US ha</w:t>
      </w:r>
      <w:r w:rsidR="003A0047">
        <w:t>s</w:t>
      </w:r>
      <w:r w:rsidR="007E0B9E">
        <w:t xml:space="preserve"> significant exposure to the ICT manufacturing sector, which saw very rapid productivity growth over the last two decades.</w:t>
      </w:r>
    </w:p>
    <w:p w14:paraId="56D1C1E2" w14:textId="40EA982E" w:rsidR="007E0B9E" w:rsidRDefault="00407528" w:rsidP="00407528">
      <w:pPr>
        <w:pStyle w:val="BodyText"/>
      </w:pPr>
      <w:r>
        <w:t xml:space="preserve">However, these disadvantages apply differently in different industries. It is less clear that the productivity </w:t>
      </w:r>
      <w:r w:rsidRPr="00C42FA3">
        <w:rPr>
          <w:i/>
        </w:rPr>
        <w:t>potential</w:t>
      </w:r>
      <w:r>
        <w:t xml:space="preserve"> in personal and business services need be similarly constrained. </w:t>
      </w:r>
      <w:r w:rsidR="007E0B9E">
        <w:t>Of course, the</w:t>
      </w:r>
      <w:r w:rsidR="007E0B9E" w:rsidRPr="004B7288">
        <w:t xml:space="preserve"> services sector is large and heterogeneous, but tends to have some key differences with the goods sector</w:t>
      </w:r>
      <w:r w:rsidR="00E23CE2">
        <w:t>.</w:t>
      </w:r>
      <w:r w:rsidR="007E0B9E">
        <w:t xml:space="preserve"> </w:t>
      </w:r>
    </w:p>
    <w:p w14:paraId="36FFE1E6" w14:textId="5EE85A98" w:rsidR="00407528" w:rsidRDefault="00407528" w:rsidP="00407528">
      <w:pPr>
        <w:pStyle w:val="BodyText"/>
      </w:pPr>
      <w:r>
        <w:t xml:space="preserve">For example, economies of scale are not the most significant source of differences in labour productivity in services </w:t>
      </w:r>
      <w:r w:rsidRPr="009A5471">
        <w:rPr>
          <w:szCs w:val="24"/>
        </w:rPr>
        <w:t>(Lewis et al. 1992)</w:t>
      </w:r>
      <w:r>
        <w:t xml:space="preserve">. </w:t>
      </w:r>
      <w:r w:rsidR="007E0B9E">
        <w:t>S</w:t>
      </w:r>
      <w:r w:rsidR="007E0B9E" w:rsidRPr="004B7288">
        <w:t xml:space="preserve">ervices tend to be more labour intensive, often with important elements of human interaction driving the value of any transaction. The output of services industries is often more localised, less homogeneous and less amenable to mass production. The scope for automation </w:t>
      </w:r>
      <w:r w:rsidR="007E0B9E" w:rsidRPr="00216FEE">
        <w:t xml:space="preserve">in some service industries </w:t>
      </w:r>
      <w:r w:rsidR="007E0B9E" w:rsidRPr="004B7288">
        <w:t>can be more limited o</w:t>
      </w:r>
      <w:r w:rsidR="007E0B9E">
        <w:t xml:space="preserve">r, at any rate, challenging. </w:t>
      </w:r>
      <w:r>
        <w:t>Spatial transaction costs are high even for inter</w:t>
      </w:r>
      <w:r>
        <w:noBreakHyphen/>
        <w:t xml:space="preserve">city trade in services where personal delivery is necessary, so that remoteness from world markets may </w:t>
      </w:r>
      <w:r>
        <w:lastRenderedPageBreak/>
        <w:t xml:space="preserve">no longer be a ‘tyranny’ </w:t>
      </w:r>
      <w:r w:rsidRPr="00466AE3">
        <w:rPr>
          <w:szCs w:val="24"/>
        </w:rPr>
        <w:t>(Sorbe, Gal and Millot 2018)</w:t>
      </w:r>
      <w:r>
        <w:t>; rather well</w:t>
      </w:r>
      <w:r>
        <w:noBreakHyphen/>
        <w:t>functioning cities that facilitate interaction between highly</w:t>
      </w:r>
      <w:r>
        <w:noBreakHyphen/>
        <w:t xml:space="preserve">skilled workers may be key to higher productivity and wages </w:t>
      </w:r>
      <w:r w:rsidRPr="000B4D3C">
        <w:rPr>
          <w:szCs w:val="24"/>
        </w:rPr>
        <w:t>(Glaeser and Resseger 2009)</w:t>
      </w:r>
      <w:r>
        <w:t>.</w:t>
      </w:r>
    </w:p>
    <w:p w14:paraId="118A1584" w14:textId="550A12C3" w:rsidR="00407528" w:rsidRDefault="00407528" w:rsidP="00407528">
      <w:pPr>
        <w:pStyle w:val="BodyText"/>
      </w:pPr>
      <w:r>
        <w:t xml:space="preserve">The nature of knowledge formation is also different in services. R&amp;D leading to new products </w:t>
      </w:r>
      <w:r w:rsidR="00BB5733">
        <w:t>is</w:t>
      </w:r>
      <w:r>
        <w:t xml:space="preserve"> less important for some service industries. Rather, adoption and adaptation of process technologies remain</w:t>
      </w:r>
      <w:r w:rsidR="00262877">
        <w:t>s</w:t>
      </w:r>
      <w:r>
        <w:t xml:space="preserve"> important (such as machine</w:t>
      </w:r>
      <w:r>
        <w:noBreakHyphen/>
        <w:t xml:space="preserve">based logistics management) as well as customer service focused technologies (such as online ordering), and organisational capital (how tasks are divided, workplaces are managed, and staff are motivated) and brand capital (connecting the product with needs of consumers) </w:t>
      </w:r>
      <w:r w:rsidRPr="00915304">
        <w:rPr>
          <w:szCs w:val="24"/>
        </w:rPr>
        <w:t>(Corrado, Hulten and Sichel 2006; Lewis et al. 1992)</w:t>
      </w:r>
      <w:r>
        <w:t>. While the overall level of capital stock per hour worked is not lower in market services than in manufacturing, it is skewed towards buildings, ICT and intangible capital.</w:t>
      </w:r>
    </w:p>
    <w:p w14:paraId="79681E13" w14:textId="6546063A" w:rsidR="00407528" w:rsidRDefault="00407528" w:rsidP="00407528">
      <w:pPr>
        <w:pStyle w:val="BodyText"/>
      </w:pPr>
      <w:r>
        <w:t xml:space="preserve">These distinctions are important. Australia’s economy has, like all other advanced economies, undergone a transition away from goods production towards services production. Today, </w:t>
      </w:r>
      <w:r w:rsidR="00BB5733">
        <w:t xml:space="preserve">almost </w:t>
      </w:r>
      <w:r w:rsidR="00717489">
        <w:t>75 </w:t>
      </w:r>
      <w:r>
        <w:t xml:space="preserve">per cent of </w:t>
      </w:r>
      <w:r w:rsidR="00BB5733">
        <w:t xml:space="preserve">production </w:t>
      </w:r>
      <w:r>
        <w:t>(figure </w:t>
      </w:r>
      <w:r w:rsidRPr="00E603E5">
        <w:t>1</w:t>
      </w:r>
      <w:r w:rsidR="00A266EF">
        <w:t>0</w:t>
      </w:r>
      <w:r>
        <w:t xml:space="preserve">) and </w:t>
      </w:r>
      <w:r w:rsidR="00BB5733">
        <w:t xml:space="preserve">about </w:t>
      </w:r>
      <w:r>
        <w:t xml:space="preserve">80 per cent of employment occurs in the services sector </w:t>
      </w:r>
      <w:r w:rsidR="00710C4A" w:rsidRPr="00710C4A">
        <w:rPr>
          <w:szCs w:val="24"/>
        </w:rPr>
        <w:t>(ABS 2019b)</w:t>
      </w:r>
      <w:r>
        <w:t xml:space="preserve">. Many economists </w:t>
      </w:r>
      <w:r w:rsidRPr="006D3893">
        <w:rPr>
          <w:szCs w:val="24"/>
        </w:rPr>
        <w:t>(van Ark, O’Mahoney and Timmer 2008, p. 37)</w:t>
      </w:r>
      <w:r>
        <w:t xml:space="preserve"> expect the trend towards services to continue, reflecting rising demand in step with incomes (for example, for health care and education) and, marketisation of previously home</w:t>
      </w:r>
      <w:r>
        <w:noBreakHyphen/>
        <w:t>produced services (childcare, food preparation and domestic cleaning). This means that new engines of growth in the services sectors will determine Australia’s future living standards to a greater degree than further progress in Australia’s goods producing sectors.</w:t>
      </w:r>
    </w:p>
    <w:p w14:paraId="23841654" w14:textId="77777777" w:rsidR="00C17FF2" w:rsidRPr="004B7288" w:rsidRDefault="00C17FF2" w:rsidP="00C17FF2">
      <w:pPr>
        <w:pStyle w:val="BodyText"/>
        <w:rPr>
          <w:b/>
        </w:rPr>
      </w:pPr>
      <w:r w:rsidRPr="004B7288">
        <w:t>The shift towards services raises important questions about how future productivity growth will be generated, and the sorts of characteristics which might determine future gaps in productivity levels between countries.</w:t>
      </w:r>
    </w:p>
    <w:p w14:paraId="1D5950D6" w14:textId="77777777" w:rsidR="00C17FF2" w:rsidRPr="004B7288" w:rsidRDefault="00C17FF2" w:rsidP="00C17FF2">
      <w:pPr>
        <w:pStyle w:val="BodyText"/>
      </w:pPr>
      <w:r w:rsidRPr="004B7288">
        <w:t>It is possible that these characteristics could mitigate some of Australia’s traditional disadvantages (small population and distance leading to a lack of scale economies in local production). But other characteristics could rise in importance.</w:t>
      </w:r>
    </w:p>
    <w:p w14:paraId="799F18C2" w14:textId="4C0B6867" w:rsidR="00C17FF2" w:rsidRDefault="00C17FF2" w:rsidP="00407528">
      <w:pPr>
        <w:pStyle w:val="BodyText"/>
      </w:pPr>
      <w:r>
        <w:t>One characteristic which is likely to remain important is an economy’s underlying innovative capability.</w:t>
      </w:r>
    </w:p>
    <w:p w14:paraId="2A56B6CA" w14:textId="287F5948" w:rsidR="00407528" w:rsidRDefault="00407528" w:rsidP="004075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7528" w14:paraId="4856489F" w14:textId="77777777" w:rsidTr="00A533DF">
        <w:trPr>
          <w:tblHeader/>
        </w:trPr>
        <w:tc>
          <w:tcPr>
            <w:tcW w:w="5000" w:type="pct"/>
            <w:tcBorders>
              <w:top w:val="single" w:sz="6" w:space="0" w:color="78A22F"/>
              <w:left w:val="nil"/>
              <w:bottom w:val="nil"/>
              <w:right w:val="nil"/>
            </w:tcBorders>
            <w:shd w:val="clear" w:color="auto" w:fill="auto"/>
          </w:tcPr>
          <w:p w14:paraId="5BAF2ED6" w14:textId="29BEF14D" w:rsidR="00407528" w:rsidRDefault="00407528" w:rsidP="00A533DF">
            <w:pPr>
              <w:pStyle w:val="FigureTitle"/>
            </w:pPr>
            <w:r w:rsidRPr="00784A05">
              <w:rPr>
                <w:b w:val="0"/>
              </w:rPr>
              <w:t xml:space="preserve">Figure </w:t>
            </w:r>
            <w:r w:rsidR="007C4AB4">
              <w:rPr>
                <w:b w:val="0"/>
              </w:rPr>
              <w:t>10</w:t>
            </w:r>
            <w:r>
              <w:tab/>
              <w:t>Australia</w:t>
            </w:r>
            <w:r w:rsidR="00164E07">
              <w:t>’s</w:t>
            </w:r>
            <w:r>
              <w:t xml:space="preserve"> is mainly a service economy</w:t>
            </w:r>
          </w:p>
          <w:p w14:paraId="6AA49E35" w14:textId="77777777" w:rsidR="00407528" w:rsidRPr="00176D3F" w:rsidRDefault="00407528" w:rsidP="00A533DF">
            <w:pPr>
              <w:pStyle w:val="Subtitle"/>
            </w:pPr>
            <w:r>
              <w:t>Sectoral shares of GDP for agriculture</w:t>
            </w:r>
            <w:r w:rsidRPr="009D2D1E">
              <w:rPr>
                <w:rStyle w:val="NoteLabel"/>
              </w:rPr>
              <w:t>a</w:t>
            </w:r>
            <w:r>
              <w:t>, mining and manufacturing</w:t>
            </w:r>
            <w:r>
              <w:rPr>
                <w:rStyle w:val="NoteLabel"/>
              </w:rPr>
              <w:t>b</w:t>
            </w:r>
            <w:r>
              <w:t xml:space="preserve"> (LHS) and services</w:t>
            </w:r>
            <w:r w:rsidRPr="009054B3">
              <w:rPr>
                <w:rStyle w:val="NoteLabel"/>
              </w:rPr>
              <w:t>c</w:t>
            </w:r>
            <w:r>
              <w:t xml:space="preserve"> (RHS) averaged over five years between 1801 and 2019</w:t>
            </w:r>
            <w:r>
              <w:rPr>
                <w:rStyle w:val="NoteLabel"/>
              </w:rPr>
              <w:t>d</w:t>
            </w:r>
          </w:p>
        </w:tc>
      </w:tr>
      <w:tr w:rsidR="00407528" w14:paraId="64F318D8" w14:textId="77777777" w:rsidTr="00A533D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407528" w:rsidRPr="00B1465D" w14:paraId="389950BD" w14:textId="77777777" w:rsidTr="00A533DF">
              <w:trPr>
                <w:tblHeader/>
                <w:jc w:val="center"/>
              </w:trPr>
              <w:tc>
                <w:tcPr>
                  <w:tcW w:w="2500" w:type="pct"/>
                  <w:tcBorders>
                    <w:top w:val="nil"/>
                    <w:bottom w:val="nil"/>
                  </w:tcBorders>
                </w:tcPr>
                <w:p w14:paraId="312CCEC9" w14:textId="47C1D612" w:rsidR="00407528" w:rsidRPr="00B1465D" w:rsidRDefault="00712358" w:rsidP="00A533DF">
                  <w:pPr>
                    <w:pStyle w:val="Figure"/>
                    <w:spacing w:before="60" w:after="60"/>
                    <w:rPr>
                      <w:rFonts w:ascii="Arial" w:hAnsi="Arial" w:cs="Arial"/>
                      <w:sz w:val="18"/>
                      <w:szCs w:val="18"/>
                    </w:rPr>
                  </w:pPr>
                  <w:r>
                    <w:rPr>
                      <w:rFonts w:ascii="Arial" w:hAnsi="Arial" w:cs="Arial"/>
                      <w:noProof/>
                      <w:sz w:val="18"/>
                      <w:szCs w:val="18"/>
                    </w:rPr>
                    <w:drawing>
                      <wp:inline distT="0" distB="0" distL="0" distR="0" wp14:anchorId="7A4EBBA3" wp14:editId="42FC7BDF">
                        <wp:extent cx="2524125" cy="2889885"/>
                        <wp:effectExtent l="0" t="0" r="9525" b="5715"/>
                        <wp:docPr id="54" name="Picture 54" descr="Figure 10 (left): This chart displays the share of GDP (five year average) devoted to agriculture, mining and manufacturing and services in Australia between 1801 and 2019. It can be seen that Agriculture begins as the largest industry, constituting almost 60 per cent of GDP, but gradually reduces to less than 2 per cent over the next two centuries. Mining spikes up to nearly 30 per cent in the mid Nineteen Century and then gradually falls to below 3 per cent until gradually rising up to about 10 per cent in the most recent mining boom (about 2012 13). Services have gradually risen from about 40 per cent of GDP up to about 80 per cent." title="Australia is mainly a servic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4125" cy="2889885"/>
                                </a:xfrm>
                                <a:prstGeom prst="rect">
                                  <a:avLst/>
                                </a:prstGeom>
                                <a:noFill/>
                              </pic:spPr>
                            </pic:pic>
                          </a:graphicData>
                        </a:graphic>
                      </wp:inline>
                    </w:drawing>
                  </w:r>
                </w:p>
              </w:tc>
              <w:tc>
                <w:tcPr>
                  <w:tcW w:w="2500" w:type="pct"/>
                  <w:tcBorders>
                    <w:top w:val="nil"/>
                    <w:bottom w:val="nil"/>
                  </w:tcBorders>
                </w:tcPr>
                <w:p w14:paraId="1F05B263" w14:textId="242FB13B" w:rsidR="00407528" w:rsidRPr="00B1465D" w:rsidRDefault="007178D2" w:rsidP="00A533DF">
                  <w:pPr>
                    <w:pStyle w:val="Figure"/>
                    <w:spacing w:before="60" w:after="60"/>
                    <w:rPr>
                      <w:rFonts w:ascii="Arial" w:hAnsi="Arial" w:cs="Arial"/>
                      <w:sz w:val="18"/>
                      <w:szCs w:val="18"/>
                    </w:rPr>
                  </w:pPr>
                  <w:r>
                    <w:rPr>
                      <w:rFonts w:ascii="Arial" w:hAnsi="Arial" w:cs="Arial"/>
                      <w:noProof/>
                      <w:sz w:val="18"/>
                      <w:szCs w:val="18"/>
                    </w:rPr>
                    <w:drawing>
                      <wp:inline distT="0" distB="0" distL="0" distR="0" wp14:anchorId="686922DA" wp14:editId="4927C607">
                        <wp:extent cx="2524125" cy="2883535"/>
                        <wp:effectExtent l="0" t="0" r="9525" b="0"/>
                        <wp:docPr id="82" name="Picture 82" descr="Figure 10 (right): Services have gradually risen from about 40 per cent of GDP up to about 8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24125" cy="2883535"/>
                                </a:xfrm>
                                <a:prstGeom prst="rect">
                                  <a:avLst/>
                                </a:prstGeom>
                                <a:noFill/>
                              </pic:spPr>
                            </pic:pic>
                          </a:graphicData>
                        </a:graphic>
                      </wp:inline>
                    </w:drawing>
                  </w:r>
                </w:p>
              </w:tc>
            </w:tr>
          </w:tbl>
          <w:p w14:paraId="6CBB3527" w14:textId="77777777" w:rsidR="00407528" w:rsidRDefault="00407528" w:rsidP="00A533DF">
            <w:pPr>
              <w:pStyle w:val="Figure"/>
            </w:pPr>
          </w:p>
        </w:tc>
      </w:tr>
      <w:tr w:rsidR="00407528" w:rsidRPr="00176D3F" w14:paraId="5762B63A" w14:textId="77777777" w:rsidTr="00A533DF">
        <w:tc>
          <w:tcPr>
            <w:tcW w:w="5000" w:type="pct"/>
            <w:tcBorders>
              <w:top w:val="nil"/>
              <w:left w:val="nil"/>
              <w:bottom w:val="nil"/>
              <w:right w:val="nil"/>
            </w:tcBorders>
            <w:shd w:val="clear" w:color="auto" w:fill="auto"/>
          </w:tcPr>
          <w:p w14:paraId="5D0D0416" w14:textId="121BF649" w:rsidR="00407528" w:rsidRPr="00176D3F" w:rsidRDefault="00407528" w:rsidP="00A533DF">
            <w:pPr>
              <w:pStyle w:val="Note"/>
            </w:pPr>
            <w:r>
              <w:rPr>
                <w:rStyle w:val="NoteLabel"/>
              </w:rPr>
              <w:t>a</w:t>
            </w:r>
            <w:r w:rsidR="006735A4">
              <w:t> </w:t>
            </w:r>
            <w:r>
              <w:t>Until 1861, agriculture includes pastoral and non</w:t>
            </w:r>
            <w:r>
              <w:noBreakHyphen/>
              <w:t>pastoral primary production. For 1861 onwards, agriculture includes</w:t>
            </w:r>
            <w:r w:rsidR="006735A4">
              <w:t>/</w:t>
            </w:r>
            <w:r>
              <w:t xml:space="preserve"> pastoral, agriculture and dairying, and forestry and fisheries for the data up to 1989</w:t>
            </w:r>
            <w:r>
              <w:noBreakHyphen/>
              <w:t xml:space="preserve">90. </w:t>
            </w:r>
            <w:r>
              <w:rPr>
                <w:rStyle w:val="NoteLabel"/>
              </w:rPr>
              <w:t>b</w:t>
            </w:r>
            <w:r>
              <w:t> Manufacturing and construction includes private construction only for the data up to 1989</w:t>
            </w:r>
            <w:r>
              <w:noBreakHyphen/>
              <w:t xml:space="preserve">90. </w:t>
            </w:r>
            <w:r>
              <w:rPr>
                <w:rStyle w:val="NoteLabel"/>
              </w:rPr>
              <w:t>c</w:t>
            </w:r>
            <w:r w:rsidR="006735A4">
              <w:t> </w:t>
            </w:r>
            <w:r>
              <w:t>Services includes public construction for the data up to 1989</w:t>
            </w:r>
            <w:r>
              <w:noBreakHyphen/>
              <w:t xml:space="preserve">90. </w:t>
            </w:r>
            <w:r>
              <w:rPr>
                <w:rStyle w:val="NoteLabel"/>
              </w:rPr>
              <w:t>d</w:t>
            </w:r>
            <w:r w:rsidR="006735A4">
              <w:t> </w:t>
            </w:r>
            <w:r>
              <w:t>Calendar years up to 1900 and then financial years afterwards. Note the discontinuity in both charts at about 1989</w:t>
            </w:r>
            <w:r>
              <w:noBreakHyphen/>
              <w:t>90, this is where the ABS data connects with Ville and Withers.</w:t>
            </w:r>
          </w:p>
        </w:tc>
      </w:tr>
      <w:tr w:rsidR="00407528" w:rsidRPr="00176D3F" w14:paraId="6EFB5AAC" w14:textId="77777777" w:rsidTr="00A533DF">
        <w:tc>
          <w:tcPr>
            <w:tcW w:w="5000" w:type="pct"/>
            <w:tcBorders>
              <w:top w:val="nil"/>
              <w:left w:val="nil"/>
              <w:bottom w:val="nil"/>
              <w:right w:val="nil"/>
            </w:tcBorders>
            <w:shd w:val="clear" w:color="auto" w:fill="auto"/>
          </w:tcPr>
          <w:p w14:paraId="00F5C10A" w14:textId="59CE9E94" w:rsidR="00407528" w:rsidRPr="00176D3F" w:rsidRDefault="00407528" w:rsidP="00A533DF">
            <w:pPr>
              <w:pStyle w:val="Source"/>
            </w:pPr>
            <w:r>
              <w:rPr>
                <w:i/>
              </w:rPr>
              <w:t>S</w:t>
            </w:r>
            <w:r w:rsidRPr="00784A05">
              <w:rPr>
                <w:i/>
              </w:rPr>
              <w:t>ource</w:t>
            </w:r>
            <w:r>
              <w:rPr>
                <w:i/>
              </w:rPr>
              <w:t>s</w:t>
            </w:r>
            <w:r w:rsidRPr="00176D3F">
              <w:t>:</w:t>
            </w:r>
            <w:r>
              <w:t xml:space="preserve"> Commission estimates using Ville and Withers</w:t>
            </w:r>
            <w:r w:rsidRPr="00176D3F">
              <w:t xml:space="preserve"> </w:t>
            </w:r>
            <w:r w:rsidRPr="0079679E">
              <w:rPr>
                <w:rFonts w:cs="Arial"/>
                <w:szCs w:val="24"/>
              </w:rPr>
              <w:t>(2015, pp. 555–560)</w:t>
            </w:r>
            <w:r>
              <w:t xml:space="preserve"> and ABS (2019, </w:t>
            </w:r>
            <w:r w:rsidRPr="008A5A7C">
              <w:rPr>
                <w:i/>
              </w:rPr>
              <w:t>Australian System of National Accounts, 2018</w:t>
            </w:r>
            <w:r>
              <w:rPr>
                <w:i/>
              </w:rPr>
              <w:noBreakHyphen/>
            </w:r>
            <w:r w:rsidRPr="008A5A7C">
              <w:rPr>
                <w:i/>
              </w:rPr>
              <w:t>19</w:t>
            </w:r>
            <w:r>
              <w:t>, Cat. no. 5204.0, table 5</w:t>
            </w:r>
            <w:r w:rsidRPr="00B94FD7">
              <w:t>).</w:t>
            </w:r>
          </w:p>
        </w:tc>
      </w:tr>
      <w:tr w:rsidR="00407528" w14:paraId="10F77D0F" w14:textId="77777777" w:rsidTr="00A533DF">
        <w:tc>
          <w:tcPr>
            <w:tcW w:w="5000" w:type="pct"/>
            <w:tcBorders>
              <w:top w:val="nil"/>
              <w:left w:val="nil"/>
              <w:bottom w:val="single" w:sz="6" w:space="0" w:color="78A22F"/>
              <w:right w:val="nil"/>
            </w:tcBorders>
            <w:shd w:val="clear" w:color="auto" w:fill="auto"/>
          </w:tcPr>
          <w:p w14:paraId="3BD2619C" w14:textId="77777777" w:rsidR="00407528" w:rsidRDefault="00407528" w:rsidP="00A533DF">
            <w:pPr>
              <w:pStyle w:val="Figurespace"/>
            </w:pPr>
          </w:p>
        </w:tc>
      </w:tr>
      <w:tr w:rsidR="00407528" w:rsidRPr="000863A5" w14:paraId="7574B5A3" w14:textId="77777777" w:rsidTr="00A533DF">
        <w:tc>
          <w:tcPr>
            <w:tcW w:w="5000" w:type="pct"/>
            <w:tcBorders>
              <w:top w:val="single" w:sz="6" w:space="0" w:color="78A22F"/>
              <w:left w:val="nil"/>
              <w:bottom w:val="nil"/>
              <w:right w:val="nil"/>
            </w:tcBorders>
          </w:tcPr>
          <w:p w14:paraId="018564B2" w14:textId="3890E836" w:rsidR="00407528" w:rsidRPr="00626D32" w:rsidRDefault="00407528" w:rsidP="00A533DF">
            <w:pPr>
              <w:pStyle w:val="BoxSpaceBelow"/>
            </w:pPr>
          </w:p>
        </w:tc>
      </w:tr>
    </w:tbl>
    <w:p w14:paraId="0714636F" w14:textId="77777777" w:rsidR="00B25DEA" w:rsidRDefault="00B004FD" w:rsidP="00B25DEA">
      <w:pPr>
        <w:pStyle w:val="Heading3"/>
      </w:pPr>
      <w:r>
        <w:t>Do</w:t>
      </w:r>
      <w:r w:rsidR="003A5B92">
        <w:t>es</w:t>
      </w:r>
      <w:r>
        <w:t xml:space="preserve"> </w:t>
      </w:r>
      <w:r w:rsidR="003A5B92">
        <w:t xml:space="preserve">innovative </w:t>
      </w:r>
      <w:r>
        <w:t>capabili</w:t>
      </w:r>
      <w:r w:rsidR="003A5B92">
        <w:t>ty</w:t>
      </w:r>
      <w:r>
        <w:t xml:space="preserve"> limit Australia’s productivity potential?</w:t>
      </w:r>
    </w:p>
    <w:p w14:paraId="34374575" w14:textId="7FAB8A14" w:rsidR="00B004FD" w:rsidRDefault="00B004FD" w:rsidP="00B004FD">
      <w:pPr>
        <w:pStyle w:val="BodyText"/>
      </w:pPr>
      <w:r>
        <w:t>In</w:t>
      </w:r>
      <w:r w:rsidR="00407528">
        <w:t xml:space="preserve"> the long run, in</w:t>
      </w:r>
      <w:r>
        <w:t xml:space="preserve">novation </w:t>
      </w:r>
      <w:r w:rsidR="00B85DFB">
        <w:t>is the main driver of productivity growth</w:t>
      </w:r>
      <w:r w:rsidR="00407528">
        <w:t xml:space="preserve"> (as it feeds directly into multifactor productivity and also creates the scope for capital deepening).</w:t>
      </w:r>
      <w:r w:rsidR="00B85DFB">
        <w:t xml:space="preserve"> </w:t>
      </w:r>
      <w:r w:rsidR="00407528">
        <w:t>Innovation</w:t>
      </w:r>
      <w:r w:rsidR="00B85DFB">
        <w:t xml:space="preserve"> </w:t>
      </w:r>
      <w:r>
        <w:t>ultimately occurs through people</w:t>
      </w:r>
      <w:r w:rsidR="00407528">
        <w:t xml:space="preserve"> </w:t>
      </w:r>
      <w:r>
        <w:t>with complex problem solving and critical thinking skills who can develop new and better ways of doing things</w:t>
      </w:r>
      <w:r w:rsidR="00AE0BBD">
        <w:t>. This is not just about generating new, ground</w:t>
      </w:r>
      <w:r w:rsidR="00E23CE2">
        <w:noBreakHyphen/>
      </w:r>
      <w:r w:rsidR="00AE0BBD">
        <w:t>breaking discoveries, but also</w:t>
      </w:r>
      <w:r w:rsidR="003A5B92">
        <w:t xml:space="preserve"> </w:t>
      </w:r>
      <w:r>
        <w:t xml:space="preserve">adopting and adapting existing knowledge and technologies. </w:t>
      </w:r>
      <w:r w:rsidR="00AE0BBD">
        <w:t>Hence both entrepreneurs and business m</w:t>
      </w:r>
      <w:r>
        <w:t>anager</w:t>
      </w:r>
      <w:r w:rsidR="003A5B92">
        <w:t xml:space="preserve">s </w:t>
      </w:r>
      <w:r>
        <w:t xml:space="preserve">are critical </w:t>
      </w:r>
      <w:r w:rsidR="003A5B92">
        <w:t>facilitator</w:t>
      </w:r>
      <w:r w:rsidR="00AE0BBD">
        <w:t>s</w:t>
      </w:r>
      <w:r w:rsidR="003A5B92">
        <w:t xml:space="preserve"> of innovation</w:t>
      </w:r>
      <w:r w:rsidR="00AE0BBD">
        <w:t>, such as through the identification of new products and business models, and in</w:t>
      </w:r>
      <w:r w:rsidR="003A5B92">
        <w:t xml:space="preserve"> </w:t>
      </w:r>
      <w:r>
        <w:t xml:space="preserve">redesigning work practices to harness the benefits of new technologies. </w:t>
      </w:r>
      <w:r w:rsidR="00AE0BBD">
        <w:t xml:space="preserve">The </w:t>
      </w:r>
      <w:r w:rsidR="00417C36">
        <w:t xml:space="preserve">precise </w:t>
      </w:r>
      <w:r w:rsidR="00AE0BBD">
        <w:t xml:space="preserve">ingredients that produce entrepreneurship and innovative capability are hard to </w:t>
      </w:r>
      <w:r w:rsidR="00417C36">
        <w:t>strictly codify</w:t>
      </w:r>
      <w:r w:rsidR="00AE0BBD">
        <w:t xml:space="preserve">. </w:t>
      </w:r>
      <w:r w:rsidR="006A33B6">
        <w:t xml:space="preserve">In what follows, we identify three (albeit incomplete) indicators which could highlight the innovative capability of an economy. They are levels of </w:t>
      </w:r>
      <w:r w:rsidR="004B7288">
        <w:t xml:space="preserve">formal </w:t>
      </w:r>
      <w:r w:rsidR="006A33B6">
        <w:t xml:space="preserve">education, research and development and </w:t>
      </w:r>
      <w:r w:rsidR="004B7288">
        <w:t>survey</w:t>
      </w:r>
      <w:r w:rsidR="004B7288">
        <w:noBreakHyphen/>
      </w:r>
      <w:r w:rsidR="006A33B6">
        <w:t>based measures of management capability</w:t>
      </w:r>
      <w:r w:rsidR="004B7288">
        <w:t>.</w:t>
      </w:r>
    </w:p>
    <w:p w14:paraId="477072D1" w14:textId="77777777" w:rsidR="00B004FD" w:rsidRPr="00194750" w:rsidRDefault="00AE0BBD" w:rsidP="00194750">
      <w:pPr>
        <w:pStyle w:val="Heading4"/>
        <w:rPr>
          <w:i/>
        </w:rPr>
      </w:pPr>
      <w:r w:rsidRPr="00194750">
        <w:rPr>
          <w:i/>
        </w:rPr>
        <w:lastRenderedPageBreak/>
        <w:t>Formal education</w:t>
      </w:r>
    </w:p>
    <w:p w14:paraId="3FF1A98C" w14:textId="02B01922" w:rsidR="00AA42F0" w:rsidRDefault="00AA42F0" w:rsidP="003662FC">
      <w:pPr>
        <w:pStyle w:val="BodyText"/>
      </w:pPr>
      <w:r>
        <w:t>Considerable academic literature has pointed to the link between formal education and lifting productivity, both as a driver of future productivity growth and to explain differences in productivity between countries</w:t>
      </w:r>
      <w:r w:rsidR="00415B9F">
        <w:t xml:space="preserve"> </w:t>
      </w:r>
      <w:r w:rsidR="00415B9F" w:rsidRPr="00415B9F">
        <w:rPr>
          <w:szCs w:val="24"/>
        </w:rPr>
        <w:t>(Dolman, Parham and Zheng 2007)</w:t>
      </w:r>
      <w:r>
        <w:t>. Achieving higher quality outcomes from the education system should be a key goal for policy.</w:t>
      </w:r>
    </w:p>
    <w:p w14:paraId="35022FBC" w14:textId="53392823" w:rsidR="003662FC" w:rsidRDefault="003662FC" w:rsidP="003662FC">
      <w:pPr>
        <w:pStyle w:val="BodyText"/>
      </w:pPr>
      <w:r>
        <w:t>For decades, Australia has had a workforce with a lower average level of</w:t>
      </w:r>
      <w:r w:rsidR="00AA42F0">
        <w:t xml:space="preserve"> formal</w:t>
      </w:r>
      <w:r>
        <w:t xml:space="preserve"> education </w:t>
      </w:r>
      <w:r w:rsidR="00496080">
        <w:t xml:space="preserve">compared with </w:t>
      </w:r>
      <w:r>
        <w:t xml:space="preserve">that of the </w:t>
      </w:r>
      <w:r w:rsidR="00483FF1">
        <w:t>US</w:t>
      </w:r>
      <w:r>
        <w:t xml:space="preserve">. Higher education and completion of upper secondary education both became widespread much earlier in the </w:t>
      </w:r>
      <w:r w:rsidR="00483FF1">
        <w:t>US</w:t>
      </w:r>
      <w:r>
        <w:t>.</w:t>
      </w:r>
      <w:r w:rsidR="00A6588F">
        <w:t xml:space="preserve"> For example,</w:t>
      </w:r>
      <w:r>
        <w:t xml:space="preserve"> </w:t>
      </w:r>
      <w:r w:rsidR="00A6588F">
        <w:t>w</w:t>
      </w:r>
      <w:r>
        <w:t>hereas completion of secondary education became common in Australia through the 1970s and 1980s, as early as 1940 the majority of young Americans were high school graduates (Goldin 1998). Additional years of formal education are generally found to have a positive effect on individual and economy</w:t>
      </w:r>
      <w:r>
        <w:noBreakHyphen/>
        <w:t xml:space="preserve">wide productivity </w:t>
      </w:r>
      <w:r w:rsidRPr="00AD70E1">
        <w:rPr>
          <w:szCs w:val="24"/>
        </w:rPr>
        <w:t>(Benos and Zotou 2014; Leigh 2008)</w:t>
      </w:r>
      <w:r>
        <w:t xml:space="preserve">, so this gap in education has likely contributed to Australia’s </w:t>
      </w:r>
      <w:r w:rsidR="00B85DFB">
        <w:t xml:space="preserve">historical </w:t>
      </w:r>
      <w:r>
        <w:t>gap compared with US productivity levels.</w:t>
      </w:r>
    </w:p>
    <w:p w14:paraId="2FEE0AE7" w14:textId="60A28FCB" w:rsidR="00186737" w:rsidRDefault="00B25DEA" w:rsidP="00186737">
      <w:pPr>
        <w:pStyle w:val="BodyText"/>
      </w:pPr>
      <w:r>
        <w:t>More recently, this gap in formal education appears to have almost closed (figures </w:t>
      </w:r>
      <w:r w:rsidR="00A266EF">
        <w:t>11</w:t>
      </w:r>
      <w:r>
        <w:t xml:space="preserve">). </w:t>
      </w:r>
    </w:p>
    <w:p w14:paraId="5A24FDF5" w14:textId="4853DA08" w:rsidR="00B25DEA" w:rsidRDefault="00B25DEA" w:rsidP="00B25D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5DEA" w14:paraId="2054112A" w14:textId="77777777" w:rsidTr="006B69FC">
        <w:trPr>
          <w:tblHeader/>
        </w:trPr>
        <w:tc>
          <w:tcPr>
            <w:tcW w:w="5000" w:type="pct"/>
            <w:tcBorders>
              <w:top w:val="single" w:sz="6" w:space="0" w:color="78A22F"/>
              <w:left w:val="nil"/>
              <w:bottom w:val="nil"/>
              <w:right w:val="nil"/>
            </w:tcBorders>
            <w:shd w:val="clear" w:color="auto" w:fill="auto"/>
          </w:tcPr>
          <w:p w14:paraId="582F8921" w14:textId="0CA88FD0" w:rsidR="00B25DEA" w:rsidRDefault="00B25DEA" w:rsidP="006B69FC">
            <w:pPr>
              <w:pStyle w:val="FigureTitle"/>
            </w:pPr>
            <w:r w:rsidRPr="00784A05">
              <w:rPr>
                <w:b w:val="0"/>
              </w:rPr>
              <w:t xml:space="preserve">Figure </w:t>
            </w:r>
            <w:r w:rsidR="007C4AB4">
              <w:rPr>
                <w:b w:val="0"/>
              </w:rPr>
              <w:t>11</w:t>
            </w:r>
            <w:r>
              <w:tab/>
              <w:t>Australia has almost caught up to the US level of formal education …</w:t>
            </w:r>
          </w:p>
          <w:p w14:paraId="32AC8AC2" w14:textId="41D41161" w:rsidR="00B25DEA" w:rsidRPr="00EF2442" w:rsidRDefault="00B25DEA" w:rsidP="00164E07">
            <w:pPr>
              <w:pStyle w:val="Ntoel"/>
            </w:pPr>
            <w:r>
              <w:t>Proportion of the</w:t>
            </w:r>
            <w:r w:rsidR="00186737">
              <w:t xml:space="preserve"> total</w:t>
            </w:r>
            <w:r w:rsidR="0084015A">
              <w:t xml:space="preserve"> </w:t>
            </w:r>
            <w:r w:rsidR="00186737">
              <w:t>population (aged 25 to 6</w:t>
            </w:r>
            <w:r w:rsidR="00164E07">
              <w:t>4 years</w:t>
            </w:r>
            <w:r w:rsidR="00186737">
              <w:t>)</w:t>
            </w:r>
            <w:r>
              <w:t xml:space="preserve"> that have completed high school (left) and have completed a form of tertiary</w:t>
            </w:r>
            <w:r w:rsidRPr="00E56822">
              <w:rPr>
                <w:rStyle w:val="NoteLabel"/>
              </w:rPr>
              <w:t>a</w:t>
            </w:r>
            <w:r>
              <w:t xml:space="preserve"> education (right) between 1997 and 2018 in Australia and the United States</w:t>
            </w:r>
          </w:p>
        </w:tc>
      </w:tr>
      <w:tr w:rsidR="00B25DEA" w14:paraId="10ECA071" w14:textId="77777777" w:rsidTr="006B69F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44"/>
              <w:gridCol w:w="4260"/>
            </w:tblGrid>
            <w:tr w:rsidR="00B25DEA" w:rsidRPr="00B1465D" w14:paraId="3917B2E3" w14:textId="77777777" w:rsidTr="006B69FC">
              <w:trPr>
                <w:tblHeader/>
                <w:jc w:val="center"/>
              </w:trPr>
              <w:tc>
                <w:tcPr>
                  <w:tcW w:w="2500" w:type="pct"/>
                  <w:tcBorders>
                    <w:top w:val="nil"/>
                    <w:bottom w:val="nil"/>
                  </w:tcBorders>
                </w:tcPr>
                <w:p w14:paraId="5423462F" w14:textId="2018E345" w:rsidR="00B25DEA" w:rsidRPr="00B1465D" w:rsidRDefault="006735A4"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8544C10" wp14:editId="0DBEA242">
                        <wp:extent cx="2670175" cy="2731135"/>
                        <wp:effectExtent l="0" t="0" r="0" b="0"/>
                        <wp:docPr id="57" name="Picture 57" descr="Figure 11 (left): These charts display the proportion of the total population (aged 25 to 64 years) that have completed high school (left) and have completed a form of tertiary education (right) between 1997 and 2018 in Australia and the United States. It can be seen that in both high school completion and tertiary education, Australia has almost caught up to the United States and, if it follows the same trend into the future, will likely catch up completely quite soon." title="Australia has almost caught up to the US level of formal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70175" cy="2731135"/>
                                </a:xfrm>
                                <a:prstGeom prst="rect">
                                  <a:avLst/>
                                </a:prstGeom>
                                <a:noFill/>
                              </pic:spPr>
                            </pic:pic>
                          </a:graphicData>
                        </a:graphic>
                      </wp:inline>
                    </w:drawing>
                  </w:r>
                </w:p>
              </w:tc>
              <w:tc>
                <w:tcPr>
                  <w:tcW w:w="2500" w:type="pct"/>
                  <w:tcBorders>
                    <w:top w:val="nil"/>
                    <w:bottom w:val="nil"/>
                  </w:tcBorders>
                </w:tcPr>
                <w:p w14:paraId="68484F51" w14:textId="5951B6DF" w:rsidR="00B25DEA" w:rsidRPr="00B1465D" w:rsidRDefault="0093704E"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A3B4F4D" wp14:editId="2693CA76">
                        <wp:extent cx="2698776" cy="2736000"/>
                        <wp:effectExtent l="0" t="0" r="6350" b="7620"/>
                        <wp:docPr id="5" name="Picture 5" descr="Figure 11 (right): These charts display the proportion of the total population (aged 25 to 64 years) that have completed high school (left) and have completed a form of tertiary education (right) between 1997 and 2018 in Australia and the United States. It can be seen that in both high school completion and tertiary education, Australia has almost caught up to the United States and, if it follows the same trend into the future, will likely catch up completely quite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98776" cy="2736000"/>
                                </a:xfrm>
                                <a:prstGeom prst="rect">
                                  <a:avLst/>
                                </a:prstGeom>
                                <a:noFill/>
                              </pic:spPr>
                            </pic:pic>
                          </a:graphicData>
                        </a:graphic>
                      </wp:inline>
                    </w:drawing>
                  </w:r>
                </w:p>
              </w:tc>
            </w:tr>
          </w:tbl>
          <w:p w14:paraId="5D368DD9" w14:textId="77777777" w:rsidR="00B25DEA" w:rsidRDefault="00B25DEA" w:rsidP="006B69FC">
            <w:pPr>
              <w:pStyle w:val="Figure"/>
            </w:pPr>
          </w:p>
        </w:tc>
      </w:tr>
      <w:tr w:rsidR="00B25DEA" w:rsidRPr="00176D3F" w14:paraId="37140421" w14:textId="77777777" w:rsidTr="006B69FC">
        <w:tc>
          <w:tcPr>
            <w:tcW w:w="5000" w:type="pct"/>
            <w:tcBorders>
              <w:top w:val="nil"/>
              <w:left w:val="nil"/>
              <w:bottom w:val="nil"/>
              <w:right w:val="nil"/>
            </w:tcBorders>
            <w:shd w:val="clear" w:color="auto" w:fill="auto"/>
          </w:tcPr>
          <w:p w14:paraId="60D3C406" w14:textId="77777777" w:rsidR="00B25DEA" w:rsidRPr="00176D3F" w:rsidRDefault="00B25DEA" w:rsidP="006B69FC">
            <w:pPr>
              <w:pStyle w:val="Note"/>
            </w:pPr>
            <w:r>
              <w:rPr>
                <w:rStyle w:val="NoteLabel"/>
              </w:rPr>
              <w:t>a</w:t>
            </w:r>
            <w:r>
              <w:t xml:space="preserve"> Tertiary education refers to </w:t>
            </w:r>
            <w:r w:rsidRPr="00E56822">
              <w:t>International Standard Classification of Education (ISCED)</w:t>
            </w:r>
            <w:r>
              <w:t xml:space="preserve"> codes 4 and above (includes qualifications considered higher than secondary education but lower than bachelor’s degrees).</w:t>
            </w:r>
          </w:p>
        </w:tc>
      </w:tr>
      <w:tr w:rsidR="00B25DEA" w:rsidRPr="00176D3F" w14:paraId="1584C44C" w14:textId="77777777" w:rsidTr="006B69FC">
        <w:tc>
          <w:tcPr>
            <w:tcW w:w="5000" w:type="pct"/>
            <w:tcBorders>
              <w:top w:val="nil"/>
              <w:left w:val="nil"/>
              <w:bottom w:val="nil"/>
              <w:right w:val="nil"/>
            </w:tcBorders>
            <w:shd w:val="clear" w:color="auto" w:fill="auto"/>
          </w:tcPr>
          <w:p w14:paraId="15EF39B0" w14:textId="77777777" w:rsidR="00B25DEA" w:rsidRPr="00176D3F" w:rsidRDefault="00B25DEA" w:rsidP="006B69FC">
            <w:pPr>
              <w:pStyle w:val="Source"/>
            </w:pPr>
            <w:r>
              <w:rPr>
                <w:i/>
              </w:rPr>
              <w:t>S</w:t>
            </w:r>
            <w:r w:rsidRPr="00784A05">
              <w:rPr>
                <w:i/>
              </w:rPr>
              <w:t>ource</w:t>
            </w:r>
            <w:r w:rsidRPr="00176D3F">
              <w:t xml:space="preserve">: </w:t>
            </w:r>
            <w:r>
              <w:t xml:space="preserve">OECD Stat database. </w:t>
            </w:r>
          </w:p>
        </w:tc>
      </w:tr>
      <w:tr w:rsidR="00B25DEA" w14:paraId="2B016A1E" w14:textId="77777777" w:rsidTr="006B69FC">
        <w:tc>
          <w:tcPr>
            <w:tcW w:w="5000" w:type="pct"/>
            <w:tcBorders>
              <w:top w:val="nil"/>
              <w:left w:val="nil"/>
              <w:bottom w:val="single" w:sz="6" w:space="0" w:color="78A22F"/>
              <w:right w:val="nil"/>
            </w:tcBorders>
            <w:shd w:val="clear" w:color="auto" w:fill="auto"/>
          </w:tcPr>
          <w:p w14:paraId="216B434B" w14:textId="77777777" w:rsidR="00B25DEA" w:rsidRDefault="00B25DEA" w:rsidP="006B69FC">
            <w:pPr>
              <w:pStyle w:val="Figurespace"/>
            </w:pPr>
          </w:p>
        </w:tc>
      </w:tr>
      <w:tr w:rsidR="00B25DEA" w:rsidRPr="000863A5" w14:paraId="64104DF1" w14:textId="77777777" w:rsidTr="006B69FC">
        <w:tc>
          <w:tcPr>
            <w:tcW w:w="5000" w:type="pct"/>
            <w:tcBorders>
              <w:top w:val="single" w:sz="6" w:space="0" w:color="78A22F"/>
              <w:left w:val="nil"/>
              <w:bottom w:val="nil"/>
              <w:right w:val="nil"/>
            </w:tcBorders>
          </w:tcPr>
          <w:p w14:paraId="7050BA84" w14:textId="53E0462A" w:rsidR="00B25DEA" w:rsidRPr="00626D32" w:rsidRDefault="00B25DEA" w:rsidP="006B69FC">
            <w:pPr>
              <w:pStyle w:val="BoxSpaceBelow"/>
            </w:pPr>
          </w:p>
        </w:tc>
      </w:tr>
    </w:tbl>
    <w:p w14:paraId="608AF748" w14:textId="3A275AB8" w:rsidR="00186737" w:rsidRDefault="00186737" w:rsidP="00186737">
      <w:pPr>
        <w:pStyle w:val="BodyText"/>
      </w:pPr>
      <w:r>
        <w:lastRenderedPageBreak/>
        <w:t xml:space="preserve">Reasons for closing of the historical education gap include reforms to higher education that have allowed greater enrolment </w:t>
      </w:r>
      <w:r w:rsidRPr="00C1132A">
        <w:rPr>
          <w:szCs w:val="24"/>
        </w:rPr>
        <w:t>(PC 2019)</w:t>
      </w:r>
      <w:r>
        <w:t xml:space="preserve"> and the high average levels of education among Australia’s immigrant population </w:t>
      </w:r>
      <w:r w:rsidRPr="00B95B72">
        <w:rPr>
          <w:szCs w:val="24"/>
        </w:rPr>
        <w:t>(Hatton and Withers 2012, p. 351)</w:t>
      </w:r>
      <w:r>
        <w:t xml:space="preserve">. </w:t>
      </w:r>
    </w:p>
    <w:p w14:paraId="11A72D38" w14:textId="734D150A" w:rsidR="00C15F3E" w:rsidRDefault="00186737" w:rsidP="00186737">
      <w:pPr>
        <w:pStyle w:val="BodyText"/>
      </w:pPr>
      <w:r>
        <w:t xml:space="preserve">There is also </w:t>
      </w:r>
      <w:r w:rsidR="00496080">
        <w:t xml:space="preserve">little </w:t>
      </w:r>
      <w:r>
        <w:t xml:space="preserve">evidence that Australian educational </w:t>
      </w:r>
      <w:r w:rsidRPr="00216FEE">
        <w:rPr>
          <w:i/>
        </w:rPr>
        <w:t>quality</w:t>
      </w:r>
      <w:r>
        <w:t xml:space="preserve"> is poorer than that in the </w:t>
      </w:r>
      <w:r w:rsidR="00483FF1">
        <w:t>US</w:t>
      </w:r>
      <w:r w:rsidR="00496080">
        <w:t xml:space="preserve">, as </w:t>
      </w:r>
      <w:r w:rsidR="00164E07">
        <w:t>school achievement</w:t>
      </w:r>
      <w:r w:rsidR="00496080">
        <w:t xml:space="preserve"> levels measured by the </w:t>
      </w:r>
      <w:r w:rsidR="00496080" w:rsidRPr="00DC7189">
        <w:t>Programme for International Student Assessment</w:t>
      </w:r>
      <w:r w:rsidR="00496080">
        <w:t xml:space="preserve"> (PISA) indicate Australian students traditionally perform better than their US peers in reading, maths and science. That said, </w:t>
      </w:r>
      <w:r w:rsidR="00A6588F">
        <w:t>s</w:t>
      </w:r>
      <w:r>
        <w:t>ince 2000, Australia has seen its test</w:t>
      </w:r>
      <w:r w:rsidR="00A6588F">
        <w:t xml:space="preserve"> scores in all three areas</w:t>
      </w:r>
      <w:r>
        <w:t xml:space="preserve"> fall</w:t>
      </w:r>
      <w:r w:rsidR="00496080">
        <w:t xml:space="preserve"> relative to the US</w:t>
      </w:r>
      <w:r w:rsidR="00A6588F">
        <w:t xml:space="preserve"> (figure 12)</w:t>
      </w:r>
      <w:r>
        <w:t xml:space="preserve">. This has even been the case for the top performing students. </w:t>
      </w:r>
    </w:p>
    <w:p w14:paraId="264F2D55" w14:textId="5DF08A41" w:rsidR="00B25DEA" w:rsidRDefault="00B25DEA" w:rsidP="00B25D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5DEA" w14:paraId="133DFCFA" w14:textId="77777777" w:rsidTr="006B69FC">
        <w:trPr>
          <w:tblHeader/>
        </w:trPr>
        <w:tc>
          <w:tcPr>
            <w:tcW w:w="5000" w:type="pct"/>
            <w:tcBorders>
              <w:top w:val="single" w:sz="6" w:space="0" w:color="78A22F"/>
              <w:left w:val="nil"/>
              <w:bottom w:val="nil"/>
              <w:right w:val="nil"/>
            </w:tcBorders>
            <w:shd w:val="clear" w:color="auto" w:fill="auto"/>
          </w:tcPr>
          <w:p w14:paraId="468AE035" w14:textId="6EF62A55" w:rsidR="00B25DEA" w:rsidRDefault="00B25DEA" w:rsidP="006B69FC">
            <w:pPr>
              <w:pStyle w:val="FigureTitle"/>
            </w:pPr>
            <w:r w:rsidRPr="00784A05">
              <w:rPr>
                <w:b w:val="0"/>
              </w:rPr>
              <w:t xml:space="preserve">Figure </w:t>
            </w:r>
            <w:r w:rsidR="007C4AB4">
              <w:rPr>
                <w:b w:val="0"/>
              </w:rPr>
              <w:t>12</w:t>
            </w:r>
            <w:r>
              <w:tab/>
              <w:t xml:space="preserve">… and </w:t>
            </w:r>
            <w:r w:rsidR="003662FC">
              <w:t xml:space="preserve">while Australian </w:t>
            </w:r>
            <w:r>
              <w:t xml:space="preserve">test scores </w:t>
            </w:r>
            <w:r w:rsidR="003662FC">
              <w:t>have fallen sharply, they are no worse than in the United States</w:t>
            </w:r>
          </w:p>
          <w:p w14:paraId="58C83249" w14:textId="6712CFB0" w:rsidR="00B25DEA" w:rsidRPr="00176D3F" w:rsidRDefault="00B25DEA" w:rsidP="006078D9">
            <w:pPr>
              <w:pStyle w:val="Subtitle"/>
            </w:pPr>
            <w:r w:rsidRPr="009F0D0C">
              <w:t>Programme for International Student Assessment (PISA)</w:t>
            </w:r>
            <w:r>
              <w:t xml:space="preserve"> 2000 and 2018, and the gap between Australia and the </w:t>
            </w:r>
            <w:r w:rsidR="006078D9">
              <w:t>US</w:t>
            </w:r>
            <w:r>
              <w:t xml:space="preserve"> of the top 95</w:t>
            </w:r>
            <w:r w:rsidRPr="004B59D9">
              <w:rPr>
                <w:vertAlign w:val="superscript"/>
              </w:rPr>
              <w:t>th</w:t>
            </w:r>
            <w:r>
              <w:t xml:space="preserve"> percentile of scores in reading, maths and science (bottom right)</w:t>
            </w:r>
          </w:p>
        </w:tc>
      </w:tr>
      <w:tr w:rsidR="00B25DEA" w14:paraId="57E64D1C" w14:textId="77777777" w:rsidTr="006B69F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4358"/>
              <w:gridCol w:w="4147"/>
            </w:tblGrid>
            <w:tr w:rsidR="00B25DEA" w:rsidRPr="00B1465D" w14:paraId="5066E8B7" w14:textId="77777777" w:rsidTr="00064A31">
              <w:trPr>
                <w:trHeight w:val="129"/>
                <w:tblHeader/>
                <w:jc w:val="center"/>
              </w:trPr>
              <w:tc>
                <w:tcPr>
                  <w:tcW w:w="4252" w:type="dxa"/>
                  <w:tcBorders>
                    <w:top w:val="nil"/>
                    <w:bottom w:val="nil"/>
                  </w:tcBorders>
                </w:tcPr>
                <w:p w14:paraId="4C1ED039" w14:textId="7D6AA06F" w:rsidR="00B25DEA" w:rsidRPr="00B1465D" w:rsidRDefault="00064A31"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238DDAA" wp14:editId="7E4E01B3">
                        <wp:extent cx="2670175" cy="2377440"/>
                        <wp:effectExtent l="0" t="0" r="0" b="3810"/>
                        <wp:docPr id="59" name="Picture 59" descr="Figure 12 (Reading): This chart shows the Programme for International Student Assessment (PISA) scores of Australia and the United States in reading, maths and science between 2000 and 2018, and the gap between Australia and the United States of the top 95th percentile of scores in reading, maths and science (bottom right). It can be seen that while Australia still appears to be ahead of the United States in most categories (including for the highest achievers), Australia’s scores have been falling relative to the United States so that the gap between the two is not quite small." title="… and while Australian test scores have fallen sharply, they are no worse than in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70175" cy="2377440"/>
                                </a:xfrm>
                                <a:prstGeom prst="rect">
                                  <a:avLst/>
                                </a:prstGeom>
                                <a:noFill/>
                              </pic:spPr>
                            </pic:pic>
                          </a:graphicData>
                        </a:graphic>
                      </wp:inline>
                    </w:drawing>
                  </w:r>
                </w:p>
              </w:tc>
              <w:tc>
                <w:tcPr>
                  <w:tcW w:w="4252" w:type="dxa"/>
                  <w:tcBorders>
                    <w:top w:val="nil"/>
                  </w:tcBorders>
                </w:tcPr>
                <w:p w14:paraId="5526E689" w14:textId="4E550AFF" w:rsidR="00B25DEA" w:rsidRPr="00B1465D" w:rsidRDefault="00064A31"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4FF9877" wp14:editId="669F5CB9">
                        <wp:extent cx="2524125" cy="2304415"/>
                        <wp:effectExtent l="0" t="0" r="9525" b="635"/>
                        <wp:docPr id="60" name="Picture 60" descr="Figure 12 (Math): This chart shows the Programme for International Student Assessment (PISA) scores of Australia and the United States in reading, maths and science between 2000 and 2018, and the gap between Australia and the United States of the top 95th percentile of scores in reading, maths and science (bottom right). It can be seen that while Australia still appears to be ahead of the United States in most categories (including for the highest achievers), Australia’s scores have been falling relative to the United States so that the gap between the two is not quit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24125" cy="2304415"/>
                                </a:xfrm>
                                <a:prstGeom prst="rect">
                                  <a:avLst/>
                                </a:prstGeom>
                                <a:noFill/>
                              </pic:spPr>
                            </pic:pic>
                          </a:graphicData>
                        </a:graphic>
                      </wp:inline>
                    </w:drawing>
                  </w:r>
                </w:p>
              </w:tc>
            </w:tr>
            <w:tr w:rsidR="00B25DEA" w:rsidRPr="00B1465D" w14:paraId="7188F6FD" w14:textId="77777777" w:rsidTr="00064A31">
              <w:tblPrEx>
                <w:tblCellMar>
                  <w:left w:w="0" w:type="dxa"/>
                  <w:right w:w="0" w:type="dxa"/>
                </w:tblCellMar>
              </w:tblPrEx>
              <w:trPr>
                <w:trHeight w:val="3573"/>
                <w:tblHeader/>
                <w:jc w:val="center"/>
              </w:trPr>
              <w:tc>
                <w:tcPr>
                  <w:tcW w:w="4252" w:type="dxa"/>
                  <w:tcBorders>
                    <w:top w:val="nil"/>
                    <w:bottom w:val="nil"/>
                  </w:tcBorders>
                </w:tcPr>
                <w:p w14:paraId="16FA913F" w14:textId="51B5BC8D" w:rsidR="00B25DEA" w:rsidRPr="00B1465D" w:rsidRDefault="00064A31"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4DFC75D" wp14:editId="29F63653">
                        <wp:extent cx="2524125" cy="2304415"/>
                        <wp:effectExtent l="0" t="0" r="9525" b="635"/>
                        <wp:docPr id="61" name="Picture 61" descr="Figure 12 (Science): This chart shows the Programme for International Student Assessment (PISA) scores of Australia and the United States in reading, maths and science between 2000 and 2018, and the gap between Australia and the United States of the top 95th percentile of scores in reading, maths and science (bottom right). It can be seen that while Australia still appears to be ahead of the United States in most categories (including for the highest achievers), Australia’s scores have been falling relative to the United States so that the gap between the two is not quit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24125" cy="2304415"/>
                                </a:xfrm>
                                <a:prstGeom prst="rect">
                                  <a:avLst/>
                                </a:prstGeom>
                                <a:noFill/>
                              </pic:spPr>
                            </pic:pic>
                          </a:graphicData>
                        </a:graphic>
                      </wp:inline>
                    </w:drawing>
                  </w:r>
                </w:p>
              </w:tc>
              <w:tc>
                <w:tcPr>
                  <w:tcW w:w="4252" w:type="dxa"/>
                  <w:tcBorders>
                    <w:bottom w:val="nil"/>
                  </w:tcBorders>
                </w:tcPr>
                <w:p w14:paraId="25A2CC6B" w14:textId="1BF96836" w:rsidR="00B25DEA" w:rsidRPr="00B1465D" w:rsidRDefault="00064A31" w:rsidP="006B69F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910E90C" wp14:editId="3BD5EF45">
                        <wp:extent cx="2524125" cy="2304415"/>
                        <wp:effectExtent l="0" t="0" r="9525" b="635"/>
                        <wp:docPr id="62" name="Picture 62" descr="Figure 12 (Gap between): This chart shows the gap between Australia and the United States of the top 95th percentile of scores in reading, maths and science (bottom right). It can be seen that while Australia still appears to be ahead of the United States in most categories (including for the highest achievers), Australia’s scores have been falling relative to the United States so that the gap between the two is not quit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24125" cy="2304415"/>
                                </a:xfrm>
                                <a:prstGeom prst="rect">
                                  <a:avLst/>
                                </a:prstGeom>
                                <a:noFill/>
                              </pic:spPr>
                            </pic:pic>
                          </a:graphicData>
                        </a:graphic>
                      </wp:inline>
                    </w:drawing>
                  </w:r>
                </w:p>
              </w:tc>
            </w:tr>
          </w:tbl>
          <w:p w14:paraId="2E784B1C" w14:textId="77777777" w:rsidR="00B25DEA" w:rsidRDefault="00B25DEA" w:rsidP="006B69FC">
            <w:pPr>
              <w:pStyle w:val="Figure"/>
            </w:pPr>
          </w:p>
        </w:tc>
      </w:tr>
      <w:tr w:rsidR="00B25DEA" w:rsidRPr="00176D3F" w14:paraId="74F73E2A" w14:textId="77777777" w:rsidTr="006B69FC">
        <w:tc>
          <w:tcPr>
            <w:tcW w:w="5000" w:type="pct"/>
            <w:tcBorders>
              <w:top w:val="nil"/>
              <w:left w:val="nil"/>
              <w:bottom w:val="nil"/>
              <w:right w:val="nil"/>
            </w:tcBorders>
            <w:shd w:val="clear" w:color="auto" w:fill="auto"/>
          </w:tcPr>
          <w:p w14:paraId="39290024" w14:textId="4545EF3A" w:rsidR="00B25DEA" w:rsidRPr="00176D3F" w:rsidRDefault="00B25DEA" w:rsidP="006B69FC">
            <w:pPr>
              <w:pStyle w:val="Source"/>
            </w:pPr>
            <w:r>
              <w:rPr>
                <w:i/>
              </w:rPr>
              <w:t>S</w:t>
            </w:r>
            <w:r w:rsidRPr="00784A05">
              <w:rPr>
                <w:i/>
              </w:rPr>
              <w:t>ource</w:t>
            </w:r>
            <w:r w:rsidRPr="00176D3F">
              <w:t xml:space="preserve">: </w:t>
            </w:r>
            <w:r>
              <w:t xml:space="preserve">OECD </w:t>
            </w:r>
            <w:r w:rsidRPr="004B59D9">
              <w:rPr>
                <w:rFonts w:cs="Arial"/>
              </w:rPr>
              <w:t>(2018)</w:t>
            </w:r>
            <w:r w:rsidR="00F823AE">
              <w:t>.</w:t>
            </w:r>
          </w:p>
        </w:tc>
      </w:tr>
      <w:tr w:rsidR="00B25DEA" w14:paraId="6EFD4F7A" w14:textId="77777777" w:rsidTr="006B69FC">
        <w:tc>
          <w:tcPr>
            <w:tcW w:w="5000" w:type="pct"/>
            <w:tcBorders>
              <w:top w:val="nil"/>
              <w:left w:val="nil"/>
              <w:bottom w:val="single" w:sz="6" w:space="0" w:color="78A22F"/>
              <w:right w:val="nil"/>
            </w:tcBorders>
            <w:shd w:val="clear" w:color="auto" w:fill="auto"/>
          </w:tcPr>
          <w:p w14:paraId="4C18D056" w14:textId="77777777" w:rsidR="00B25DEA" w:rsidRDefault="00B25DEA" w:rsidP="006B69FC">
            <w:pPr>
              <w:pStyle w:val="Figurespace"/>
            </w:pPr>
          </w:p>
        </w:tc>
      </w:tr>
      <w:tr w:rsidR="00B25DEA" w:rsidRPr="000863A5" w14:paraId="3116D004" w14:textId="77777777" w:rsidTr="006B69FC">
        <w:tc>
          <w:tcPr>
            <w:tcW w:w="5000" w:type="pct"/>
            <w:tcBorders>
              <w:top w:val="single" w:sz="6" w:space="0" w:color="78A22F"/>
              <w:left w:val="nil"/>
              <w:bottom w:val="nil"/>
              <w:right w:val="nil"/>
            </w:tcBorders>
          </w:tcPr>
          <w:p w14:paraId="06DEEC2B" w14:textId="6FF4C703" w:rsidR="00B25DEA" w:rsidRPr="00626D32" w:rsidRDefault="00B25DEA" w:rsidP="006B69FC">
            <w:pPr>
              <w:pStyle w:val="BoxSpaceBelow"/>
            </w:pPr>
          </w:p>
        </w:tc>
      </w:tr>
    </w:tbl>
    <w:p w14:paraId="13E6C06A" w14:textId="2D4EEE22" w:rsidR="001E4709" w:rsidRDefault="00D31897" w:rsidP="00D31897">
      <w:pPr>
        <w:pStyle w:val="BodyText"/>
      </w:pPr>
      <w:r>
        <w:lastRenderedPageBreak/>
        <w:t xml:space="preserve">Overall, Australia’s downward trend </w:t>
      </w:r>
      <w:r w:rsidR="00164E07">
        <w:t>in school achievement —</w:t>
      </w:r>
      <w:r>
        <w:t xml:space="preserve"> including relative to a number of OECD peers </w:t>
      </w:r>
      <w:r w:rsidR="00164E07">
        <w:t>—</w:t>
      </w:r>
      <w:r>
        <w:t xml:space="preserve"> is a cause for concern. It is, and should be, a focus for policy attention. Improving educational attainmen</w:t>
      </w:r>
      <w:r w:rsidR="00164E07">
        <w:t>t is a potential source of long</w:t>
      </w:r>
      <w:r w:rsidR="00164E07">
        <w:noBreakHyphen/>
      </w:r>
      <w:r>
        <w:t>run productivity growth for Australia. Nonetheless, there is little reason to believe that differing levels of education</w:t>
      </w:r>
      <w:r w:rsidR="00164E07">
        <w:t>al</w:t>
      </w:r>
      <w:r>
        <w:t xml:space="preserve"> attainment are contributing to the present productivity gap with the US.</w:t>
      </w:r>
    </w:p>
    <w:p w14:paraId="5336EB3D" w14:textId="77777777" w:rsidR="00B25DEA" w:rsidRPr="00194750" w:rsidRDefault="0043764D" w:rsidP="00194750">
      <w:pPr>
        <w:pStyle w:val="Heading4"/>
        <w:rPr>
          <w:i/>
        </w:rPr>
      </w:pPr>
      <w:r w:rsidRPr="00194750">
        <w:rPr>
          <w:i/>
        </w:rPr>
        <w:t>Research and development</w:t>
      </w:r>
    </w:p>
    <w:p w14:paraId="7CEB6F6E" w14:textId="199F905D" w:rsidR="00B25DEA" w:rsidRDefault="00B25DEA" w:rsidP="00B25DEA">
      <w:pPr>
        <w:pStyle w:val="BodyText"/>
      </w:pPr>
      <w:r>
        <w:t>There is a significant gap in</w:t>
      </w:r>
      <w:r w:rsidR="00415B9F">
        <w:t xml:space="preserve"> research and development</w:t>
      </w:r>
      <w:r>
        <w:t xml:space="preserve"> </w:t>
      </w:r>
      <w:r w:rsidR="00415B9F">
        <w:t>(</w:t>
      </w:r>
      <w:r>
        <w:t>R&amp;D</w:t>
      </w:r>
      <w:r w:rsidR="00415B9F">
        <w:t>)</w:t>
      </w:r>
      <w:r>
        <w:t xml:space="preserve"> expenditure between the </w:t>
      </w:r>
      <w:r w:rsidR="00483FF1">
        <w:t>US</w:t>
      </w:r>
      <w:r>
        <w:t xml:space="preserve"> and Australia</w:t>
      </w:r>
      <w:r w:rsidR="0043764D">
        <w:t xml:space="preserve"> (figure </w:t>
      </w:r>
      <w:r w:rsidR="00A266EF">
        <w:t>13</w:t>
      </w:r>
      <w:r w:rsidR="0043764D">
        <w:t xml:space="preserve">). </w:t>
      </w:r>
      <w:r w:rsidR="00D95E8F">
        <w:t xml:space="preserve">The main reason for the lower </w:t>
      </w:r>
      <w:r w:rsidR="00D95E8F" w:rsidRPr="004F69FC">
        <w:t xml:space="preserve">R&amp;D </w:t>
      </w:r>
      <w:r w:rsidR="00D95E8F">
        <w:t>intensity of the Australian economy is the difference</w:t>
      </w:r>
      <w:r w:rsidR="0038499F">
        <w:t>s</w:t>
      </w:r>
      <w:r w:rsidR="00D95E8F">
        <w:t xml:space="preserve"> in industry structure</w:t>
      </w:r>
      <w:r w:rsidR="004E6BED">
        <w:t xml:space="preserve"> </w:t>
      </w:r>
      <w:r w:rsidR="004E6BED" w:rsidRPr="004E6BED">
        <w:rPr>
          <w:szCs w:val="24"/>
        </w:rPr>
        <w:t>(Davis and Tunny 2005)</w:t>
      </w:r>
      <w:r w:rsidR="00D95E8F">
        <w:t xml:space="preserve">. </w:t>
      </w:r>
      <w:r>
        <w:t>Australia is a small open economy whose goods sector is mostly primary production</w:t>
      </w:r>
      <w:r w:rsidR="0038499F">
        <w:noBreakHyphen/>
      </w:r>
      <w:r>
        <w:t xml:space="preserve"> and construction</w:t>
      </w:r>
      <w:r w:rsidR="00E41114">
        <w:noBreakHyphen/>
        <w:t>based</w:t>
      </w:r>
      <w:r>
        <w:t>,</w:t>
      </w:r>
      <w:r w:rsidRPr="0065069F">
        <w:rPr>
          <w:rStyle w:val="FootnoteReference"/>
        </w:rPr>
        <w:footnoteReference w:id="4"/>
      </w:r>
      <w:r>
        <w:t xml:space="preserve"> while the US has a </w:t>
      </w:r>
      <w:r w:rsidR="00164E07">
        <w:t>larger</w:t>
      </w:r>
      <w:r>
        <w:t xml:space="preserve"> manufacturing base.</w:t>
      </w:r>
      <w:r w:rsidRPr="0065069F">
        <w:rPr>
          <w:rStyle w:val="FootnoteReference"/>
        </w:rPr>
        <w:footnoteReference w:id="5"/>
      </w:r>
      <w:r>
        <w:t xml:space="preserve"> </w:t>
      </w:r>
      <w:r w:rsidR="0043764D">
        <w:t>Within manufacturing, the US has a greater share of activity in ICT</w:t>
      </w:r>
      <w:r w:rsidR="00E23CE2">
        <w:noBreakHyphen/>
      </w:r>
      <w:r w:rsidR="0043764D">
        <w:t xml:space="preserve">related fields, while Australian manufacturing is more heavily weighted towards food and </w:t>
      </w:r>
      <w:r w:rsidR="00EB62D6">
        <w:t xml:space="preserve">metals </w:t>
      </w:r>
      <w:r w:rsidR="00D95E8F">
        <w:t>manufacturing</w:t>
      </w:r>
      <w:r w:rsidR="00FC4FBD">
        <w:t xml:space="preserve"> </w:t>
      </w:r>
      <w:r w:rsidR="0090481F" w:rsidRPr="0090481F">
        <w:rPr>
          <w:szCs w:val="24"/>
        </w:rPr>
        <w:t>(OECD 2020)</w:t>
      </w:r>
      <w:r w:rsidR="0043764D">
        <w:t xml:space="preserve">. These differences in structure mean that </w:t>
      </w:r>
      <w:r>
        <w:t>manufacturing accounts for nearly two</w:t>
      </w:r>
      <w:r w:rsidR="00FC4FBD">
        <w:t xml:space="preserve"> </w:t>
      </w:r>
      <w:r>
        <w:t xml:space="preserve">thirds of </w:t>
      </w:r>
      <w:r w:rsidR="0043764D">
        <w:t>US</w:t>
      </w:r>
      <w:r>
        <w:t xml:space="preserve"> </w:t>
      </w:r>
      <w:r w:rsidRPr="004F69FC">
        <w:t xml:space="preserve">business </w:t>
      </w:r>
      <w:r w:rsidR="00D95E8F" w:rsidRPr="004F69FC">
        <w:t xml:space="preserve">expenditure </w:t>
      </w:r>
      <w:r w:rsidR="00D95E8F">
        <w:t xml:space="preserve">on </w:t>
      </w:r>
      <w:r w:rsidRPr="004F69FC">
        <w:t xml:space="preserve">R&amp;D </w:t>
      </w:r>
      <w:r w:rsidR="00FC4FBD">
        <w:t xml:space="preserve">but only one </w:t>
      </w:r>
      <w:r w:rsidR="0043764D">
        <w:t>fifth of</w:t>
      </w:r>
      <w:r>
        <w:t xml:space="preserve"> Australia</w:t>
      </w:r>
      <w:r w:rsidR="00D95E8F">
        <w:t>n</w:t>
      </w:r>
      <w:r>
        <w:t xml:space="preserve"> </w:t>
      </w:r>
      <w:r w:rsidR="0043764D">
        <w:t xml:space="preserve">expenditure. </w:t>
      </w:r>
    </w:p>
    <w:p w14:paraId="1217C308" w14:textId="1C83B168" w:rsidR="00992E68" w:rsidRDefault="00992E68" w:rsidP="00D95E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92E68" w14:paraId="21CBF701" w14:textId="77777777" w:rsidTr="00D95E8F">
        <w:trPr>
          <w:tblHeader/>
        </w:trPr>
        <w:tc>
          <w:tcPr>
            <w:tcW w:w="5000" w:type="pct"/>
            <w:tcBorders>
              <w:top w:val="single" w:sz="6" w:space="0" w:color="78A22F"/>
              <w:left w:val="nil"/>
              <w:bottom w:val="nil"/>
              <w:right w:val="nil"/>
            </w:tcBorders>
            <w:shd w:val="clear" w:color="auto" w:fill="auto"/>
          </w:tcPr>
          <w:p w14:paraId="34A1D330" w14:textId="5CA9C4A5" w:rsidR="00992E68" w:rsidRDefault="00992E68" w:rsidP="00D95E8F">
            <w:pPr>
              <w:pStyle w:val="FigureTitle"/>
            </w:pPr>
            <w:r w:rsidRPr="00784A05">
              <w:rPr>
                <w:b w:val="0"/>
              </w:rPr>
              <w:t xml:space="preserve">Figure </w:t>
            </w:r>
            <w:r w:rsidR="007C4AB4">
              <w:rPr>
                <w:b w:val="0"/>
              </w:rPr>
              <w:t>13</w:t>
            </w:r>
            <w:r>
              <w:tab/>
            </w:r>
            <w:r w:rsidR="00C50AD6">
              <w:t xml:space="preserve">The </w:t>
            </w:r>
            <w:r w:rsidRPr="00992E68">
              <w:t>Australia</w:t>
            </w:r>
            <w:r w:rsidR="00C50AD6">
              <w:t>n economy is less R&amp;D</w:t>
            </w:r>
            <w:r w:rsidR="00E23CE2">
              <w:noBreakHyphen/>
            </w:r>
            <w:r w:rsidR="00C50AD6">
              <w:t>intensive than the US, mainly</w:t>
            </w:r>
            <w:r w:rsidRPr="00992E68">
              <w:t xml:space="preserve"> due to </w:t>
            </w:r>
            <w:r w:rsidR="00C50AD6">
              <w:t xml:space="preserve">lower </w:t>
            </w:r>
            <w:r w:rsidRPr="00992E68">
              <w:t xml:space="preserve">business </w:t>
            </w:r>
            <w:r w:rsidR="00C50AD6">
              <w:t>expenditure</w:t>
            </w:r>
          </w:p>
          <w:p w14:paraId="3F2FA4A4" w14:textId="2E3B14C4" w:rsidR="00992E68" w:rsidRPr="00176D3F" w:rsidRDefault="00992E68" w:rsidP="00A31B60">
            <w:pPr>
              <w:pStyle w:val="Subtitle"/>
            </w:pPr>
            <w:r w:rsidRPr="00992E68">
              <w:t xml:space="preserve">Australian and United States total research and development expenditure as a proportion of GDP between </w:t>
            </w:r>
            <w:r w:rsidR="00A31B60">
              <w:t xml:space="preserve">1981 </w:t>
            </w:r>
            <w:r w:rsidRPr="00992E68">
              <w:t xml:space="preserve">and </w:t>
            </w:r>
            <w:r w:rsidR="00A31B60">
              <w:t>2018</w:t>
            </w:r>
          </w:p>
        </w:tc>
      </w:tr>
      <w:tr w:rsidR="00992E68" w14:paraId="1DFE93C4" w14:textId="77777777" w:rsidTr="00D95E8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92E68" w:rsidRPr="00B1465D" w14:paraId="41A72A15" w14:textId="77777777" w:rsidTr="00D95E8F">
              <w:trPr>
                <w:tblHeader/>
                <w:jc w:val="center"/>
              </w:trPr>
              <w:tc>
                <w:tcPr>
                  <w:tcW w:w="5000" w:type="pct"/>
                  <w:tcBorders>
                    <w:top w:val="nil"/>
                    <w:bottom w:val="nil"/>
                  </w:tcBorders>
                </w:tcPr>
                <w:p w14:paraId="28CFA985" w14:textId="5D880A87" w:rsidR="00992E68" w:rsidRPr="00B1465D" w:rsidRDefault="00FE4D3F" w:rsidP="00D95E8F">
                  <w:pPr>
                    <w:pStyle w:val="Figure"/>
                    <w:spacing w:before="60" w:after="60"/>
                    <w:rPr>
                      <w:rFonts w:ascii="Arial" w:hAnsi="Arial" w:cs="Arial"/>
                      <w:sz w:val="18"/>
                      <w:szCs w:val="18"/>
                    </w:rPr>
                  </w:pPr>
                  <w:r w:rsidRPr="00FE4D3F">
                    <w:rPr>
                      <w:rFonts w:ascii="Arial" w:hAnsi="Arial" w:cs="Arial"/>
                      <w:noProof/>
                      <w:sz w:val="18"/>
                      <w:szCs w:val="18"/>
                    </w:rPr>
                    <w:drawing>
                      <wp:inline distT="0" distB="0" distL="0" distR="0" wp14:anchorId="3D2E9AD0" wp14:editId="3FF5DF6D">
                        <wp:extent cx="5362575" cy="2764155"/>
                        <wp:effectExtent l="0" t="0" r="9525" b="0"/>
                        <wp:docPr id="6" name="Picture 6" descr="Figure 13: This chart displays the Australian and United States total research and development (R&amp;D) expenditure as a proportion of GDP between 2003 and 2017. It can be seen that Australia has had significantly lower R&amp;D expenditure than the United States over this entir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62575" cy="2764155"/>
                                </a:xfrm>
                                <a:prstGeom prst="rect">
                                  <a:avLst/>
                                </a:prstGeom>
                                <a:noFill/>
                                <a:ln>
                                  <a:noFill/>
                                </a:ln>
                              </pic:spPr>
                            </pic:pic>
                          </a:graphicData>
                        </a:graphic>
                      </wp:inline>
                    </w:drawing>
                  </w:r>
                </w:p>
              </w:tc>
            </w:tr>
          </w:tbl>
          <w:p w14:paraId="45064E81" w14:textId="77777777" w:rsidR="00992E68" w:rsidRDefault="00992E68" w:rsidP="00D95E8F">
            <w:pPr>
              <w:pStyle w:val="Figure"/>
            </w:pPr>
          </w:p>
        </w:tc>
      </w:tr>
      <w:tr w:rsidR="00992E68" w:rsidRPr="00176D3F" w14:paraId="6638C639" w14:textId="77777777" w:rsidTr="00D95E8F">
        <w:tc>
          <w:tcPr>
            <w:tcW w:w="5000" w:type="pct"/>
            <w:tcBorders>
              <w:top w:val="nil"/>
              <w:left w:val="nil"/>
              <w:bottom w:val="nil"/>
              <w:right w:val="nil"/>
            </w:tcBorders>
            <w:shd w:val="clear" w:color="auto" w:fill="auto"/>
          </w:tcPr>
          <w:p w14:paraId="4A778511" w14:textId="77777777" w:rsidR="00992E68" w:rsidRPr="00176D3F" w:rsidRDefault="00A73824" w:rsidP="00D95E8F">
            <w:pPr>
              <w:pStyle w:val="Source"/>
            </w:pPr>
            <w:r>
              <w:rPr>
                <w:i/>
              </w:rPr>
              <w:t>S</w:t>
            </w:r>
            <w:r w:rsidRPr="00784A05">
              <w:rPr>
                <w:i/>
              </w:rPr>
              <w:t>ource</w:t>
            </w:r>
            <w:r w:rsidRPr="00176D3F">
              <w:t xml:space="preserve">: </w:t>
            </w:r>
            <w:r>
              <w:t>OECD Stat database.</w:t>
            </w:r>
          </w:p>
        </w:tc>
      </w:tr>
      <w:tr w:rsidR="00992E68" w14:paraId="094C2AD3" w14:textId="77777777" w:rsidTr="00D95E8F">
        <w:tc>
          <w:tcPr>
            <w:tcW w:w="5000" w:type="pct"/>
            <w:tcBorders>
              <w:top w:val="nil"/>
              <w:left w:val="nil"/>
              <w:bottom w:val="single" w:sz="6" w:space="0" w:color="78A22F"/>
              <w:right w:val="nil"/>
            </w:tcBorders>
            <w:shd w:val="clear" w:color="auto" w:fill="auto"/>
          </w:tcPr>
          <w:p w14:paraId="2B196BE0" w14:textId="77777777" w:rsidR="00992E68" w:rsidRDefault="00992E68" w:rsidP="00D95E8F">
            <w:pPr>
              <w:pStyle w:val="Figurespace"/>
            </w:pPr>
          </w:p>
        </w:tc>
      </w:tr>
      <w:tr w:rsidR="00992E68" w:rsidRPr="000863A5" w14:paraId="6A4F1CDE" w14:textId="77777777" w:rsidTr="00D95E8F">
        <w:tc>
          <w:tcPr>
            <w:tcW w:w="5000" w:type="pct"/>
            <w:tcBorders>
              <w:top w:val="single" w:sz="6" w:space="0" w:color="78A22F"/>
              <w:left w:val="nil"/>
              <w:bottom w:val="nil"/>
              <w:right w:val="nil"/>
            </w:tcBorders>
          </w:tcPr>
          <w:p w14:paraId="4A1387D7" w14:textId="0339AB3E" w:rsidR="00992E68" w:rsidRPr="00626D32" w:rsidRDefault="00992E68" w:rsidP="00D95E8F">
            <w:pPr>
              <w:pStyle w:val="BoxSpaceBelow"/>
            </w:pPr>
          </w:p>
        </w:tc>
      </w:tr>
    </w:tbl>
    <w:p w14:paraId="5C11DEB2" w14:textId="40DBDC43" w:rsidR="00D31897" w:rsidRDefault="00D31897" w:rsidP="00D31897">
      <w:pPr>
        <w:pStyle w:val="BodyText"/>
      </w:pPr>
      <w:r>
        <w:lastRenderedPageBreak/>
        <w:t>Should this be cause for alarm? While there are pockets of high</w:t>
      </w:r>
      <w:r w:rsidR="00E23CE2">
        <w:noBreakHyphen/>
      </w:r>
      <w:r>
        <w:t>tech manufacturing in Australia, the Commission has previously noted other reasons why the potential to expand this sector has been limited. These include that Australia:</w:t>
      </w:r>
    </w:p>
    <w:p w14:paraId="34993187" w14:textId="77777777" w:rsidR="00D31897" w:rsidRDefault="00D31897" w:rsidP="00D31897">
      <w:pPr>
        <w:pStyle w:val="ListBullet"/>
      </w:pPr>
      <w:r>
        <w:t xml:space="preserve">has benefited from primary production (agriculture and mining) </w:t>
      </w:r>
    </w:p>
    <w:p w14:paraId="740DC555" w14:textId="70805914" w:rsidR="00D31897" w:rsidRDefault="00D31897" w:rsidP="00D31897">
      <w:pPr>
        <w:pStyle w:val="ListBullet"/>
      </w:pPr>
      <w:r>
        <w:t>has a relatively small domestic market</w:t>
      </w:r>
      <w:r w:rsidRPr="00333370">
        <w:t xml:space="preserve"> </w:t>
      </w:r>
      <w:r>
        <w:t>and lacks proximity to many larger markets, making it economically appealing for successful innovators to move development and manufacturing phases offshore</w:t>
      </w:r>
      <w:r w:rsidRPr="0084015A">
        <w:t xml:space="preserve"> </w:t>
      </w:r>
      <w:r w:rsidRPr="0084015A">
        <w:rPr>
          <w:szCs w:val="24"/>
        </w:rPr>
        <w:t>(PC 2017, p. 24)</w:t>
      </w:r>
      <w:r w:rsidR="002E6107">
        <w:t>.</w:t>
      </w:r>
    </w:p>
    <w:p w14:paraId="4F583E0C" w14:textId="3B7338EF" w:rsidR="00D31897" w:rsidRPr="003B4889" w:rsidRDefault="00D31897" w:rsidP="00D31897">
      <w:pPr>
        <w:pStyle w:val="BodyText"/>
      </w:pPr>
      <w:r>
        <w:t>That is, inevitably high</w:t>
      </w:r>
      <w:r w:rsidR="00E23CE2">
        <w:noBreakHyphen/>
      </w:r>
      <w:r>
        <w:t xml:space="preserve">tech manufacturing will contribute less to future productivity growth in Australia than it will in the US. On the other hand, in many service industries, R&amp;D is only a small part of firms’ innovation effort (Department of Industry, Innovation and Science 2017), and Australia’s low overall R&amp;D intensity need not limit our productivity </w:t>
      </w:r>
      <w:r w:rsidRPr="003B4889">
        <w:t>performance in these sectors.</w:t>
      </w:r>
    </w:p>
    <w:p w14:paraId="781361B6" w14:textId="14656433" w:rsidR="00A533DF" w:rsidRPr="004A556D" w:rsidRDefault="00A533DF" w:rsidP="00216FEE">
      <w:pPr>
        <w:pStyle w:val="BodyText"/>
        <w:rPr>
          <w:spacing w:val="-2"/>
        </w:rPr>
      </w:pPr>
      <w:r w:rsidRPr="004A556D">
        <w:rPr>
          <w:spacing w:val="-2"/>
        </w:rPr>
        <w:t>Innovation is a broad concept and encompasses much more than traditio</w:t>
      </w:r>
      <w:r w:rsidR="002900F4" w:rsidRPr="004A556D">
        <w:rPr>
          <w:spacing w:val="-2"/>
        </w:rPr>
        <w:t>nal business expenditure on R&amp;D</w:t>
      </w:r>
      <w:r w:rsidR="004B7288" w:rsidRPr="004A556D">
        <w:rPr>
          <w:spacing w:val="-2"/>
        </w:rPr>
        <w:t>. I</w:t>
      </w:r>
      <w:r w:rsidRPr="004A556D">
        <w:rPr>
          <w:spacing w:val="-2"/>
        </w:rPr>
        <w:t>ncreasingly firms are investing in</w:t>
      </w:r>
      <w:r w:rsidR="00DE31C9" w:rsidRPr="004A556D">
        <w:rPr>
          <w:spacing w:val="-2"/>
        </w:rPr>
        <w:t xml:space="preserve"> </w:t>
      </w:r>
      <w:r w:rsidR="004B7288" w:rsidRPr="004A556D">
        <w:rPr>
          <w:spacing w:val="-2"/>
        </w:rPr>
        <w:t>other innovative</w:t>
      </w:r>
      <w:r w:rsidR="00DE31C9" w:rsidRPr="004A556D">
        <w:rPr>
          <w:spacing w:val="-2"/>
        </w:rPr>
        <w:t xml:space="preserve"> activities</w:t>
      </w:r>
      <w:r w:rsidR="004B7288" w:rsidRPr="004A556D">
        <w:rPr>
          <w:spacing w:val="-2"/>
        </w:rPr>
        <w:t>, particularly in ‘asset</w:t>
      </w:r>
      <w:r w:rsidR="00E23CE2" w:rsidRPr="004A556D">
        <w:rPr>
          <w:spacing w:val="-2"/>
        </w:rPr>
        <w:noBreakHyphen/>
      </w:r>
      <w:r w:rsidR="004B7288" w:rsidRPr="004A556D">
        <w:rPr>
          <w:spacing w:val="-2"/>
        </w:rPr>
        <w:t>light, customer focused’ service industries ISA (2019, p. 4)</w:t>
      </w:r>
      <w:r w:rsidR="00DE31C9" w:rsidRPr="004A556D">
        <w:rPr>
          <w:spacing w:val="-2"/>
        </w:rPr>
        <w:t>. These include</w:t>
      </w:r>
      <w:r w:rsidRPr="004A556D">
        <w:rPr>
          <w:spacing w:val="-2"/>
        </w:rPr>
        <w:t>:</w:t>
      </w:r>
    </w:p>
    <w:p w14:paraId="1A9886FE" w14:textId="42657755" w:rsidR="00A533DF" w:rsidRPr="003B4889" w:rsidRDefault="00A533DF" w:rsidP="00216FEE">
      <w:pPr>
        <w:pStyle w:val="Quote"/>
      </w:pPr>
      <w:r w:rsidRPr="003B4889">
        <w:t>… other intangible asset areas such as staff training, enhanced business models, marketing and branding, productivity</w:t>
      </w:r>
      <w:r w:rsidR="00E23CE2">
        <w:noBreakHyphen/>
      </w:r>
      <w:r w:rsidRPr="003B4889">
        <w:t>enhancing technologies (including software and systems) and intellectual property acquisition. They are also investing in tangibles such as innovation</w:t>
      </w:r>
      <w:r w:rsidR="00E23CE2">
        <w:noBreakHyphen/>
      </w:r>
      <w:r w:rsidRPr="003B4889">
        <w:t xml:space="preserve">related machinery and equipment. </w:t>
      </w:r>
      <w:r w:rsidR="00DE31C9" w:rsidRPr="003B4889">
        <w:rPr>
          <w:szCs w:val="24"/>
        </w:rPr>
        <w:t>(ISA 2019, p. 4)</w:t>
      </w:r>
    </w:p>
    <w:p w14:paraId="687F8C1F" w14:textId="3FD93E76" w:rsidR="009A7D5C" w:rsidRPr="003B4889" w:rsidRDefault="00DE31C9" w:rsidP="00216FEE">
      <w:pPr>
        <w:pStyle w:val="BodyText"/>
      </w:pPr>
      <w:r w:rsidRPr="003B4889">
        <w:t>These ‘non</w:t>
      </w:r>
      <w:r w:rsidR="00E23CE2">
        <w:noBreakHyphen/>
      </w:r>
      <w:r w:rsidRPr="003B4889">
        <w:t xml:space="preserve">R&amp;D innovation’ activities </w:t>
      </w:r>
      <w:r w:rsidR="004B7288" w:rsidRPr="003B4889">
        <w:t>a</w:t>
      </w:r>
      <w:r w:rsidRPr="003B4889">
        <w:t xml:space="preserve">re </w:t>
      </w:r>
      <w:r w:rsidR="004B7288" w:rsidRPr="003B4889">
        <w:t xml:space="preserve">also </w:t>
      </w:r>
      <w:r w:rsidRPr="003B4889">
        <w:t xml:space="preserve">associated with </w:t>
      </w:r>
      <w:r w:rsidR="004B7288" w:rsidRPr="003B4889">
        <w:t>higher</w:t>
      </w:r>
      <w:r w:rsidRPr="003B4889">
        <w:t xml:space="preserve"> productivity, revenue and jobs growth</w:t>
      </w:r>
      <w:r w:rsidR="00111CCB" w:rsidRPr="003B4889">
        <w:t xml:space="preserve"> for firms that undertake them</w:t>
      </w:r>
      <w:r w:rsidRPr="003B4889">
        <w:t xml:space="preserve"> </w:t>
      </w:r>
      <w:r w:rsidRPr="0090481F">
        <w:t>(ISA 2019, p. 4)</w:t>
      </w:r>
      <w:r w:rsidRPr="003B4889">
        <w:t xml:space="preserve">. </w:t>
      </w:r>
      <w:r w:rsidR="009A7D5C" w:rsidRPr="003B4889">
        <w:t xml:space="preserve">As the service sector continues to grow in importance, investment in intangibles may become a larger share of business innovation investment. </w:t>
      </w:r>
    </w:p>
    <w:p w14:paraId="002F76E7" w14:textId="77777777" w:rsidR="00734652" w:rsidRPr="00194750" w:rsidRDefault="00734652" w:rsidP="00194750">
      <w:pPr>
        <w:pStyle w:val="Heading4"/>
        <w:rPr>
          <w:i/>
        </w:rPr>
      </w:pPr>
      <w:r w:rsidRPr="00194750">
        <w:rPr>
          <w:i/>
        </w:rPr>
        <w:t>Management capability</w:t>
      </w:r>
    </w:p>
    <w:p w14:paraId="37F13623" w14:textId="1F9BE6AE" w:rsidR="00333370" w:rsidRDefault="00C45A65" w:rsidP="00EE6E90">
      <w:pPr>
        <w:pStyle w:val="BodyText"/>
      </w:pPr>
      <w:r>
        <w:t>Management</w:t>
      </w:r>
      <w:r w:rsidR="00C50AD6">
        <w:t>, like productivity, is about how well resources are used in production, including taking advantage of new technologies</w:t>
      </w:r>
      <w:r w:rsidR="008C2899">
        <w:t>.</w:t>
      </w:r>
      <w:r w:rsidR="003A7359">
        <w:t xml:space="preserve"> </w:t>
      </w:r>
      <w:r w:rsidR="00C50AD6">
        <w:t xml:space="preserve">International surveys of management capability </w:t>
      </w:r>
      <w:r w:rsidR="009A7D5C">
        <w:t>show</w:t>
      </w:r>
      <w:r w:rsidR="00C50AD6">
        <w:t xml:space="preserve"> Australian managers </w:t>
      </w:r>
      <w:r w:rsidR="009A7D5C">
        <w:t>scoring lower than</w:t>
      </w:r>
      <w:r w:rsidR="00C50AD6">
        <w:t xml:space="preserve"> peers in the United States and some other advanced economies </w:t>
      </w:r>
      <w:r w:rsidR="00C50AD6" w:rsidRPr="00FE1AF5">
        <w:rPr>
          <w:szCs w:val="24"/>
        </w:rPr>
        <w:t>(Bloom, Sadun and Van Reenen 2017)</w:t>
      </w:r>
      <w:r w:rsidR="00C50AD6">
        <w:t xml:space="preserve">. Econometric evidence suggests that </w:t>
      </w:r>
      <w:r w:rsidR="00FE1AF5">
        <w:t xml:space="preserve">that </w:t>
      </w:r>
      <w:r w:rsidR="00C50AD6">
        <w:t xml:space="preserve">this difference in </w:t>
      </w:r>
      <w:r w:rsidR="00FE1AF5">
        <w:t>management capability may explain up to half of the productivity gap in</w:t>
      </w:r>
      <w:r w:rsidR="009A7D5C">
        <w:t xml:space="preserve"> the</w:t>
      </w:r>
      <w:r w:rsidR="00FE1AF5">
        <w:t xml:space="preserve"> manufacturing</w:t>
      </w:r>
      <w:r w:rsidR="009A7D5C">
        <w:t xml:space="preserve"> sector</w:t>
      </w:r>
      <w:r w:rsidR="00FE1AF5">
        <w:t xml:space="preserve"> </w:t>
      </w:r>
      <w:r w:rsidR="00164E07">
        <w:t xml:space="preserve">compared </w:t>
      </w:r>
      <w:r w:rsidR="00FE1AF5">
        <w:t>with the United States (figure </w:t>
      </w:r>
      <w:r w:rsidR="00A266EF">
        <w:t>14</w:t>
      </w:r>
      <w:r w:rsidR="00FE1AF5">
        <w:t xml:space="preserve">). </w:t>
      </w:r>
    </w:p>
    <w:p w14:paraId="3BB6BBBA" w14:textId="4EF640C4" w:rsidR="00B00FF7" w:rsidRDefault="00B00FF7" w:rsidP="00B00FF7">
      <w:pPr>
        <w:pStyle w:val="BodyText"/>
      </w:pPr>
      <w:r>
        <w:t>Australian studies suggest similar management capability across a range of industries. Management performance in manufacturing is not much different than the average across the whole Australian economy (figure </w:t>
      </w:r>
      <w:r w:rsidRPr="00E603E5">
        <w:t>1</w:t>
      </w:r>
      <w:r w:rsidR="00A266EF">
        <w:t>5</w:t>
      </w:r>
      <w:r>
        <w:t xml:space="preserve">). </w:t>
      </w:r>
    </w:p>
    <w:p w14:paraId="522529FE" w14:textId="566B0F70" w:rsidR="00F558FB" w:rsidRDefault="00F558FB" w:rsidP="006A3F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58FB" w14:paraId="4ED5A1CA" w14:textId="77777777" w:rsidTr="006A3F98">
        <w:trPr>
          <w:tblHeader/>
        </w:trPr>
        <w:tc>
          <w:tcPr>
            <w:tcW w:w="5000" w:type="pct"/>
            <w:tcBorders>
              <w:top w:val="single" w:sz="6" w:space="0" w:color="78A22F"/>
              <w:left w:val="nil"/>
              <w:bottom w:val="nil"/>
              <w:right w:val="nil"/>
            </w:tcBorders>
            <w:shd w:val="clear" w:color="auto" w:fill="auto"/>
          </w:tcPr>
          <w:p w14:paraId="76C8C585" w14:textId="09FB1971" w:rsidR="00F558FB" w:rsidRDefault="00F558FB" w:rsidP="006A3F98">
            <w:pPr>
              <w:pStyle w:val="FigureTitle"/>
            </w:pPr>
            <w:r w:rsidRPr="00784A05">
              <w:rPr>
                <w:b w:val="0"/>
              </w:rPr>
              <w:t xml:space="preserve">Figure </w:t>
            </w:r>
            <w:r w:rsidR="007C4AB4">
              <w:rPr>
                <w:b w:val="0"/>
              </w:rPr>
              <w:t>14</w:t>
            </w:r>
            <w:r>
              <w:tab/>
              <w:t>Management capability appears to be lacking, and this may explain some of the productivity gap</w:t>
            </w:r>
            <w:r w:rsidR="00FE1AF5">
              <w:t xml:space="preserve"> in manufacturing</w:t>
            </w:r>
          </w:p>
          <w:p w14:paraId="0F4E6DC4" w14:textId="671A525D" w:rsidR="00F558FB" w:rsidRPr="00176D3F" w:rsidRDefault="00F558FB" w:rsidP="00B33EEF">
            <w:pPr>
              <w:pStyle w:val="Subtitle"/>
            </w:pPr>
            <w:r>
              <w:t>Average management score by country</w:t>
            </w:r>
            <w:r w:rsidR="00FB51E9">
              <w:t xml:space="preserve"> (LHS)</w:t>
            </w:r>
            <w:r w:rsidR="0081637B">
              <w:t xml:space="preserve"> and </w:t>
            </w:r>
            <w:r w:rsidR="008309B0">
              <w:t xml:space="preserve">the proportion of the </w:t>
            </w:r>
            <w:r w:rsidR="00B33EEF">
              <w:t>multifactor productivity</w:t>
            </w:r>
            <w:r w:rsidR="008073CF">
              <w:t xml:space="preserve"> (MFP)</w:t>
            </w:r>
            <w:r w:rsidR="008309B0">
              <w:t xml:space="preserve"> gap with the US that is explained by this</w:t>
            </w:r>
            <w:r w:rsidR="00147438">
              <w:t xml:space="preserve"> score</w:t>
            </w:r>
            <w:r w:rsidR="00FB51E9">
              <w:t xml:space="preserve"> (RHS)</w:t>
            </w:r>
          </w:p>
        </w:tc>
      </w:tr>
      <w:tr w:rsidR="00F558FB" w14:paraId="3B0F9755" w14:textId="77777777" w:rsidTr="006A3F9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F558FB" w:rsidRPr="00B1465D" w14:paraId="438A2B4F" w14:textId="77777777" w:rsidTr="00F558FB">
              <w:trPr>
                <w:tblHeader/>
                <w:jc w:val="center"/>
              </w:trPr>
              <w:tc>
                <w:tcPr>
                  <w:tcW w:w="2500" w:type="pct"/>
                  <w:tcBorders>
                    <w:top w:val="nil"/>
                    <w:bottom w:val="nil"/>
                  </w:tcBorders>
                </w:tcPr>
                <w:p w14:paraId="74AC94F3" w14:textId="6C10D54E" w:rsidR="00F558FB" w:rsidRPr="00B1465D" w:rsidRDefault="00064A31" w:rsidP="006A3F98">
                  <w:pPr>
                    <w:pStyle w:val="Figure"/>
                    <w:spacing w:before="60" w:after="60"/>
                    <w:rPr>
                      <w:rFonts w:ascii="Arial" w:hAnsi="Arial" w:cs="Arial"/>
                      <w:sz w:val="18"/>
                      <w:szCs w:val="18"/>
                    </w:rPr>
                  </w:pPr>
                  <w:r>
                    <w:rPr>
                      <w:rFonts w:ascii="Arial" w:hAnsi="Arial" w:cs="Arial"/>
                      <w:noProof/>
                      <w:sz w:val="18"/>
                      <w:szCs w:val="18"/>
                    </w:rPr>
                    <w:drawing>
                      <wp:inline distT="0" distB="0" distL="0" distR="0" wp14:anchorId="3087FB39" wp14:editId="7F256D56">
                        <wp:extent cx="2670175" cy="2377440"/>
                        <wp:effectExtent l="0" t="0" r="0" b="3810"/>
                        <wp:docPr id="65" name="Picture 65" descr="Figure 14 (left): These charts display the average management score in manufacturing by country (left hand side) and the proportion of the multifactor productivity gap in manufacturing with the US that is explained by this score (right hand side). It can be seen that Australia has a significantly lower management score in manufacturing than the US and that much of its multifactor productivity gap with the US appears to be explained by this low management capability. " title="Management capability appears to be lacking, and this may explain some of the productivity gap in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70175" cy="2377440"/>
                                </a:xfrm>
                                <a:prstGeom prst="rect">
                                  <a:avLst/>
                                </a:prstGeom>
                                <a:noFill/>
                              </pic:spPr>
                            </pic:pic>
                          </a:graphicData>
                        </a:graphic>
                      </wp:inline>
                    </w:drawing>
                  </w:r>
                </w:p>
              </w:tc>
              <w:tc>
                <w:tcPr>
                  <w:tcW w:w="2500" w:type="pct"/>
                  <w:tcBorders>
                    <w:top w:val="nil"/>
                    <w:bottom w:val="nil"/>
                  </w:tcBorders>
                </w:tcPr>
                <w:p w14:paraId="1BDB34ED" w14:textId="1D393CB4" w:rsidR="00F558FB" w:rsidRPr="00B1465D" w:rsidRDefault="00064A31" w:rsidP="006A3F98">
                  <w:pPr>
                    <w:pStyle w:val="Figure"/>
                    <w:spacing w:before="60" w:after="60"/>
                    <w:rPr>
                      <w:rFonts w:ascii="Arial" w:hAnsi="Arial" w:cs="Arial"/>
                      <w:sz w:val="18"/>
                      <w:szCs w:val="18"/>
                    </w:rPr>
                  </w:pPr>
                  <w:r>
                    <w:rPr>
                      <w:rFonts w:ascii="Arial" w:hAnsi="Arial" w:cs="Arial"/>
                      <w:noProof/>
                      <w:sz w:val="18"/>
                      <w:szCs w:val="18"/>
                    </w:rPr>
                    <w:drawing>
                      <wp:inline distT="0" distB="0" distL="0" distR="0" wp14:anchorId="7792ABCA" wp14:editId="4A406254">
                        <wp:extent cx="2670175" cy="2377440"/>
                        <wp:effectExtent l="0" t="0" r="0" b="3810"/>
                        <wp:docPr id="66" name="Picture 66" descr="Figure 14 (right): These charts display the average management score in manufacturing by country (left hand side) and the proportion of the multifactor productivity gap in manufacturing with the US that is explained by this score (right hand side). It can be seen that Australia has a significantly lower management score in manufacturing than the US and that much of its multifactor productivity gap with the US appears to be explained by this low management cap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70175" cy="2377440"/>
                                </a:xfrm>
                                <a:prstGeom prst="rect">
                                  <a:avLst/>
                                </a:prstGeom>
                                <a:noFill/>
                              </pic:spPr>
                            </pic:pic>
                          </a:graphicData>
                        </a:graphic>
                      </wp:inline>
                    </w:drawing>
                  </w:r>
                </w:p>
              </w:tc>
            </w:tr>
          </w:tbl>
          <w:p w14:paraId="26AC4CEB" w14:textId="77777777" w:rsidR="00F558FB" w:rsidRDefault="00F558FB" w:rsidP="006A3F98">
            <w:pPr>
              <w:pStyle w:val="Figure"/>
            </w:pPr>
          </w:p>
        </w:tc>
      </w:tr>
      <w:tr w:rsidR="00F558FB" w:rsidRPr="00176D3F" w14:paraId="48FDA233" w14:textId="77777777" w:rsidTr="006A3F98">
        <w:tc>
          <w:tcPr>
            <w:tcW w:w="5000" w:type="pct"/>
            <w:tcBorders>
              <w:top w:val="nil"/>
              <w:left w:val="nil"/>
              <w:bottom w:val="nil"/>
              <w:right w:val="nil"/>
            </w:tcBorders>
            <w:shd w:val="clear" w:color="auto" w:fill="auto"/>
          </w:tcPr>
          <w:p w14:paraId="602D680D" w14:textId="71B6FE27" w:rsidR="00F558FB" w:rsidRPr="00176D3F" w:rsidRDefault="0081637B" w:rsidP="00164E07">
            <w:pPr>
              <w:pStyle w:val="Source"/>
            </w:pPr>
            <w:r>
              <w:rPr>
                <w:i/>
              </w:rPr>
              <w:t>S</w:t>
            </w:r>
            <w:r w:rsidR="00F558FB" w:rsidRPr="00784A05">
              <w:rPr>
                <w:i/>
              </w:rPr>
              <w:t>ource</w:t>
            </w:r>
            <w:r w:rsidR="00F558FB" w:rsidRPr="00176D3F">
              <w:t xml:space="preserve">: </w:t>
            </w:r>
            <w:r w:rsidR="00B33EEF">
              <w:t>Bloom, Sadun and Van Reene</w:t>
            </w:r>
            <w:r w:rsidR="00164E07">
              <w:t>n</w:t>
            </w:r>
            <w:r w:rsidR="00B33EEF">
              <w:t xml:space="preserve"> </w:t>
            </w:r>
            <w:r w:rsidR="00B33EEF" w:rsidRPr="00B33EEF">
              <w:rPr>
                <w:rFonts w:cs="Arial"/>
              </w:rPr>
              <w:t>(2017)</w:t>
            </w:r>
            <w:r w:rsidR="00B123A7">
              <w:t>.</w:t>
            </w:r>
          </w:p>
        </w:tc>
      </w:tr>
      <w:tr w:rsidR="00F558FB" w14:paraId="691BCA09" w14:textId="77777777" w:rsidTr="006A3F98">
        <w:tc>
          <w:tcPr>
            <w:tcW w:w="5000" w:type="pct"/>
            <w:tcBorders>
              <w:top w:val="nil"/>
              <w:left w:val="nil"/>
              <w:bottom w:val="single" w:sz="6" w:space="0" w:color="78A22F"/>
              <w:right w:val="nil"/>
            </w:tcBorders>
            <w:shd w:val="clear" w:color="auto" w:fill="auto"/>
          </w:tcPr>
          <w:p w14:paraId="45445272" w14:textId="77777777" w:rsidR="00F558FB" w:rsidRDefault="00F558FB" w:rsidP="006A3F98">
            <w:pPr>
              <w:pStyle w:val="Figurespace"/>
            </w:pPr>
          </w:p>
        </w:tc>
      </w:tr>
      <w:tr w:rsidR="00F558FB" w:rsidRPr="000863A5" w14:paraId="4E79A56B" w14:textId="77777777" w:rsidTr="006A3F98">
        <w:tc>
          <w:tcPr>
            <w:tcW w:w="5000" w:type="pct"/>
            <w:tcBorders>
              <w:top w:val="single" w:sz="6" w:space="0" w:color="78A22F"/>
              <w:left w:val="nil"/>
              <w:bottom w:val="nil"/>
              <w:right w:val="nil"/>
            </w:tcBorders>
          </w:tcPr>
          <w:p w14:paraId="6A22A750" w14:textId="643C1215" w:rsidR="00F558FB" w:rsidRPr="00626D32" w:rsidRDefault="00F558FB" w:rsidP="006A3F98">
            <w:pPr>
              <w:pStyle w:val="BoxSpaceBelow"/>
            </w:pPr>
          </w:p>
        </w:tc>
      </w:tr>
    </w:tbl>
    <w:p w14:paraId="2BCBCF4A" w14:textId="6F8E8AAA" w:rsidR="00147438" w:rsidRDefault="00147438" w:rsidP="00D95E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47438" w14:paraId="32FA1231" w14:textId="77777777" w:rsidTr="00D95E8F">
        <w:trPr>
          <w:tblHeader/>
        </w:trPr>
        <w:tc>
          <w:tcPr>
            <w:tcW w:w="5000" w:type="pct"/>
            <w:tcBorders>
              <w:top w:val="single" w:sz="6" w:space="0" w:color="78A22F"/>
              <w:left w:val="nil"/>
              <w:bottom w:val="nil"/>
              <w:right w:val="nil"/>
            </w:tcBorders>
            <w:shd w:val="clear" w:color="auto" w:fill="auto"/>
          </w:tcPr>
          <w:p w14:paraId="44DC266B" w14:textId="0A5E5473" w:rsidR="00147438" w:rsidRDefault="00147438" w:rsidP="00D95E8F">
            <w:pPr>
              <w:pStyle w:val="FigureTitle"/>
            </w:pPr>
            <w:r w:rsidRPr="00784A05">
              <w:rPr>
                <w:b w:val="0"/>
              </w:rPr>
              <w:t xml:space="preserve">Figure </w:t>
            </w:r>
            <w:r w:rsidR="007C4AB4">
              <w:rPr>
                <w:b w:val="0"/>
              </w:rPr>
              <w:t>15</w:t>
            </w:r>
            <w:r>
              <w:tab/>
            </w:r>
            <w:r w:rsidR="00503C2D">
              <w:t>Manufacturing is not the only industry with low management capability</w:t>
            </w:r>
          </w:p>
          <w:p w14:paraId="4CBABD39" w14:textId="77777777" w:rsidR="00147438" w:rsidRPr="00176D3F" w:rsidRDefault="00C45A65" w:rsidP="00D95E8F">
            <w:pPr>
              <w:pStyle w:val="Subtitle"/>
            </w:pPr>
            <w:r>
              <w:t>Overall management score by industry in 2016</w:t>
            </w:r>
            <w:r>
              <w:noBreakHyphen/>
              <w:t>17</w:t>
            </w:r>
          </w:p>
        </w:tc>
      </w:tr>
      <w:tr w:rsidR="00147438" w14:paraId="0C60DAE0" w14:textId="77777777" w:rsidTr="00D95E8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B33EEF" w:rsidRPr="00B1465D" w14:paraId="04AB3105" w14:textId="77777777" w:rsidTr="008073CF">
              <w:trPr>
                <w:tblHeader/>
                <w:jc w:val="center"/>
              </w:trPr>
              <w:tc>
                <w:tcPr>
                  <w:tcW w:w="8504" w:type="dxa"/>
                  <w:tcBorders>
                    <w:top w:val="nil"/>
                    <w:bottom w:val="nil"/>
                  </w:tcBorders>
                </w:tcPr>
                <w:p w14:paraId="3E98BD83" w14:textId="629CAECF" w:rsidR="00B33EEF" w:rsidRPr="00B1465D" w:rsidRDefault="008D7CEF" w:rsidP="00D95E8F">
                  <w:pPr>
                    <w:pStyle w:val="Figure"/>
                    <w:spacing w:before="60" w:after="60"/>
                    <w:rPr>
                      <w:rFonts w:ascii="Arial" w:hAnsi="Arial" w:cs="Arial"/>
                      <w:sz w:val="18"/>
                      <w:szCs w:val="18"/>
                    </w:rPr>
                  </w:pPr>
                  <w:r>
                    <w:rPr>
                      <w:rFonts w:ascii="Arial" w:hAnsi="Arial" w:cs="Arial"/>
                      <w:noProof/>
                      <w:sz w:val="18"/>
                      <w:szCs w:val="18"/>
                    </w:rPr>
                    <w:drawing>
                      <wp:inline distT="0" distB="0" distL="0" distR="0" wp14:anchorId="235CCEAE" wp14:editId="4656D898">
                        <wp:extent cx="5334635" cy="3078480"/>
                        <wp:effectExtent l="0" t="0" r="0" b="7620"/>
                        <wp:docPr id="78" name="Picture 78" descr="Figure 15: This chart displays the overall management score by industry in Australia in 2016 17. It can be seen that manufacturing does not have a particularly low management score among other Australian industries. Given that Australian manufacturing score poorly relative to their international peers, it seems likely that numerous other Australian industries also have relatively low management capability. " title="Manufacturing is not the only industry with low management cap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635" cy="3078480"/>
                                </a:xfrm>
                                <a:prstGeom prst="rect">
                                  <a:avLst/>
                                </a:prstGeom>
                                <a:noFill/>
                              </pic:spPr>
                            </pic:pic>
                          </a:graphicData>
                        </a:graphic>
                      </wp:inline>
                    </w:drawing>
                  </w:r>
                </w:p>
              </w:tc>
            </w:tr>
          </w:tbl>
          <w:p w14:paraId="36844BE8" w14:textId="77777777" w:rsidR="00147438" w:rsidRDefault="00147438" w:rsidP="00D95E8F">
            <w:pPr>
              <w:pStyle w:val="Figure"/>
            </w:pPr>
          </w:p>
        </w:tc>
      </w:tr>
      <w:tr w:rsidR="00147438" w:rsidRPr="00176D3F" w14:paraId="3A02A47F" w14:textId="77777777" w:rsidTr="00D95E8F">
        <w:tc>
          <w:tcPr>
            <w:tcW w:w="5000" w:type="pct"/>
            <w:tcBorders>
              <w:top w:val="nil"/>
              <w:left w:val="nil"/>
              <w:bottom w:val="nil"/>
              <w:right w:val="nil"/>
            </w:tcBorders>
            <w:shd w:val="clear" w:color="auto" w:fill="auto"/>
          </w:tcPr>
          <w:p w14:paraId="7AB983CF" w14:textId="0C708C94" w:rsidR="00147438" w:rsidRPr="00176D3F" w:rsidRDefault="00147438" w:rsidP="0000479E">
            <w:pPr>
              <w:pStyle w:val="Subtitle"/>
              <w:keepNext w:val="0"/>
              <w:spacing w:before="80" w:after="0" w:line="220" w:lineRule="exact"/>
              <w:ind w:left="0"/>
              <w:jc w:val="both"/>
            </w:pPr>
            <w:r>
              <w:rPr>
                <w:i/>
              </w:rPr>
              <w:t>S</w:t>
            </w:r>
            <w:r w:rsidRPr="00784A05">
              <w:rPr>
                <w:i/>
              </w:rPr>
              <w:t>ource</w:t>
            </w:r>
            <w:r w:rsidRPr="00176D3F">
              <w:t>:</w:t>
            </w:r>
            <w:r w:rsidR="00C45A65">
              <w:t xml:space="preserve"> Agarwal et al.</w:t>
            </w:r>
            <w:r w:rsidRPr="00176D3F">
              <w:t xml:space="preserve"> </w:t>
            </w:r>
            <w:r w:rsidR="008073CF" w:rsidRPr="008073CF">
              <w:rPr>
                <w:rFonts w:cs="Arial"/>
                <w:sz w:val="18"/>
              </w:rPr>
              <w:t>(2019)</w:t>
            </w:r>
            <w:r w:rsidR="00B123A7">
              <w:t>.</w:t>
            </w:r>
          </w:p>
        </w:tc>
      </w:tr>
      <w:tr w:rsidR="00147438" w14:paraId="08E9F0D0" w14:textId="77777777" w:rsidTr="00D95E8F">
        <w:tc>
          <w:tcPr>
            <w:tcW w:w="5000" w:type="pct"/>
            <w:tcBorders>
              <w:top w:val="nil"/>
              <w:left w:val="nil"/>
              <w:bottom w:val="single" w:sz="6" w:space="0" w:color="78A22F"/>
              <w:right w:val="nil"/>
            </w:tcBorders>
            <w:shd w:val="clear" w:color="auto" w:fill="auto"/>
          </w:tcPr>
          <w:p w14:paraId="126D5F33" w14:textId="77777777" w:rsidR="00147438" w:rsidRDefault="00147438" w:rsidP="00D95E8F">
            <w:pPr>
              <w:pStyle w:val="Figurespace"/>
            </w:pPr>
          </w:p>
        </w:tc>
      </w:tr>
      <w:tr w:rsidR="00147438" w:rsidRPr="000863A5" w14:paraId="40EA9BD8" w14:textId="77777777" w:rsidTr="00D95E8F">
        <w:tc>
          <w:tcPr>
            <w:tcW w:w="5000" w:type="pct"/>
            <w:tcBorders>
              <w:top w:val="single" w:sz="6" w:space="0" w:color="78A22F"/>
              <w:left w:val="nil"/>
              <w:bottom w:val="nil"/>
              <w:right w:val="nil"/>
            </w:tcBorders>
          </w:tcPr>
          <w:p w14:paraId="11C80168" w14:textId="4A6A9032" w:rsidR="00147438" w:rsidRPr="00626D32" w:rsidRDefault="00147438" w:rsidP="00D95E8F">
            <w:pPr>
              <w:pStyle w:val="BoxSpaceBelow"/>
            </w:pPr>
          </w:p>
        </w:tc>
      </w:tr>
    </w:tbl>
    <w:p w14:paraId="0B9F500F" w14:textId="1DDBE00E" w:rsidR="00F1183C" w:rsidRDefault="00F1183C" w:rsidP="00F1183C">
      <w:pPr>
        <w:pStyle w:val="BodyText"/>
      </w:pPr>
      <w:r>
        <w:lastRenderedPageBreak/>
        <w:t>Within the breadth of management skills, digital management capability appears particularly weak (with a score of about 0.11 compared to the overall management score of 0.</w:t>
      </w:r>
      <w:r w:rsidR="002E6107">
        <w:t>28</w:t>
      </w:r>
      <w:r>
        <w:t>). The poor performance is corroborated by surveys of digital adoption (for example, the World Bank ‘Index of Digital Adoption’ places Australia 33</w:t>
      </w:r>
      <w:r>
        <w:rPr>
          <w:vertAlign w:val="superscript"/>
        </w:rPr>
        <w:t>rd</w:t>
      </w:r>
      <w:r>
        <w:t xml:space="preserve"> in the world for fastest digital adoption </w:t>
      </w:r>
      <w:r w:rsidRPr="008458A3">
        <w:rPr>
          <w:szCs w:val="24"/>
        </w:rPr>
        <w:t>(World Bank 2016)</w:t>
      </w:r>
      <w:r>
        <w:t>). The pervasive importance of digital technology through the economy — across both goods and service sectors — suggests improvement in management capability may yield substantial improvements in productivity over time.</w:t>
      </w:r>
    </w:p>
    <w:p w14:paraId="79CF168E" w14:textId="77777777" w:rsidR="00F1183C" w:rsidRDefault="00F1183C" w:rsidP="00F1183C">
      <w:pPr>
        <w:pStyle w:val="BodyText"/>
      </w:pPr>
      <w:r w:rsidRPr="00DB0960">
        <w:t xml:space="preserve">Overall, there is reason to believe that Australia’s underlying innovative capability is strong, but could be improved. Although it is </w:t>
      </w:r>
      <w:r>
        <w:t xml:space="preserve">not an obvious source of the gap between Australian and US productivity levels, it might still provide some indication as to where Australia’s focus should be in lifting productivity growth. </w:t>
      </w:r>
    </w:p>
    <w:p w14:paraId="036975A1" w14:textId="5697AA9B" w:rsidR="00D434A0" w:rsidRDefault="00D27267" w:rsidP="00314DD0">
      <w:pPr>
        <w:pStyle w:val="Heading2"/>
      </w:pPr>
      <w:r>
        <w:rPr>
          <w:noProof/>
        </w:rPr>
        <w:t>3</w:t>
      </w:r>
      <w:r w:rsidR="00314DD0">
        <w:tab/>
        <w:t>Summing up</w:t>
      </w:r>
    </w:p>
    <w:p w14:paraId="7FD251E3" w14:textId="6F21587F" w:rsidR="00D20D2D" w:rsidRDefault="009A7D5C" w:rsidP="00A766AE">
      <w:pPr>
        <w:pStyle w:val="BodyText"/>
      </w:pPr>
      <w:r>
        <w:t xml:space="preserve">Australia’s </w:t>
      </w:r>
      <w:r w:rsidR="00822FF3">
        <w:t>average incomes</w:t>
      </w:r>
      <w:r>
        <w:t xml:space="preserve"> </w:t>
      </w:r>
      <w:r w:rsidR="00314DD0">
        <w:t>compare very well</w:t>
      </w:r>
      <w:r>
        <w:t xml:space="preserve"> with most other developed economies</w:t>
      </w:r>
      <w:r w:rsidR="00314DD0">
        <w:t xml:space="preserve">. </w:t>
      </w:r>
      <w:r w:rsidR="00395648">
        <w:t xml:space="preserve">Healthy </w:t>
      </w:r>
      <w:r w:rsidR="00314DD0">
        <w:t xml:space="preserve">labour markets and decent productivity </w:t>
      </w:r>
      <w:r w:rsidR="00D20D2D">
        <w:t>levels</w:t>
      </w:r>
      <w:r w:rsidR="00314DD0">
        <w:t xml:space="preserve"> have allowed Australians to enjoy a standard of living higher than most of the world.</w:t>
      </w:r>
      <w:r w:rsidR="001657ED">
        <w:t xml:space="preserve"> </w:t>
      </w:r>
    </w:p>
    <w:p w14:paraId="429C7EB4" w14:textId="0CC01085" w:rsidR="00292EBF" w:rsidRDefault="001657ED" w:rsidP="00A766AE">
      <w:pPr>
        <w:pStyle w:val="BodyText"/>
      </w:pPr>
      <w:r>
        <w:t>However,</w:t>
      </w:r>
      <w:r w:rsidR="00314DD0">
        <w:t xml:space="preserve"> </w:t>
      </w:r>
      <w:r w:rsidR="000A2C23">
        <w:t xml:space="preserve">Australia’s productivity performance is still </w:t>
      </w:r>
      <w:r w:rsidR="00601DAB">
        <w:t xml:space="preserve">well </w:t>
      </w:r>
      <w:r w:rsidR="000A2C23">
        <w:t xml:space="preserve">behind the </w:t>
      </w:r>
      <w:r w:rsidR="00601DAB">
        <w:t>international ‘</w:t>
      </w:r>
      <w:r w:rsidR="000A2C23">
        <w:t>frontier</w:t>
      </w:r>
      <w:r w:rsidR="00601DAB">
        <w:t>’</w:t>
      </w:r>
      <w:r w:rsidR="00464158">
        <w:t>, best represented by the economy of the United States</w:t>
      </w:r>
      <w:r w:rsidR="00D20D2D">
        <w:t xml:space="preserve">. Scope to close the gap with the United States is limited in some areas. Australia’s remoteness and relatively low population density </w:t>
      </w:r>
      <w:r w:rsidR="00292EBF">
        <w:t xml:space="preserve">will continue to </w:t>
      </w:r>
      <w:r w:rsidR="00D20D2D">
        <w:t>limit economies of scale</w:t>
      </w:r>
      <w:r w:rsidR="00292EBF">
        <w:t xml:space="preserve">, particularly in manufacturing and goods distribution. </w:t>
      </w:r>
    </w:p>
    <w:p w14:paraId="14412C4B" w14:textId="77777777" w:rsidR="00F235D7" w:rsidRDefault="009A7D5C" w:rsidP="00710C4A">
      <w:pPr>
        <w:pStyle w:val="BodyText"/>
        <w:sectPr w:rsidR="00F235D7" w:rsidSect="00391282">
          <w:headerReference w:type="default" r:id="rId56"/>
          <w:footerReference w:type="default" r:id="rId57"/>
          <w:type w:val="oddPage"/>
          <w:pgSz w:w="11907" w:h="16840" w:code="9"/>
          <w:pgMar w:top="1985" w:right="1304" w:bottom="1247" w:left="1814" w:header="1701" w:footer="397" w:gutter="0"/>
          <w:pgNumType w:start="1" w:chapSep="period"/>
          <w:cols w:space="720"/>
        </w:sectPr>
      </w:pPr>
      <w:r>
        <w:t>On the other hand, t</w:t>
      </w:r>
      <w:r w:rsidR="00292EBF">
        <w:t xml:space="preserve">here is scope for improvement in </w:t>
      </w:r>
      <w:r w:rsidR="00601DAB">
        <w:t xml:space="preserve">many </w:t>
      </w:r>
      <w:r w:rsidR="00292EBF">
        <w:t>industries. Australia’s productivity levels are lower</w:t>
      </w:r>
      <w:r w:rsidR="00483FF1">
        <w:t xml:space="preserve"> than </w:t>
      </w:r>
      <w:r w:rsidR="005A66FE">
        <w:t>those of the</w:t>
      </w:r>
      <w:r w:rsidR="00483FF1">
        <w:t xml:space="preserve"> US</w:t>
      </w:r>
      <w:r w:rsidR="00292EBF">
        <w:t xml:space="preserve"> in a range of service industries, in which outputs are customised and economies of scale are less important. Australian businesses in these sectors have opportunities to improve productivity</w:t>
      </w:r>
      <w:r w:rsidR="00395648">
        <w:t>. It is likely that human capital (education quality and lifelong skills formation), firm level innovation (including but broader than R&amp;D), effective use of digital technologies and data and efficient cities that link skilled labour to job opportunities will rise in relative importance in an increasi</w:t>
      </w:r>
      <w:r w:rsidR="00822FF3">
        <w:t>ngly service</w:t>
      </w:r>
      <w:r w:rsidR="00822FF3">
        <w:noBreakHyphen/>
      </w:r>
      <w:r w:rsidR="00A266EF">
        <w:t>driven economy.</w:t>
      </w:r>
    </w:p>
    <w:p w14:paraId="578B4501" w14:textId="5ED765E0" w:rsidR="00F235D7" w:rsidRDefault="00F235D7" w:rsidP="009A7D5D">
      <w:pPr>
        <w:pStyle w:val="Heading2"/>
        <w:spacing w:before="240" w:after="360"/>
      </w:pPr>
      <w:r>
        <w:lastRenderedPageBreak/>
        <w:t>References</w:t>
      </w:r>
    </w:p>
    <w:p w14:paraId="1BEDBD47" w14:textId="14E318A0" w:rsidR="00F235D7" w:rsidRPr="002D5DC6" w:rsidRDefault="00F235D7" w:rsidP="002D5DC6">
      <w:pPr>
        <w:pStyle w:val="Reference"/>
        <w:spacing w:before="100" w:line="280" w:lineRule="atLeast"/>
        <w:rPr>
          <w:spacing w:val="-2"/>
          <w:szCs w:val="24"/>
        </w:rPr>
      </w:pPr>
      <w:r w:rsidRPr="002D5DC6">
        <w:rPr>
          <w:spacing w:val="-2"/>
          <w:szCs w:val="24"/>
        </w:rPr>
        <w:t xml:space="preserve">ABS (Australian Bureau of Statistics) 2019a, </w:t>
      </w:r>
      <w:r w:rsidRPr="002D5DC6">
        <w:rPr>
          <w:i/>
          <w:iCs/>
          <w:spacing w:val="-2"/>
          <w:szCs w:val="24"/>
        </w:rPr>
        <w:t>Australian System of National Accounts, 2018-19</w:t>
      </w:r>
      <w:r w:rsidRPr="002D5DC6">
        <w:rPr>
          <w:spacing w:val="-2"/>
          <w:szCs w:val="24"/>
        </w:rPr>
        <w:t>, Cat. no. 5204.0, Canberra.</w:t>
      </w:r>
    </w:p>
    <w:p w14:paraId="0A8304D8" w14:textId="34D68563" w:rsidR="00F235D7" w:rsidRPr="002D5DC6" w:rsidRDefault="00F235D7" w:rsidP="002D5DC6">
      <w:pPr>
        <w:pStyle w:val="Reference"/>
        <w:spacing w:before="100" w:line="280" w:lineRule="atLeast"/>
        <w:rPr>
          <w:spacing w:val="-2"/>
          <w:szCs w:val="24"/>
        </w:rPr>
      </w:pPr>
      <w:r w:rsidRPr="002D5DC6">
        <w:rPr>
          <w:spacing w:val="-2"/>
          <w:szCs w:val="24"/>
        </w:rPr>
        <w:t xml:space="preserve">—— 2019b, </w:t>
      </w:r>
      <w:r w:rsidRPr="002D5DC6">
        <w:rPr>
          <w:i/>
          <w:iCs/>
          <w:spacing w:val="-2"/>
          <w:szCs w:val="24"/>
        </w:rPr>
        <w:t>Labour Force, Australia, Detailed, Quarterly, Aug 2019</w:t>
      </w:r>
      <w:r w:rsidRPr="002D5DC6">
        <w:rPr>
          <w:spacing w:val="-2"/>
          <w:szCs w:val="24"/>
        </w:rPr>
        <w:t>, Cat. no. 6291.0.55.003, Canberra.</w:t>
      </w:r>
    </w:p>
    <w:p w14:paraId="5F5D80D9" w14:textId="77777777" w:rsidR="00F235D7" w:rsidRPr="002D5DC6" w:rsidRDefault="00F235D7" w:rsidP="002D5DC6">
      <w:pPr>
        <w:pStyle w:val="Reference"/>
        <w:spacing w:before="100" w:line="280" w:lineRule="atLeast"/>
        <w:rPr>
          <w:spacing w:val="-4"/>
          <w:szCs w:val="24"/>
        </w:rPr>
      </w:pPr>
      <w:r w:rsidRPr="002D5DC6">
        <w:rPr>
          <w:spacing w:val="-4"/>
          <w:szCs w:val="24"/>
        </w:rPr>
        <w:t xml:space="preserve">Agarwal, R., Bajada, C., Brown, P., Morgan, I. and Balaguer, A. 2019, </w:t>
      </w:r>
      <w:r w:rsidRPr="002D5DC6">
        <w:rPr>
          <w:i/>
          <w:iCs/>
          <w:spacing w:val="-4"/>
          <w:szCs w:val="24"/>
        </w:rPr>
        <w:t>Development of Management Capability Scores</w:t>
      </w:r>
      <w:r w:rsidRPr="002D5DC6">
        <w:rPr>
          <w:spacing w:val="-4"/>
          <w:szCs w:val="24"/>
        </w:rPr>
        <w:t>, Research Paper, Department of Industry, Innovation and Science.</w:t>
      </w:r>
    </w:p>
    <w:p w14:paraId="2124EF62"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van Ark, B., O’Mahoney, M. and Timmer, M.P. 2008, ‘The Productivity Gap between Europe and the United States: Trends and Causes’, </w:t>
      </w:r>
      <w:r w:rsidRPr="002D5DC6">
        <w:rPr>
          <w:i/>
          <w:iCs/>
          <w:spacing w:val="-2"/>
          <w:szCs w:val="24"/>
        </w:rPr>
        <w:t>Journal of Economic Perspectives</w:t>
      </w:r>
      <w:r w:rsidRPr="002D5DC6">
        <w:rPr>
          <w:spacing w:val="-2"/>
          <w:szCs w:val="24"/>
        </w:rPr>
        <w:t>, vol. 22, no. 1, pp. 25–44.</w:t>
      </w:r>
    </w:p>
    <w:p w14:paraId="21004152"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Battersby, B. 2006, </w:t>
      </w:r>
      <w:r w:rsidRPr="002D5DC6">
        <w:rPr>
          <w:i/>
          <w:iCs/>
          <w:spacing w:val="-2"/>
          <w:szCs w:val="24"/>
        </w:rPr>
        <w:t>Does distance matter? The effect of geographic isolation on productivity levels</w:t>
      </w:r>
      <w:r w:rsidRPr="002D5DC6">
        <w:rPr>
          <w:spacing w:val="-2"/>
          <w:szCs w:val="24"/>
        </w:rPr>
        <w:t>, Treasury Working Paper, The Australian Treasury.</w:t>
      </w:r>
    </w:p>
    <w:p w14:paraId="21D69B8A"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Benos, N. and Zotou, S. 2014, ‘Education and Economic Growth: A Meta-Regression Analysis’, </w:t>
      </w:r>
      <w:r w:rsidRPr="002D5DC6">
        <w:rPr>
          <w:i/>
          <w:iCs/>
          <w:spacing w:val="-2"/>
          <w:szCs w:val="24"/>
        </w:rPr>
        <w:t>World Development</w:t>
      </w:r>
      <w:r w:rsidRPr="002D5DC6">
        <w:rPr>
          <w:spacing w:val="-2"/>
          <w:szCs w:val="24"/>
        </w:rPr>
        <w:t>, vol. 64, pp. 669–689.</w:t>
      </w:r>
    </w:p>
    <w:p w14:paraId="4119D22D"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Bloom, N., Sadun, R. and Van Reenen, J. 2017, </w:t>
      </w:r>
      <w:r w:rsidRPr="002D5DC6">
        <w:rPr>
          <w:i/>
          <w:iCs/>
          <w:spacing w:val="-2"/>
          <w:szCs w:val="24"/>
        </w:rPr>
        <w:t>Management as technology?</w:t>
      </w:r>
      <w:r w:rsidRPr="002D5DC6">
        <w:rPr>
          <w:spacing w:val="-2"/>
          <w:szCs w:val="24"/>
        </w:rPr>
        <w:t>, Working Paper, 22327, National Bureau of Economic Research.</w:t>
      </w:r>
    </w:p>
    <w:p w14:paraId="16A0E869"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Boulhol, H., de Serres, A. and Molnar, M. 2008, ‘The Contribution of Economic Geography to GDP per Capita’, </w:t>
      </w:r>
      <w:r w:rsidRPr="002D5DC6">
        <w:rPr>
          <w:i/>
          <w:iCs/>
          <w:spacing w:val="-2"/>
          <w:szCs w:val="24"/>
        </w:rPr>
        <w:t>OECD Economic Studies</w:t>
      </w:r>
      <w:r w:rsidRPr="002D5DC6">
        <w:rPr>
          <w:spacing w:val="-2"/>
          <w:szCs w:val="24"/>
        </w:rPr>
        <w:t>.</w:t>
      </w:r>
    </w:p>
    <w:p w14:paraId="3600B260" w14:textId="51259BA7" w:rsidR="00F235D7" w:rsidRPr="002D5DC6" w:rsidRDefault="00F235D7" w:rsidP="002D5DC6">
      <w:pPr>
        <w:pStyle w:val="Reference"/>
        <w:spacing w:before="100" w:line="280" w:lineRule="atLeast"/>
        <w:rPr>
          <w:spacing w:val="-2"/>
          <w:szCs w:val="24"/>
        </w:rPr>
      </w:pPr>
      <w:r w:rsidRPr="002D5DC6">
        <w:rPr>
          <w:spacing w:val="-2"/>
          <w:szCs w:val="24"/>
        </w:rPr>
        <w:t xml:space="preserve">Bureau of Economic Analysis 2019, </w:t>
      </w:r>
      <w:r w:rsidRPr="002D5DC6">
        <w:rPr>
          <w:i/>
          <w:iCs/>
          <w:spacing w:val="-2"/>
          <w:szCs w:val="24"/>
        </w:rPr>
        <w:t>Interactive Access to Industry Economic Accounts Data: GDP by Industry</w:t>
      </w:r>
      <w:r w:rsidRPr="002D5DC6">
        <w:rPr>
          <w:spacing w:val="-2"/>
          <w:szCs w:val="24"/>
        </w:rPr>
        <w:t>, Bureau of Economic Analysis, https://apps.bea.gov/iTable/iTable.cfm?</w:t>
      </w:r>
      <w:r w:rsidRPr="002D5DC6">
        <w:rPr>
          <w:spacing w:val="-2"/>
          <w:szCs w:val="24"/>
        </w:rPr>
        <w:br/>
        <w:t>ReqID=51&amp;step=1 (accessed 19 February 2020).</w:t>
      </w:r>
    </w:p>
    <w:p w14:paraId="53C7E97C"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Corrado, C.A., Hulten, C.R. and Sichel, D.E. 2006, </w:t>
      </w:r>
      <w:r w:rsidRPr="002D5DC6">
        <w:rPr>
          <w:i/>
          <w:iCs/>
          <w:spacing w:val="-2"/>
          <w:szCs w:val="24"/>
        </w:rPr>
        <w:t>Intangible Capital and Economic Growth</w:t>
      </w:r>
      <w:r w:rsidRPr="002D5DC6">
        <w:rPr>
          <w:spacing w:val="-2"/>
          <w:szCs w:val="24"/>
        </w:rPr>
        <w:t>, 11948, NBER Working Paper, the National Bureau of Economic Research.</w:t>
      </w:r>
    </w:p>
    <w:p w14:paraId="3755275E"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Davis, G. and Tunny, G. 2005, </w:t>
      </w:r>
      <w:r w:rsidRPr="002D5DC6">
        <w:rPr>
          <w:i/>
          <w:iCs/>
          <w:spacing w:val="-2"/>
          <w:szCs w:val="24"/>
        </w:rPr>
        <w:t>International comparisons of research and development</w:t>
      </w:r>
      <w:r w:rsidRPr="002D5DC6">
        <w:rPr>
          <w:spacing w:val="-2"/>
          <w:szCs w:val="24"/>
        </w:rPr>
        <w:t>, Economic Roundup, Spring 2005, Treasury.</w:t>
      </w:r>
    </w:p>
    <w:p w14:paraId="58D41B83"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Department of the Prime Minister and Cabinet 2012, </w:t>
      </w:r>
      <w:r w:rsidRPr="002D5DC6">
        <w:rPr>
          <w:i/>
          <w:iCs/>
          <w:spacing w:val="-2"/>
          <w:szCs w:val="24"/>
        </w:rPr>
        <w:t>Australia in the Asian century: white paper</w:t>
      </w:r>
      <w:r w:rsidRPr="002D5DC6">
        <w:rPr>
          <w:spacing w:val="-2"/>
          <w:szCs w:val="24"/>
        </w:rPr>
        <w:t>, White Paper, Commonwealth of Australia, Canberra.</w:t>
      </w:r>
    </w:p>
    <w:p w14:paraId="5C304CAD"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Dolman, B., Parham, D. and Zheng, S. 2007, </w:t>
      </w:r>
      <w:r w:rsidRPr="002D5DC6">
        <w:rPr>
          <w:i/>
          <w:iCs/>
          <w:spacing w:val="-2"/>
          <w:szCs w:val="24"/>
        </w:rPr>
        <w:t>Can Australia Match US Productivity Performance?</w:t>
      </w:r>
      <w:r w:rsidRPr="002D5DC6">
        <w:rPr>
          <w:spacing w:val="-2"/>
          <w:szCs w:val="24"/>
        </w:rPr>
        <w:t>, Productivity Commission Staff Working Paper, Canberra.</w:t>
      </w:r>
    </w:p>
    <w:p w14:paraId="43FA6BC1"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Glaeser, E.L. and Resseger, M.G. 2009, </w:t>
      </w:r>
      <w:r w:rsidRPr="002D5DC6">
        <w:rPr>
          <w:i/>
          <w:iCs/>
          <w:spacing w:val="-2"/>
          <w:szCs w:val="24"/>
        </w:rPr>
        <w:t>The Complementarity between Cities and Skills</w:t>
      </w:r>
      <w:r w:rsidRPr="002D5DC6">
        <w:rPr>
          <w:spacing w:val="-2"/>
          <w:szCs w:val="24"/>
        </w:rPr>
        <w:t>, 15103, NBER Working Paper, the National Bureau of Economic Research.</w:t>
      </w:r>
    </w:p>
    <w:p w14:paraId="79049BF5"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Hatton, T. and Withers, G. 2012, ‘The labour market’, </w:t>
      </w:r>
      <w:r w:rsidRPr="002D5DC6">
        <w:rPr>
          <w:i/>
          <w:iCs/>
          <w:spacing w:val="-2"/>
          <w:szCs w:val="24"/>
        </w:rPr>
        <w:t>Cambridge economic history of Australia</w:t>
      </w:r>
      <w:r w:rsidRPr="002D5DC6">
        <w:rPr>
          <w:spacing w:val="-2"/>
          <w:szCs w:val="24"/>
        </w:rPr>
        <w:t>, Cambridge University Press, Cambridge, pp. 351–572.</w:t>
      </w:r>
    </w:p>
    <w:p w14:paraId="40E005D5"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Inklaar, R. and Timmer, M. 2008, </w:t>
      </w:r>
      <w:r w:rsidRPr="002D5DC6">
        <w:rPr>
          <w:i/>
          <w:iCs/>
          <w:spacing w:val="-2"/>
          <w:szCs w:val="24"/>
        </w:rPr>
        <w:t>GGDC Productivity Level Database: International Comparisons of Output, Inputs and Productivity at the Industry Level</w:t>
      </w:r>
      <w:r w:rsidRPr="002D5DC6">
        <w:rPr>
          <w:spacing w:val="-2"/>
          <w:szCs w:val="24"/>
        </w:rPr>
        <w:t>, GGDC Working Paper, University of Groningen.</w:t>
      </w:r>
    </w:p>
    <w:p w14:paraId="6D4C91B8"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ISA (Innovation and Science Australia) 2019, </w:t>
      </w:r>
      <w:r w:rsidRPr="002D5DC6">
        <w:rPr>
          <w:i/>
          <w:iCs/>
          <w:spacing w:val="-2"/>
          <w:szCs w:val="24"/>
        </w:rPr>
        <w:t>Stimulating Business Investment in Innovation</w:t>
      </w:r>
      <w:r w:rsidRPr="002D5DC6">
        <w:rPr>
          <w:spacing w:val="-2"/>
          <w:szCs w:val="24"/>
        </w:rPr>
        <w:t>, Australian Government.</w:t>
      </w:r>
    </w:p>
    <w:p w14:paraId="2D7F3BC7" w14:textId="77777777" w:rsidR="00F235D7" w:rsidRPr="002D5DC6" w:rsidRDefault="00F235D7" w:rsidP="002D5DC6">
      <w:pPr>
        <w:pStyle w:val="Reference"/>
        <w:spacing w:before="100" w:line="280" w:lineRule="atLeast"/>
        <w:rPr>
          <w:spacing w:val="-2"/>
          <w:szCs w:val="24"/>
        </w:rPr>
      </w:pPr>
      <w:r w:rsidRPr="002D5DC6">
        <w:rPr>
          <w:spacing w:val="-2"/>
          <w:szCs w:val="24"/>
        </w:rPr>
        <w:lastRenderedPageBreak/>
        <w:t xml:space="preserve">Leigh, A. 2008, ‘Returns to education in Australia’, </w:t>
      </w:r>
      <w:r w:rsidRPr="002D5DC6">
        <w:rPr>
          <w:i/>
          <w:iCs/>
          <w:spacing w:val="-2"/>
          <w:szCs w:val="24"/>
        </w:rPr>
        <w:t>Economic Papers: A journal of applied economics and policy</w:t>
      </w:r>
      <w:r w:rsidRPr="002D5DC6">
        <w:rPr>
          <w:spacing w:val="-2"/>
          <w:szCs w:val="24"/>
        </w:rPr>
        <w:t>, vol. 27, pp. 233–249.</w:t>
      </w:r>
    </w:p>
    <w:p w14:paraId="0525058E"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Lewis, W.W., Siemen, A., Baley, M. and Sakate, K. 1992, </w:t>
      </w:r>
      <w:r w:rsidRPr="002D5DC6">
        <w:rPr>
          <w:i/>
          <w:iCs/>
          <w:spacing w:val="-2"/>
          <w:szCs w:val="24"/>
        </w:rPr>
        <w:t>Service-sector productivity and international competitiveness</w:t>
      </w:r>
      <w:r w:rsidRPr="002D5DC6">
        <w:rPr>
          <w:spacing w:val="-2"/>
          <w:szCs w:val="24"/>
        </w:rPr>
        <w:t>, McKinsey Quarterly.</w:t>
      </w:r>
    </w:p>
    <w:p w14:paraId="7852DE44" w14:textId="10F276EC" w:rsidR="00F235D7" w:rsidRPr="002D5DC6" w:rsidRDefault="00F235D7" w:rsidP="002D5DC6">
      <w:pPr>
        <w:pStyle w:val="Reference"/>
        <w:spacing w:before="100" w:line="280" w:lineRule="atLeast"/>
        <w:rPr>
          <w:spacing w:val="-2"/>
          <w:szCs w:val="24"/>
        </w:rPr>
      </w:pPr>
      <w:r w:rsidRPr="002D5DC6">
        <w:rPr>
          <w:spacing w:val="-2"/>
          <w:szCs w:val="24"/>
        </w:rPr>
        <w:t xml:space="preserve">NSW Government 2019, </w:t>
      </w:r>
      <w:r w:rsidRPr="002D5DC6">
        <w:rPr>
          <w:i/>
          <w:iCs/>
          <w:spacing w:val="-2"/>
          <w:szCs w:val="24"/>
        </w:rPr>
        <w:t>Greater Sydney</w:t>
      </w:r>
      <w:r w:rsidRPr="002D5DC6">
        <w:rPr>
          <w:spacing w:val="-2"/>
          <w:szCs w:val="24"/>
        </w:rPr>
        <w:t>, City of Sydney, https://www.cityofsydney.</w:t>
      </w:r>
      <w:r w:rsidRPr="002D5DC6">
        <w:rPr>
          <w:spacing w:val="-2"/>
          <w:szCs w:val="24"/>
        </w:rPr>
        <w:br/>
        <w:t>nsw.gov.au/learn/research-and-statistics/the-city-at-a-glance/greater-sydney (accessed 31 January 2019).</w:t>
      </w:r>
    </w:p>
    <w:p w14:paraId="1E25D410"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OECD (Organization for Economic Cooperation and Development) 2018, </w:t>
      </w:r>
      <w:r w:rsidRPr="002D5DC6">
        <w:rPr>
          <w:i/>
          <w:iCs/>
          <w:spacing w:val="-2"/>
          <w:szCs w:val="24"/>
        </w:rPr>
        <w:t>2000, 2003, 2006, 2009, 2012, 2015, and 2018 Reading, Mathematics and Science Assessments</w:t>
      </w:r>
      <w:r w:rsidRPr="002D5DC6">
        <w:rPr>
          <w:spacing w:val="-2"/>
          <w:szCs w:val="24"/>
        </w:rPr>
        <w:t>, Program for International Sutdent Assessment.</w:t>
      </w:r>
    </w:p>
    <w:p w14:paraId="2C4518F2" w14:textId="2C66CF4E" w:rsidR="00F235D7" w:rsidRPr="002D5DC6" w:rsidRDefault="00F235D7" w:rsidP="002D5DC6">
      <w:pPr>
        <w:pStyle w:val="Reference"/>
        <w:spacing w:before="100" w:line="280" w:lineRule="atLeast"/>
        <w:rPr>
          <w:spacing w:val="-2"/>
          <w:szCs w:val="24"/>
        </w:rPr>
      </w:pPr>
      <w:r w:rsidRPr="002D5DC6">
        <w:rPr>
          <w:spacing w:val="-2"/>
          <w:szCs w:val="24"/>
        </w:rPr>
        <w:t xml:space="preserve">—— 2020, </w:t>
      </w:r>
      <w:r w:rsidRPr="002D5DC6">
        <w:rPr>
          <w:i/>
          <w:iCs/>
          <w:spacing w:val="-2"/>
          <w:szCs w:val="24"/>
        </w:rPr>
        <w:t>STAN Structural Analysis Database</w:t>
      </w:r>
      <w:r w:rsidRPr="002D5DC6">
        <w:rPr>
          <w:spacing w:val="-2"/>
          <w:szCs w:val="24"/>
        </w:rPr>
        <w:t xml:space="preserve">, </w:t>
      </w:r>
      <w:hyperlink r:id="rId58" w:history="1">
        <w:r w:rsidRPr="002D5DC6">
          <w:rPr>
            <w:rStyle w:val="Hyperlink"/>
            <w:spacing w:val="-2"/>
            <w:szCs w:val="24"/>
            <w:u w:val="none"/>
          </w:rPr>
          <w:t>http://www.oecd.org/sti/ind/stanstructural</w:t>
        </w:r>
      </w:hyperlink>
      <w:r w:rsidRPr="002D5DC6">
        <w:rPr>
          <w:spacing w:val="-2"/>
          <w:szCs w:val="24"/>
        </w:rPr>
        <w:br/>
        <w:t>analysisdatabase.htm (accessed 3 March 2020).</w:t>
      </w:r>
    </w:p>
    <w:p w14:paraId="71DAB90E"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ONS (Office of National Statistics) 2012, </w:t>
      </w:r>
      <w:r w:rsidRPr="002D5DC6">
        <w:rPr>
          <w:i/>
          <w:iCs/>
          <w:spacing w:val="-2"/>
          <w:szCs w:val="24"/>
        </w:rPr>
        <w:t>International comparisons of productivity</w:t>
      </w:r>
      <w:r w:rsidRPr="002D5DC6">
        <w:rPr>
          <w:spacing w:val="-2"/>
          <w:szCs w:val="24"/>
        </w:rPr>
        <w:t>, Information Paper, United Kingdom.</w:t>
      </w:r>
    </w:p>
    <w:p w14:paraId="6EFA3050"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PC (Productivity Commission) 2017, </w:t>
      </w:r>
      <w:r w:rsidRPr="002D5DC6">
        <w:rPr>
          <w:i/>
          <w:iCs/>
          <w:spacing w:val="-2"/>
          <w:szCs w:val="24"/>
        </w:rPr>
        <w:t>Shifting the Dial: 5 Year Productivity Review, Supporting Paper No. 12, An Overview of Innovation Policy</w:t>
      </w:r>
      <w:r w:rsidRPr="002D5DC6">
        <w:rPr>
          <w:spacing w:val="-2"/>
          <w:szCs w:val="24"/>
        </w:rPr>
        <w:t>.</w:t>
      </w:r>
    </w:p>
    <w:p w14:paraId="0F1C725D" w14:textId="5333F174" w:rsidR="00F235D7" w:rsidRPr="002D5DC6" w:rsidRDefault="00F235D7" w:rsidP="002D5DC6">
      <w:pPr>
        <w:pStyle w:val="Reference"/>
        <w:spacing w:before="100" w:line="280" w:lineRule="atLeast"/>
        <w:rPr>
          <w:spacing w:val="-2"/>
          <w:szCs w:val="24"/>
        </w:rPr>
      </w:pPr>
      <w:r w:rsidRPr="002D5DC6">
        <w:rPr>
          <w:spacing w:val="-2"/>
          <w:szCs w:val="24"/>
        </w:rPr>
        <w:t xml:space="preserve">—— 2019, </w:t>
      </w:r>
      <w:r w:rsidRPr="002D5DC6">
        <w:rPr>
          <w:i/>
          <w:iCs/>
          <w:spacing w:val="-2"/>
          <w:szCs w:val="24"/>
        </w:rPr>
        <w:t>The Demand Driven University System: A Mixed Report Card</w:t>
      </w:r>
      <w:r w:rsidRPr="002D5DC6">
        <w:rPr>
          <w:spacing w:val="-2"/>
          <w:szCs w:val="24"/>
        </w:rPr>
        <w:t>, Commission Research Paper, Canberra.</w:t>
      </w:r>
    </w:p>
    <w:p w14:paraId="515C12A8" w14:textId="271D8EBE" w:rsidR="00F235D7" w:rsidRPr="002D5DC6" w:rsidRDefault="00F235D7" w:rsidP="002D5DC6">
      <w:pPr>
        <w:pStyle w:val="Reference"/>
        <w:spacing w:before="100" w:line="280" w:lineRule="atLeast"/>
        <w:rPr>
          <w:spacing w:val="-2"/>
          <w:szCs w:val="24"/>
        </w:rPr>
      </w:pPr>
      <w:r w:rsidRPr="002D5DC6">
        <w:rPr>
          <w:spacing w:val="-2"/>
          <w:szCs w:val="24"/>
        </w:rPr>
        <w:t xml:space="preserve">—— 2020, </w:t>
      </w:r>
      <w:r w:rsidRPr="002D5DC6">
        <w:rPr>
          <w:i/>
          <w:iCs/>
          <w:spacing w:val="-2"/>
          <w:szCs w:val="24"/>
        </w:rPr>
        <w:t>PC Productivity Insights: Recent Productivity Trends</w:t>
      </w:r>
      <w:r w:rsidRPr="002D5DC6">
        <w:rPr>
          <w:spacing w:val="-2"/>
          <w:szCs w:val="24"/>
        </w:rPr>
        <w:t>, Canberra, February.</w:t>
      </w:r>
    </w:p>
    <w:p w14:paraId="54448BB3"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Schreyer, P. 2009, ‘International Comparisons of Levels of Capital Input and Multi-Factor Productivity’, </w:t>
      </w:r>
      <w:r w:rsidRPr="002D5DC6">
        <w:rPr>
          <w:i/>
          <w:iCs/>
          <w:spacing w:val="-2"/>
          <w:szCs w:val="24"/>
        </w:rPr>
        <w:t>Productivity Measurement and Analysis</w:t>
      </w:r>
      <w:r w:rsidRPr="002D5DC6">
        <w:rPr>
          <w:spacing w:val="-2"/>
          <w:szCs w:val="24"/>
        </w:rPr>
        <w:t>, OECD Publishing, Paris.</w:t>
      </w:r>
    </w:p>
    <w:p w14:paraId="64B0359B"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Sorbe, S., Gal, P. and Millot, V. 2018, </w:t>
      </w:r>
      <w:r w:rsidRPr="002D5DC6">
        <w:rPr>
          <w:i/>
          <w:iCs/>
          <w:spacing w:val="-2"/>
          <w:szCs w:val="24"/>
        </w:rPr>
        <w:t>Can productivity still grow in service-based economies?: Literature overview and preliminary evidence from OECD countries</w:t>
      </w:r>
      <w:r w:rsidRPr="002D5DC6">
        <w:rPr>
          <w:spacing w:val="-2"/>
          <w:szCs w:val="24"/>
        </w:rPr>
        <w:t>, 1531, OECD Economics Department Working Papers, OECD Publishing.</w:t>
      </w:r>
    </w:p>
    <w:p w14:paraId="57056482"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United States Census Bureau 2018, </w:t>
      </w:r>
      <w:r w:rsidRPr="002D5DC6">
        <w:rPr>
          <w:i/>
          <w:iCs/>
          <w:spacing w:val="-2"/>
          <w:szCs w:val="24"/>
        </w:rPr>
        <w:t>Quick facts, New York City</w:t>
      </w:r>
      <w:r w:rsidRPr="002D5DC6">
        <w:rPr>
          <w:spacing w:val="-2"/>
          <w:szCs w:val="24"/>
        </w:rPr>
        <w:t>, United States Census Bureau, https://www.census.gov/quickfacts/fact/table/newyorkcitynewyork,bronxcountybronxboroughnewyork,kingscountybrooklynboroughnewyork,newyorkcountymanhattanboroughnewyork,queenscountyqueensboroughnewyork,richmondcountystatenislandboroughnewyork/PST045219 (accessed 31 January 2020).</w:t>
      </w:r>
    </w:p>
    <w:p w14:paraId="04EDA9F8"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Ville, S. and Withers, G. 2015, </w:t>
      </w:r>
      <w:r w:rsidRPr="002D5DC6">
        <w:rPr>
          <w:i/>
          <w:iCs/>
          <w:spacing w:val="-2"/>
          <w:szCs w:val="24"/>
        </w:rPr>
        <w:t>The Cambridge Economic History of Australia</w:t>
      </w:r>
      <w:r w:rsidRPr="002D5DC6">
        <w:rPr>
          <w:spacing w:val="-2"/>
          <w:szCs w:val="24"/>
        </w:rPr>
        <w:t>, 1st edn, Cambridge University Press.</w:t>
      </w:r>
    </w:p>
    <w:p w14:paraId="2C9E414C" w14:textId="77777777" w:rsidR="00F235D7" w:rsidRPr="002D5DC6" w:rsidRDefault="00F235D7" w:rsidP="002D5DC6">
      <w:pPr>
        <w:pStyle w:val="Reference"/>
        <w:spacing w:before="100" w:line="280" w:lineRule="atLeast"/>
        <w:rPr>
          <w:spacing w:val="-2"/>
          <w:szCs w:val="24"/>
        </w:rPr>
      </w:pPr>
      <w:r w:rsidRPr="002D5DC6">
        <w:rPr>
          <w:spacing w:val="-2"/>
          <w:szCs w:val="24"/>
        </w:rPr>
        <w:t xml:space="preserve">Whiteford, P. 2010, </w:t>
      </w:r>
      <w:r w:rsidRPr="002D5DC6">
        <w:rPr>
          <w:i/>
          <w:iCs/>
          <w:spacing w:val="-2"/>
          <w:szCs w:val="24"/>
        </w:rPr>
        <w:t>Transfer Issues and Directions for Reform: Australian Transfer Policy Comparative Perspective</w:t>
      </w:r>
      <w:r w:rsidRPr="002D5DC6">
        <w:rPr>
          <w:spacing w:val="-2"/>
          <w:szCs w:val="24"/>
        </w:rPr>
        <w:t>, Conference Paper, Australia’s Future Tax and Transfer Policy Conference, University of Melbourne, Melbourne.</w:t>
      </w:r>
    </w:p>
    <w:p w14:paraId="4E3BCEE9" w14:textId="3A548FAF" w:rsidR="00F235D7" w:rsidRPr="002D5DC6" w:rsidRDefault="00F235D7" w:rsidP="002D5DC6">
      <w:pPr>
        <w:pStyle w:val="Reference"/>
        <w:spacing w:before="100" w:line="280" w:lineRule="atLeast"/>
        <w:rPr>
          <w:spacing w:val="-2"/>
          <w:szCs w:val="24"/>
        </w:rPr>
      </w:pPr>
      <w:r w:rsidRPr="002D5DC6">
        <w:rPr>
          <w:spacing w:val="-2"/>
          <w:szCs w:val="24"/>
        </w:rPr>
        <w:t xml:space="preserve">World Bank 2016, </w:t>
      </w:r>
      <w:r w:rsidRPr="002D5DC6">
        <w:rPr>
          <w:i/>
          <w:iCs/>
          <w:spacing w:val="-2"/>
          <w:szCs w:val="24"/>
        </w:rPr>
        <w:t>Digital Adoption Index</w:t>
      </w:r>
      <w:r w:rsidRPr="002D5DC6">
        <w:rPr>
          <w:spacing w:val="-2"/>
          <w:szCs w:val="24"/>
        </w:rPr>
        <w:t>, The World Bank, https://www.worldbank.org/</w:t>
      </w:r>
      <w:r w:rsidRPr="002D5DC6">
        <w:rPr>
          <w:spacing w:val="-2"/>
          <w:szCs w:val="24"/>
        </w:rPr>
        <w:br/>
        <w:t>en/publication/wdr2016/Digital-Adoption-Index (accessed 12 November 2019).</w:t>
      </w:r>
    </w:p>
    <w:p w14:paraId="0A7F7C39" w14:textId="26949EDD" w:rsidR="00DA1083" w:rsidRPr="002D5DC6" w:rsidRDefault="00F235D7" w:rsidP="002D5DC6">
      <w:pPr>
        <w:pStyle w:val="Reference"/>
        <w:spacing w:before="100" w:line="280" w:lineRule="atLeast"/>
        <w:rPr>
          <w:spacing w:val="-2"/>
          <w:szCs w:val="24"/>
        </w:rPr>
      </w:pPr>
      <w:r w:rsidRPr="002D5DC6">
        <w:rPr>
          <w:spacing w:val="-2"/>
          <w:szCs w:val="24"/>
        </w:rPr>
        <w:t xml:space="preserve">—— 2018, </w:t>
      </w:r>
      <w:r w:rsidRPr="002D5DC6">
        <w:rPr>
          <w:i/>
          <w:iCs/>
          <w:spacing w:val="-2"/>
          <w:szCs w:val="24"/>
        </w:rPr>
        <w:t>Population density</w:t>
      </w:r>
      <w:r w:rsidRPr="002D5DC6">
        <w:rPr>
          <w:spacing w:val="-2"/>
          <w:szCs w:val="24"/>
        </w:rPr>
        <w:t>, World Bank Data, https://data.worldbank.org/indicator/</w:t>
      </w:r>
      <w:r w:rsidRPr="002D5DC6">
        <w:rPr>
          <w:spacing w:val="-2"/>
          <w:szCs w:val="24"/>
        </w:rPr>
        <w:br/>
        <w:t>EN.POP.DNST?end=2018&amp;name_desc=false&amp;start=1961 (accessed 12 March 2019).</w:t>
      </w:r>
    </w:p>
    <w:sectPr w:rsidR="00DA1083" w:rsidRPr="002D5DC6" w:rsidSect="00391282">
      <w:headerReference w:type="default" r:id="rId59"/>
      <w:footerReference w:type="default" r:id="rId60"/>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97EEF" w14:textId="77777777" w:rsidR="00391282" w:rsidRDefault="00391282">
      <w:r>
        <w:separator/>
      </w:r>
    </w:p>
  </w:endnote>
  <w:endnote w:type="continuationSeparator" w:id="0">
    <w:p w14:paraId="2B072C1D" w14:textId="77777777" w:rsidR="00391282" w:rsidRDefault="0039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62137A53" w14:textId="77777777" w:rsidTr="005F48ED">
      <w:trPr>
        <w:trHeight w:hRule="exact" w:val="567"/>
      </w:trPr>
      <w:tc>
        <w:tcPr>
          <w:tcW w:w="510" w:type="dxa"/>
        </w:tcPr>
        <w:p w14:paraId="4FFED6F6" w14:textId="77777777" w:rsidR="00391282" w:rsidRPr="00A24443" w:rsidRDefault="0039128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7E896E76" w14:textId="77777777" w:rsidR="00391282" w:rsidRPr="0013739A" w:rsidRDefault="00391282" w:rsidP="00391282">
          <w:pPr>
            <w:pStyle w:val="Footer"/>
            <w:rPr>
              <w:rFonts w:cs="Arial"/>
            </w:rPr>
          </w:pPr>
          <w:r w:rsidRPr="00BA5B14">
            <w:rPr>
              <w:rFonts w:cs="Arial"/>
            </w:rPr>
            <w:fldChar w:fldCharType="begin"/>
          </w:r>
          <w:r w:rsidRPr="00BA5B14">
            <w:rPr>
              <w:rFonts w:cs="Arial"/>
            </w:rPr>
            <w:instrText xml:space="preserve"> </w:instrText>
          </w:r>
          <w:r>
            <w:rPr>
              <w:rFonts w:cs="Arial"/>
            </w:rPr>
            <w:instrText>title</w:instrText>
          </w:r>
          <w:r w:rsidRPr="00BA5B14">
            <w:rPr>
              <w:rFonts w:cs="Arial"/>
            </w:rPr>
            <w:instrText xml:space="preserve"> </w:instrText>
          </w:r>
          <w:r w:rsidRPr="00BA5B14">
            <w:rPr>
              <w:rFonts w:cs="Arial"/>
            </w:rPr>
            <w:fldChar w:fldCharType="separate"/>
          </w:r>
          <w:r w:rsidR="00F43EF9">
            <w:rPr>
              <w:rFonts w:cs="Arial"/>
            </w:rPr>
            <w:t>Can Australia become a productivity leader?</w:t>
          </w:r>
          <w:r w:rsidRPr="00BA5B14">
            <w:rPr>
              <w:rFonts w:cs="Arial"/>
            </w:rPr>
            <w:fldChar w:fldCharType="end"/>
          </w:r>
        </w:p>
      </w:tc>
      <w:tc>
        <w:tcPr>
          <w:tcW w:w="510" w:type="dxa"/>
        </w:tcPr>
        <w:p w14:paraId="795F8F90" w14:textId="77777777" w:rsidR="00391282" w:rsidRDefault="00391282" w:rsidP="0019293B">
          <w:pPr>
            <w:pStyle w:val="Footer"/>
          </w:pPr>
        </w:p>
      </w:tc>
    </w:tr>
  </w:tbl>
  <w:p w14:paraId="2048BB77" w14:textId="77777777" w:rsidR="00391282" w:rsidRDefault="0039128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5F8CABDB" w14:textId="77777777" w:rsidTr="005F48ED">
      <w:trPr>
        <w:trHeight w:hRule="exact" w:val="567"/>
      </w:trPr>
      <w:tc>
        <w:tcPr>
          <w:tcW w:w="510" w:type="dxa"/>
        </w:tcPr>
        <w:p w14:paraId="0E094763" w14:textId="77777777" w:rsidR="00391282" w:rsidRDefault="00391282">
          <w:pPr>
            <w:pStyle w:val="Footer"/>
            <w:ind w:right="360" w:firstLine="360"/>
          </w:pPr>
        </w:p>
      </w:tc>
      <w:tc>
        <w:tcPr>
          <w:tcW w:w="7767" w:type="dxa"/>
        </w:tcPr>
        <w:p w14:paraId="15044CBA" w14:textId="77777777" w:rsidR="00391282" w:rsidRPr="00160417" w:rsidRDefault="00391282" w:rsidP="00391282">
          <w:pPr>
            <w:pStyle w:val="Footer"/>
            <w:jc w:val="right"/>
            <w:rPr>
              <w:rFonts w:cs="Arial"/>
            </w:rPr>
          </w:pPr>
          <w:r w:rsidRPr="00160417">
            <w:rPr>
              <w:noProof/>
            </w:rPr>
            <w:fldChar w:fldCharType="begin"/>
          </w:r>
          <w:r w:rsidRPr="00160417">
            <w:rPr>
              <w:noProof/>
            </w:rPr>
            <w:instrText xml:space="preserve"> STYLEREF "Heading 1" \* MERGEFORMAT </w:instrText>
          </w:r>
          <w:r w:rsidRPr="00160417">
            <w:rPr>
              <w:noProof/>
            </w:rPr>
            <w:fldChar w:fldCharType="separate"/>
          </w:r>
          <w:r w:rsidR="00B43C5E" w:rsidRPr="00B43C5E">
            <w:rPr>
              <w:bCs/>
              <w:noProof/>
              <w:lang w:val="en-US"/>
            </w:rPr>
            <w:t>Foreword</w:t>
          </w:r>
          <w:r w:rsidRPr="00160417">
            <w:rPr>
              <w:noProof/>
            </w:rPr>
            <w:fldChar w:fldCharType="end"/>
          </w:r>
        </w:p>
      </w:tc>
      <w:tc>
        <w:tcPr>
          <w:tcW w:w="510" w:type="dxa"/>
        </w:tcPr>
        <w:p w14:paraId="6100320B" w14:textId="77777777" w:rsidR="00391282" w:rsidRPr="00634771" w:rsidRDefault="00391282">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sidR="00B43C5E">
            <w:rPr>
              <w:rStyle w:val="PageNumber"/>
              <w:caps w:val="0"/>
              <w:noProof/>
            </w:rPr>
            <w:t>iii</w:t>
          </w:r>
          <w:r w:rsidRPr="00634771">
            <w:rPr>
              <w:rStyle w:val="PageNumber"/>
              <w:caps w:val="0"/>
            </w:rPr>
            <w:fldChar w:fldCharType="end"/>
          </w:r>
        </w:p>
      </w:tc>
    </w:tr>
  </w:tbl>
  <w:p w14:paraId="32A9E4EC" w14:textId="77777777" w:rsidR="00391282" w:rsidRDefault="00391282">
    <w:pPr>
      <w:pStyle w:val="FooterEnd"/>
    </w:pPr>
  </w:p>
  <w:p w14:paraId="3AC00EF2" w14:textId="77777777" w:rsidR="00391282" w:rsidRDefault="0039128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31371E1F" w14:textId="77777777" w:rsidTr="005F48ED">
      <w:trPr>
        <w:trHeight w:hRule="exact" w:val="567"/>
      </w:trPr>
      <w:tc>
        <w:tcPr>
          <w:tcW w:w="510" w:type="dxa"/>
        </w:tcPr>
        <w:p w14:paraId="2F9ACC49" w14:textId="77777777" w:rsidR="00391282" w:rsidRPr="00A24443" w:rsidRDefault="0039128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3C5E">
            <w:rPr>
              <w:rStyle w:val="PageNumber"/>
              <w:caps w:val="0"/>
              <w:noProof/>
            </w:rPr>
            <w:t>iv</w:t>
          </w:r>
          <w:r w:rsidRPr="00A24443">
            <w:rPr>
              <w:rStyle w:val="PageNumber"/>
              <w:caps w:val="0"/>
            </w:rPr>
            <w:fldChar w:fldCharType="end"/>
          </w:r>
        </w:p>
      </w:tc>
      <w:tc>
        <w:tcPr>
          <w:tcW w:w="7767" w:type="dxa"/>
        </w:tcPr>
        <w:p w14:paraId="609BDD71" w14:textId="77777777" w:rsidR="00391282" w:rsidRPr="0013739A" w:rsidRDefault="00391282" w:rsidP="001373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F43EF9">
            <w:rPr>
              <w:rFonts w:cs="Arial"/>
            </w:rPr>
            <w:t>Can Australia become a productivity leader?</w:t>
          </w:r>
          <w:r w:rsidRPr="00BA5B14">
            <w:rPr>
              <w:rFonts w:cs="Arial"/>
            </w:rPr>
            <w:fldChar w:fldCharType="end"/>
          </w:r>
        </w:p>
      </w:tc>
      <w:tc>
        <w:tcPr>
          <w:tcW w:w="510" w:type="dxa"/>
        </w:tcPr>
        <w:p w14:paraId="568B187C" w14:textId="77777777" w:rsidR="00391282" w:rsidRDefault="00391282" w:rsidP="0019293B">
          <w:pPr>
            <w:pStyle w:val="Footer"/>
          </w:pPr>
        </w:p>
      </w:tc>
    </w:tr>
  </w:tbl>
  <w:p w14:paraId="2A8B5345" w14:textId="77777777" w:rsidR="00391282" w:rsidRDefault="00391282" w:rsidP="0019293B">
    <w:pPr>
      <w:pStyle w:val="FooterEnd"/>
    </w:pPr>
  </w:p>
  <w:p w14:paraId="3E0646E6" w14:textId="77777777" w:rsidR="00391282" w:rsidRDefault="00391282">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66CC6306" w14:textId="77777777" w:rsidTr="005F48ED">
      <w:trPr>
        <w:trHeight w:hRule="exact" w:val="567"/>
      </w:trPr>
      <w:tc>
        <w:tcPr>
          <w:tcW w:w="510" w:type="dxa"/>
        </w:tcPr>
        <w:p w14:paraId="0D5DF4DA" w14:textId="77777777" w:rsidR="00391282" w:rsidRDefault="00391282">
          <w:pPr>
            <w:pStyle w:val="Footer"/>
            <w:ind w:right="360" w:firstLine="360"/>
          </w:pPr>
        </w:p>
      </w:tc>
      <w:tc>
        <w:tcPr>
          <w:tcW w:w="7767" w:type="dxa"/>
        </w:tcPr>
        <w:p w14:paraId="6887151A" w14:textId="77777777" w:rsidR="00391282" w:rsidRPr="00BA5B14" w:rsidRDefault="00391282" w:rsidP="00391282">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B43C5E" w:rsidRPr="00B43C5E">
            <w:rPr>
              <w:bCs/>
              <w:noProof/>
            </w:rPr>
            <w:t>Contents</w:t>
          </w:r>
          <w:r w:rsidRPr="008F7DB7">
            <w:rPr>
              <w:noProof/>
            </w:rPr>
            <w:fldChar w:fldCharType="end"/>
          </w:r>
          <w:r>
            <w:rPr>
              <w:rFonts w:cs="Arial"/>
            </w:rPr>
            <w:t xml:space="preserve"> </w:t>
          </w:r>
        </w:p>
      </w:tc>
      <w:tc>
        <w:tcPr>
          <w:tcW w:w="510" w:type="dxa"/>
        </w:tcPr>
        <w:p w14:paraId="21417258" w14:textId="77777777" w:rsidR="00391282" w:rsidRPr="007448F7" w:rsidRDefault="00391282">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B43C5E">
            <w:rPr>
              <w:rStyle w:val="PageNumber"/>
              <w:caps w:val="0"/>
              <w:noProof/>
            </w:rPr>
            <w:t>v</w:t>
          </w:r>
          <w:r w:rsidRPr="007448F7">
            <w:rPr>
              <w:rStyle w:val="PageNumber"/>
              <w:caps w:val="0"/>
            </w:rPr>
            <w:fldChar w:fldCharType="end"/>
          </w:r>
        </w:p>
      </w:tc>
    </w:tr>
  </w:tbl>
  <w:p w14:paraId="49FFBAD7" w14:textId="77777777" w:rsidR="00391282" w:rsidRDefault="00391282">
    <w:pPr>
      <w:pStyle w:val="FooterEnd"/>
    </w:pPr>
  </w:p>
  <w:p w14:paraId="72AFA5E4" w14:textId="77777777" w:rsidR="00391282" w:rsidRDefault="0039128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7555B399" w14:textId="77777777" w:rsidTr="005F48ED">
      <w:trPr>
        <w:trHeight w:hRule="exact" w:val="567"/>
      </w:trPr>
      <w:tc>
        <w:tcPr>
          <w:tcW w:w="510" w:type="dxa"/>
        </w:tcPr>
        <w:p w14:paraId="5876F505" w14:textId="77777777" w:rsidR="00391282" w:rsidRPr="00A24443" w:rsidRDefault="0039128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3C5E">
            <w:rPr>
              <w:rStyle w:val="PageNumber"/>
              <w:caps w:val="0"/>
              <w:noProof/>
            </w:rPr>
            <w:t>24</w:t>
          </w:r>
          <w:r w:rsidRPr="00A24443">
            <w:rPr>
              <w:rStyle w:val="PageNumber"/>
              <w:caps w:val="0"/>
            </w:rPr>
            <w:fldChar w:fldCharType="end"/>
          </w:r>
        </w:p>
      </w:tc>
      <w:tc>
        <w:tcPr>
          <w:tcW w:w="7767" w:type="dxa"/>
        </w:tcPr>
        <w:p w14:paraId="66A2AA8A" w14:textId="305B202D" w:rsidR="00391282" w:rsidRPr="0013739A" w:rsidRDefault="00391282" w:rsidP="00D27267">
          <w:pPr>
            <w:pStyle w:val="Footer"/>
            <w:rPr>
              <w:rFonts w:cs="Arial"/>
            </w:rPr>
          </w:pPr>
          <w:r>
            <w:rPr>
              <w:rFonts w:cs="Arial"/>
            </w:rPr>
            <w:t>PC Productivity Insights</w:t>
          </w:r>
          <w:bookmarkStart w:id="11" w:name="DraftReportEven"/>
          <w:bookmarkEnd w:id="11"/>
          <w:r>
            <w:rPr>
              <w:rFonts w:cs="Arial"/>
            </w:rPr>
            <w:t xml:space="preserve"> 2020</w:t>
          </w:r>
        </w:p>
      </w:tc>
      <w:tc>
        <w:tcPr>
          <w:tcW w:w="510" w:type="dxa"/>
        </w:tcPr>
        <w:p w14:paraId="0975554A" w14:textId="77777777" w:rsidR="00391282" w:rsidRDefault="00391282" w:rsidP="0019293B">
          <w:pPr>
            <w:pStyle w:val="Footer"/>
          </w:pPr>
        </w:p>
      </w:tc>
    </w:tr>
  </w:tbl>
  <w:p w14:paraId="73D7EBDD" w14:textId="77777777" w:rsidR="00391282" w:rsidRDefault="00391282"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1282" w14:paraId="796E657F" w14:textId="77777777" w:rsidTr="005F48ED">
      <w:trPr>
        <w:trHeight w:hRule="exact" w:val="567"/>
      </w:trPr>
      <w:tc>
        <w:tcPr>
          <w:tcW w:w="510" w:type="dxa"/>
        </w:tcPr>
        <w:p w14:paraId="0657EAC8" w14:textId="77777777" w:rsidR="00391282" w:rsidRDefault="00391282">
          <w:pPr>
            <w:pStyle w:val="Footer"/>
            <w:ind w:right="360" w:firstLine="360"/>
          </w:pPr>
        </w:p>
      </w:tc>
      <w:tc>
        <w:tcPr>
          <w:tcW w:w="7767" w:type="dxa"/>
        </w:tcPr>
        <w:p w14:paraId="75D6A344" w14:textId="562BAA46" w:rsidR="00391282" w:rsidRPr="00BA5B14" w:rsidRDefault="00391282" w:rsidP="0013739A">
          <w:pPr>
            <w:pStyle w:val="Footer"/>
            <w:jc w:val="right"/>
            <w:rPr>
              <w:rFonts w:cs="Arial"/>
            </w:rPr>
          </w:pPr>
          <w:r>
            <w:rPr>
              <w:rFonts w:cs="Arial"/>
            </w:rPr>
            <w:t>Can Australia become a productivity leader?</w:t>
          </w:r>
          <w:bookmarkStart w:id="12" w:name="DraftReportOdd"/>
          <w:bookmarkEnd w:id="12"/>
        </w:p>
      </w:tc>
      <w:tc>
        <w:tcPr>
          <w:tcW w:w="510" w:type="dxa"/>
        </w:tcPr>
        <w:p w14:paraId="464252C7" w14:textId="77777777" w:rsidR="00391282" w:rsidRPr="00A24443" w:rsidRDefault="0039128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A7D5D">
            <w:rPr>
              <w:rStyle w:val="PageNumber"/>
              <w:caps w:val="0"/>
              <w:noProof/>
            </w:rPr>
            <w:t>1</w:t>
          </w:r>
          <w:r w:rsidRPr="00A24443">
            <w:rPr>
              <w:rStyle w:val="PageNumber"/>
              <w:caps w:val="0"/>
            </w:rPr>
            <w:fldChar w:fldCharType="end"/>
          </w:r>
        </w:p>
      </w:tc>
    </w:tr>
  </w:tbl>
  <w:p w14:paraId="1B38A4BC" w14:textId="77777777" w:rsidR="00391282" w:rsidRDefault="0039128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A7D5D" w14:paraId="5BCB2D3D" w14:textId="77777777" w:rsidTr="005F48ED">
      <w:trPr>
        <w:trHeight w:hRule="exact" w:val="567"/>
      </w:trPr>
      <w:tc>
        <w:tcPr>
          <w:tcW w:w="510" w:type="dxa"/>
        </w:tcPr>
        <w:p w14:paraId="37066839" w14:textId="77777777" w:rsidR="009A7D5D" w:rsidRDefault="009A7D5D">
          <w:pPr>
            <w:pStyle w:val="Footer"/>
            <w:ind w:right="360" w:firstLine="360"/>
          </w:pPr>
        </w:p>
      </w:tc>
      <w:tc>
        <w:tcPr>
          <w:tcW w:w="7767" w:type="dxa"/>
        </w:tcPr>
        <w:p w14:paraId="0BD935D7" w14:textId="77777777" w:rsidR="009A7D5D" w:rsidRPr="00BA5B14" w:rsidRDefault="009A7D5D" w:rsidP="0013739A">
          <w:pPr>
            <w:pStyle w:val="Footer"/>
            <w:jc w:val="right"/>
            <w:rPr>
              <w:rFonts w:cs="Arial"/>
            </w:rPr>
          </w:pPr>
          <w:r>
            <w:rPr>
              <w:rFonts w:cs="Arial"/>
            </w:rPr>
            <w:t>Can Australia become a productivity leader?</w:t>
          </w:r>
        </w:p>
      </w:tc>
      <w:tc>
        <w:tcPr>
          <w:tcW w:w="510" w:type="dxa"/>
        </w:tcPr>
        <w:p w14:paraId="26F3387F" w14:textId="77777777" w:rsidR="009A7D5D" w:rsidRPr="00A24443" w:rsidRDefault="009A7D5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3C5E">
            <w:rPr>
              <w:rStyle w:val="PageNumber"/>
              <w:caps w:val="0"/>
              <w:noProof/>
            </w:rPr>
            <w:t>21</w:t>
          </w:r>
          <w:r w:rsidRPr="00A24443">
            <w:rPr>
              <w:rStyle w:val="PageNumber"/>
              <w:caps w:val="0"/>
            </w:rPr>
            <w:fldChar w:fldCharType="end"/>
          </w:r>
        </w:p>
      </w:tc>
    </w:tr>
  </w:tbl>
  <w:p w14:paraId="1C93537B" w14:textId="77777777" w:rsidR="009A7D5D" w:rsidRDefault="009A7D5D">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A7D5D" w14:paraId="42CE07C1" w14:textId="77777777" w:rsidTr="005F48ED">
      <w:trPr>
        <w:trHeight w:hRule="exact" w:val="567"/>
      </w:trPr>
      <w:tc>
        <w:tcPr>
          <w:tcW w:w="510" w:type="dxa"/>
        </w:tcPr>
        <w:p w14:paraId="330C1029" w14:textId="77777777" w:rsidR="009A7D5D" w:rsidRDefault="009A7D5D">
          <w:pPr>
            <w:pStyle w:val="Footer"/>
            <w:ind w:right="360" w:firstLine="360"/>
          </w:pPr>
        </w:p>
      </w:tc>
      <w:tc>
        <w:tcPr>
          <w:tcW w:w="7767" w:type="dxa"/>
        </w:tcPr>
        <w:p w14:paraId="70D4C5BD" w14:textId="77777777" w:rsidR="009A7D5D" w:rsidRPr="00BA5B14" w:rsidRDefault="009A7D5D" w:rsidP="0013739A">
          <w:pPr>
            <w:pStyle w:val="Footer"/>
            <w:jc w:val="right"/>
            <w:rPr>
              <w:rFonts w:cs="Arial"/>
            </w:rPr>
          </w:pPr>
          <w:r>
            <w:rPr>
              <w:rFonts w:cs="Arial"/>
            </w:rPr>
            <w:t>Can Australia become a productivity leader?</w:t>
          </w:r>
        </w:p>
      </w:tc>
      <w:tc>
        <w:tcPr>
          <w:tcW w:w="510" w:type="dxa"/>
        </w:tcPr>
        <w:p w14:paraId="2DB2E37D" w14:textId="77777777" w:rsidR="009A7D5D" w:rsidRPr="00A24443" w:rsidRDefault="009A7D5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3C5E">
            <w:rPr>
              <w:rStyle w:val="PageNumber"/>
              <w:caps w:val="0"/>
              <w:noProof/>
            </w:rPr>
            <w:t>23</w:t>
          </w:r>
          <w:r w:rsidRPr="00A24443">
            <w:rPr>
              <w:rStyle w:val="PageNumber"/>
              <w:caps w:val="0"/>
            </w:rPr>
            <w:fldChar w:fldCharType="end"/>
          </w:r>
        </w:p>
      </w:tc>
    </w:tr>
  </w:tbl>
  <w:p w14:paraId="750C4CAE" w14:textId="77777777" w:rsidR="009A7D5D" w:rsidRDefault="009A7D5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1945D" w14:textId="77777777" w:rsidR="00391282" w:rsidRDefault="00391282">
      <w:r>
        <w:separator/>
      </w:r>
    </w:p>
  </w:footnote>
  <w:footnote w:type="continuationSeparator" w:id="0">
    <w:p w14:paraId="13BE9B1A" w14:textId="77777777" w:rsidR="00391282" w:rsidRDefault="00391282">
      <w:r>
        <w:continuationSeparator/>
      </w:r>
    </w:p>
  </w:footnote>
  <w:footnote w:id="1">
    <w:p w14:paraId="7ACFAA89" w14:textId="21AF6FA0" w:rsidR="00391282" w:rsidRDefault="00391282" w:rsidP="00407528">
      <w:pPr>
        <w:pStyle w:val="FootnoteText"/>
      </w:pPr>
      <w:r w:rsidRPr="0065069F">
        <w:rPr>
          <w:rStyle w:val="FootnoteReference"/>
        </w:rPr>
        <w:footnoteRef/>
      </w:r>
      <w:r>
        <w:tab/>
        <w:t>The economic rise of China has been discussed as an opportunity for ‘</w:t>
      </w:r>
      <w:r w:rsidRPr="004369CD">
        <w:t xml:space="preserve">the tyranny of distance </w:t>
      </w:r>
      <w:r>
        <w:t xml:space="preserve">[to be] </w:t>
      </w:r>
      <w:r w:rsidRPr="004369CD">
        <w:t>replaced by the prospects of proximity</w:t>
      </w:r>
      <w:r>
        <w:t xml:space="preserve">’ </w:t>
      </w:r>
      <w:r w:rsidRPr="00CF3A4B">
        <w:rPr>
          <w:szCs w:val="24"/>
        </w:rPr>
        <w:t>(Department of the Prime Minister and Cabinet 2012, p. 1)</w:t>
      </w:r>
      <w:r>
        <w:t>. No doubt it has provided market access for bulk commodities transported by ship. For trade in services or high</w:t>
      </w:r>
      <w:r>
        <w:noBreakHyphen/>
        <w:t>value goods, air travel is more relevant and, in this regard, it is worth noting that Beijing is closer to London than it is to Brisbane.</w:t>
      </w:r>
    </w:p>
  </w:footnote>
  <w:footnote w:id="2">
    <w:p w14:paraId="0BCE4541" w14:textId="20505DFA" w:rsidR="00391282" w:rsidRDefault="00391282" w:rsidP="00407528">
      <w:pPr>
        <w:pStyle w:val="FootnoteText"/>
      </w:pPr>
      <w:r w:rsidRPr="0065069F">
        <w:rPr>
          <w:rStyle w:val="FootnoteReference"/>
        </w:rPr>
        <w:footnoteRef/>
      </w:r>
      <w:r>
        <w:tab/>
        <w:t xml:space="preserve">The US population density is 36 people per square kilometre, compared with 3 people per square kilometre in Australia </w:t>
      </w:r>
      <w:r w:rsidRPr="00B52CFB">
        <w:rPr>
          <w:szCs w:val="24"/>
        </w:rPr>
        <w:t>(World Bank 2018)</w:t>
      </w:r>
      <w:r>
        <w:t>.</w:t>
      </w:r>
    </w:p>
  </w:footnote>
  <w:footnote w:id="3">
    <w:p w14:paraId="03438F48" w14:textId="095131B2" w:rsidR="00391282" w:rsidRDefault="00391282" w:rsidP="00407528">
      <w:pPr>
        <w:pStyle w:val="FootnoteText"/>
      </w:pPr>
      <w:r w:rsidRPr="0065069F">
        <w:rPr>
          <w:rStyle w:val="FootnoteReference"/>
        </w:rPr>
        <w:footnoteRef/>
      </w:r>
      <w:r>
        <w:tab/>
        <w:t xml:space="preserve">For example, New York has a population density of about 10 400 people per square kilometre (27 012.5 people per square mile) </w:t>
      </w:r>
      <w:r w:rsidRPr="00EA1BEC">
        <w:rPr>
          <w:szCs w:val="24"/>
        </w:rPr>
        <w:t>(United States Census Bureau 2018)</w:t>
      </w:r>
      <w:r>
        <w:t xml:space="preserve">, while Sydney has a population density of about 1237 persons per square kilometre </w:t>
      </w:r>
      <w:r w:rsidRPr="00AC0463">
        <w:rPr>
          <w:szCs w:val="24"/>
        </w:rPr>
        <w:t>(NSW Government 2019)</w:t>
      </w:r>
      <w:r>
        <w:t>.</w:t>
      </w:r>
    </w:p>
  </w:footnote>
  <w:footnote w:id="4">
    <w:p w14:paraId="51DC6744" w14:textId="3681AFD2" w:rsidR="00391282" w:rsidRDefault="00391282" w:rsidP="00B25DEA">
      <w:pPr>
        <w:pStyle w:val="FootnoteText"/>
      </w:pPr>
      <w:r w:rsidRPr="0065069F">
        <w:rPr>
          <w:rStyle w:val="FootnoteReference"/>
        </w:rPr>
        <w:footnoteRef/>
      </w:r>
      <w:r>
        <w:tab/>
        <w:t xml:space="preserve">Agriculture, mining and construction together account for about 19 per cent of GDP in Australia and about 7 per cent of GDP in the United States </w:t>
      </w:r>
      <w:r w:rsidRPr="000D27CF">
        <w:rPr>
          <w:szCs w:val="24"/>
        </w:rPr>
        <w:t>(Bureau of Economic Analysis 2019)</w:t>
      </w:r>
      <w:r>
        <w:t>.</w:t>
      </w:r>
    </w:p>
  </w:footnote>
  <w:footnote w:id="5">
    <w:p w14:paraId="0F7278B2" w14:textId="3AE2D295" w:rsidR="00391282" w:rsidRDefault="00391282" w:rsidP="00B25DEA">
      <w:pPr>
        <w:pStyle w:val="FootnoteText"/>
      </w:pPr>
      <w:r w:rsidRPr="0065069F">
        <w:rPr>
          <w:rStyle w:val="FootnoteReference"/>
        </w:rPr>
        <w:footnoteRef/>
      </w:r>
      <w:r>
        <w:tab/>
        <w:t>M</w:t>
      </w:r>
      <w:r w:rsidRPr="00DE219A">
        <w:t>anufacturing accounts for 11.3 per cent of US GDP</w:t>
      </w:r>
      <w:r>
        <w:t xml:space="preserve"> </w:t>
      </w:r>
      <w:r w:rsidRPr="00B00FF7">
        <w:rPr>
          <w:szCs w:val="24"/>
        </w:rPr>
        <w:t>(Bureau of Economic Analysis 2019)</w:t>
      </w:r>
      <w:r w:rsidRPr="00DE219A">
        <w:t>, and 5.6% of Australian GDP</w:t>
      </w:r>
      <w:r>
        <w:t xml:space="preserve"> </w:t>
      </w:r>
      <w:r w:rsidRPr="00710C4A">
        <w:rPr>
          <w:szCs w:val="24"/>
        </w:rPr>
        <w:t>(ABS 2019a)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1282" w14:paraId="2439F533" w14:textId="77777777">
      <w:tc>
        <w:tcPr>
          <w:tcW w:w="2155" w:type="dxa"/>
          <w:tcBorders>
            <w:top w:val="single" w:sz="24" w:space="0" w:color="auto"/>
          </w:tcBorders>
        </w:tcPr>
        <w:p w14:paraId="44D0627D" w14:textId="77777777" w:rsidR="00391282" w:rsidRDefault="00391282">
          <w:pPr>
            <w:pStyle w:val="HeaderEven"/>
          </w:pPr>
        </w:p>
      </w:tc>
      <w:tc>
        <w:tcPr>
          <w:tcW w:w="6634" w:type="dxa"/>
          <w:tcBorders>
            <w:top w:val="single" w:sz="6" w:space="0" w:color="auto"/>
          </w:tcBorders>
        </w:tcPr>
        <w:p w14:paraId="095F3326" w14:textId="77777777" w:rsidR="00391282" w:rsidRDefault="00391282">
          <w:pPr>
            <w:pStyle w:val="HeaderEven"/>
          </w:pPr>
        </w:p>
      </w:tc>
    </w:tr>
  </w:tbl>
  <w:p w14:paraId="5E806870" w14:textId="77777777" w:rsidR="00391282" w:rsidRDefault="0039128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1282" w14:paraId="78FC8D78" w14:textId="77777777">
      <w:tc>
        <w:tcPr>
          <w:tcW w:w="6634" w:type="dxa"/>
          <w:tcBorders>
            <w:top w:val="single" w:sz="6" w:space="0" w:color="auto"/>
          </w:tcBorders>
        </w:tcPr>
        <w:p w14:paraId="73B86122" w14:textId="77777777" w:rsidR="00391282" w:rsidRDefault="00391282">
          <w:pPr>
            <w:pStyle w:val="HeaderOdd"/>
          </w:pPr>
        </w:p>
      </w:tc>
      <w:tc>
        <w:tcPr>
          <w:tcW w:w="2155" w:type="dxa"/>
          <w:tcBorders>
            <w:top w:val="single" w:sz="24" w:space="0" w:color="auto"/>
          </w:tcBorders>
        </w:tcPr>
        <w:p w14:paraId="03734A78" w14:textId="77777777" w:rsidR="00391282" w:rsidRDefault="00391282">
          <w:pPr>
            <w:pStyle w:val="HeaderOdd"/>
          </w:pPr>
        </w:p>
      </w:tc>
    </w:tr>
  </w:tbl>
  <w:p w14:paraId="0BCC376C" w14:textId="77777777" w:rsidR="00391282" w:rsidRDefault="0039128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391282" w14:paraId="09F1820F" w14:textId="77777777">
      <w:tc>
        <w:tcPr>
          <w:tcW w:w="2155" w:type="dxa"/>
          <w:tcBorders>
            <w:top w:val="single" w:sz="24" w:space="0" w:color="auto"/>
          </w:tcBorders>
        </w:tcPr>
        <w:p w14:paraId="2336C760" w14:textId="77777777" w:rsidR="00391282" w:rsidRDefault="00391282">
          <w:pPr>
            <w:pStyle w:val="Header"/>
          </w:pPr>
        </w:p>
      </w:tc>
      <w:tc>
        <w:tcPr>
          <w:tcW w:w="6634" w:type="dxa"/>
          <w:tcBorders>
            <w:top w:val="single" w:sz="6" w:space="0" w:color="auto"/>
          </w:tcBorders>
        </w:tcPr>
        <w:p w14:paraId="078B66C0" w14:textId="77777777" w:rsidR="00391282" w:rsidRDefault="00391282">
          <w:pPr>
            <w:pStyle w:val="Header"/>
          </w:pPr>
        </w:p>
      </w:tc>
    </w:tr>
  </w:tbl>
  <w:p w14:paraId="111736AB" w14:textId="77777777" w:rsidR="00391282" w:rsidRDefault="0039128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1282" w14:paraId="1120B529" w14:textId="77777777" w:rsidTr="00391282">
      <w:tc>
        <w:tcPr>
          <w:tcW w:w="6634" w:type="dxa"/>
          <w:tcBorders>
            <w:top w:val="single" w:sz="6" w:space="0" w:color="auto"/>
          </w:tcBorders>
        </w:tcPr>
        <w:p w14:paraId="02C691BF" w14:textId="77777777" w:rsidR="00391282" w:rsidRDefault="00391282" w:rsidP="00391282">
          <w:pPr>
            <w:pStyle w:val="HeaderOdd"/>
          </w:pPr>
        </w:p>
      </w:tc>
      <w:tc>
        <w:tcPr>
          <w:tcW w:w="2155" w:type="dxa"/>
          <w:tcBorders>
            <w:top w:val="single" w:sz="24" w:space="0" w:color="auto"/>
          </w:tcBorders>
        </w:tcPr>
        <w:p w14:paraId="16D1FE97" w14:textId="77777777" w:rsidR="00391282" w:rsidRDefault="00391282" w:rsidP="00391282">
          <w:pPr>
            <w:pStyle w:val="HeaderOdd"/>
          </w:pPr>
        </w:p>
      </w:tc>
    </w:tr>
  </w:tbl>
  <w:p w14:paraId="2ED2A942" w14:textId="77777777" w:rsidR="00391282" w:rsidRPr="005C68FE" w:rsidRDefault="00391282" w:rsidP="0039128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1282" w14:paraId="5B24B25D" w14:textId="77777777">
      <w:tc>
        <w:tcPr>
          <w:tcW w:w="2155" w:type="dxa"/>
          <w:tcBorders>
            <w:top w:val="single" w:sz="24" w:space="0" w:color="auto"/>
          </w:tcBorders>
        </w:tcPr>
        <w:p w14:paraId="074C464F" w14:textId="77777777" w:rsidR="00391282" w:rsidRDefault="00391282" w:rsidP="0019293B">
          <w:pPr>
            <w:pStyle w:val="HeaderEven"/>
          </w:pPr>
        </w:p>
      </w:tc>
      <w:tc>
        <w:tcPr>
          <w:tcW w:w="6634" w:type="dxa"/>
          <w:tcBorders>
            <w:top w:val="single" w:sz="6" w:space="0" w:color="auto"/>
          </w:tcBorders>
        </w:tcPr>
        <w:p w14:paraId="1431F22F" w14:textId="77777777" w:rsidR="00391282" w:rsidRDefault="00391282" w:rsidP="0019293B">
          <w:pPr>
            <w:pStyle w:val="HeaderEven"/>
          </w:pPr>
        </w:p>
      </w:tc>
    </w:tr>
  </w:tbl>
  <w:p w14:paraId="29DB89F4" w14:textId="77777777" w:rsidR="00391282" w:rsidRDefault="00391282"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1282" w14:paraId="133DC870" w14:textId="77777777">
      <w:tc>
        <w:tcPr>
          <w:tcW w:w="6634" w:type="dxa"/>
          <w:tcBorders>
            <w:top w:val="single" w:sz="6" w:space="0" w:color="auto"/>
          </w:tcBorders>
        </w:tcPr>
        <w:p w14:paraId="79D6B8EA" w14:textId="77777777" w:rsidR="00391282" w:rsidRDefault="00391282" w:rsidP="00E669E2">
          <w:pPr>
            <w:pStyle w:val="HeaderOdd"/>
          </w:pPr>
        </w:p>
      </w:tc>
      <w:tc>
        <w:tcPr>
          <w:tcW w:w="2155" w:type="dxa"/>
          <w:tcBorders>
            <w:top w:val="single" w:sz="24" w:space="0" w:color="auto"/>
          </w:tcBorders>
        </w:tcPr>
        <w:p w14:paraId="3D80DA26" w14:textId="77777777" w:rsidR="00391282" w:rsidRDefault="00391282" w:rsidP="00E669E2">
          <w:pPr>
            <w:pStyle w:val="HeaderOdd"/>
          </w:pPr>
        </w:p>
      </w:tc>
    </w:tr>
  </w:tbl>
  <w:p w14:paraId="443F21FE" w14:textId="77777777" w:rsidR="00391282" w:rsidRDefault="00391282"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7D5D" w14:paraId="2760B9B6" w14:textId="77777777">
      <w:tc>
        <w:tcPr>
          <w:tcW w:w="6634" w:type="dxa"/>
          <w:tcBorders>
            <w:top w:val="single" w:sz="6" w:space="0" w:color="auto"/>
          </w:tcBorders>
        </w:tcPr>
        <w:p w14:paraId="2C7D13D9" w14:textId="77777777" w:rsidR="009A7D5D" w:rsidRDefault="009A7D5D" w:rsidP="00E669E2">
          <w:pPr>
            <w:pStyle w:val="HeaderOdd"/>
          </w:pPr>
        </w:p>
      </w:tc>
      <w:tc>
        <w:tcPr>
          <w:tcW w:w="2155" w:type="dxa"/>
          <w:tcBorders>
            <w:top w:val="single" w:sz="24" w:space="0" w:color="auto"/>
          </w:tcBorders>
        </w:tcPr>
        <w:p w14:paraId="556F3C14" w14:textId="77777777" w:rsidR="009A7D5D" w:rsidRDefault="009A7D5D" w:rsidP="00E669E2">
          <w:pPr>
            <w:pStyle w:val="HeaderOdd"/>
          </w:pPr>
        </w:p>
      </w:tc>
    </w:tr>
  </w:tbl>
  <w:p w14:paraId="44C14AEA" w14:textId="77777777" w:rsidR="009A7D5D" w:rsidRDefault="009A7D5D"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7D5D" w14:paraId="381BF8D6" w14:textId="77777777">
      <w:tc>
        <w:tcPr>
          <w:tcW w:w="6634" w:type="dxa"/>
          <w:tcBorders>
            <w:top w:val="single" w:sz="6" w:space="0" w:color="auto"/>
          </w:tcBorders>
        </w:tcPr>
        <w:p w14:paraId="7C1B74E3" w14:textId="77777777" w:rsidR="009A7D5D" w:rsidRDefault="009A7D5D" w:rsidP="00E669E2">
          <w:pPr>
            <w:pStyle w:val="HeaderOdd"/>
          </w:pPr>
        </w:p>
      </w:tc>
      <w:tc>
        <w:tcPr>
          <w:tcW w:w="2155" w:type="dxa"/>
          <w:tcBorders>
            <w:top w:val="single" w:sz="24" w:space="0" w:color="auto"/>
          </w:tcBorders>
        </w:tcPr>
        <w:p w14:paraId="44602944" w14:textId="77777777" w:rsidR="009A7D5D" w:rsidRDefault="009A7D5D" w:rsidP="00E669E2">
          <w:pPr>
            <w:pStyle w:val="HeaderOdd"/>
          </w:pPr>
        </w:p>
      </w:tc>
    </w:tr>
  </w:tbl>
  <w:p w14:paraId="2425E922" w14:textId="77777777" w:rsidR="009A7D5D" w:rsidRDefault="009A7D5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an Australia become a productivity leader?"/>
    <w:docVar w:name="ShortReportTitle" w:val="PC Productivity Insights: Volume II"/>
  </w:docVars>
  <w:rsids>
    <w:rsidRoot w:val="00E1519F"/>
    <w:rsid w:val="0000252B"/>
    <w:rsid w:val="0000479E"/>
    <w:rsid w:val="00004D80"/>
    <w:rsid w:val="0000775F"/>
    <w:rsid w:val="000142AC"/>
    <w:rsid w:val="000146A3"/>
    <w:rsid w:val="000227D5"/>
    <w:rsid w:val="000245AA"/>
    <w:rsid w:val="00024613"/>
    <w:rsid w:val="000347F6"/>
    <w:rsid w:val="0003664B"/>
    <w:rsid w:val="00037389"/>
    <w:rsid w:val="000403F5"/>
    <w:rsid w:val="0004111F"/>
    <w:rsid w:val="000530A1"/>
    <w:rsid w:val="00055077"/>
    <w:rsid w:val="000565B3"/>
    <w:rsid w:val="00064A31"/>
    <w:rsid w:val="000702F1"/>
    <w:rsid w:val="0007150B"/>
    <w:rsid w:val="00071979"/>
    <w:rsid w:val="000722AB"/>
    <w:rsid w:val="00072902"/>
    <w:rsid w:val="00091383"/>
    <w:rsid w:val="000938F5"/>
    <w:rsid w:val="00095663"/>
    <w:rsid w:val="00096E55"/>
    <w:rsid w:val="0009783E"/>
    <w:rsid w:val="000A2C23"/>
    <w:rsid w:val="000B1022"/>
    <w:rsid w:val="000B2AB0"/>
    <w:rsid w:val="000B486C"/>
    <w:rsid w:val="000B601B"/>
    <w:rsid w:val="000B719B"/>
    <w:rsid w:val="000C0118"/>
    <w:rsid w:val="000C207E"/>
    <w:rsid w:val="000C66F9"/>
    <w:rsid w:val="000D27CF"/>
    <w:rsid w:val="000D41E9"/>
    <w:rsid w:val="000D6E16"/>
    <w:rsid w:val="000D739C"/>
    <w:rsid w:val="000F0035"/>
    <w:rsid w:val="000F04E7"/>
    <w:rsid w:val="000F060A"/>
    <w:rsid w:val="000F2871"/>
    <w:rsid w:val="000F420B"/>
    <w:rsid w:val="000F539C"/>
    <w:rsid w:val="000F7D4E"/>
    <w:rsid w:val="00107A52"/>
    <w:rsid w:val="00110116"/>
    <w:rsid w:val="00111CCB"/>
    <w:rsid w:val="00120072"/>
    <w:rsid w:val="00126EB8"/>
    <w:rsid w:val="001274D4"/>
    <w:rsid w:val="001363AA"/>
    <w:rsid w:val="0013739A"/>
    <w:rsid w:val="00140554"/>
    <w:rsid w:val="00141888"/>
    <w:rsid w:val="00142165"/>
    <w:rsid w:val="00145812"/>
    <w:rsid w:val="00147438"/>
    <w:rsid w:val="00147772"/>
    <w:rsid w:val="001504CC"/>
    <w:rsid w:val="0016033A"/>
    <w:rsid w:val="00162434"/>
    <w:rsid w:val="00164E07"/>
    <w:rsid w:val="001657ED"/>
    <w:rsid w:val="00175B31"/>
    <w:rsid w:val="00180811"/>
    <w:rsid w:val="00183E82"/>
    <w:rsid w:val="00184CCE"/>
    <w:rsid w:val="00186737"/>
    <w:rsid w:val="001878BB"/>
    <w:rsid w:val="00191AE0"/>
    <w:rsid w:val="00191B5A"/>
    <w:rsid w:val="0019293B"/>
    <w:rsid w:val="0019342C"/>
    <w:rsid w:val="0019426B"/>
    <w:rsid w:val="00194750"/>
    <w:rsid w:val="001951F4"/>
    <w:rsid w:val="001A06A3"/>
    <w:rsid w:val="001A6A4B"/>
    <w:rsid w:val="001A7DAF"/>
    <w:rsid w:val="001B4CF3"/>
    <w:rsid w:val="001B7385"/>
    <w:rsid w:val="001C0865"/>
    <w:rsid w:val="001C0AED"/>
    <w:rsid w:val="001C2DAB"/>
    <w:rsid w:val="001C3ABA"/>
    <w:rsid w:val="001C5111"/>
    <w:rsid w:val="001D1B3E"/>
    <w:rsid w:val="001D5049"/>
    <w:rsid w:val="001D60AB"/>
    <w:rsid w:val="001E4709"/>
    <w:rsid w:val="001E7BE8"/>
    <w:rsid w:val="001F0248"/>
    <w:rsid w:val="001F3EB3"/>
    <w:rsid w:val="001F4F86"/>
    <w:rsid w:val="00202C2C"/>
    <w:rsid w:val="00203050"/>
    <w:rsid w:val="002043AF"/>
    <w:rsid w:val="002113E7"/>
    <w:rsid w:val="002130E6"/>
    <w:rsid w:val="002135AB"/>
    <w:rsid w:val="002144BE"/>
    <w:rsid w:val="00216FEE"/>
    <w:rsid w:val="00220111"/>
    <w:rsid w:val="002320B8"/>
    <w:rsid w:val="002334A8"/>
    <w:rsid w:val="0023610C"/>
    <w:rsid w:val="00242279"/>
    <w:rsid w:val="00243997"/>
    <w:rsid w:val="0024516C"/>
    <w:rsid w:val="00245C82"/>
    <w:rsid w:val="00250842"/>
    <w:rsid w:val="00256A29"/>
    <w:rsid w:val="00262877"/>
    <w:rsid w:val="00264F87"/>
    <w:rsid w:val="002724BA"/>
    <w:rsid w:val="00286D20"/>
    <w:rsid w:val="002900F4"/>
    <w:rsid w:val="00291B40"/>
    <w:rsid w:val="00292EBF"/>
    <w:rsid w:val="002B0865"/>
    <w:rsid w:val="002B0B1F"/>
    <w:rsid w:val="002B1020"/>
    <w:rsid w:val="002B2044"/>
    <w:rsid w:val="002B2F46"/>
    <w:rsid w:val="002B4008"/>
    <w:rsid w:val="002C1C08"/>
    <w:rsid w:val="002C1D1B"/>
    <w:rsid w:val="002C439F"/>
    <w:rsid w:val="002C5A8C"/>
    <w:rsid w:val="002C626E"/>
    <w:rsid w:val="002C6BBC"/>
    <w:rsid w:val="002D07B3"/>
    <w:rsid w:val="002D0C42"/>
    <w:rsid w:val="002D0E8E"/>
    <w:rsid w:val="002D55AE"/>
    <w:rsid w:val="002D5DC6"/>
    <w:rsid w:val="002D7409"/>
    <w:rsid w:val="002E6107"/>
    <w:rsid w:val="002F02F7"/>
    <w:rsid w:val="002F4AE9"/>
    <w:rsid w:val="00301189"/>
    <w:rsid w:val="00301E4A"/>
    <w:rsid w:val="003038E7"/>
    <w:rsid w:val="00304CED"/>
    <w:rsid w:val="00314DD0"/>
    <w:rsid w:val="003168B8"/>
    <w:rsid w:val="003204FD"/>
    <w:rsid w:val="00322D64"/>
    <w:rsid w:val="00322DA6"/>
    <w:rsid w:val="00323E09"/>
    <w:rsid w:val="0032731D"/>
    <w:rsid w:val="00333370"/>
    <w:rsid w:val="00333932"/>
    <w:rsid w:val="00336C87"/>
    <w:rsid w:val="00341003"/>
    <w:rsid w:val="00346903"/>
    <w:rsid w:val="003518AA"/>
    <w:rsid w:val="00352165"/>
    <w:rsid w:val="00353182"/>
    <w:rsid w:val="0035583B"/>
    <w:rsid w:val="003565D9"/>
    <w:rsid w:val="003602E1"/>
    <w:rsid w:val="003662FC"/>
    <w:rsid w:val="0037026F"/>
    <w:rsid w:val="00371240"/>
    <w:rsid w:val="00374731"/>
    <w:rsid w:val="003764E1"/>
    <w:rsid w:val="00376E59"/>
    <w:rsid w:val="00377EC1"/>
    <w:rsid w:val="00380340"/>
    <w:rsid w:val="00383142"/>
    <w:rsid w:val="0038499F"/>
    <w:rsid w:val="00386E0D"/>
    <w:rsid w:val="00391282"/>
    <w:rsid w:val="003919F9"/>
    <w:rsid w:val="003920CF"/>
    <w:rsid w:val="003927BD"/>
    <w:rsid w:val="00395648"/>
    <w:rsid w:val="003A0047"/>
    <w:rsid w:val="003A2B5A"/>
    <w:rsid w:val="003A3B23"/>
    <w:rsid w:val="003A5B92"/>
    <w:rsid w:val="003A7359"/>
    <w:rsid w:val="003B1C84"/>
    <w:rsid w:val="003B23C2"/>
    <w:rsid w:val="003B4889"/>
    <w:rsid w:val="003B531D"/>
    <w:rsid w:val="003C0332"/>
    <w:rsid w:val="003C38B5"/>
    <w:rsid w:val="003C59C0"/>
    <w:rsid w:val="003C5D99"/>
    <w:rsid w:val="003D1087"/>
    <w:rsid w:val="003E2F59"/>
    <w:rsid w:val="003E5A82"/>
    <w:rsid w:val="003E746B"/>
    <w:rsid w:val="003F0789"/>
    <w:rsid w:val="003F5D2C"/>
    <w:rsid w:val="00401882"/>
    <w:rsid w:val="00407528"/>
    <w:rsid w:val="004100C8"/>
    <w:rsid w:val="00411639"/>
    <w:rsid w:val="00411DBD"/>
    <w:rsid w:val="00412ACE"/>
    <w:rsid w:val="004145D2"/>
    <w:rsid w:val="00415B9F"/>
    <w:rsid w:val="00417C36"/>
    <w:rsid w:val="00417CAA"/>
    <w:rsid w:val="00422110"/>
    <w:rsid w:val="00425128"/>
    <w:rsid w:val="00426CB4"/>
    <w:rsid w:val="00431249"/>
    <w:rsid w:val="00434C19"/>
    <w:rsid w:val="0043764D"/>
    <w:rsid w:val="00450810"/>
    <w:rsid w:val="00460F20"/>
    <w:rsid w:val="00462AE0"/>
    <w:rsid w:val="00462C59"/>
    <w:rsid w:val="00464158"/>
    <w:rsid w:val="00470737"/>
    <w:rsid w:val="00473FCE"/>
    <w:rsid w:val="00477144"/>
    <w:rsid w:val="004837A2"/>
    <w:rsid w:val="00483FF1"/>
    <w:rsid w:val="0049120D"/>
    <w:rsid w:val="00491380"/>
    <w:rsid w:val="004935CC"/>
    <w:rsid w:val="0049459F"/>
    <w:rsid w:val="00496080"/>
    <w:rsid w:val="00496CD8"/>
    <w:rsid w:val="004A2738"/>
    <w:rsid w:val="004A2B94"/>
    <w:rsid w:val="004A38DD"/>
    <w:rsid w:val="004A4CD7"/>
    <w:rsid w:val="004A556D"/>
    <w:rsid w:val="004B2DA1"/>
    <w:rsid w:val="004B43AE"/>
    <w:rsid w:val="004B4FEB"/>
    <w:rsid w:val="004B59D9"/>
    <w:rsid w:val="004B650F"/>
    <w:rsid w:val="004B7288"/>
    <w:rsid w:val="004C30ED"/>
    <w:rsid w:val="004D0A8B"/>
    <w:rsid w:val="004D5675"/>
    <w:rsid w:val="004D7CBD"/>
    <w:rsid w:val="004E000F"/>
    <w:rsid w:val="004E6BED"/>
    <w:rsid w:val="004F69FC"/>
    <w:rsid w:val="004F6A26"/>
    <w:rsid w:val="00502ABA"/>
    <w:rsid w:val="00503C2D"/>
    <w:rsid w:val="005046B1"/>
    <w:rsid w:val="00512B2F"/>
    <w:rsid w:val="0051306E"/>
    <w:rsid w:val="00517795"/>
    <w:rsid w:val="00520A36"/>
    <w:rsid w:val="00523639"/>
    <w:rsid w:val="00531FE5"/>
    <w:rsid w:val="00533A5D"/>
    <w:rsid w:val="005365E5"/>
    <w:rsid w:val="005402FA"/>
    <w:rsid w:val="00541E1A"/>
    <w:rsid w:val="0054683E"/>
    <w:rsid w:val="00547A2F"/>
    <w:rsid w:val="005529B2"/>
    <w:rsid w:val="0055385D"/>
    <w:rsid w:val="00571A05"/>
    <w:rsid w:val="005729BD"/>
    <w:rsid w:val="00573437"/>
    <w:rsid w:val="00573BE3"/>
    <w:rsid w:val="005775D6"/>
    <w:rsid w:val="00580154"/>
    <w:rsid w:val="00583C39"/>
    <w:rsid w:val="00586A90"/>
    <w:rsid w:val="00587BD8"/>
    <w:rsid w:val="00587F28"/>
    <w:rsid w:val="005909CF"/>
    <w:rsid w:val="00591E71"/>
    <w:rsid w:val="00592E91"/>
    <w:rsid w:val="00594165"/>
    <w:rsid w:val="00594781"/>
    <w:rsid w:val="005963F8"/>
    <w:rsid w:val="005A0D41"/>
    <w:rsid w:val="005A66FE"/>
    <w:rsid w:val="005A6E4F"/>
    <w:rsid w:val="005A75C8"/>
    <w:rsid w:val="005B50B5"/>
    <w:rsid w:val="005B71CD"/>
    <w:rsid w:val="005C6830"/>
    <w:rsid w:val="005D329F"/>
    <w:rsid w:val="005D645E"/>
    <w:rsid w:val="005D67B9"/>
    <w:rsid w:val="005E4E32"/>
    <w:rsid w:val="005E5FA0"/>
    <w:rsid w:val="005F48ED"/>
    <w:rsid w:val="005F7A5C"/>
    <w:rsid w:val="00601C02"/>
    <w:rsid w:val="00601DAB"/>
    <w:rsid w:val="00606E78"/>
    <w:rsid w:val="006078D9"/>
    <w:rsid w:val="00607A0E"/>
    <w:rsid w:val="00607BF1"/>
    <w:rsid w:val="00612E5E"/>
    <w:rsid w:val="00630D4D"/>
    <w:rsid w:val="00632A74"/>
    <w:rsid w:val="006373D9"/>
    <w:rsid w:val="006467F6"/>
    <w:rsid w:val="00646ACF"/>
    <w:rsid w:val="0065069F"/>
    <w:rsid w:val="0065366D"/>
    <w:rsid w:val="00654D42"/>
    <w:rsid w:val="00666E02"/>
    <w:rsid w:val="00670CAF"/>
    <w:rsid w:val="006735A4"/>
    <w:rsid w:val="00680A69"/>
    <w:rsid w:val="00683A6C"/>
    <w:rsid w:val="00683D23"/>
    <w:rsid w:val="00690E30"/>
    <w:rsid w:val="006A33B6"/>
    <w:rsid w:val="006A3F98"/>
    <w:rsid w:val="006A4655"/>
    <w:rsid w:val="006A633A"/>
    <w:rsid w:val="006A7758"/>
    <w:rsid w:val="006B2B3C"/>
    <w:rsid w:val="006B695E"/>
    <w:rsid w:val="006B69FC"/>
    <w:rsid w:val="006B75F9"/>
    <w:rsid w:val="006C1D81"/>
    <w:rsid w:val="006C7038"/>
    <w:rsid w:val="006E2F94"/>
    <w:rsid w:val="006E73EF"/>
    <w:rsid w:val="006F2133"/>
    <w:rsid w:val="006F565D"/>
    <w:rsid w:val="007079C9"/>
    <w:rsid w:val="00710C4A"/>
    <w:rsid w:val="00712358"/>
    <w:rsid w:val="00714066"/>
    <w:rsid w:val="00714D4D"/>
    <w:rsid w:val="00717489"/>
    <w:rsid w:val="007178D2"/>
    <w:rsid w:val="0072582E"/>
    <w:rsid w:val="007266D3"/>
    <w:rsid w:val="00732029"/>
    <w:rsid w:val="00734652"/>
    <w:rsid w:val="00741624"/>
    <w:rsid w:val="007604BB"/>
    <w:rsid w:val="00765DB9"/>
    <w:rsid w:val="00772909"/>
    <w:rsid w:val="007776F2"/>
    <w:rsid w:val="007801F8"/>
    <w:rsid w:val="00785232"/>
    <w:rsid w:val="007908AF"/>
    <w:rsid w:val="00793615"/>
    <w:rsid w:val="0079701E"/>
    <w:rsid w:val="007A12EF"/>
    <w:rsid w:val="007A21EB"/>
    <w:rsid w:val="007B1A93"/>
    <w:rsid w:val="007C36C9"/>
    <w:rsid w:val="007C4AB4"/>
    <w:rsid w:val="007C4F14"/>
    <w:rsid w:val="007D6401"/>
    <w:rsid w:val="007E01E4"/>
    <w:rsid w:val="007E0B9E"/>
    <w:rsid w:val="007E7A12"/>
    <w:rsid w:val="007F36BC"/>
    <w:rsid w:val="007F7107"/>
    <w:rsid w:val="00800D4C"/>
    <w:rsid w:val="008073CF"/>
    <w:rsid w:val="0081030F"/>
    <w:rsid w:val="00812F4A"/>
    <w:rsid w:val="00813550"/>
    <w:rsid w:val="00814823"/>
    <w:rsid w:val="0081637B"/>
    <w:rsid w:val="0082087D"/>
    <w:rsid w:val="00822FF3"/>
    <w:rsid w:val="00826587"/>
    <w:rsid w:val="008309B0"/>
    <w:rsid w:val="0083528D"/>
    <w:rsid w:val="00835771"/>
    <w:rsid w:val="008373AD"/>
    <w:rsid w:val="0084015A"/>
    <w:rsid w:val="00842933"/>
    <w:rsid w:val="00852BEC"/>
    <w:rsid w:val="00855467"/>
    <w:rsid w:val="0086082C"/>
    <w:rsid w:val="0086213D"/>
    <w:rsid w:val="00864ADC"/>
    <w:rsid w:val="008721B3"/>
    <w:rsid w:val="008727ED"/>
    <w:rsid w:val="00873787"/>
    <w:rsid w:val="00874AE9"/>
    <w:rsid w:val="00875B4A"/>
    <w:rsid w:val="00880153"/>
    <w:rsid w:val="0088025F"/>
    <w:rsid w:val="00880F97"/>
    <w:rsid w:val="0088133A"/>
    <w:rsid w:val="00891179"/>
    <w:rsid w:val="0089285E"/>
    <w:rsid w:val="0089436C"/>
    <w:rsid w:val="00895D50"/>
    <w:rsid w:val="008A41B8"/>
    <w:rsid w:val="008A524F"/>
    <w:rsid w:val="008A57F3"/>
    <w:rsid w:val="008B15CA"/>
    <w:rsid w:val="008B494D"/>
    <w:rsid w:val="008C2899"/>
    <w:rsid w:val="008C5D1A"/>
    <w:rsid w:val="008D0017"/>
    <w:rsid w:val="008D2646"/>
    <w:rsid w:val="008D365C"/>
    <w:rsid w:val="008D73C3"/>
    <w:rsid w:val="008D7622"/>
    <w:rsid w:val="008D7CEF"/>
    <w:rsid w:val="009021A6"/>
    <w:rsid w:val="00902633"/>
    <w:rsid w:val="009030BF"/>
    <w:rsid w:val="00903B52"/>
    <w:rsid w:val="0090481F"/>
    <w:rsid w:val="00906E64"/>
    <w:rsid w:val="00907669"/>
    <w:rsid w:val="0091032F"/>
    <w:rsid w:val="00914368"/>
    <w:rsid w:val="00920A2F"/>
    <w:rsid w:val="0092216A"/>
    <w:rsid w:val="00931076"/>
    <w:rsid w:val="009345D9"/>
    <w:rsid w:val="0093496B"/>
    <w:rsid w:val="00934B15"/>
    <w:rsid w:val="0093704E"/>
    <w:rsid w:val="00937CB0"/>
    <w:rsid w:val="00940C87"/>
    <w:rsid w:val="00942B55"/>
    <w:rsid w:val="00942B62"/>
    <w:rsid w:val="00946942"/>
    <w:rsid w:val="0095323B"/>
    <w:rsid w:val="00956A0C"/>
    <w:rsid w:val="00956BD9"/>
    <w:rsid w:val="00962489"/>
    <w:rsid w:val="009676C9"/>
    <w:rsid w:val="00967929"/>
    <w:rsid w:val="00967CD3"/>
    <w:rsid w:val="0097576D"/>
    <w:rsid w:val="00982FB8"/>
    <w:rsid w:val="009832D2"/>
    <w:rsid w:val="00983F63"/>
    <w:rsid w:val="00990C2C"/>
    <w:rsid w:val="00992E68"/>
    <w:rsid w:val="009A5171"/>
    <w:rsid w:val="009A5AFE"/>
    <w:rsid w:val="009A7440"/>
    <w:rsid w:val="009A7D5C"/>
    <w:rsid w:val="009A7D5D"/>
    <w:rsid w:val="009B18E6"/>
    <w:rsid w:val="009B2A23"/>
    <w:rsid w:val="009B45D7"/>
    <w:rsid w:val="009B7BAF"/>
    <w:rsid w:val="009C2314"/>
    <w:rsid w:val="009E0D8E"/>
    <w:rsid w:val="009E1844"/>
    <w:rsid w:val="009E48CB"/>
    <w:rsid w:val="009F0D0C"/>
    <w:rsid w:val="009F0D1B"/>
    <w:rsid w:val="009F53DD"/>
    <w:rsid w:val="009F5BBD"/>
    <w:rsid w:val="009F696D"/>
    <w:rsid w:val="009F6BC6"/>
    <w:rsid w:val="009F74EF"/>
    <w:rsid w:val="009F77E8"/>
    <w:rsid w:val="00A02826"/>
    <w:rsid w:val="00A15D5A"/>
    <w:rsid w:val="00A17328"/>
    <w:rsid w:val="00A22C1E"/>
    <w:rsid w:val="00A23A20"/>
    <w:rsid w:val="00A24443"/>
    <w:rsid w:val="00A266EF"/>
    <w:rsid w:val="00A268B9"/>
    <w:rsid w:val="00A2703A"/>
    <w:rsid w:val="00A312D6"/>
    <w:rsid w:val="00A31B60"/>
    <w:rsid w:val="00A33DFF"/>
    <w:rsid w:val="00A35115"/>
    <w:rsid w:val="00A352AA"/>
    <w:rsid w:val="00A36D9A"/>
    <w:rsid w:val="00A451DC"/>
    <w:rsid w:val="00A533DF"/>
    <w:rsid w:val="00A554AB"/>
    <w:rsid w:val="00A57062"/>
    <w:rsid w:val="00A6588F"/>
    <w:rsid w:val="00A66742"/>
    <w:rsid w:val="00A66CE9"/>
    <w:rsid w:val="00A67781"/>
    <w:rsid w:val="00A73824"/>
    <w:rsid w:val="00A74C1D"/>
    <w:rsid w:val="00A761F9"/>
    <w:rsid w:val="00A766AE"/>
    <w:rsid w:val="00A80F82"/>
    <w:rsid w:val="00A818AE"/>
    <w:rsid w:val="00A92B53"/>
    <w:rsid w:val="00A94FA6"/>
    <w:rsid w:val="00A96129"/>
    <w:rsid w:val="00AA42F0"/>
    <w:rsid w:val="00AA49A0"/>
    <w:rsid w:val="00AA6710"/>
    <w:rsid w:val="00AB0681"/>
    <w:rsid w:val="00AB2E25"/>
    <w:rsid w:val="00AB49DE"/>
    <w:rsid w:val="00AC3A15"/>
    <w:rsid w:val="00AC52A9"/>
    <w:rsid w:val="00AC5AED"/>
    <w:rsid w:val="00AC7791"/>
    <w:rsid w:val="00AD520B"/>
    <w:rsid w:val="00AD70E1"/>
    <w:rsid w:val="00AE0BBD"/>
    <w:rsid w:val="00AE2E2B"/>
    <w:rsid w:val="00AE35C1"/>
    <w:rsid w:val="00AE3BCC"/>
    <w:rsid w:val="00AF03FF"/>
    <w:rsid w:val="00B004FD"/>
    <w:rsid w:val="00B00FF7"/>
    <w:rsid w:val="00B10837"/>
    <w:rsid w:val="00B123A7"/>
    <w:rsid w:val="00B13CA8"/>
    <w:rsid w:val="00B14E32"/>
    <w:rsid w:val="00B25DEA"/>
    <w:rsid w:val="00B33EEF"/>
    <w:rsid w:val="00B3421C"/>
    <w:rsid w:val="00B35F03"/>
    <w:rsid w:val="00B42332"/>
    <w:rsid w:val="00B425C3"/>
    <w:rsid w:val="00B4373D"/>
    <w:rsid w:val="00B43C5E"/>
    <w:rsid w:val="00B440AD"/>
    <w:rsid w:val="00B479BB"/>
    <w:rsid w:val="00B53E7E"/>
    <w:rsid w:val="00B56A42"/>
    <w:rsid w:val="00B6342E"/>
    <w:rsid w:val="00B70216"/>
    <w:rsid w:val="00B7113F"/>
    <w:rsid w:val="00B74788"/>
    <w:rsid w:val="00B81606"/>
    <w:rsid w:val="00B8467C"/>
    <w:rsid w:val="00B85DFB"/>
    <w:rsid w:val="00B9535C"/>
    <w:rsid w:val="00B95AA1"/>
    <w:rsid w:val="00B95B72"/>
    <w:rsid w:val="00BA1D17"/>
    <w:rsid w:val="00BA2BCF"/>
    <w:rsid w:val="00BA5B14"/>
    <w:rsid w:val="00BA7172"/>
    <w:rsid w:val="00BA73B6"/>
    <w:rsid w:val="00BA7E27"/>
    <w:rsid w:val="00BB2603"/>
    <w:rsid w:val="00BB4FCD"/>
    <w:rsid w:val="00BB5733"/>
    <w:rsid w:val="00BC04E9"/>
    <w:rsid w:val="00BC6457"/>
    <w:rsid w:val="00BD13EA"/>
    <w:rsid w:val="00BD1B4D"/>
    <w:rsid w:val="00BE3808"/>
    <w:rsid w:val="00C03B88"/>
    <w:rsid w:val="00C04EA3"/>
    <w:rsid w:val="00C062E9"/>
    <w:rsid w:val="00C069AA"/>
    <w:rsid w:val="00C06C1D"/>
    <w:rsid w:val="00C07B64"/>
    <w:rsid w:val="00C1132A"/>
    <w:rsid w:val="00C13721"/>
    <w:rsid w:val="00C14FE4"/>
    <w:rsid w:val="00C15F3E"/>
    <w:rsid w:val="00C179A9"/>
    <w:rsid w:val="00C17FF2"/>
    <w:rsid w:val="00C20CA8"/>
    <w:rsid w:val="00C2296C"/>
    <w:rsid w:val="00C3066D"/>
    <w:rsid w:val="00C31E43"/>
    <w:rsid w:val="00C34368"/>
    <w:rsid w:val="00C37A57"/>
    <w:rsid w:val="00C42187"/>
    <w:rsid w:val="00C4218A"/>
    <w:rsid w:val="00C42EA7"/>
    <w:rsid w:val="00C45A65"/>
    <w:rsid w:val="00C50AD6"/>
    <w:rsid w:val="00C51A47"/>
    <w:rsid w:val="00C52416"/>
    <w:rsid w:val="00C543F4"/>
    <w:rsid w:val="00C6291C"/>
    <w:rsid w:val="00C633CB"/>
    <w:rsid w:val="00C63CF2"/>
    <w:rsid w:val="00C654BC"/>
    <w:rsid w:val="00C664CD"/>
    <w:rsid w:val="00C731D5"/>
    <w:rsid w:val="00C736B7"/>
    <w:rsid w:val="00C81D4A"/>
    <w:rsid w:val="00C8762C"/>
    <w:rsid w:val="00CA00F9"/>
    <w:rsid w:val="00CA1ACD"/>
    <w:rsid w:val="00CA2961"/>
    <w:rsid w:val="00CB446B"/>
    <w:rsid w:val="00CB50D7"/>
    <w:rsid w:val="00CB7177"/>
    <w:rsid w:val="00CB7CED"/>
    <w:rsid w:val="00CC070F"/>
    <w:rsid w:val="00CC1998"/>
    <w:rsid w:val="00CC4946"/>
    <w:rsid w:val="00CC64A1"/>
    <w:rsid w:val="00CD6237"/>
    <w:rsid w:val="00CD6AE5"/>
    <w:rsid w:val="00CD7499"/>
    <w:rsid w:val="00CE2C77"/>
    <w:rsid w:val="00CF3B11"/>
    <w:rsid w:val="00CF47F6"/>
    <w:rsid w:val="00CF69BC"/>
    <w:rsid w:val="00D016F5"/>
    <w:rsid w:val="00D11D1B"/>
    <w:rsid w:val="00D20D2D"/>
    <w:rsid w:val="00D270A4"/>
    <w:rsid w:val="00D27267"/>
    <w:rsid w:val="00D31897"/>
    <w:rsid w:val="00D31FE9"/>
    <w:rsid w:val="00D34E1B"/>
    <w:rsid w:val="00D376BA"/>
    <w:rsid w:val="00D434A0"/>
    <w:rsid w:val="00D45634"/>
    <w:rsid w:val="00D46BCE"/>
    <w:rsid w:val="00D5568A"/>
    <w:rsid w:val="00D61E4A"/>
    <w:rsid w:val="00D63D73"/>
    <w:rsid w:val="00D64452"/>
    <w:rsid w:val="00D652CC"/>
    <w:rsid w:val="00D66E1E"/>
    <w:rsid w:val="00D70696"/>
    <w:rsid w:val="00D75722"/>
    <w:rsid w:val="00D80CF5"/>
    <w:rsid w:val="00D84116"/>
    <w:rsid w:val="00D9164F"/>
    <w:rsid w:val="00D94C17"/>
    <w:rsid w:val="00D951C6"/>
    <w:rsid w:val="00D95E8F"/>
    <w:rsid w:val="00DA1083"/>
    <w:rsid w:val="00DA26A9"/>
    <w:rsid w:val="00DA3612"/>
    <w:rsid w:val="00DA5BBA"/>
    <w:rsid w:val="00DB0960"/>
    <w:rsid w:val="00DB26D2"/>
    <w:rsid w:val="00DB67C9"/>
    <w:rsid w:val="00DC0625"/>
    <w:rsid w:val="00DC0C95"/>
    <w:rsid w:val="00DC49FE"/>
    <w:rsid w:val="00DC4F0B"/>
    <w:rsid w:val="00DC7189"/>
    <w:rsid w:val="00DC7822"/>
    <w:rsid w:val="00DD6580"/>
    <w:rsid w:val="00DE219A"/>
    <w:rsid w:val="00DE31C9"/>
    <w:rsid w:val="00DE6C3E"/>
    <w:rsid w:val="00DF0032"/>
    <w:rsid w:val="00E01D7F"/>
    <w:rsid w:val="00E03588"/>
    <w:rsid w:val="00E05C03"/>
    <w:rsid w:val="00E12CF3"/>
    <w:rsid w:val="00E1519F"/>
    <w:rsid w:val="00E17C72"/>
    <w:rsid w:val="00E21FC6"/>
    <w:rsid w:val="00E221E9"/>
    <w:rsid w:val="00E23CE2"/>
    <w:rsid w:val="00E25DC2"/>
    <w:rsid w:val="00E270FD"/>
    <w:rsid w:val="00E31F6C"/>
    <w:rsid w:val="00E37F71"/>
    <w:rsid w:val="00E41114"/>
    <w:rsid w:val="00E431A9"/>
    <w:rsid w:val="00E44774"/>
    <w:rsid w:val="00E47E1E"/>
    <w:rsid w:val="00E53ECF"/>
    <w:rsid w:val="00E56822"/>
    <w:rsid w:val="00E603E5"/>
    <w:rsid w:val="00E669E2"/>
    <w:rsid w:val="00E74AE0"/>
    <w:rsid w:val="00E76135"/>
    <w:rsid w:val="00E8001A"/>
    <w:rsid w:val="00E82F4F"/>
    <w:rsid w:val="00E834C0"/>
    <w:rsid w:val="00E864DF"/>
    <w:rsid w:val="00EA44EF"/>
    <w:rsid w:val="00EA66D7"/>
    <w:rsid w:val="00EB2866"/>
    <w:rsid w:val="00EB2CC3"/>
    <w:rsid w:val="00EB3222"/>
    <w:rsid w:val="00EB62D6"/>
    <w:rsid w:val="00EC2844"/>
    <w:rsid w:val="00EC5500"/>
    <w:rsid w:val="00ED18F8"/>
    <w:rsid w:val="00EE2636"/>
    <w:rsid w:val="00EE6E90"/>
    <w:rsid w:val="00EE6EDA"/>
    <w:rsid w:val="00EE778E"/>
    <w:rsid w:val="00EF2442"/>
    <w:rsid w:val="00EF451A"/>
    <w:rsid w:val="00EF6719"/>
    <w:rsid w:val="00EF6C6C"/>
    <w:rsid w:val="00F0141D"/>
    <w:rsid w:val="00F04260"/>
    <w:rsid w:val="00F04C57"/>
    <w:rsid w:val="00F056FC"/>
    <w:rsid w:val="00F05D55"/>
    <w:rsid w:val="00F0632F"/>
    <w:rsid w:val="00F069AE"/>
    <w:rsid w:val="00F079D7"/>
    <w:rsid w:val="00F10476"/>
    <w:rsid w:val="00F1183C"/>
    <w:rsid w:val="00F126E8"/>
    <w:rsid w:val="00F135D8"/>
    <w:rsid w:val="00F216B0"/>
    <w:rsid w:val="00F235D7"/>
    <w:rsid w:val="00F25E60"/>
    <w:rsid w:val="00F31299"/>
    <w:rsid w:val="00F3534A"/>
    <w:rsid w:val="00F35BFB"/>
    <w:rsid w:val="00F36ACC"/>
    <w:rsid w:val="00F40DF9"/>
    <w:rsid w:val="00F41C4C"/>
    <w:rsid w:val="00F43EF9"/>
    <w:rsid w:val="00F46667"/>
    <w:rsid w:val="00F46817"/>
    <w:rsid w:val="00F51609"/>
    <w:rsid w:val="00F55191"/>
    <w:rsid w:val="00F558FB"/>
    <w:rsid w:val="00F55C25"/>
    <w:rsid w:val="00F604A7"/>
    <w:rsid w:val="00F63661"/>
    <w:rsid w:val="00F73727"/>
    <w:rsid w:val="00F766A7"/>
    <w:rsid w:val="00F81006"/>
    <w:rsid w:val="00F823AE"/>
    <w:rsid w:val="00F85325"/>
    <w:rsid w:val="00F908C7"/>
    <w:rsid w:val="00F91508"/>
    <w:rsid w:val="00FA455F"/>
    <w:rsid w:val="00FB4690"/>
    <w:rsid w:val="00FB51E9"/>
    <w:rsid w:val="00FB7B47"/>
    <w:rsid w:val="00FB7B5D"/>
    <w:rsid w:val="00FB7BEE"/>
    <w:rsid w:val="00FC4560"/>
    <w:rsid w:val="00FC4FBD"/>
    <w:rsid w:val="00FD1DD1"/>
    <w:rsid w:val="00FD22B1"/>
    <w:rsid w:val="00FD24C4"/>
    <w:rsid w:val="00FD33F1"/>
    <w:rsid w:val="00FD3566"/>
    <w:rsid w:val="00FD3727"/>
    <w:rsid w:val="00FE1AF5"/>
    <w:rsid w:val="00FE3C71"/>
    <w:rsid w:val="00FE4D3F"/>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DC54444"/>
  <w15:docId w15:val="{BF324951-5187-418B-A5C2-CC6D0BE5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Ntoel">
    <w:name w:val="Ntoe l"/>
    <w:basedOn w:val="Subtitle"/>
    <w:rsid w:val="00E56822"/>
  </w:style>
  <w:style w:type="paragraph" w:customStyle="1" w:styleId="Qoute">
    <w:name w:val="Qoute"/>
    <w:basedOn w:val="BodyText"/>
    <w:rsid w:val="008D2646"/>
    <w:rPr>
      <w:rFonts w:ascii="Georgia" w:hAnsi="Georgia"/>
      <w:color w:val="2E2E2E"/>
      <w:sz w:val="27"/>
      <w:szCs w:val="27"/>
    </w:rPr>
  </w:style>
  <w:style w:type="character" w:customStyle="1" w:styleId="QuoteChar">
    <w:name w:val="Quote Char"/>
    <w:basedOn w:val="DefaultParagraphFont"/>
    <w:link w:val="Quote"/>
    <w:rsid w:val="00EB2866"/>
    <w:rPr>
      <w:sz w:val="22"/>
    </w:rPr>
  </w:style>
  <w:style w:type="paragraph" w:styleId="CommentSubject">
    <w:name w:val="annotation subject"/>
    <w:basedOn w:val="CommentText"/>
    <w:next w:val="CommentText"/>
    <w:link w:val="CommentSubjectChar"/>
    <w:semiHidden/>
    <w:unhideWhenUsed/>
    <w:rsid w:val="005B71C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B71CD"/>
    <w:rPr>
      <w:szCs w:val="24"/>
    </w:rPr>
  </w:style>
  <w:style w:type="character" w:customStyle="1" w:styleId="CommentSubjectChar">
    <w:name w:val="Comment Subject Char"/>
    <w:basedOn w:val="CommentTextChar"/>
    <w:link w:val="CommentSubject"/>
    <w:semiHidden/>
    <w:rsid w:val="005B71CD"/>
    <w:rPr>
      <w:b/>
      <w:bCs/>
      <w:szCs w:val="24"/>
    </w:rPr>
  </w:style>
  <w:style w:type="paragraph" w:styleId="Revision">
    <w:name w:val="Revision"/>
    <w:hidden/>
    <w:uiPriority w:val="99"/>
    <w:semiHidden/>
    <w:rsid w:val="005E5FA0"/>
    <w:rPr>
      <w:sz w:val="24"/>
      <w:szCs w:val="24"/>
    </w:rPr>
  </w:style>
  <w:style w:type="character" w:styleId="EndnoteReference">
    <w:name w:val="endnote reference"/>
    <w:basedOn w:val="DefaultParagraphFont"/>
    <w:semiHidden/>
    <w:unhideWhenUsed/>
    <w:rsid w:val="001C2DAB"/>
    <w:rPr>
      <w:vertAlign w:val="superscript"/>
    </w:rPr>
  </w:style>
  <w:style w:type="paragraph" w:styleId="Bibliography">
    <w:name w:val="Bibliography"/>
    <w:basedOn w:val="Normal"/>
    <w:next w:val="Normal"/>
    <w:uiPriority w:val="37"/>
    <w:unhideWhenUsed/>
    <w:rsid w:val="001D60AB"/>
    <w:pPr>
      <w:spacing w:after="240"/>
      <w:ind w:left="720" w:hanging="720"/>
    </w:pPr>
  </w:style>
  <w:style w:type="character" w:customStyle="1" w:styleId="Heading1Char">
    <w:name w:val="Heading 1 Char"/>
    <w:basedOn w:val="DefaultParagraphFont"/>
    <w:link w:val="Heading1"/>
    <w:rsid w:val="00F235D7"/>
    <w:rPr>
      <w:sz w:val="52"/>
    </w:rPr>
  </w:style>
  <w:style w:type="character" w:styleId="Hyperlink">
    <w:name w:val="Hyperlink"/>
    <w:basedOn w:val="DefaultParagraphFont"/>
    <w:unhideWhenUsed/>
    <w:rsid w:val="00F235D7"/>
    <w:rPr>
      <w:color w:val="000000" w:themeColor="hyperlink"/>
      <w:u w:val="single"/>
    </w:rPr>
  </w:style>
  <w:style w:type="paragraph" w:customStyle="1" w:styleId="Heading2NotTOC">
    <w:name w:val="Heading 2 Not TOC"/>
    <w:basedOn w:val="Heading2"/>
    <w:next w:val="BodyText"/>
    <w:rsid w:val="00391282"/>
  </w:style>
  <w:style w:type="paragraph" w:customStyle="1" w:styleId="Heading1NotTOC">
    <w:name w:val="Heading 1 Not TOC"/>
    <w:basedOn w:val="Heading1"/>
    <w:next w:val="BodyText"/>
    <w:rsid w:val="00391282"/>
    <w:rPr>
      <w:kern w:val="28"/>
      <w:szCs w:val="26"/>
      <w:lang w:eastAsia="en-US"/>
    </w:rPr>
  </w:style>
  <w:style w:type="paragraph" w:customStyle="1" w:styleId="Copyrightheading">
    <w:name w:val="Copyright heading"/>
    <w:basedOn w:val="TOC1"/>
    <w:link w:val="CopyrightheadingChar"/>
    <w:qFormat/>
    <w:rsid w:val="00391282"/>
    <w:pPr>
      <w:spacing w:line="300" w:lineRule="exact"/>
    </w:pPr>
    <w:rPr>
      <w:sz w:val="22"/>
    </w:rPr>
  </w:style>
  <w:style w:type="character" w:customStyle="1" w:styleId="CopyrightheadingChar">
    <w:name w:val="Copyright heading Char"/>
    <w:basedOn w:val="TOC1Char"/>
    <w:link w:val="Copyrightheading"/>
    <w:rsid w:val="00391282"/>
    <w:rPr>
      <w:rFonts w:ascii="Arial" w:hAnsi="Arial"/>
      <w:b/>
      <w:sz w:val="22"/>
      <w:szCs w:val="26"/>
      <w:lang w:eastAsia="en-US"/>
    </w:rPr>
  </w:style>
  <w:style w:type="paragraph" w:customStyle="1" w:styleId="Copyrightsubtitle">
    <w:name w:val="Copyright subtitle"/>
    <w:basedOn w:val="BodyText"/>
    <w:rsid w:val="00391282"/>
    <w:rPr>
      <w:rFonts w:ascii="Arial" w:hAnsi="Arial"/>
      <w:b/>
      <w:sz w:val="22"/>
      <w:szCs w:val="25"/>
    </w:rPr>
  </w:style>
  <w:style w:type="paragraph" w:customStyle="1" w:styleId="Copyrightbodytext">
    <w:name w:val="Copyright bodytext"/>
    <w:basedOn w:val="BodyText"/>
    <w:link w:val="CopyrightbodytextChar"/>
    <w:qFormat/>
    <w:rsid w:val="00391282"/>
    <w:pPr>
      <w:spacing w:before="60"/>
    </w:pPr>
  </w:style>
  <w:style w:type="character" w:customStyle="1" w:styleId="CopyrightbodytextChar">
    <w:name w:val="Copyright bodytext Char"/>
    <w:basedOn w:val="BodyTextChar"/>
    <w:link w:val="Copyrightbodytext"/>
    <w:rsid w:val="003912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309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image" Target="media/image16.png"/><Relationship Id="rId21" Type="http://schemas.openxmlformats.org/officeDocument/2006/relationships/footer" Target="footer4.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6.png"/><Relationship Id="rId41" Type="http://schemas.openxmlformats.org/officeDocument/2006/relationships/image" Target="media/image18.emf"/><Relationship Id="rId54" Type="http://schemas.openxmlformats.org/officeDocument/2006/relationships/image" Target="media/image3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hyperlink" Target="http://www.oecd.org/sti/ind/stanstructura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footer" Target="footer7.xml"/><Relationship Id="rId61"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9.emf"/><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emf"/><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10.emf"/><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DA34-D51E-418A-A28B-884B5BBA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1053</TotalTime>
  <Pages>30</Pages>
  <Words>7022</Words>
  <Characters>41049</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Can Australia become a productivity leader?</vt:lpstr>
    </vt:vector>
  </TitlesOfParts>
  <Company>Productivity Commission</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Australia become a productivity leader?</dc:title>
  <dc:subject>PC Productivity Insights 2020: Volume II</dc:subject>
  <dc:creator>Productivity Commission</dc:creator>
  <cp:keywords/>
  <dc:description/>
  <cp:lastModifiedBy>Productivity Commission</cp:lastModifiedBy>
  <cp:revision>132</cp:revision>
  <cp:lastPrinted>2020-03-10T00:26:00Z</cp:lastPrinted>
  <dcterms:created xsi:type="dcterms:W3CDTF">2020-03-02T02:35:00Z</dcterms:created>
  <dcterms:modified xsi:type="dcterms:W3CDTF">2020-03-22T23:59:00Z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id="Ax9F3A5S"/&gt;&lt;style id="http://www.zotero.org/styles/unisa-harvard"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ies>
</file>